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68461">
      <w:pPr>
        <w:pStyle w:val="8"/>
        <w:pageBreakBefore w:val="0"/>
        <w:kinsoku/>
        <w:wordWrap w:val="0"/>
        <w:overflowPunct/>
        <w:topLinePunct/>
        <w:autoSpaceDE/>
        <w:autoSpaceDN/>
        <w:bidi w:val="0"/>
        <w:spacing w:line="241" w:lineRule="auto"/>
        <w:rPr>
          <w:rFonts w:hint="default" w:ascii="Times New Roman" w:hAnsi="Times New Roman" w:cs="Times New Roman"/>
          <w:color w:val="auto"/>
          <w:highlight w:val="none"/>
        </w:rPr>
      </w:pPr>
    </w:p>
    <w:p w14:paraId="19496A1B">
      <w:pPr>
        <w:pStyle w:val="8"/>
        <w:pageBreakBefore w:val="0"/>
        <w:kinsoku/>
        <w:wordWrap w:val="0"/>
        <w:overflowPunct/>
        <w:topLinePunct/>
        <w:autoSpaceDE/>
        <w:autoSpaceDN/>
        <w:bidi w:val="0"/>
        <w:spacing w:line="241" w:lineRule="auto"/>
        <w:rPr>
          <w:rFonts w:hint="default" w:ascii="Times New Roman" w:hAnsi="Times New Roman" w:cs="Times New Roman"/>
          <w:color w:val="auto"/>
          <w:highlight w:val="none"/>
        </w:rPr>
      </w:pPr>
    </w:p>
    <w:p w14:paraId="7C05D772">
      <w:pPr>
        <w:pStyle w:val="8"/>
        <w:pageBreakBefore w:val="0"/>
        <w:kinsoku/>
        <w:wordWrap w:val="0"/>
        <w:overflowPunct/>
        <w:topLinePunct/>
        <w:autoSpaceDE/>
        <w:autoSpaceDN/>
        <w:bidi w:val="0"/>
        <w:spacing w:line="241" w:lineRule="auto"/>
        <w:rPr>
          <w:rFonts w:hint="default" w:ascii="Times New Roman" w:hAnsi="Times New Roman" w:cs="Times New Roman"/>
          <w:color w:val="auto"/>
          <w:highlight w:val="none"/>
        </w:rPr>
      </w:pPr>
    </w:p>
    <w:p w14:paraId="0692F1E3">
      <w:pPr>
        <w:pStyle w:val="8"/>
        <w:pageBreakBefore w:val="0"/>
        <w:kinsoku/>
        <w:wordWrap w:val="0"/>
        <w:overflowPunct/>
        <w:topLinePunct/>
        <w:autoSpaceDE/>
        <w:autoSpaceDN/>
        <w:bidi w:val="0"/>
        <w:spacing w:line="241" w:lineRule="auto"/>
        <w:rPr>
          <w:rFonts w:hint="default" w:ascii="Times New Roman" w:hAnsi="Times New Roman" w:cs="Times New Roman"/>
          <w:color w:val="auto"/>
          <w:highlight w:val="none"/>
        </w:rPr>
      </w:pPr>
    </w:p>
    <w:p w14:paraId="0215A2D1">
      <w:pPr>
        <w:pStyle w:val="8"/>
        <w:pageBreakBefore w:val="0"/>
        <w:kinsoku/>
        <w:wordWrap w:val="0"/>
        <w:overflowPunct/>
        <w:topLinePunct/>
        <w:autoSpaceDE/>
        <w:autoSpaceDN/>
        <w:bidi w:val="0"/>
        <w:spacing w:line="242" w:lineRule="auto"/>
        <w:rPr>
          <w:rFonts w:hint="default" w:ascii="Times New Roman" w:hAnsi="Times New Roman" w:cs="Times New Roman"/>
          <w:color w:val="auto"/>
          <w:highlight w:val="none"/>
        </w:rPr>
      </w:pPr>
    </w:p>
    <w:p w14:paraId="1BBEEEEA">
      <w:pPr>
        <w:pStyle w:val="8"/>
        <w:pageBreakBefore w:val="0"/>
        <w:kinsoku/>
        <w:wordWrap w:val="0"/>
        <w:overflowPunct/>
        <w:topLinePunct/>
        <w:autoSpaceDE/>
        <w:autoSpaceDN/>
        <w:bidi w:val="0"/>
        <w:spacing w:line="242" w:lineRule="auto"/>
        <w:rPr>
          <w:rFonts w:hint="default" w:ascii="Times New Roman" w:hAnsi="Times New Roman" w:cs="Times New Roman"/>
          <w:color w:val="auto"/>
          <w:highlight w:val="none"/>
        </w:rPr>
      </w:pPr>
    </w:p>
    <w:p w14:paraId="1BBF85EC">
      <w:pPr>
        <w:pStyle w:val="8"/>
        <w:pageBreakBefore w:val="0"/>
        <w:kinsoku/>
        <w:wordWrap w:val="0"/>
        <w:overflowPunct/>
        <w:topLinePunct/>
        <w:autoSpaceDE/>
        <w:autoSpaceDN/>
        <w:bidi w:val="0"/>
        <w:spacing w:line="242" w:lineRule="auto"/>
        <w:rPr>
          <w:rFonts w:hint="default" w:ascii="Times New Roman" w:hAnsi="Times New Roman" w:cs="Times New Roman"/>
          <w:color w:val="auto"/>
          <w:highlight w:val="none"/>
        </w:rPr>
      </w:pPr>
    </w:p>
    <w:p w14:paraId="366821B7">
      <w:pPr>
        <w:pStyle w:val="8"/>
        <w:pageBreakBefore w:val="0"/>
        <w:kinsoku/>
        <w:wordWrap w:val="0"/>
        <w:overflowPunct/>
        <w:topLinePunct/>
        <w:autoSpaceDE/>
        <w:autoSpaceDN/>
        <w:bidi w:val="0"/>
        <w:spacing w:line="242" w:lineRule="auto"/>
        <w:rPr>
          <w:rFonts w:hint="default" w:ascii="Times New Roman" w:hAnsi="Times New Roman" w:cs="Times New Roman"/>
          <w:color w:val="auto"/>
          <w:highlight w:val="none"/>
        </w:rPr>
      </w:pPr>
    </w:p>
    <w:p w14:paraId="0A715AA4">
      <w:pPr>
        <w:pStyle w:val="8"/>
        <w:pageBreakBefore w:val="0"/>
        <w:kinsoku/>
        <w:wordWrap w:val="0"/>
        <w:overflowPunct/>
        <w:topLinePunct/>
        <w:autoSpaceDE/>
        <w:autoSpaceDN/>
        <w:bidi w:val="0"/>
        <w:spacing w:line="242" w:lineRule="auto"/>
        <w:rPr>
          <w:rFonts w:hint="default" w:ascii="Times New Roman" w:hAnsi="Times New Roman" w:cs="Times New Roman"/>
          <w:color w:val="auto"/>
          <w:highlight w:val="none"/>
        </w:rPr>
      </w:pPr>
    </w:p>
    <w:p w14:paraId="536EEBA7">
      <w:pPr>
        <w:pStyle w:val="8"/>
        <w:pageBreakBefore w:val="0"/>
        <w:kinsoku/>
        <w:wordWrap w:val="0"/>
        <w:overflowPunct/>
        <w:topLinePunct/>
        <w:autoSpaceDE/>
        <w:autoSpaceDN/>
        <w:bidi w:val="0"/>
        <w:spacing w:line="242" w:lineRule="auto"/>
        <w:rPr>
          <w:rFonts w:hint="default" w:ascii="Times New Roman" w:hAnsi="Times New Roman" w:cs="Times New Roman"/>
          <w:color w:val="auto"/>
          <w:highlight w:val="none"/>
        </w:rPr>
      </w:pPr>
    </w:p>
    <w:p w14:paraId="2D72C826">
      <w:pPr>
        <w:pageBreakBefore w:val="0"/>
        <w:kinsoku/>
        <w:wordWrap w:val="0"/>
        <w:overflowPunct/>
        <w:topLinePunct/>
        <w:autoSpaceDE/>
        <w:autoSpaceDN/>
        <w:bidi w:val="0"/>
        <w:spacing w:before="305" w:line="185" w:lineRule="auto"/>
        <w:ind w:left="340"/>
        <w:rPr>
          <w:rFonts w:hint="default" w:ascii="Times New Roman" w:hAnsi="Times New Roman" w:eastAsia="微软雅黑" w:cs="Times New Roman"/>
          <w:color w:val="auto"/>
          <w:sz w:val="71"/>
          <w:szCs w:val="71"/>
          <w:highlight w:val="none"/>
        </w:rPr>
      </w:pPr>
      <w:r>
        <w:rPr>
          <w:rFonts w:hint="default" w:ascii="Times New Roman" w:hAnsi="Times New Roman" w:eastAsia="微软雅黑" w:cs="Times New Roman"/>
          <w:color w:val="auto"/>
          <w:spacing w:val="8"/>
          <w:sz w:val="71"/>
          <w:szCs w:val="71"/>
          <w:highlight w:val="none"/>
        </w:rPr>
        <w:t>建设项目环境影响报告表</w:t>
      </w:r>
    </w:p>
    <w:p w14:paraId="1A18CEF1">
      <w:pPr>
        <w:pageBreakBefore w:val="0"/>
        <w:kinsoku/>
        <w:wordWrap w:val="0"/>
        <w:overflowPunct/>
        <w:topLinePunct/>
        <w:autoSpaceDE/>
        <w:autoSpaceDN/>
        <w:bidi w:val="0"/>
        <w:spacing w:before="289" w:line="222" w:lineRule="auto"/>
        <w:ind w:left="2659"/>
        <w:rPr>
          <w:rFonts w:hint="default" w:ascii="Times New Roman" w:hAnsi="Times New Roman" w:eastAsia="楷体" w:cs="Times New Roman"/>
          <w:color w:val="auto"/>
          <w:sz w:val="47"/>
          <w:szCs w:val="47"/>
          <w:highlight w:val="none"/>
        </w:rPr>
      </w:pPr>
      <w:r>
        <w:rPr>
          <w:rFonts w:hint="default" w:ascii="Times New Roman" w:hAnsi="Times New Roman" w:eastAsia="楷体" w:cs="Times New Roman"/>
          <w:color w:val="auto"/>
          <w:spacing w:val="-5"/>
          <w:sz w:val="47"/>
          <w:szCs w:val="47"/>
          <w:highlight w:val="none"/>
        </w:rPr>
        <w:t>（污染影响类）</w:t>
      </w:r>
    </w:p>
    <w:p w14:paraId="6EEF08AF">
      <w:pPr>
        <w:pageBreakBefore w:val="0"/>
        <w:kinsoku/>
        <w:wordWrap w:val="0"/>
        <w:overflowPunct/>
        <w:topLinePunct/>
        <w:autoSpaceDE/>
        <w:autoSpaceDN/>
        <w:bidi w:val="0"/>
        <w:spacing w:line="468" w:lineRule="exact"/>
        <w:ind w:left="3432"/>
        <w:rPr>
          <w:rFonts w:hint="default" w:ascii="Times New Roman" w:hAnsi="Times New Roman" w:eastAsia="仿宋" w:cs="Times New Roman"/>
          <w:color w:val="auto"/>
          <w:sz w:val="35"/>
          <w:szCs w:val="35"/>
          <w:highlight w:val="none"/>
        </w:rPr>
      </w:pPr>
      <w:r>
        <w:rPr>
          <w:rFonts w:hint="default" w:ascii="Times New Roman" w:hAnsi="Times New Roman" w:eastAsia="仿宋" w:cs="Times New Roman"/>
          <w:color w:val="auto"/>
          <w:spacing w:val="-2"/>
          <w:position w:val="2"/>
          <w:sz w:val="35"/>
          <w:szCs w:val="35"/>
          <w:highlight w:val="none"/>
        </w:rPr>
        <w:t>（</w:t>
      </w:r>
      <w:r>
        <w:rPr>
          <w:rFonts w:hint="default" w:ascii="Times New Roman" w:hAnsi="Times New Roman" w:eastAsia="仿宋" w:cs="Times New Roman"/>
          <w:color w:val="auto"/>
          <w:spacing w:val="-2"/>
          <w:position w:val="2"/>
          <w:sz w:val="35"/>
          <w:szCs w:val="35"/>
          <w:highlight w:val="none"/>
          <w:lang w:val="en-US" w:eastAsia="zh-CN"/>
        </w:rPr>
        <w:t>送审</w:t>
      </w:r>
      <w:r>
        <w:rPr>
          <w:rFonts w:hint="default" w:ascii="Times New Roman" w:hAnsi="Times New Roman" w:eastAsia="楷体" w:cs="Times New Roman"/>
          <w:color w:val="auto"/>
          <w:spacing w:val="-2"/>
          <w:position w:val="2"/>
          <w:sz w:val="35"/>
          <w:szCs w:val="35"/>
          <w:highlight w:val="none"/>
        </w:rPr>
        <w:t>稿</w:t>
      </w:r>
      <w:r>
        <w:rPr>
          <w:rFonts w:hint="default" w:ascii="Times New Roman" w:hAnsi="Times New Roman" w:eastAsia="仿宋" w:cs="Times New Roman"/>
          <w:color w:val="auto"/>
          <w:spacing w:val="-2"/>
          <w:position w:val="2"/>
          <w:sz w:val="35"/>
          <w:szCs w:val="35"/>
          <w:highlight w:val="none"/>
        </w:rPr>
        <w:t>）</w:t>
      </w:r>
    </w:p>
    <w:p w14:paraId="00CAB811">
      <w:pPr>
        <w:pStyle w:val="8"/>
        <w:pageBreakBefore w:val="0"/>
        <w:kinsoku/>
        <w:wordWrap w:val="0"/>
        <w:overflowPunct/>
        <w:topLinePunct/>
        <w:autoSpaceDE/>
        <w:autoSpaceDN/>
        <w:bidi w:val="0"/>
        <w:spacing w:line="258" w:lineRule="auto"/>
        <w:rPr>
          <w:rFonts w:hint="default" w:ascii="Times New Roman" w:hAnsi="Times New Roman" w:cs="Times New Roman"/>
          <w:color w:val="auto"/>
          <w:highlight w:val="none"/>
        </w:rPr>
      </w:pPr>
    </w:p>
    <w:p w14:paraId="0F3A13CE">
      <w:pPr>
        <w:pStyle w:val="8"/>
        <w:pageBreakBefore w:val="0"/>
        <w:kinsoku/>
        <w:wordWrap w:val="0"/>
        <w:overflowPunct/>
        <w:topLinePunct/>
        <w:autoSpaceDE/>
        <w:autoSpaceDN/>
        <w:bidi w:val="0"/>
        <w:spacing w:line="258" w:lineRule="auto"/>
        <w:rPr>
          <w:rFonts w:hint="default" w:ascii="Times New Roman" w:hAnsi="Times New Roman" w:cs="Times New Roman"/>
          <w:color w:val="auto"/>
          <w:highlight w:val="none"/>
        </w:rPr>
      </w:pPr>
    </w:p>
    <w:p w14:paraId="12F36B70">
      <w:pPr>
        <w:pStyle w:val="8"/>
        <w:pageBreakBefore w:val="0"/>
        <w:kinsoku/>
        <w:wordWrap w:val="0"/>
        <w:overflowPunct/>
        <w:topLinePunct/>
        <w:autoSpaceDE/>
        <w:autoSpaceDN/>
        <w:bidi w:val="0"/>
        <w:spacing w:line="258" w:lineRule="auto"/>
        <w:rPr>
          <w:rFonts w:hint="default" w:ascii="Times New Roman" w:hAnsi="Times New Roman" w:cs="Times New Roman"/>
          <w:color w:val="auto"/>
          <w:highlight w:val="none"/>
        </w:rPr>
      </w:pPr>
    </w:p>
    <w:p w14:paraId="0936BB96">
      <w:pPr>
        <w:pStyle w:val="8"/>
        <w:pageBreakBefore w:val="0"/>
        <w:kinsoku/>
        <w:wordWrap w:val="0"/>
        <w:overflowPunct/>
        <w:topLinePunct/>
        <w:autoSpaceDE/>
        <w:autoSpaceDN/>
        <w:bidi w:val="0"/>
        <w:spacing w:line="258" w:lineRule="auto"/>
        <w:rPr>
          <w:rFonts w:hint="default" w:ascii="Times New Roman" w:hAnsi="Times New Roman" w:cs="Times New Roman"/>
          <w:color w:val="auto"/>
          <w:highlight w:val="none"/>
        </w:rPr>
      </w:pPr>
    </w:p>
    <w:p w14:paraId="05F967CE">
      <w:pPr>
        <w:pStyle w:val="8"/>
        <w:pageBreakBefore w:val="0"/>
        <w:kinsoku/>
        <w:wordWrap w:val="0"/>
        <w:overflowPunct/>
        <w:topLinePunct/>
        <w:autoSpaceDE/>
        <w:autoSpaceDN/>
        <w:bidi w:val="0"/>
        <w:spacing w:line="258" w:lineRule="auto"/>
        <w:rPr>
          <w:rFonts w:hint="default" w:ascii="Times New Roman" w:hAnsi="Times New Roman" w:cs="Times New Roman"/>
          <w:color w:val="auto"/>
          <w:highlight w:val="none"/>
        </w:rPr>
      </w:pPr>
    </w:p>
    <w:p w14:paraId="61C0ECFF">
      <w:pPr>
        <w:pStyle w:val="8"/>
        <w:pageBreakBefore w:val="0"/>
        <w:kinsoku/>
        <w:wordWrap w:val="0"/>
        <w:overflowPunct/>
        <w:topLinePunct/>
        <w:autoSpaceDE/>
        <w:autoSpaceDN/>
        <w:bidi w:val="0"/>
        <w:spacing w:line="259" w:lineRule="auto"/>
        <w:rPr>
          <w:rFonts w:hint="default" w:ascii="Times New Roman" w:hAnsi="Times New Roman" w:cs="Times New Roman"/>
          <w:color w:val="auto"/>
          <w:highlight w:val="none"/>
        </w:rPr>
      </w:pPr>
    </w:p>
    <w:p w14:paraId="20E4FD1C">
      <w:pPr>
        <w:pStyle w:val="8"/>
        <w:pageBreakBefore w:val="0"/>
        <w:kinsoku/>
        <w:wordWrap w:val="0"/>
        <w:overflowPunct/>
        <w:topLinePunct/>
        <w:autoSpaceDE/>
        <w:autoSpaceDN/>
        <w:bidi w:val="0"/>
        <w:spacing w:line="259" w:lineRule="auto"/>
        <w:rPr>
          <w:rFonts w:hint="default" w:ascii="Times New Roman" w:hAnsi="Times New Roman" w:cs="Times New Roman"/>
          <w:color w:val="auto"/>
          <w:highlight w:val="none"/>
        </w:rPr>
      </w:pPr>
    </w:p>
    <w:p w14:paraId="3667EE2B">
      <w:pPr>
        <w:pStyle w:val="8"/>
        <w:pageBreakBefore w:val="0"/>
        <w:kinsoku/>
        <w:wordWrap w:val="0"/>
        <w:overflowPunct/>
        <w:topLinePunct/>
        <w:autoSpaceDE/>
        <w:autoSpaceDN/>
        <w:bidi w:val="0"/>
        <w:spacing w:line="259" w:lineRule="auto"/>
        <w:rPr>
          <w:rFonts w:hint="default" w:ascii="Times New Roman" w:hAnsi="Times New Roman" w:cs="Times New Roman"/>
          <w:color w:val="auto"/>
          <w:highlight w:val="none"/>
        </w:rPr>
      </w:pPr>
    </w:p>
    <w:p w14:paraId="72556B6C">
      <w:pPr>
        <w:pStyle w:val="8"/>
        <w:pageBreakBefore w:val="0"/>
        <w:kinsoku/>
        <w:wordWrap w:val="0"/>
        <w:overflowPunct/>
        <w:topLinePunct/>
        <w:autoSpaceDE/>
        <w:autoSpaceDN/>
        <w:bidi w:val="0"/>
        <w:spacing w:line="259" w:lineRule="auto"/>
        <w:rPr>
          <w:rFonts w:hint="default" w:ascii="Times New Roman" w:hAnsi="Times New Roman" w:cs="Times New Roman"/>
          <w:color w:val="auto"/>
          <w:highlight w:val="none"/>
        </w:rPr>
      </w:pPr>
    </w:p>
    <w:p w14:paraId="1B6B7AE1">
      <w:pPr>
        <w:pStyle w:val="8"/>
        <w:pageBreakBefore w:val="0"/>
        <w:kinsoku/>
        <w:wordWrap w:val="0"/>
        <w:overflowPunct/>
        <w:topLinePunct/>
        <w:autoSpaceDE/>
        <w:autoSpaceDN/>
        <w:bidi w:val="0"/>
        <w:spacing w:line="259" w:lineRule="auto"/>
        <w:rPr>
          <w:rFonts w:hint="default" w:ascii="Times New Roman" w:hAnsi="Times New Roman" w:cs="Times New Roman"/>
          <w:color w:val="auto"/>
          <w:highlight w:val="none"/>
        </w:rPr>
      </w:pPr>
    </w:p>
    <w:p w14:paraId="10083183">
      <w:pPr>
        <w:pStyle w:val="8"/>
        <w:pageBreakBefore w:val="0"/>
        <w:kinsoku/>
        <w:wordWrap w:val="0"/>
        <w:overflowPunct/>
        <w:topLinePunct/>
        <w:autoSpaceDE/>
        <w:autoSpaceDN/>
        <w:bidi w:val="0"/>
        <w:spacing w:line="259" w:lineRule="auto"/>
        <w:rPr>
          <w:rFonts w:hint="default" w:ascii="Times New Roman" w:hAnsi="Times New Roman" w:cs="Times New Roman"/>
          <w:color w:val="auto"/>
          <w:highlight w:val="none"/>
        </w:rPr>
      </w:pPr>
    </w:p>
    <w:p w14:paraId="3D2792CE">
      <w:pPr>
        <w:pageBreakBefore w:val="0"/>
        <w:kinsoku/>
        <w:wordWrap w:val="0"/>
        <w:overflowPunct/>
        <w:topLinePunct/>
        <w:autoSpaceDE/>
        <w:autoSpaceDN/>
        <w:bidi w:val="0"/>
        <w:spacing w:before="117" w:line="287" w:lineRule="auto"/>
        <w:ind w:left="2375" w:leftChars="171" w:right="958" w:hanging="2016" w:hangingChars="576"/>
        <w:rPr>
          <w:rFonts w:hint="default" w:ascii="Times New Roman" w:hAnsi="Times New Roman" w:eastAsia="仿宋" w:cs="Times New Roman"/>
          <w:color w:val="auto"/>
          <w:spacing w:val="-5"/>
          <w:sz w:val="36"/>
          <w:szCs w:val="36"/>
          <w:highlight w:val="none"/>
          <w:u w:val="single" w:color="auto"/>
          <w:lang w:val="en-US" w:eastAsia="zh-CN"/>
        </w:rPr>
      </w:pPr>
      <w:r>
        <w:rPr>
          <w:rFonts w:hint="default" w:ascii="Times New Roman" w:hAnsi="Times New Roman" w:eastAsia="仿宋" w:cs="Times New Roman"/>
          <w:color w:val="auto"/>
          <w:spacing w:val="-5"/>
          <w:sz w:val="36"/>
          <w:szCs w:val="36"/>
          <w:highlight w:val="none"/>
        </w:rPr>
        <w:t>项目名称：</w:t>
      </w:r>
      <w:r>
        <w:rPr>
          <w:rFonts w:hint="default" w:ascii="Times New Roman" w:hAnsi="Times New Roman" w:eastAsia="仿宋" w:cs="Times New Roman"/>
          <w:color w:val="auto"/>
          <w:spacing w:val="-5"/>
          <w:sz w:val="36"/>
          <w:szCs w:val="36"/>
          <w:highlight w:val="none"/>
          <w:u w:val="single" w:color="auto"/>
          <w:lang w:eastAsia="zh-CN"/>
        </w:rPr>
        <w:t>新疆驰骋建材科技有限公司年产10万吨矿化料建设项目</w:t>
      </w:r>
      <w:r>
        <w:rPr>
          <w:rFonts w:hint="default" w:ascii="Times New Roman" w:hAnsi="Times New Roman" w:eastAsia="仿宋" w:cs="Times New Roman"/>
          <w:color w:val="auto"/>
          <w:spacing w:val="-5"/>
          <w:sz w:val="36"/>
          <w:szCs w:val="36"/>
          <w:highlight w:val="none"/>
          <w:u w:val="single" w:color="auto"/>
          <w:lang w:val="en-US" w:eastAsia="zh-CN"/>
        </w:rPr>
        <w:t xml:space="preserve">                            </w:t>
      </w:r>
    </w:p>
    <w:p w14:paraId="5CD4B162">
      <w:pPr>
        <w:pageBreakBefore w:val="0"/>
        <w:kinsoku/>
        <w:wordWrap w:val="0"/>
        <w:overflowPunct/>
        <w:topLinePunct/>
        <w:autoSpaceDE/>
        <w:autoSpaceDN/>
        <w:bidi w:val="0"/>
        <w:spacing w:before="117" w:line="360" w:lineRule="auto"/>
        <w:ind w:right="958" w:firstLine="39"/>
        <w:rPr>
          <w:rFonts w:hint="default" w:ascii="Times New Roman" w:hAnsi="Times New Roman" w:eastAsia="仿宋" w:cs="Times New Roman"/>
          <w:color w:val="auto"/>
          <w:sz w:val="36"/>
          <w:szCs w:val="36"/>
          <w:highlight w:val="none"/>
          <w:lang w:val="en-US" w:eastAsia="zh-CN"/>
        </w:rPr>
      </w:pPr>
      <w:r>
        <w:rPr>
          <w:rFonts w:hint="default" w:ascii="Times New Roman" w:hAnsi="Times New Roman" w:eastAsia="仿宋" w:cs="Times New Roman"/>
          <w:color w:val="auto"/>
          <w:spacing w:val="-12"/>
          <w:sz w:val="36"/>
          <w:szCs w:val="36"/>
          <w:highlight w:val="none"/>
        </w:rPr>
        <w:t>建设单位（盖章</w:t>
      </w:r>
      <w:r>
        <w:rPr>
          <w:rFonts w:hint="default" w:ascii="Times New Roman" w:hAnsi="Times New Roman" w:eastAsia="仿宋" w:cs="Times New Roman"/>
          <w:color w:val="auto"/>
          <w:spacing w:val="-15"/>
          <w:sz w:val="36"/>
          <w:szCs w:val="36"/>
          <w:highlight w:val="none"/>
        </w:rPr>
        <w:t>）：</w:t>
      </w:r>
      <w:r>
        <w:rPr>
          <w:rFonts w:hint="default" w:ascii="Times New Roman" w:hAnsi="Times New Roman" w:eastAsia="仿宋" w:cs="Times New Roman"/>
          <w:color w:val="auto"/>
          <w:spacing w:val="-12"/>
          <w:sz w:val="36"/>
          <w:szCs w:val="36"/>
          <w:highlight w:val="none"/>
          <w:u w:val="single" w:color="auto"/>
          <w:lang w:eastAsia="zh-CN"/>
        </w:rPr>
        <w:t>新疆驰骋建材科技有限公司</w:t>
      </w:r>
    </w:p>
    <w:p w14:paraId="5A2D6C01">
      <w:pPr>
        <w:pageBreakBefore w:val="0"/>
        <w:kinsoku/>
        <w:wordWrap w:val="0"/>
        <w:overflowPunct/>
        <w:topLinePunct/>
        <w:autoSpaceDE/>
        <w:autoSpaceDN/>
        <w:bidi w:val="0"/>
        <w:spacing w:before="1" w:line="360" w:lineRule="auto"/>
        <w:ind w:left="2"/>
        <w:jc w:val="center"/>
        <w:rPr>
          <w:rFonts w:hint="default" w:ascii="Times New Roman" w:hAnsi="Times New Roman" w:eastAsia="仿宋" w:cs="Times New Roman"/>
          <w:color w:val="auto"/>
          <w:sz w:val="36"/>
          <w:szCs w:val="36"/>
          <w:highlight w:val="none"/>
          <w:lang w:val="en-US" w:eastAsia="zh-CN"/>
        </w:rPr>
      </w:pPr>
      <w:r>
        <w:rPr>
          <w:rFonts w:hint="default" w:ascii="Times New Roman" w:hAnsi="Times New Roman" w:eastAsia="仿宋" w:cs="Times New Roman"/>
          <w:color w:val="auto"/>
          <w:spacing w:val="-12"/>
          <w:sz w:val="36"/>
          <w:szCs w:val="36"/>
          <w:highlight w:val="none"/>
        </w:rPr>
        <w:t>编制日期：</w:t>
      </w:r>
      <w:r>
        <w:rPr>
          <w:rFonts w:hint="default" w:ascii="Times New Roman" w:hAnsi="Times New Roman" w:eastAsia="仿宋" w:cs="Times New Roman"/>
          <w:color w:val="auto"/>
          <w:spacing w:val="-12"/>
          <w:sz w:val="36"/>
          <w:szCs w:val="36"/>
          <w:highlight w:val="none"/>
          <w:u w:val="single" w:color="auto"/>
        </w:rPr>
        <w:t>2025年</w:t>
      </w:r>
      <w:r>
        <w:rPr>
          <w:rFonts w:hint="default" w:ascii="Times New Roman" w:hAnsi="Times New Roman" w:eastAsia="仿宋" w:cs="Times New Roman"/>
          <w:color w:val="auto"/>
          <w:spacing w:val="-12"/>
          <w:sz w:val="36"/>
          <w:szCs w:val="36"/>
          <w:highlight w:val="none"/>
          <w:u w:val="single" w:color="auto"/>
          <w:lang w:val="en-US" w:eastAsia="zh-CN"/>
        </w:rPr>
        <w:t>11</w:t>
      </w:r>
      <w:r>
        <w:rPr>
          <w:rFonts w:hint="default" w:ascii="Times New Roman" w:hAnsi="Times New Roman" w:eastAsia="仿宋" w:cs="Times New Roman"/>
          <w:color w:val="auto"/>
          <w:spacing w:val="-12"/>
          <w:sz w:val="36"/>
          <w:szCs w:val="36"/>
          <w:highlight w:val="none"/>
          <w:u w:val="single" w:color="auto"/>
        </w:rPr>
        <w:t>月</w:t>
      </w:r>
    </w:p>
    <w:p w14:paraId="42B72B32">
      <w:pPr>
        <w:pStyle w:val="8"/>
        <w:pageBreakBefore w:val="0"/>
        <w:kinsoku/>
        <w:wordWrap w:val="0"/>
        <w:overflowPunct/>
        <w:topLinePunct/>
        <w:autoSpaceDE/>
        <w:autoSpaceDN/>
        <w:bidi w:val="0"/>
        <w:spacing w:line="360" w:lineRule="auto"/>
        <w:rPr>
          <w:rFonts w:hint="default" w:ascii="Times New Roman" w:hAnsi="Times New Roman" w:cs="Times New Roman"/>
          <w:color w:val="auto"/>
          <w:highlight w:val="none"/>
        </w:rPr>
      </w:pPr>
    </w:p>
    <w:p w14:paraId="21FD77A3">
      <w:pPr>
        <w:pStyle w:val="8"/>
        <w:pageBreakBefore w:val="0"/>
        <w:kinsoku/>
        <w:wordWrap w:val="0"/>
        <w:overflowPunct/>
        <w:topLinePunct/>
        <w:autoSpaceDE/>
        <w:autoSpaceDN/>
        <w:bidi w:val="0"/>
        <w:rPr>
          <w:rFonts w:hint="default" w:ascii="Times New Roman" w:hAnsi="Times New Roman" w:cs="Times New Roman"/>
          <w:color w:val="auto"/>
          <w:highlight w:val="none"/>
        </w:rPr>
      </w:pPr>
    </w:p>
    <w:p w14:paraId="022BFFA8">
      <w:pPr>
        <w:pStyle w:val="8"/>
        <w:pageBreakBefore w:val="0"/>
        <w:kinsoku/>
        <w:wordWrap w:val="0"/>
        <w:overflowPunct/>
        <w:topLinePunct/>
        <w:autoSpaceDE/>
        <w:autoSpaceDN/>
        <w:bidi w:val="0"/>
        <w:spacing w:line="241" w:lineRule="auto"/>
        <w:rPr>
          <w:rFonts w:hint="default" w:ascii="Times New Roman" w:hAnsi="Times New Roman" w:cs="Times New Roman"/>
          <w:color w:val="auto"/>
          <w:highlight w:val="none"/>
        </w:rPr>
      </w:pPr>
    </w:p>
    <w:p w14:paraId="5FC31397">
      <w:pPr>
        <w:pStyle w:val="8"/>
        <w:pageBreakBefore w:val="0"/>
        <w:kinsoku/>
        <w:wordWrap w:val="0"/>
        <w:overflowPunct/>
        <w:topLinePunct/>
        <w:autoSpaceDE/>
        <w:autoSpaceDN/>
        <w:bidi w:val="0"/>
        <w:spacing w:line="241" w:lineRule="auto"/>
        <w:rPr>
          <w:rFonts w:hint="default" w:ascii="Times New Roman" w:hAnsi="Times New Roman" w:cs="Times New Roman"/>
          <w:color w:val="auto"/>
          <w:highlight w:val="none"/>
        </w:rPr>
      </w:pPr>
    </w:p>
    <w:p w14:paraId="3608ABBC">
      <w:pPr>
        <w:pStyle w:val="8"/>
        <w:pageBreakBefore w:val="0"/>
        <w:kinsoku/>
        <w:wordWrap w:val="0"/>
        <w:overflowPunct/>
        <w:topLinePunct/>
        <w:autoSpaceDE/>
        <w:autoSpaceDN/>
        <w:bidi w:val="0"/>
        <w:spacing w:line="241" w:lineRule="auto"/>
        <w:rPr>
          <w:rFonts w:hint="default" w:ascii="Times New Roman" w:hAnsi="Times New Roman" w:cs="Times New Roman"/>
          <w:color w:val="auto"/>
          <w:highlight w:val="none"/>
        </w:rPr>
      </w:pPr>
    </w:p>
    <w:p w14:paraId="0E1F62D4">
      <w:pPr>
        <w:pStyle w:val="8"/>
        <w:pageBreakBefore w:val="0"/>
        <w:kinsoku/>
        <w:wordWrap w:val="0"/>
        <w:overflowPunct/>
        <w:topLinePunct/>
        <w:autoSpaceDE/>
        <w:autoSpaceDN/>
        <w:bidi w:val="0"/>
        <w:spacing w:line="241" w:lineRule="auto"/>
        <w:rPr>
          <w:rFonts w:hint="default" w:ascii="Times New Roman" w:hAnsi="Times New Roman" w:cs="Times New Roman"/>
          <w:color w:val="auto"/>
          <w:highlight w:val="none"/>
        </w:rPr>
      </w:pPr>
    </w:p>
    <w:p w14:paraId="74DF68E2">
      <w:pPr>
        <w:pStyle w:val="8"/>
        <w:pageBreakBefore w:val="0"/>
        <w:kinsoku/>
        <w:wordWrap w:val="0"/>
        <w:overflowPunct/>
        <w:topLinePunct/>
        <w:autoSpaceDE/>
        <w:autoSpaceDN/>
        <w:bidi w:val="0"/>
        <w:spacing w:line="241" w:lineRule="auto"/>
        <w:rPr>
          <w:rFonts w:hint="default" w:ascii="Times New Roman" w:hAnsi="Times New Roman" w:cs="Times New Roman"/>
          <w:color w:val="auto"/>
          <w:highlight w:val="none"/>
        </w:rPr>
      </w:pPr>
    </w:p>
    <w:p w14:paraId="405CF082">
      <w:pPr>
        <w:pageBreakBefore w:val="0"/>
        <w:kinsoku/>
        <w:wordWrap w:val="0"/>
        <w:overflowPunct/>
        <w:topLinePunct/>
        <w:autoSpaceDE/>
        <w:autoSpaceDN/>
        <w:bidi w:val="0"/>
        <w:spacing w:before="113" w:line="230" w:lineRule="auto"/>
        <w:ind w:left="2000"/>
        <w:rPr>
          <w:rFonts w:hint="default" w:ascii="Times New Roman" w:hAnsi="Times New Roman" w:eastAsia="楷体" w:cs="Times New Roman"/>
          <w:color w:val="auto"/>
          <w:sz w:val="35"/>
          <w:szCs w:val="35"/>
          <w:highlight w:val="none"/>
        </w:rPr>
      </w:pPr>
      <w:r>
        <w:rPr>
          <w:rFonts w:hint="default" w:ascii="Times New Roman" w:hAnsi="Times New Roman" w:eastAsia="楷体" w:cs="Times New Roman"/>
          <w:color w:val="auto"/>
          <w:spacing w:val="5"/>
          <w:sz w:val="35"/>
          <w:szCs w:val="35"/>
          <w:highlight w:val="none"/>
        </w:rPr>
        <w:t>中华人民共和国生态环境部制</w:t>
      </w:r>
    </w:p>
    <w:p w14:paraId="157E8975">
      <w:pPr>
        <w:pageBreakBefore w:val="0"/>
        <w:kinsoku/>
        <w:wordWrap w:val="0"/>
        <w:overflowPunct/>
        <w:topLinePunct/>
        <w:autoSpaceDE/>
        <w:autoSpaceDN/>
        <w:bidi w:val="0"/>
        <w:spacing w:line="230" w:lineRule="auto"/>
        <w:rPr>
          <w:rFonts w:hint="default" w:ascii="Times New Roman" w:hAnsi="Times New Roman" w:eastAsia="楷体" w:cs="Times New Roman"/>
          <w:color w:val="auto"/>
          <w:sz w:val="35"/>
          <w:szCs w:val="35"/>
          <w:highlight w:val="none"/>
        </w:rPr>
        <w:sectPr>
          <w:footerReference r:id="rId5" w:type="default"/>
          <w:pgSz w:w="11906" w:h="16839"/>
          <w:pgMar w:top="1431" w:right="5" w:bottom="0" w:left="1667" w:header="0" w:footer="0" w:gutter="0"/>
          <w:pgNumType w:fmt="decimal"/>
          <w:cols w:space="720" w:num="1"/>
        </w:sectPr>
      </w:pPr>
    </w:p>
    <w:tbl>
      <w:tblPr>
        <w:tblStyle w:val="24"/>
        <w:tblW w:w="9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6"/>
        <w:gridCol w:w="4552"/>
      </w:tblGrid>
      <w:tr w14:paraId="1D3E17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8" w:hRule="atLeast"/>
        </w:trPr>
        <w:tc>
          <w:tcPr>
            <w:tcW w:w="4626" w:type="dxa"/>
            <w:vAlign w:val="top"/>
          </w:tcPr>
          <w:p w14:paraId="2052D775">
            <w:pPr>
              <w:pageBreakBefore w:val="0"/>
              <w:kinsoku/>
              <w:wordWrap w:val="0"/>
              <w:overflowPunct/>
              <w:topLinePunct/>
              <w:autoSpaceDE/>
              <w:autoSpaceDN/>
              <w:bidi w:val="0"/>
              <w:spacing w:line="240" w:lineRule="auto"/>
              <w:ind w:firstLine="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drawing>
                <wp:inline distT="0" distB="0" distL="114300" distR="114300">
                  <wp:extent cx="2889885" cy="2045970"/>
                  <wp:effectExtent l="0" t="0" r="5715" b="11430"/>
                  <wp:docPr id="2" name="图片 2" descr="微信图片_20251017080637_20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51017080637_20_3"/>
                          <pic:cNvPicPr>
                            <a:picLocks noChangeAspect="1"/>
                          </pic:cNvPicPr>
                        </pic:nvPicPr>
                        <pic:blipFill>
                          <a:blip r:embed="rId15"/>
                          <a:stretch>
                            <a:fillRect/>
                          </a:stretch>
                        </pic:blipFill>
                        <pic:spPr>
                          <a:xfrm>
                            <a:off x="0" y="0"/>
                            <a:ext cx="2889885" cy="2045970"/>
                          </a:xfrm>
                          <a:prstGeom prst="rect">
                            <a:avLst/>
                          </a:prstGeom>
                        </pic:spPr>
                      </pic:pic>
                    </a:graphicData>
                  </a:graphic>
                </wp:inline>
              </w:drawing>
            </w:r>
          </w:p>
        </w:tc>
        <w:tc>
          <w:tcPr>
            <w:tcW w:w="4552" w:type="dxa"/>
            <w:vAlign w:val="top"/>
          </w:tcPr>
          <w:p w14:paraId="247E5739">
            <w:pPr>
              <w:pageBreakBefore w:val="0"/>
              <w:kinsoku/>
              <w:wordWrap w:val="0"/>
              <w:overflowPunct/>
              <w:topLinePunct/>
              <w:autoSpaceDE/>
              <w:autoSpaceDN/>
              <w:bidi w:val="0"/>
              <w:spacing w:line="240" w:lineRule="auto"/>
              <w:ind w:firstLine="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drawing>
                <wp:inline distT="0" distB="0" distL="114300" distR="114300">
                  <wp:extent cx="2832735" cy="2061845"/>
                  <wp:effectExtent l="0" t="0" r="5715" b="14605"/>
                  <wp:docPr id="3" name="图片 3" descr="微信图片_20251017080638_21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51017080638_21_3"/>
                          <pic:cNvPicPr>
                            <a:picLocks noChangeAspect="1"/>
                          </pic:cNvPicPr>
                        </pic:nvPicPr>
                        <pic:blipFill>
                          <a:blip r:embed="rId16"/>
                          <a:stretch>
                            <a:fillRect/>
                          </a:stretch>
                        </pic:blipFill>
                        <pic:spPr>
                          <a:xfrm>
                            <a:off x="0" y="0"/>
                            <a:ext cx="2832735" cy="2061845"/>
                          </a:xfrm>
                          <a:prstGeom prst="rect">
                            <a:avLst/>
                          </a:prstGeom>
                        </pic:spPr>
                      </pic:pic>
                    </a:graphicData>
                  </a:graphic>
                </wp:inline>
              </w:drawing>
            </w:r>
          </w:p>
        </w:tc>
      </w:tr>
      <w:tr w14:paraId="5A9160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4626" w:type="dxa"/>
            <w:vAlign w:val="top"/>
          </w:tcPr>
          <w:p w14:paraId="3D9B9482">
            <w:pPr>
              <w:pageBreakBefore w:val="0"/>
              <w:kinsoku/>
              <w:wordWrap w:val="0"/>
              <w:overflowPunct/>
              <w:topLinePunct/>
              <w:autoSpaceDE/>
              <w:autoSpaceDN/>
              <w:bidi w:val="0"/>
              <w:spacing w:before="92" w:line="228" w:lineRule="auto"/>
              <w:jc w:val="center"/>
              <w:rPr>
                <w:rFonts w:hint="default" w:ascii="Times New Roman" w:hAnsi="Times New Roman" w:eastAsia="宋体" w:cs="Times New Roman"/>
                <w:color w:val="auto"/>
                <w:sz w:val="20"/>
                <w:szCs w:val="20"/>
                <w:highlight w:val="none"/>
                <w:lang w:val="en-US"/>
              </w:rPr>
            </w:pPr>
            <w:r>
              <w:rPr>
                <w:rFonts w:hint="default" w:ascii="Times New Roman" w:hAnsi="Times New Roman" w:eastAsia="宋体" w:cs="Times New Roman"/>
                <w:b/>
                <w:bCs/>
                <w:color w:val="auto"/>
                <w:spacing w:val="6"/>
                <w:sz w:val="20"/>
                <w:szCs w:val="20"/>
                <w:highlight w:val="none"/>
                <w:lang w:val="en-US" w:eastAsia="zh-CN"/>
              </w:rPr>
              <w:t>新疆华房盛泰办公楼</w:t>
            </w:r>
          </w:p>
        </w:tc>
        <w:tc>
          <w:tcPr>
            <w:tcW w:w="4552" w:type="dxa"/>
            <w:vAlign w:val="top"/>
          </w:tcPr>
          <w:p w14:paraId="4AB143BD">
            <w:pPr>
              <w:pageBreakBefore w:val="0"/>
              <w:kinsoku/>
              <w:wordWrap w:val="0"/>
              <w:overflowPunct/>
              <w:topLinePunct/>
              <w:autoSpaceDE/>
              <w:autoSpaceDN/>
              <w:bidi w:val="0"/>
              <w:spacing w:before="92" w:line="228" w:lineRule="auto"/>
              <w:jc w:val="center"/>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t>生产车间</w:t>
            </w:r>
          </w:p>
        </w:tc>
      </w:tr>
      <w:tr w14:paraId="37E12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626" w:type="dxa"/>
            <w:vAlign w:val="top"/>
          </w:tcPr>
          <w:p w14:paraId="20AF3986">
            <w:pPr>
              <w:pageBreakBefore w:val="0"/>
              <w:kinsoku/>
              <w:wordWrap w:val="0"/>
              <w:overflowPunct/>
              <w:topLinePunct/>
              <w:autoSpaceDE/>
              <w:autoSpaceDN/>
              <w:bidi w:val="0"/>
              <w:spacing w:line="240" w:lineRule="auto"/>
              <w:ind w:firstLine="0"/>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drawing>
                <wp:inline distT="0" distB="0" distL="114300" distR="114300">
                  <wp:extent cx="2924810" cy="2192655"/>
                  <wp:effectExtent l="0" t="0" r="8890" b="17145"/>
                  <wp:docPr id="4" name="图片 4" descr="微信图片_20251017080639_23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51017080639_23_3"/>
                          <pic:cNvPicPr>
                            <a:picLocks noChangeAspect="1"/>
                          </pic:cNvPicPr>
                        </pic:nvPicPr>
                        <pic:blipFill>
                          <a:blip r:embed="rId17"/>
                          <a:stretch>
                            <a:fillRect/>
                          </a:stretch>
                        </pic:blipFill>
                        <pic:spPr>
                          <a:xfrm>
                            <a:off x="0" y="0"/>
                            <a:ext cx="2924810" cy="2192655"/>
                          </a:xfrm>
                          <a:prstGeom prst="rect">
                            <a:avLst/>
                          </a:prstGeom>
                        </pic:spPr>
                      </pic:pic>
                    </a:graphicData>
                  </a:graphic>
                </wp:inline>
              </w:drawing>
            </w:r>
          </w:p>
        </w:tc>
        <w:tc>
          <w:tcPr>
            <w:tcW w:w="4552" w:type="dxa"/>
            <w:vAlign w:val="top"/>
          </w:tcPr>
          <w:p w14:paraId="2B6F23D2">
            <w:pPr>
              <w:pageBreakBefore w:val="0"/>
              <w:kinsoku/>
              <w:wordWrap w:val="0"/>
              <w:overflowPunct/>
              <w:topLinePunct/>
              <w:autoSpaceDE/>
              <w:autoSpaceDN/>
              <w:bidi w:val="0"/>
              <w:spacing w:line="240" w:lineRule="auto"/>
              <w:ind w:firstLine="0"/>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drawing>
                <wp:inline distT="0" distB="0" distL="114300" distR="114300">
                  <wp:extent cx="2875915" cy="2156460"/>
                  <wp:effectExtent l="0" t="0" r="635" b="15240"/>
                  <wp:docPr id="5" name="图片 5" descr="微信图片_20251017080642_25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51017080642_25_3"/>
                          <pic:cNvPicPr>
                            <a:picLocks noChangeAspect="1"/>
                          </pic:cNvPicPr>
                        </pic:nvPicPr>
                        <pic:blipFill>
                          <a:blip r:embed="rId18"/>
                          <a:stretch>
                            <a:fillRect/>
                          </a:stretch>
                        </pic:blipFill>
                        <pic:spPr>
                          <a:xfrm>
                            <a:off x="0" y="0"/>
                            <a:ext cx="2875915" cy="2156460"/>
                          </a:xfrm>
                          <a:prstGeom prst="rect">
                            <a:avLst/>
                          </a:prstGeom>
                        </pic:spPr>
                      </pic:pic>
                    </a:graphicData>
                  </a:graphic>
                </wp:inline>
              </w:drawing>
            </w:r>
          </w:p>
        </w:tc>
      </w:tr>
      <w:tr w14:paraId="38ECF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4626" w:type="dxa"/>
            <w:vAlign w:val="top"/>
          </w:tcPr>
          <w:p w14:paraId="7A8D7DD7">
            <w:pPr>
              <w:pageBreakBefore w:val="0"/>
              <w:kinsoku/>
              <w:wordWrap w:val="0"/>
              <w:overflowPunct/>
              <w:topLinePunct/>
              <w:autoSpaceDE/>
              <w:autoSpaceDN/>
              <w:bidi w:val="0"/>
              <w:spacing w:before="136" w:line="228" w:lineRule="auto"/>
              <w:jc w:val="center"/>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t>车间内部</w:t>
            </w:r>
          </w:p>
        </w:tc>
        <w:tc>
          <w:tcPr>
            <w:tcW w:w="4552" w:type="dxa"/>
            <w:vAlign w:val="top"/>
          </w:tcPr>
          <w:p w14:paraId="56DBF438">
            <w:pPr>
              <w:pageBreakBefore w:val="0"/>
              <w:kinsoku/>
              <w:wordWrap w:val="0"/>
              <w:overflowPunct/>
              <w:topLinePunct/>
              <w:autoSpaceDE/>
              <w:autoSpaceDN/>
              <w:bidi w:val="0"/>
              <w:spacing w:before="136" w:line="229" w:lineRule="auto"/>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lang w:val="en-US" w:eastAsia="zh-CN"/>
              </w:rPr>
              <w:t>车间内部</w:t>
            </w:r>
          </w:p>
        </w:tc>
      </w:tr>
      <w:tr w14:paraId="4E150C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9" w:hRule="atLeast"/>
        </w:trPr>
        <w:tc>
          <w:tcPr>
            <w:tcW w:w="4626" w:type="dxa"/>
            <w:vAlign w:val="top"/>
          </w:tcPr>
          <w:p w14:paraId="752B3555">
            <w:pPr>
              <w:pageBreakBefore w:val="0"/>
              <w:kinsoku/>
              <w:wordWrap w:val="0"/>
              <w:overflowPunct/>
              <w:topLinePunct/>
              <w:autoSpaceDE/>
              <w:autoSpaceDN/>
              <w:bidi w:val="0"/>
              <w:spacing w:line="240" w:lineRule="auto"/>
              <w:ind w:firstLine="0"/>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drawing>
                <wp:inline distT="0" distB="0" distL="114300" distR="114300">
                  <wp:extent cx="2924810" cy="2192655"/>
                  <wp:effectExtent l="0" t="0" r="8890" b="17145"/>
                  <wp:docPr id="6" name="图片 6" descr="微信图片_20251017080644_27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51017080644_27_3"/>
                          <pic:cNvPicPr>
                            <a:picLocks noChangeAspect="1"/>
                          </pic:cNvPicPr>
                        </pic:nvPicPr>
                        <pic:blipFill>
                          <a:blip r:embed="rId19"/>
                          <a:stretch>
                            <a:fillRect/>
                          </a:stretch>
                        </pic:blipFill>
                        <pic:spPr>
                          <a:xfrm>
                            <a:off x="0" y="0"/>
                            <a:ext cx="2924810" cy="2192655"/>
                          </a:xfrm>
                          <a:prstGeom prst="rect">
                            <a:avLst/>
                          </a:prstGeom>
                        </pic:spPr>
                      </pic:pic>
                    </a:graphicData>
                  </a:graphic>
                </wp:inline>
              </w:drawing>
            </w:r>
          </w:p>
        </w:tc>
        <w:tc>
          <w:tcPr>
            <w:tcW w:w="4552" w:type="dxa"/>
            <w:vAlign w:val="top"/>
          </w:tcPr>
          <w:p w14:paraId="2F41AA39">
            <w:pPr>
              <w:pageBreakBefore w:val="0"/>
              <w:kinsoku/>
              <w:wordWrap w:val="0"/>
              <w:overflowPunct/>
              <w:topLinePunct/>
              <w:autoSpaceDE/>
              <w:autoSpaceDN/>
              <w:bidi w:val="0"/>
              <w:spacing w:line="240" w:lineRule="auto"/>
              <w:ind w:firstLine="0"/>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drawing>
                <wp:inline distT="0" distB="0" distL="114300" distR="114300">
                  <wp:extent cx="2875915" cy="2156460"/>
                  <wp:effectExtent l="0" t="0" r="635" b="15240"/>
                  <wp:docPr id="7" name="图片 7" descr="微信图片_20251017080641_24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51017080641_24_3"/>
                          <pic:cNvPicPr>
                            <a:picLocks noChangeAspect="1"/>
                          </pic:cNvPicPr>
                        </pic:nvPicPr>
                        <pic:blipFill>
                          <a:blip r:embed="rId20"/>
                          <a:stretch>
                            <a:fillRect/>
                          </a:stretch>
                        </pic:blipFill>
                        <pic:spPr>
                          <a:xfrm>
                            <a:off x="0" y="0"/>
                            <a:ext cx="2875915" cy="2156460"/>
                          </a:xfrm>
                          <a:prstGeom prst="rect">
                            <a:avLst/>
                          </a:prstGeom>
                        </pic:spPr>
                      </pic:pic>
                    </a:graphicData>
                  </a:graphic>
                </wp:inline>
              </w:drawing>
            </w:r>
          </w:p>
        </w:tc>
      </w:tr>
      <w:tr w14:paraId="1AD2D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4626" w:type="dxa"/>
            <w:vAlign w:val="top"/>
          </w:tcPr>
          <w:p w14:paraId="3C0529DF">
            <w:pPr>
              <w:pageBreakBefore w:val="0"/>
              <w:kinsoku/>
              <w:wordWrap w:val="0"/>
              <w:overflowPunct/>
              <w:topLinePunct/>
              <w:autoSpaceDE/>
              <w:autoSpaceDN/>
              <w:bidi w:val="0"/>
              <w:spacing w:before="109" w:line="228" w:lineRule="auto"/>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lang w:val="en-US" w:eastAsia="zh-CN"/>
              </w:rPr>
              <w:t>车间内部</w:t>
            </w:r>
          </w:p>
        </w:tc>
        <w:tc>
          <w:tcPr>
            <w:tcW w:w="4552" w:type="dxa"/>
            <w:vAlign w:val="top"/>
          </w:tcPr>
          <w:p w14:paraId="399BACBC">
            <w:pPr>
              <w:pageBreakBefore w:val="0"/>
              <w:kinsoku/>
              <w:wordWrap w:val="0"/>
              <w:overflowPunct/>
              <w:topLinePunct/>
              <w:autoSpaceDE/>
              <w:autoSpaceDN/>
              <w:bidi w:val="0"/>
              <w:spacing w:before="109" w:line="229" w:lineRule="auto"/>
              <w:jc w:val="cente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lang w:val="en-US" w:eastAsia="zh-CN"/>
              </w:rPr>
              <w:t>车间内部</w:t>
            </w:r>
          </w:p>
        </w:tc>
      </w:tr>
    </w:tbl>
    <w:p w14:paraId="444038AC">
      <w:pPr>
        <w:pStyle w:val="8"/>
        <w:pageBreakBefore w:val="0"/>
        <w:kinsoku/>
        <w:wordWrap w:val="0"/>
        <w:overflowPunct/>
        <w:topLinePunct/>
        <w:autoSpaceDE/>
        <w:autoSpaceDN/>
        <w:bidi w:val="0"/>
        <w:rPr>
          <w:rFonts w:hint="default" w:ascii="Times New Roman" w:hAnsi="Times New Roman" w:cs="Times New Roman"/>
          <w:color w:val="auto"/>
          <w:highlight w:val="none"/>
        </w:rPr>
      </w:pPr>
    </w:p>
    <w:p w14:paraId="017D3D55">
      <w:pPr>
        <w:pageBreakBefore w:val="0"/>
        <w:kinsoku/>
        <w:wordWrap w:val="0"/>
        <w:overflowPunct/>
        <w:topLinePunct/>
        <w:autoSpaceDE/>
        <w:autoSpaceDN/>
        <w:bidi w:val="0"/>
        <w:spacing w:before="42" w:line="221" w:lineRule="auto"/>
        <w:ind w:left="4042"/>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b/>
          <w:bCs/>
          <w:color w:val="auto"/>
          <w:spacing w:val="-6"/>
          <w:sz w:val="28"/>
          <w:szCs w:val="28"/>
          <w:highlight w:val="none"/>
        </w:rPr>
        <w:t>现场照片</w:t>
      </w:r>
    </w:p>
    <w:p w14:paraId="52647E26">
      <w:pPr>
        <w:pageBreakBefore w:val="0"/>
        <w:kinsoku/>
        <w:wordWrap w:val="0"/>
        <w:overflowPunct/>
        <w:topLinePunct/>
        <w:autoSpaceDE/>
        <w:autoSpaceDN/>
        <w:bidi w:val="0"/>
        <w:spacing w:line="221" w:lineRule="auto"/>
        <w:rPr>
          <w:rFonts w:hint="default" w:ascii="Times New Roman" w:hAnsi="Times New Roman" w:eastAsia="宋体" w:cs="Times New Roman"/>
          <w:color w:val="auto"/>
          <w:sz w:val="28"/>
          <w:szCs w:val="28"/>
          <w:highlight w:val="none"/>
        </w:rPr>
        <w:sectPr>
          <w:footerReference r:id="rId6" w:type="default"/>
          <w:pgSz w:w="11906" w:h="16839"/>
          <w:pgMar w:top="964" w:right="1361" w:bottom="1226" w:left="1361" w:header="0" w:footer="881" w:gutter="0"/>
          <w:pgNumType w:fmt="decimal" w:start="1"/>
          <w:cols w:space="720" w:num="1"/>
        </w:sectPr>
      </w:pPr>
    </w:p>
    <w:p w14:paraId="15751387">
      <w:pPr>
        <w:pageBreakBefore w:val="0"/>
        <w:kinsoku/>
        <w:wordWrap w:val="0"/>
        <w:overflowPunct/>
        <w:topLinePunct/>
        <w:autoSpaceDE/>
        <w:autoSpaceDN/>
        <w:bidi w:val="0"/>
        <w:spacing w:before="315" w:line="222" w:lineRule="auto"/>
        <w:ind w:left="2960"/>
        <w:outlineLvl w:val="1"/>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pacing w:val="-2"/>
          <w:sz w:val="30"/>
          <w:szCs w:val="30"/>
          <w:highlight w:val="none"/>
        </w:rPr>
        <w:t>一、建设项目基本情况</w:t>
      </w:r>
    </w:p>
    <w:p w14:paraId="07AA380B">
      <w:pPr>
        <w:pageBreakBefore w:val="0"/>
        <w:kinsoku/>
        <w:wordWrap w:val="0"/>
        <w:overflowPunct/>
        <w:topLinePunct/>
        <w:autoSpaceDE/>
        <w:autoSpaceDN/>
        <w:bidi w:val="0"/>
        <w:spacing w:before="21"/>
        <w:rPr>
          <w:rFonts w:hint="default" w:ascii="Times New Roman" w:hAnsi="Times New Roman" w:cs="Times New Roman"/>
          <w:color w:val="auto"/>
          <w:highlight w:val="none"/>
        </w:rPr>
      </w:pPr>
    </w:p>
    <w:tbl>
      <w:tblPr>
        <w:tblStyle w:val="24"/>
        <w:tblW w:w="502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99"/>
        <w:gridCol w:w="2931"/>
        <w:gridCol w:w="1445"/>
        <w:gridCol w:w="2974"/>
      </w:tblGrid>
      <w:tr w14:paraId="52BFB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894" w:type="pct"/>
            <w:tcBorders>
              <w:top w:val="single" w:color="000000" w:sz="6" w:space="0"/>
              <w:left w:val="single" w:color="000000" w:sz="6" w:space="0"/>
            </w:tcBorders>
            <w:vAlign w:val="center"/>
          </w:tcPr>
          <w:p w14:paraId="4FCBC1A7">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7"/>
                <w:sz w:val="24"/>
                <w:szCs w:val="24"/>
                <w:highlight w:val="none"/>
              </w:rPr>
              <w:t>建设项目名称</w:t>
            </w:r>
          </w:p>
        </w:tc>
        <w:tc>
          <w:tcPr>
            <w:tcW w:w="4105" w:type="pct"/>
            <w:gridSpan w:val="3"/>
            <w:tcBorders>
              <w:top w:val="single" w:color="000000" w:sz="6" w:space="0"/>
              <w:right w:val="single" w:color="000000" w:sz="6" w:space="0"/>
            </w:tcBorders>
            <w:vAlign w:val="center"/>
          </w:tcPr>
          <w:p w14:paraId="7A095159">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pacing w:val="9"/>
                <w:sz w:val="24"/>
                <w:szCs w:val="24"/>
                <w:highlight w:val="none"/>
                <w:lang w:eastAsia="zh-CN"/>
              </w:rPr>
              <w:t>新疆驰骋建材科技有限公司年产10万吨矿化料建设项目</w:t>
            </w:r>
          </w:p>
        </w:tc>
      </w:tr>
      <w:tr w14:paraId="0BB167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894" w:type="pct"/>
            <w:tcBorders>
              <w:left w:val="single" w:color="000000" w:sz="6" w:space="0"/>
            </w:tcBorders>
            <w:vAlign w:val="center"/>
          </w:tcPr>
          <w:p w14:paraId="0AC70429">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6"/>
                <w:sz w:val="24"/>
                <w:szCs w:val="24"/>
                <w:highlight w:val="none"/>
              </w:rPr>
              <w:t>项目代码</w:t>
            </w:r>
          </w:p>
        </w:tc>
        <w:tc>
          <w:tcPr>
            <w:tcW w:w="4105" w:type="pct"/>
            <w:gridSpan w:val="3"/>
            <w:tcBorders>
              <w:right w:val="single" w:color="000000" w:sz="6" w:space="0"/>
            </w:tcBorders>
            <w:vAlign w:val="center"/>
          </w:tcPr>
          <w:p w14:paraId="20923F44">
            <w:pPr>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pacing w:val="4"/>
                <w:position w:val="2"/>
                <w:sz w:val="24"/>
                <w:szCs w:val="24"/>
                <w:highlight w:val="none"/>
              </w:rPr>
            </w:pPr>
            <w:r>
              <w:rPr>
                <w:rFonts w:hint="default" w:ascii="Times New Roman" w:hAnsi="Times New Roman" w:eastAsia="宋体" w:cs="Times New Roman"/>
                <w:color w:val="auto"/>
                <w:spacing w:val="4"/>
                <w:position w:val="2"/>
                <w:sz w:val="24"/>
                <w:szCs w:val="24"/>
                <w:highlight w:val="none"/>
              </w:rPr>
              <w:t>2509-652324-07-01-809462</w:t>
            </w:r>
          </w:p>
        </w:tc>
      </w:tr>
      <w:tr w14:paraId="5BD8D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894" w:type="pct"/>
            <w:tcBorders>
              <w:left w:val="single" w:color="000000" w:sz="6" w:space="0"/>
            </w:tcBorders>
            <w:vAlign w:val="center"/>
          </w:tcPr>
          <w:p w14:paraId="045D6545">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建设单位联系人</w:t>
            </w:r>
          </w:p>
        </w:tc>
        <w:tc>
          <w:tcPr>
            <w:tcW w:w="1637" w:type="pct"/>
            <w:vAlign w:val="center"/>
          </w:tcPr>
          <w:p w14:paraId="5D905022">
            <w:pPr>
              <w:pStyle w:val="25"/>
              <w:pageBreakBefore w:val="0"/>
              <w:kinsoku/>
              <w:wordWrap w:val="0"/>
              <w:overflowPunct/>
              <w:topLinePunct/>
              <w:autoSpaceDE/>
              <w:autoSpaceDN/>
              <w:bidi w:val="0"/>
              <w:spacing w:line="240" w:lineRule="auto"/>
              <w:ind w:left="0" w:right="91" w:hanging="522"/>
              <w:jc w:val="center"/>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王颖颖</w:t>
            </w:r>
          </w:p>
        </w:tc>
        <w:tc>
          <w:tcPr>
            <w:tcW w:w="807" w:type="pct"/>
            <w:vAlign w:val="center"/>
          </w:tcPr>
          <w:p w14:paraId="7211FC59">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联系方式</w:t>
            </w:r>
          </w:p>
        </w:tc>
        <w:tc>
          <w:tcPr>
            <w:tcW w:w="1660" w:type="pct"/>
            <w:tcBorders>
              <w:right w:val="single" w:color="000000" w:sz="6" w:space="0"/>
            </w:tcBorders>
            <w:vAlign w:val="center"/>
          </w:tcPr>
          <w:p w14:paraId="609595CE">
            <w:pPr>
              <w:pStyle w:val="25"/>
              <w:pageBreakBefore w:val="0"/>
              <w:kinsoku/>
              <w:wordWrap w:val="0"/>
              <w:overflowPunct/>
              <w:topLinePunct/>
              <w:autoSpaceDE/>
              <w:autoSpaceDN/>
              <w:bidi w:val="0"/>
              <w:spacing w:line="240" w:lineRule="auto"/>
              <w:ind w:left="0" w:right="91" w:hanging="522"/>
              <w:jc w:val="center"/>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13717849906</w:t>
            </w:r>
          </w:p>
        </w:tc>
      </w:tr>
      <w:tr w14:paraId="6B451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894" w:type="pct"/>
            <w:tcBorders>
              <w:left w:val="single" w:color="000000" w:sz="6" w:space="0"/>
            </w:tcBorders>
            <w:vAlign w:val="center"/>
          </w:tcPr>
          <w:p w14:paraId="44D54DC0">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6"/>
                <w:sz w:val="24"/>
                <w:szCs w:val="24"/>
                <w:highlight w:val="none"/>
              </w:rPr>
              <w:t>建设地点</w:t>
            </w:r>
          </w:p>
        </w:tc>
        <w:tc>
          <w:tcPr>
            <w:tcW w:w="4105" w:type="pct"/>
            <w:gridSpan w:val="3"/>
            <w:tcBorders>
              <w:right w:val="single" w:color="000000" w:sz="6" w:space="0"/>
            </w:tcBorders>
            <w:vAlign w:val="center"/>
          </w:tcPr>
          <w:p w14:paraId="68B584B7">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6"/>
                <w:sz w:val="24"/>
                <w:szCs w:val="24"/>
                <w:highlight w:val="none"/>
              </w:rPr>
              <w:t>昌吉回族自治州玛纳斯县</w:t>
            </w:r>
            <w:r>
              <w:rPr>
                <w:rFonts w:hint="default" w:ascii="Times New Roman" w:hAnsi="Times New Roman" w:eastAsia="宋体" w:cs="Times New Roman"/>
                <w:color w:val="auto"/>
                <w:spacing w:val="6"/>
                <w:sz w:val="24"/>
                <w:szCs w:val="24"/>
                <w:highlight w:val="none"/>
                <w:lang w:val="en-US" w:eastAsia="zh-CN"/>
              </w:rPr>
              <w:t>塔河工业园区新疆华房盛泰保温材料科技有限公司8#生产厂房</w:t>
            </w:r>
          </w:p>
        </w:tc>
      </w:tr>
      <w:tr w14:paraId="47005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894" w:type="pct"/>
            <w:tcBorders>
              <w:left w:val="single" w:color="000000" w:sz="6" w:space="0"/>
            </w:tcBorders>
            <w:vAlign w:val="center"/>
          </w:tcPr>
          <w:p w14:paraId="384D1247">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7"/>
                <w:sz w:val="24"/>
                <w:szCs w:val="24"/>
                <w:highlight w:val="none"/>
              </w:rPr>
              <w:t>地理坐标</w:t>
            </w:r>
          </w:p>
        </w:tc>
        <w:tc>
          <w:tcPr>
            <w:tcW w:w="4105" w:type="pct"/>
            <w:gridSpan w:val="3"/>
            <w:tcBorders>
              <w:right w:val="single" w:color="000000" w:sz="6" w:space="0"/>
            </w:tcBorders>
            <w:vAlign w:val="center"/>
          </w:tcPr>
          <w:p w14:paraId="0D6B5906">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snapToGrid w:val="0"/>
                <w:color w:val="auto"/>
                <w:spacing w:val="4"/>
                <w:kern w:val="0"/>
                <w:position w:val="2"/>
                <w:sz w:val="24"/>
                <w:szCs w:val="24"/>
                <w:highlight w:val="none"/>
                <w:lang w:val="en-US" w:eastAsia="en-US" w:bidi="ar-SA"/>
              </w:rPr>
              <w:t>（</w:t>
            </w:r>
            <w:r>
              <w:rPr>
                <w:rFonts w:hint="default" w:ascii="Times New Roman" w:hAnsi="Times New Roman" w:eastAsia="宋体" w:cs="Times New Roman"/>
                <w:snapToGrid w:val="0"/>
                <w:color w:val="auto"/>
                <w:spacing w:val="4"/>
                <w:kern w:val="0"/>
                <w:position w:val="2"/>
                <w:sz w:val="24"/>
                <w:szCs w:val="24"/>
                <w:highlight w:val="none"/>
                <w:u w:val="single"/>
                <w:lang w:val="en-US" w:eastAsia="zh-CN" w:bidi="ar-SA"/>
              </w:rPr>
              <w:t>86</w:t>
            </w:r>
            <w:r>
              <w:rPr>
                <w:rFonts w:hint="default" w:ascii="Times New Roman" w:hAnsi="Times New Roman" w:eastAsia="宋体" w:cs="Times New Roman"/>
                <w:snapToGrid w:val="0"/>
                <w:color w:val="auto"/>
                <w:spacing w:val="4"/>
                <w:kern w:val="0"/>
                <w:position w:val="2"/>
                <w:sz w:val="24"/>
                <w:szCs w:val="24"/>
                <w:highlight w:val="none"/>
                <w:lang w:val="en-US" w:eastAsia="zh-CN" w:bidi="ar-SA"/>
              </w:rPr>
              <w:t>度</w:t>
            </w:r>
            <w:r>
              <w:rPr>
                <w:rFonts w:hint="default" w:ascii="Times New Roman" w:hAnsi="Times New Roman" w:eastAsia="宋体" w:cs="Times New Roman"/>
                <w:snapToGrid w:val="0"/>
                <w:color w:val="auto"/>
                <w:spacing w:val="4"/>
                <w:kern w:val="0"/>
                <w:position w:val="2"/>
                <w:sz w:val="24"/>
                <w:szCs w:val="24"/>
                <w:highlight w:val="none"/>
                <w:u w:val="single"/>
                <w:lang w:val="en-US" w:eastAsia="zh-CN" w:bidi="ar-SA"/>
              </w:rPr>
              <w:t>20</w:t>
            </w:r>
            <w:r>
              <w:rPr>
                <w:rFonts w:hint="default" w:ascii="Times New Roman" w:hAnsi="Times New Roman" w:eastAsia="宋体" w:cs="Times New Roman"/>
                <w:snapToGrid w:val="0"/>
                <w:color w:val="auto"/>
                <w:spacing w:val="4"/>
                <w:kern w:val="0"/>
                <w:position w:val="2"/>
                <w:sz w:val="24"/>
                <w:szCs w:val="24"/>
                <w:highlight w:val="none"/>
                <w:lang w:val="en-US" w:eastAsia="zh-CN" w:bidi="ar-SA"/>
              </w:rPr>
              <w:t>分</w:t>
            </w:r>
            <w:r>
              <w:rPr>
                <w:rFonts w:hint="default" w:ascii="Times New Roman" w:hAnsi="Times New Roman" w:eastAsia="宋体" w:cs="Times New Roman"/>
                <w:snapToGrid w:val="0"/>
                <w:color w:val="auto"/>
                <w:spacing w:val="4"/>
                <w:kern w:val="0"/>
                <w:position w:val="2"/>
                <w:sz w:val="24"/>
                <w:szCs w:val="24"/>
                <w:highlight w:val="none"/>
                <w:u w:val="single"/>
                <w:lang w:val="en-US" w:eastAsia="zh-CN" w:bidi="ar-SA"/>
              </w:rPr>
              <w:t>4.513</w:t>
            </w:r>
            <w:r>
              <w:rPr>
                <w:rFonts w:hint="default" w:ascii="Times New Roman" w:hAnsi="Times New Roman" w:eastAsia="宋体" w:cs="Times New Roman"/>
                <w:snapToGrid w:val="0"/>
                <w:color w:val="auto"/>
                <w:spacing w:val="4"/>
                <w:kern w:val="0"/>
                <w:position w:val="2"/>
                <w:sz w:val="24"/>
                <w:szCs w:val="24"/>
                <w:highlight w:val="none"/>
                <w:lang w:val="en-US" w:eastAsia="zh-CN" w:bidi="ar-SA"/>
              </w:rPr>
              <w:t>秒，</w:t>
            </w:r>
            <w:r>
              <w:rPr>
                <w:rFonts w:hint="default" w:ascii="Times New Roman" w:hAnsi="Times New Roman" w:eastAsia="宋体" w:cs="Times New Roman"/>
                <w:snapToGrid w:val="0"/>
                <w:color w:val="auto"/>
                <w:spacing w:val="4"/>
                <w:kern w:val="0"/>
                <w:position w:val="2"/>
                <w:sz w:val="24"/>
                <w:szCs w:val="24"/>
                <w:highlight w:val="none"/>
                <w:u w:val="single"/>
                <w:lang w:val="en-US" w:eastAsia="zh-CN" w:bidi="ar-SA"/>
              </w:rPr>
              <w:t>44</w:t>
            </w:r>
            <w:r>
              <w:rPr>
                <w:rFonts w:hint="default" w:ascii="Times New Roman" w:hAnsi="Times New Roman" w:eastAsia="宋体" w:cs="Times New Roman"/>
                <w:snapToGrid w:val="0"/>
                <w:color w:val="auto"/>
                <w:spacing w:val="4"/>
                <w:kern w:val="0"/>
                <w:position w:val="2"/>
                <w:sz w:val="24"/>
                <w:szCs w:val="24"/>
                <w:highlight w:val="none"/>
                <w:lang w:val="en-US" w:eastAsia="en-US" w:bidi="ar-SA"/>
              </w:rPr>
              <w:t>度</w:t>
            </w:r>
            <w:r>
              <w:rPr>
                <w:rFonts w:hint="default" w:ascii="Times New Roman" w:hAnsi="Times New Roman" w:eastAsia="宋体" w:cs="Times New Roman"/>
                <w:snapToGrid w:val="0"/>
                <w:color w:val="auto"/>
                <w:spacing w:val="4"/>
                <w:kern w:val="0"/>
                <w:position w:val="2"/>
                <w:sz w:val="24"/>
                <w:szCs w:val="24"/>
                <w:highlight w:val="none"/>
                <w:u w:val="single"/>
                <w:lang w:val="en-US" w:eastAsia="en-US" w:bidi="ar-SA"/>
              </w:rPr>
              <w:t>1</w:t>
            </w:r>
            <w:r>
              <w:rPr>
                <w:rFonts w:hint="default" w:ascii="Times New Roman" w:hAnsi="Times New Roman" w:eastAsia="宋体" w:cs="Times New Roman"/>
                <w:snapToGrid w:val="0"/>
                <w:color w:val="auto"/>
                <w:spacing w:val="4"/>
                <w:kern w:val="0"/>
                <w:position w:val="2"/>
                <w:sz w:val="24"/>
                <w:szCs w:val="24"/>
                <w:highlight w:val="none"/>
                <w:u w:val="single"/>
                <w:lang w:val="en-US" w:eastAsia="zh-CN" w:bidi="ar-SA"/>
              </w:rPr>
              <w:t>2</w:t>
            </w:r>
            <w:r>
              <w:rPr>
                <w:rFonts w:hint="default" w:ascii="Times New Roman" w:hAnsi="Times New Roman" w:eastAsia="宋体" w:cs="Times New Roman"/>
                <w:snapToGrid w:val="0"/>
                <w:color w:val="auto"/>
                <w:spacing w:val="4"/>
                <w:kern w:val="0"/>
                <w:position w:val="2"/>
                <w:sz w:val="24"/>
                <w:szCs w:val="24"/>
                <w:highlight w:val="none"/>
                <w:lang w:val="en-US" w:eastAsia="en-US" w:bidi="ar-SA"/>
              </w:rPr>
              <w:t>分</w:t>
            </w:r>
            <w:r>
              <w:rPr>
                <w:rFonts w:hint="default" w:ascii="Times New Roman" w:hAnsi="Times New Roman" w:eastAsia="宋体" w:cs="Times New Roman"/>
                <w:snapToGrid w:val="0"/>
                <w:color w:val="auto"/>
                <w:spacing w:val="4"/>
                <w:kern w:val="0"/>
                <w:position w:val="2"/>
                <w:sz w:val="24"/>
                <w:szCs w:val="24"/>
                <w:highlight w:val="none"/>
                <w:u w:val="single"/>
                <w:lang w:val="en-US" w:eastAsia="zh-CN" w:bidi="ar-SA"/>
              </w:rPr>
              <w:t>41.926</w:t>
            </w:r>
            <w:r>
              <w:rPr>
                <w:rFonts w:hint="default" w:ascii="Times New Roman" w:hAnsi="Times New Roman" w:eastAsia="宋体" w:cs="Times New Roman"/>
                <w:snapToGrid w:val="0"/>
                <w:color w:val="auto"/>
                <w:spacing w:val="4"/>
                <w:kern w:val="0"/>
                <w:position w:val="2"/>
                <w:sz w:val="24"/>
                <w:szCs w:val="24"/>
                <w:highlight w:val="none"/>
                <w:lang w:val="en-US" w:eastAsia="en-US" w:bidi="ar-SA"/>
              </w:rPr>
              <w:t>秒）</w:t>
            </w:r>
          </w:p>
        </w:tc>
      </w:tr>
      <w:tr w14:paraId="492FC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894" w:type="pct"/>
            <w:tcBorders>
              <w:left w:val="single" w:color="000000" w:sz="6" w:space="0"/>
            </w:tcBorders>
            <w:vAlign w:val="center"/>
          </w:tcPr>
          <w:p w14:paraId="402BA058">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pacing w:val="6"/>
                <w:sz w:val="24"/>
                <w:szCs w:val="24"/>
                <w:highlight w:val="none"/>
                <w:lang w:val="en-US" w:eastAsia="zh-CN"/>
              </w:rPr>
            </w:pPr>
            <w:r>
              <w:rPr>
                <w:rFonts w:hint="default" w:ascii="Times New Roman" w:hAnsi="Times New Roman" w:eastAsia="宋体" w:cs="Times New Roman"/>
                <w:color w:val="auto"/>
                <w:spacing w:val="6"/>
                <w:sz w:val="24"/>
                <w:szCs w:val="24"/>
                <w:highlight w:val="none"/>
                <w:lang w:val="en-US" w:eastAsia="zh-CN"/>
              </w:rPr>
              <w:t>国民经济行业类别</w:t>
            </w:r>
          </w:p>
        </w:tc>
        <w:tc>
          <w:tcPr>
            <w:tcW w:w="1637" w:type="pct"/>
            <w:vAlign w:val="center"/>
          </w:tcPr>
          <w:p w14:paraId="62498A8D">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pacing w:val="6"/>
                <w:sz w:val="24"/>
                <w:szCs w:val="24"/>
                <w:highlight w:val="none"/>
                <w:lang w:val="en-US" w:eastAsia="zh-CN"/>
              </w:rPr>
            </w:pPr>
            <w:r>
              <w:rPr>
                <w:rFonts w:hint="default" w:ascii="Times New Roman" w:hAnsi="Times New Roman" w:eastAsia="宋体" w:cs="Times New Roman"/>
                <w:color w:val="auto"/>
                <w:spacing w:val="6"/>
                <w:sz w:val="24"/>
                <w:szCs w:val="24"/>
                <w:highlight w:val="none"/>
                <w:lang w:val="en-US" w:eastAsia="zh-CN"/>
              </w:rPr>
              <w:t>C3039其他建筑材料制造</w:t>
            </w:r>
          </w:p>
        </w:tc>
        <w:tc>
          <w:tcPr>
            <w:tcW w:w="807" w:type="pct"/>
            <w:vAlign w:val="center"/>
          </w:tcPr>
          <w:p w14:paraId="28075403">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pacing w:val="6"/>
                <w:sz w:val="24"/>
                <w:szCs w:val="24"/>
                <w:highlight w:val="none"/>
                <w:lang w:val="en-US" w:eastAsia="zh-CN"/>
              </w:rPr>
            </w:pPr>
            <w:r>
              <w:rPr>
                <w:rFonts w:hint="default" w:ascii="Times New Roman" w:hAnsi="Times New Roman" w:eastAsia="宋体" w:cs="Times New Roman"/>
                <w:color w:val="auto"/>
                <w:spacing w:val="6"/>
                <w:sz w:val="24"/>
                <w:szCs w:val="24"/>
                <w:highlight w:val="none"/>
                <w:lang w:val="en-US" w:eastAsia="zh-CN"/>
              </w:rPr>
              <w:t>建设项目行业类别</w:t>
            </w:r>
          </w:p>
        </w:tc>
        <w:tc>
          <w:tcPr>
            <w:tcW w:w="1660" w:type="pct"/>
            <w:tcBorders>
              <w:right w:val="single" w:color="000000" w:sz="6" w:space="0"/>
            </w:tcBorders>
            <w:vAlign w:val="center"/>
          </w:tcPr>
          <w:p w14:paraId="3E974B35">
            <w:pPr>
              <w:pStyle w:val="25"/>
              <w:pageBreakBefore w:val="0"/>
              <w:kinsoku/>
              <w:wordWrap w:val="0"/>
              <w:overflowPunct/>
              <w:topLinePunct/>
              <w:autoSpaceDE/>
              <w:autoSpaceDN/>
              <w:bidi w:val="0"/>
              <w:spacing w:line="240" w:lineRule="auto"/>
              <w:ind w:left="0" w:firstLine="0" w:firstLineChars="0"/>
              <w:jc w:val="center"/>
              <w:rPr>
                <w:rFonts w:hint="default" w:ascii="Times New Roman" w:hAnsi="Times New Roman" w:eastAsia="宋体" w:cs="Times New Roman"/>
                <w:color w:val="auto"/>
                <w:spacing w:val="6"/>
                <w:sz w:val="24"/>
                <w:szCs w:val="24"/>
                <w:highlight w:val="none"/>
                <w:lang w:val="en-US" w:eastAsia="zh-CN"/>
              </w:rPr>
            </w:pPr>
            <w:r>
              <w:rPr>
                <w:rFonts w:hint="default" w:ascii="Times New Roman" w:hAnsi="Times New Roman" w:eastAsia="宋体" w:cs="Times New Roman"/>
                <w:color w:val="auto"/>
                <w:spacing w:val="6"/>
                <w:sz w:val="24"/>
                <w:szCs w:val="24"/>
                <w:highlight w:val="none"/>
                <w:lang w:val="en-US" w:eastAsia="zh-CN"/>
              </w:rPr>
              <w:t>二十七、非金属矿物制品业</w:t>
            </w:r>
          </w:p>
          <w:p w14:paraId="06B6F484">
            <w:pPr>
              <w:pStyle w:val="25"/>
              <w:pageBreakBefore w:val="0"/>
              <w:kinsoku/>
              <w:wordWrap w:val="0"/>
              <w:overflowPunct/>
              <w:topLinePunct/>
              <w:autoSpaceDE/>
              <w:autoSpaceDN/>
              <w:bidi w:val="0"/>
              <w:spacing w:line="240" w:lineRule="auto"/>
              <w:ind w:left="0" w:firstLine="504" w:firstLineChars="200"/>
              <w:jc w:val="center"/>
              <w:rPr>
                <w:rFonts w:hint="default" w:ascii="Times New Roman" w:hAnsi="Times New Roman" w:eastAsia="宋体" w:cs="Times New Roman"/>
                <w:color w:val="auto"/>
                <w:spacing w:val="6"/>
                <w:sz w:val="24"/>
                <w:szCs w:val="24"/>
                <w:highlight w:val="none"/>
                <w:lang w:val="en-US" w:eastAsia="zh-CN"/>
              </w:rPr>
            </w:pPr>
            <w:r>
              <w:rPr>
                <w:rFonts w:hint="default" w:ascii="Times New Roman" w:hAnsi="Times New Roman" w:eastAsia="宋体" w:cs="Times New Roman"/>
                <w:color w:val="auto"/>
                <w:spacing w:val="6"/>
                <w:sz w:val="24"/>
                <w:szCs w:val="24"/>
                <w:highlight w:val="none"/>
                <w:lang w:val="en-US" w:eastAsia="zh-CN"/>
              </w:rPr>
              <w:t>砖瓦、石材等建筑材料制造303</w:t>
            </w:r>
          </w:p>
        </w:tc>
      </w:tr>
      <w:tr w14:paraId="3593E9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9" w:hRule="atLeast"/>
        </w:trPr>
        <w:tc>
          <w:tcPr>
            <w:tcW w:w="894" w:type="pct"/>
            <w:tcBorders>
              <w:left w:val="single" w:color="000000" w:sz="6" w:space="0"/>
            </w:tcBorders>
            <w:vAlign w:val="center"/>
          </w:tcPr>
          <w:p w14:paraId="18533618">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6"/>
                <w:sz w:val="24"/>
                <w:szCs w:val="24"/>
                <w:highlight w:val="none"/>
              </w:rPr>
              <w:t>建设性质</w:t>
            </w:r>
          </w:p>
        </w:tc>
        <w:tc>
          <w:tcPr>
            <w:tcW w:w="1637" w:type="pct"/>
            <w:vAlign w:val="center"/>
          </w:tcPr>
          <w:p w14:paraId="05C0D6C2">
            <w:pPr>
              <w:pStyle w:val="25"/>
              <w:pageBreakBefore w:val="0"/>
              <w:kinsoku/>
              <w:wordWrap w:val="0"/>
              <w:overflowPunct/>
              <w:topLinePunct/>
              <w:autoSpaceDE/>
              <w:autoSpaceDN/>
              <w:bidi w:val="0"/>
              <w:spacing w:line="240" w:lineRule="auto"/>
              <w:ind w:left="0" w:firstLine="528"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2"/>
                <w:sz w:val="24"/>
                <w:szCs w:val="24"/>
                <w:highlight w:val="none"/>
                <w:lang w:eastAsia="zh-CN"/>
              </w:rPr>
              <w:t>☑</w:t>
            </w:r>
            <w:r>
              <w:rPr>
                <w:rFonts w:hint="default" w:ascii="Times New Roman" w:hAnsi="Times New Roman" w:eastAsia="宋体" w:cs="Times New Roman"/>
                <w:color w:val="auto"/>
                <w:spacing w:val="12"/>
                <w:sz w:val="24"/>
                <w:szCs w:val="24"/>
                <w:highlight w:val="none"/>
              </w:rPr>
              <w:t>新建（迁建）</w:t>
            </w:r>
          </w:p>
          <w:p w14:paraId="55CBC840">
            <w:pPr>
              <w:pStyle w:val="25"/>
              <w:pageBreakBefore w:val="0"/>
              <w:kinsoku/>
              <w:wordWrap w:val="0"/>
              <w:overflowPunct/>
              <w:topLinePunct/>
              <w:autoSpaceDE/>
              <w:autoSpaceDN/>
              <w:bidi w:val="0"/>
              <w:spacing w:line="240" w:lineRule="auto"/>
              <w:ind w:left="0" w:firstLine="552"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8"/>
                <w:sz w:val="24"/>
                <w:szCs w:val="24"/>
                <w:highlight w:val="none"/>
              </w:rPr>
              <w:t>□改建</w:t>
            </w:r>
          </w:p>
          <w:p w14:paraId="08C795E3">
            <w:pPr>
              <w:pStyle w:val="25"/>
              <w:pageBreakBefore w:val="0"/>
              <w:kinsoku/>
              <w:wordWrap w:val="0"/>
              <w:overflowPunct/>
              <w:topLinePunct/>
              <w:autoSpaceDE/>
              <w:autoSpaceDN/>
              <w:bidi w:val="0"/>
              <w:spacing w:line="240" w:lineRule="auto"/>
              <w:ind w:left="0" w:firstLine="552"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8"/>
                <w:sz w:val="24"/>
                <w:szCs w:val="24"/>
                <w:highlight w:val="none"/>
              </w:rPr>
              <w:t>□</w:t>
            </w:r>
            <w:r>
              <w:rPr>
                <w:rFonts w:hint="default" w:ascii="Times New Roman" w:hAnsi="Times New Roman" w:eastAsia="宋体" w:cs="Times New Roman"/>
                <w:color w:val="auto"/>
                <w:spacing w:val="-5"/>
                <w:sz w:val="24"/>
                <w:szCs w:val="24"/>
                <w:highlight w:val="none"/>
              </w:rPr>
              <w:t>扩建</w:t>
            </w:r>
          </w:p>
          <w:p w14:paraId="13CA0934">
            <w:pPr>
              <w:pStyle w:val="25"/>
              <w:pageBreakBefore w:val="0"/>
              <w:kinsoku/>
              <w:wordWrap w:val="0"/>
              <w:overflowPunct/>
              <w:topLinePunct/>
              <w:autoSpaceDE/>
              <w:autoSpaceDN/>
              <w:bidi w:val="0"/>
              <w:spacing w:line="240" w:lineRule="auto"/>
              <w:ind w:left="0" w:firstLine="540"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5"/>
                <w:sz w:val="24"/>
                <w:szCs w:val="24"/>
                <w:highlight w:val="none"/>
              </w:rPr>
              <w:t>□技术改造</w:t>
            </w:r>
          </w:p>
        </w:tc>
        <w:tc>
          <w:tcPr>
            <w:tcW w:w="807" w:type="pct"/>
            <w:vAlign w:val="center"/>
          </w:tcPr>
          <w:p w14:paraId="30CB248B">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6"/>
                <w:sz w:val="24"/>
                <w:szCs w:val="24"/>
                <w:highlight w:val="none"/>
              </w:rPr>
              <w:t>建设项目</w:t>
            </w:r>
            <w:r>
              <w:rPr>
                <w:rFonts w:hint="default" w:ascii="Times New Roman" w:hAnsi="Times New Roman" w:eastAsia="宋体" w:cs="Times New Roman"/>
                <w:color w:val="auto"/>
                <w:sz w:val="24"/>
                <w:szCs w:val="24"/>
                <w:highlight w:val="none"/>
              </w:rPr>
              <w:t>申报情形</w:t>
            </w:r>
          </w:p>
        </w:tc>
        <w:tc>
          <w:tcPr>
            <w:tcW w:w="1660" w:type="pct"/>
            <w:tcBorders>
              <w:right w:val="single" w:color="000000" w:sz="6" w:space="0"/>
            </w:tcBorders>
            <w:vAlign w:val="center"/>
          </w:tcPr>
          <w:p w14:paraId="176DB124">
            <w:pPr>
              <w:pStyle w:val="25"/>
              <w:pageBreakBefore w:val="0"/>
              <w:kinsoku/>
              <w:wordWrap w:val="0"/>
              <w:overflowPunct/>
              <w:topLinePunct/>
              <w:autoSpaceDE/>
              <w:autoSpaceDN/>
              <w:bidi w:val="0"/>
              <w:spacing w:line="24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2"/>
                <w:sz w:val="24"/>
                <w:szCs w:val="24"/>
                <w:highlight w:val="none"/>
                <w:lang w:eastAsia="zh-CN"/>
              </w:rPr>
              <w:t>☑</w:t>
            </w:r>
            <w:r>
              <w:rPr>
                <w:rFonts w:hint="default" w:ascii="Times New Roman" w:hAnsi="Times New Roman" w:eastAsia="宋体" w:cs="Times New Roman"/>
                <w:color w:val="auto"/>
                <w:spacing w:val="3"/>
                <w:sz w:val="24"/>
                <w:szCs w:val="24"/>
                <w:highlight w:val="none"/>
              </w:rPr>
              <w:t>首次申报项目</w:t>
            </w:r>
          </w:p>
          <w:p w14:paraId="5C7986E2">
            <w:pPr>
              <w:pStyle w:val="25"/>
              <w:pageBreakBefore w:val="0"/>
              <w:kinsoku/>
              <w:wordWrap w:val="0"/>
              <w:overflowPunct/>
              <w:topLinePunct/>
              <w:autoSpaceDE/>
              <w:autoSpaceDN/>
              <w:bidi w:val="0"/>
              <w:spacing w:line="24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2"/>
                <w:sz w:val="24"/>
                <w:szCs w:val="24"/>
                <w:highlight w:val="none"/>
                <w:lang w:eastAsia="zh-CN"/>
              </w:rPr>
              <w:t>□</w:t>
            </w:r>
            <w:r>
              <w:rPr>
                <w:rFonts w:hint="default" w:ascii="Times New Roman" w:hAnsi="Times New Roman" w:eastAsia="宋体" w:cs="Times New Roman"/>
                <w:color w:val="auto"/>
                <w:spacing w:val="12"/>
                <w:sz w:val="24"/>
                <w:szCs w:val="24"/>
                <w:highlight w:val="none"/>
              </w:rPr>
              <w:t>不予批准后再次申报项目</w:t>
            </w:r>
          </w:p>
          <w:p w14:paraId="4D4558BE">
            <w:pPr>
              <w:pStyle w:val="25"/>
              <w:pageBreakBefore w:val="0"/>
              <w:kinsoku/>
              <w:wordWrap w:val="0"/>
              <w:overflowPunct/>
              <w:topLinePunct/>
              <w:autoSpaceDE/>
              <w:autoSpaceDN/>
              <w:bidi w:val="0"/>
              <w:spacing w:line="24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2"/>
                <w:sz w:val="24"/>
                <w:szCs w:val="24"/>
                <w:highlight w:val="none"/>
              </w:rPr>
              <w:t>□超五年重新审核项目</w:t>
            </w:r>
          </w:p>
          <w:p w14:paraId="00EFF7AD">
            <w:pPr>
              <w:pStyle w:val="25"/>
              <w:pageBreakBefore w:val="0"/>
              <w:kinsoku/>
              <w:wordWrap w:val="0"/>
              <w:overflowPunct/>
              <w:topLinePunct/>
              <w:autoSpaceDE/>
              <w:autoSpaceDN/>
              <w:bidi w:val="0"/>
              <w:spacing w:line="24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2"/>
                <w:sz w:val="24"/>
                <w:szCs w:val="24"/>
                <w:highlight w:val="none"/>
              </w:rPr>
              <w:t>□重大变动重新报批项目</w:t>
            </w:r>
          </w:p>
        </w:tc>
      </w:tr>
      <w:tr w14:paraId="6F3F4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1" w:hRule="atLeast"/>
        </w:trPr>
        <w:tc>
          <w:tcPr>
            <w:tcW w:w="894" w:type="pct"/>
            <w:tcBorders>
              <w:left w:val="single" w:color="000000" w:sz="6" w:space="0"/>
            </w:tcBorders>
            <w:vAlign w:val="center"/>
          </w:tcPr>
          <w:p w14:paraId="20FE5228">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2"/>
                <w:sz w:val="24"/>
                <w:szCs w:val="24"/>
                <w:highlight w:val="none"/>
              </w:rPr>
              <w:t>项目审批（核准</w:t>
            </w:r>
            <w:r>
              <w:rPr>
                <w:rFonts w:hint="default" w:ascii="Times New Roman" w:hAnsi="Times New Roman" w:eastAsia="宋体" w:cs="Times New Roman"/>
                <w:color w:val="auto"/>
                <w:spacing w:val="-8"/>
                <w:position w:val="1"/>
                <w:sz w:val="24"/>
                <w:szCs w:val="24"/>
                <w:highlight w:val="none"/>
              </w:rPr>
              <w:t>备案）部门（选</w:t>
            </w:r>
            <w:r>
              <w:rPr>
                <w:rFonts w:hint="default" w:ascii="Times New Roman" w:hAnsi="Times New Roman" w:eastAsia="宋体" w:cs="Times New Roman"/>
                <w:color w:val="auto"/>
                <w:spacing w:val="-1"/>
                <w:sz w:val="24"/>
                <w:szCs w:val="24"/>
                <w:highlight w:val="none"/>
              </w:rPr>
              <w:t>填）</w:t>
            </w:r>
          </w:p>
        </w:tc>
        <w:tc>
          <w:tcPr>
            <w:tcW w:w="1637" w:type="pct"/>
            <w:vAlign w:val="center"/>
          </w:tcPr>
          <w:p w14:paraId="1003830D">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8"/>
                <w:sz w:val="24"/>
                <w:szCs w:val="24"/>
                <w:highlight w:val="none"/>
              </w:rPr>
              <w:t>玛纳斯县发展和改革委员会</w:t>
            </w:r>
          </w:p>
        </w:tc>
        <w:tc>
          <w:tcPr>
            <w:tcW w:w="807" w:type="pct"/>
            <w:vAlign w:val="center"/>
          </w:tcPr>
          <w:p w14:paraId="35920828">
            <w:pPr>
              <w:pStyle w:val="25"/>
              <w:pageBreakBefore w:val="0"/>
              <w:kinsoku/>
              <w:wordWrap w:val="0"/>
              <w:overflowPunct/>
              <w:topLinePunct/>
              <w:autoSpaceDE/>
              <w:autoSpaceDN/>
              <w:bidi w:val="0"/>
              <w:spacing w:line="240" w:lineRule="auto"/>
              <w:ind w:left="0"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7"/>
                <w:position w:val="1"/>
                <w:sz w:val="24"/>
                <w:szCs w:val="24"/>
                <w:highlight w:val="none"/>
              </w:rPr>
              <w:t>项目审批（核准/</w:t>
            </w:r>
            <w:r>
              <w:rPr>
                <w:rFonts w:hint="default" w:ascii="Times New Roman" w:hAnsi="Times New Roman" w:eastAsia="宋体" w:cs="Times New Roman"/>
                <w:color w:val="auto"/>
                <w:spacing w:val="8"/>
                <w:sz w:val="24"/>
                <w:szCs w:val="24"/>
                <w:highlight w:val="none"/>
              </w:rPr>
              <w:t>备案）文号（选</w:t>
            </w:r>
            <w:r>
              <w:rPr>
                <w:rFonts w:hint="default" w:ascii="Times New Roman" w:hAnsi="Times New Roman" w:eastAsia="宋体" w:cs="Times New Roman"/>
                <w:color w:val="auto"/>
                <w:spacing w:val="-1"/>
                <w:sz w:val="24"/>
                <w:szCs w:val="24"/>
                <w:highlight w:val="none"/>
              </w:rPr>
              <w:t>填）</w:t>
            </w:r>
          </w:p>
        </w:tc>
        <w:tc>
          <w:tcPr>
            <w:tcW w:w="1660" w:type="pct"/>
            <w:tcBorders>
              <w:right w:val="single" w:color="000000" w:sz="6" w:space="0"/>
            </w:tcBorders>
            <w:vAlign w:val="center"/>
          </w:tcPr>
          <w:p w14:paraId="2F4173EF">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2509301764652324000211</w:t>
            </w:r>
          </w:p>
        </w:tc>
      </w:tr>
      <w:tr w14:paraId="0F642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894" w:type="pct"/>
            <w:tcBorders>
              <w:left w:val="single" w:color="000000" w:sz="6" w:space="0"/>
            </w:tcBorders>
            <w:vAlign w:val="center"/>
          </w:tcPr>
          <w:p w14:paraId="13426070">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
                <w:sz w:val="24"/>
                <w:szCs w:val="24"/>
                <w:highlight w:val="none"/>
              </w:rPr>
              <w:t>总投资（万元）</w:t>
            </w:r>
          </w:p>
        </w:tc>
        <w:tc>
          <w:tcPr>
            <w:tcW w:w="1637" w:type="pct"/>
            <w:vAlign w:val="center"/>
          </w:tcPr>
          <w:p w14:paraId="1D96DBBF">
            <w:pPr>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2"/>
                <w:position w:val="2"/>
                <w:sz w:val="24"/>
                <w:szCs w:val="24"/>
                <w:highlight w:val="none"/>
                <w:lang w:val="en-US" w:eastAsia="zh-CN"/>
              </w:rPr>
              <w:t>10</w:t>
            </w:r>
            <w:r>
              <w:rPr>
                <w:rFonts w:hint="default" w:ascii="Times New Roman" w:hAnsi="Times New Roman" w:eastAsia="宋体" w:cs="Times New Roman"/>
                <w:color w:val="auto"/>
                <w:spacing w:val="2"/>
                <w:position w:val="2"/>
                <w:sz w:val="24"/>
                <w:szCs w:val="24"/>
                <w:highlight w:val="none"/>
              </w:rPr>
              <w:t>0</w:t>
            </w:r>
          </w:p>
        </w:tc>
        <w:tc>
          <w:tcPr>
            <w:tcW w:w="807" w:type="pct"/>
            <w:vAlign w:val="center"/>
          </w:tcPr>
          <w:p w14:paraId="5F9F468A">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2"/>
                <w:sz w:val="24"/>
                <w:szCs w:val="24"/>
                <w:highlight w:val="none"/>
              </w:rPr>
              <w:t>环保投资（万元）</w:t>
            </w:r>
          </w:p>
        </w:tc>
        <w:tc>
          <w:tcPr>
            <w:tcW w:w="1660" w:type="pct"/>
            <w:tcBorders>
              <w:right w:val="single" w:color="000000" w:sz="6" w:space="0"/>
            </w:tcBorders>
            <w:vAlign w:val="center"/>
          </w:tcPr>
          <w:p w14:paraId="3788F229">
            <w:pPr>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24</w:t>
            </w:r>
          </w:p>
        </w:tc>
      </w:tr>
      <w:tr w14:paraId="18D5E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894" w:type="pct"/>
            <w:tcBorders>
              <w:left w:val="single" w:color="000000" w:sz="6" w:space="0"/>
            </w:tcBorders>
            <w:vAlign w:val="center"/>
          </w:tcPr>
          <w:p w14:paraId="7CD38EC2">
            <w:pPr>
              <w:pStyle w:val="25"/>
              <w:pageBreakBefore w:val="0"/>
              <w:kinsoku/>
              <w:wordWrap w:val="0"/>
              <w:overflowPunct/>
              <w:topLinePunct/>
              <w:autoSpaceDE/>
              <w:autoSpaceDN/>
              <w:bidi w:val="0"/>
              <w:spacing w:line="240" w:lineRule="auto"/>
              <w:ind w:left="0"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8"/>
                <w:sz w:val="24"/>
                <w:szCs w:val="24"/>
                <w:highlight w:val="none"/>
              </w:rPr>
              <w:t>环保投资占比</w:t>
            </w:r>
          </w:p>
          <w:p w14:paraId="4A9CC948">
            <w:pPr>
              <w:pStyle w:val="25"/>
              <w:pageBreakBefore w:val="0"/>
              <w:kinsoku/>
              <w:wordWrap w:val="0"/>
              <w:overflowPunct/>
              <w:topLinePunct/>
              <w:autoSpaceDE/>
              <w:autoSpaceDN/>
              <w:bidi w:val="0"/>
              <w:spacing w:line="240" w:lineRule="auto"/>
              <w:ind w:left="0" w:firstLine="480" w:firstLineChars="20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c>
          <w:tcPr>
            <w:tcW w:w="1637" w:type="pct"/>
            <w:vAlign w:val="center"/>
          </w:tcPr>
          <w:p w14:paraId="4CB46160">
            <w:pPr>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24</w:t>
            </w:r>
          </w:p>
        </w:tc>
        <w:tc>
          <w:tcPr>
            <w:tcW w:w="807" w:type="pct"/>
            <w:vAlign w:val="center"/>
          </w:tcPr>
          <w:p w14:paraId="3E36C7C8">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7"/>
                <w:sz w:val="24"/>
                <w:szCs w:val="24"/>
                <w:highlight w:val="none"/>
              </w:rPr>
              <w:t>施工工期</w:t>
            </w:r>
          </w:p>
        </w:tc>
        <w:tc>
          <w:tcPr>
            <w:tcW w:w="1660" w:type="pct"/>
            <w:tcBorders>
              <w:right w:val="single" w:color="000000" w:sz="6" w:space="0"/>
            </w:tcBorders>
            <w:vAlign w:val="center"/>
          </w:tcPr>
          <w:p w14:paraId="41566E71">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
                <w:position w:val="1"/>
                <w:sz w:val="24"/>
                <w:szCs w:val="24"/>
                <w:highlight w:val="none"/>
                <w:lang w:val="en-US" w:eastAsia="zh-CN"/>
              </w:rPr>
              <w:t>12</w:t>
            </w:r>
            <w:r>
              <w:rPr>
                <w:rFonts w:hint="default" w:ascii="Times New Roman" w:hAnsi="Times New Roman" w:eastAsia="宋体" w:cs="Times New Roman"/>
                <w:color w:val="auto"/>
                <w:spacing w:val="1"/>
                <w:position w:val="1"/>
                <w:sz w:val="24"/>
                <w:szCs w:val="24"/>
                <w:highlight w:val="none"/>
              </w:rPr>
              <w:t>个月</w:t>
            </w:r>
          </w:p>
        </w:tc>
      </w:tr>
      <w:tr w14:paraId="39F3F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894" w:type="pct"/>
            <w:tcBorders>
              <w:left w:val="single" w:color="000000" w:sz="6" w:space="0"/>
              <w:bottom w:val="single" w:color="auto" w:sz="4" w:space="0"/>
            </w:tcBorders>
            <w:vAlign w:val="center"/>
          </w:tcPr>
          <w:p w14:paraId="0C7F1C12">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是否开工建设</w:t>
            </w:r>
          </w:p>
        </w:tc>
        <w:tc>
          <w:tcPr>
            <w:tcW w:w="1637" w:type="pct"/>
            <w:tcBorders>
              <w:bottom w:val="single" w:color="auto" w:sz="4" w:space="0"/>
            </w:tcBorders>
            <w:vAlign w:val="center"/>
          </w:tcPr>
          <w:p w14:paraId="4F806C83">
            <w:pPr>
              <w:pStyle w:val="25"/>
              <w:pageBreakBefore w:val="0"/>
              <w:kinsoku/>
              <w:wordWrap w:val="0"/>
              <w:overflowPunct/>
              <w:topLinePunct/>
              <w:autoSpaceDE/>
              <w:autoSpaceDN/>
              <w:bidi w:val="0"/>
              <w:spacing w:line="240" w:lineRule="auto"/>
              <w:jc w:val="lef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否</w:t>
            </w:r>
          </w:p>
          <w:p w14:paraId="313327E4">
            <w:pPr>
              <w:pStyle w:val="25"/>
              <w:pageBreakBefore w:val="0"/>
              <w:kinsoku/>
              <w:wordWrap w:val="0"/>
              <w:overflowPunct/>
              <w:topLinePunct/>
              <w:autoSpaceDE/>
              <w:autoSpaceDN/>
              <w:bidi w:val="0"/>
              <w:spacing w:line="240" w:lineRule="auto"/>
              <w:jc w:val="lef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是：</w:t>
            </w:r>
          </w:p>
        </w:tc>
        <w:tc>
          <w:tcPr>
            <w:tcW w:w="807" w:type="pct"/>
            <w:tcBorders>
              <w:bottom w:val="single" w:color="auto" w:sz="4" w:space="0"/>
            </w:tcBorders>
            <w:vAlign w:val="center"/>
          </w:tcPr>
          <w:p w14:paraId="6207A2B5">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pacing w:val="24"/>
                <w:sz w:val="24"/>
                <w:szCs w:val="24"/>
                <w:highlight w:val="none"/>
                <w:lang w:val="en-US" w:eastAsia="zh-CN"/>
              </w:rPr>
            </w:pPr>
            <w:r>
              <w:rPr>
                <w:rFonts w:hint="default" w:ascii="Times New Roman" w:hAnsi="Times New Roman" w:eastAsia="宋体" w:cs="Times New Roman"/>
                <w:color w:val="auto"/>
                <w:spacing w:val="24"/>
                <w:sz w:val="24"/>
                <w:szCs w:val="24"/>
                <w:highlight w:val="none"/>
                <w:lang w:val="en-US" w:eastAsia="zh-CN"/>
              </w:rPr>
              <w:t>用地面积（m</w:t>
            </w:r>
            <w:r>
              <w:rPr>
                <w:rFonts w:hint="default" w:ascii="Times New Roman" w:hAnsi="Times New Roman" w:eastAsia="宋体" w:cs="Times New Roman"/>
                <w:color w:val="auto"/>
                <w:spacing w:val="24"/>
                <w:sz w:val="24"/>
                <w:szCs w:val="24"/>
                <w:highlight w:val="none"/>
                <w:vertAlign w:val="superscript"/>
                <w:lang w:val="en-US" w:eastAsia="zh-CN"/>
              </w:rPr>
              <w:t>2</w:t>
            </w:r>
            <w:r>
              <w:rPr>
                <w:rFonts w:hint="default" w:ascii="Times New Roman" w:hAnsi="Times New Roman" w:eastAsia="宋体" w:cs="Times New Roman"/>
                <w:color w:val="auto"/>
                <w:spacing w:val="24"/>
                <w:sz w:val="24"/>
                <w:szCs w:val="24"/>
                <w:highlight w:val="none"/>
                <w:lang w:val="en-US" w:eastAsia="zh-CN"/>
              </w:rPr>
              <w:t>）</w:t>
            </w:r>
          </w:p>
        </w:tc>
        <w:tc>
          <w:tcPr>
            <w:tcW w:w="1660" w:type="pct"/>
            <w:tcBorders>
              <w:bottom w:val="single" w:color="auto" w:sz="4" w:space="0"/>
              <w:right w:val="single" w:color="000000" w:sz="6" w:space="0"/>
            </w:tcBorders>
            <w:vAlign w:val="center"/>
          </w:tcPr>
          <w:p w14:paraId="63DCDF6E">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pacing w:val="24"/>
                <w:sz w:val="24"/>
                <w:szCs w:val="24"/>
                <w:highlight w:val="none"/>
                <w:lang w:val="en-US" w:eastAsia="zh-CN"/>
              </w:rPr>
            </w:pPr>
            <w:r>
              <w:rPr>
                <w:rFonts w:hint="default" w:ascii="Times New Roman" w:hAnsi="Times New Roman" w:eastAsia="宋体" w:cs="Times New Roman"/>
                <w:color w:val="auto"/>
                <w:spacing w:val="24"/>
                <w:sz w:val="24"/>
                <w:szCs w:val="24"/>
                <w:highlight w:val="none"/>
                <w:lang w:val="en-US" w:eastAsia="zh-CN"/>
              </w:rPr>
              <w:t>2356.93（租赁厂房，不新增占地）</w:t>
            </w:r>
          </w:p>
        </w:tc>
      </w:tr>
      <w:tr w14:paraId="4B6F72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894" w:type="pct"/>
            <w:tcBorders>
              <w:left w:val="single" w:color="000000" w:sz="6" w:space="0"/>
            </w:tcBorders>
            <w:vAlign w:val="center"/>
          </w:tcPr>
          <w:p w14:paraId="6A8E7935">
            <w:pPr>
              <w:pStyle w:val="25"/>
              <w:pageBreakBefore w:val="0"/>
              <w:kinsoku/>
              <w:wordWrap w:val="0"/>
              <w:overflowPunct/>
              <w:topLinePunct/>
              <w:autoSpaceDE/>
              <w:autoSpaceDN/>
              <w:bidi w:val="0"/>
              <w:spacing w:line="240" w:lineRule="auto"/>
              <w:ind w:left="0" w:right="196" w:hanging="208"/>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7"/>
                <w:sz w:val="24"/>
                <w:szCs w:val="24"/>
                <w:highlight w:val="none"/>
              </w:rPr>
              <w:t>专项评价设置情况</w:t>
            </w:r>
          </w:p>
        </w:tc>
        <w:tc>
          <w:tcPr>
            <w:tcW w:w="4105" w:type="pct"/>
            <w:gridSpan w:val="3"/>
            <w:tcBorders>
              <w:top w:val="single" w:color="auto" w:sz="4" w:space="0"/>
              <w:right w:val="single" w:color="000000" w:sz="6" w:space="0"/>
            </w:tcBorders>
            <w:vAlign w:val="center"/>
          </w:tcPr>
          <w:p w14:paraId="00EC94C8">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无</w:t>
            </w:r>
          </w:p>
        </w:tc>
      </w:tr>
      <w:tr w14:paraId="26B1E5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894" w:type="pct"/>
            <w:tcBorders>
              <w:left w:val="single" w:color="000000" w:sz="6" w:space="0"/>
            </w:tcBorders>
            <w:vAlign w:val="center"/>
          </w:tcPr>
          <w:p w14:paraId="0B6CA6D6">
            <w:pPr>
              <w:pStyle w:val="25"/>
              <w:pageBreakBefore w:val="0"/>
              <w:kinsoku/>
              <w:wordWrap w:val="0"/>
              <w:overflowPunct/>
              <w:topLinePunct/>
              <w:autoSpaceDE/>
              <w:autoSpaceDN/>
              <w:bidi w:val="0"/>
              <w:spacing w:line="240" w:lineRule="auto"/>
              <w:ind w:left="0" w:right="0"/>
              <w:jc w:val="center"/>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规划情况</w:t>
            </w:r>
          </w:p>
        </w:tc>
        <w:tc>
          <w:tcPr>
            <w:tcW w:w="4105" w:type="pct"/>
            <w:gridSpan w:val="3"/>
            <w:tcBorders>
              <w:right w:val="single" w:color="000000" w:sz="6" w:space="0"/>
            </w:tcBorders>
            <w:shd w:val="clear" w:color="auto" w:fill="auto"/>
            <w:vAlign w:val="center"/>
          </w:tcPr>
          <w:p w14:paraId="56973402">
            <w:pPr>
              <w:pStyle w:val="25"/>
              <w:pageBreakBefore w:val="0"/>
              <w:kinsoku/>
              <w:wordWrap w:val="0"/>
              <w:overflowPunct/>
              <w:topLinePunct/>
              <w:autoSpaceDE/>
              <w:autoSpaceDN/>
              <w:bidi w:val="0"/>
              <w:spacing w:line="360" w:lineRule="auto"/>
              <w:ind w:left="0" w:right="0" w:firstLine="480" w:firstLineChars="200"/>
              <w:jc w:val="left"/>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规划名称：</w:t>
            </w:r>
            <w:r>
              <w:rPr>
                <w:rFonts w:hint="default" w:ascii="Times New Roman" w:hAnsi="Times New Roman" w:eastAsia="宋体" w:cs="Times New Roman"/>
                <w:b/>
                <w:bCs/>
                <w:color w:val="auto"/>
                <w:kern w:val="2"/>
                <w:sz w:val="24"/>
                <w:szCs w:val="24"/>
                <w:highlight w:val="none"/>
                <w:lang w:val="en-US" w:eastAsia="zh-CN" w:bidi="ar-SA"/>
              </w:rPr>
              <w:t>《玛纳斯工业园区塔河产业区总体规划（2024-2035年）（修编）</w:t>
            </w:r>
          </w:p>
          <w:p w14:paraId="517C7DB5">
            <w:pPr>
              <w:pStyle w:val="25"/>
              <w:pageBreakBefore w:val="0"/>
              <w:kinsoku/>
              <w:wordWrap w:val="0"/>
              <w:overflowPunct/>
              <w:topLinePunct/>
              <w:autoSpaceDE/>
              <w:autoSpaceDN/>
              <w:bidi w:val="0"/>
              <w:spacing w:line="360" w:lineRule="auto"/>
              <w:ind w:left="0" w:right="0" w:firstLine="480" w:firstLineChars="200"/>
              <w:jc w:val="left"/>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审批机关：玛纳斯县人民政府</w:t>
            </w:r>
          </w:p>
          <w:p w14:paraId="59DB1E4D">
            <w:pPr>
              <w:pStyle w:val="25"/>
              <w:pageBreakBefore w:val="0"/>
              <w:kinsoku/>
              <w:wordWrap w:val="0"/>
              <w:overflowPunct/>
              <w:topLinePunct/>
              <w:autoSpaceDE/>
              <w:autoSpaceDN/>
              <w:bidi w:val="0"/>
              <w:spacing w:line="360" w:lineRule="auto"/>
              <w:ind w:left="0" w:right="0" w:firstLine="480" w:firstLineChars="200"/>
              <w:jc w:val="left"/>
              <w:rPr>
                <w:rFonts w:hint="default" w:ascii="Times New Roman" w:hAnsi="Times New Roman" w:eastAsia="宋体" w:cs="Times New Roman"/>
                <w:snapToGrid w:val="0"/>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审批文件名称及审批文号：</w:t>
            </w:r>
          </w:p>
        </w:tc>
      </w:tr>
      <w:tr w14:paraId="46C5E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894" w:type="pct"/>
            <w:tcBorders>
              <w:left w:val="single" w:color="000000" w:sz="6" w:space="0"/>
            </w:tcBorders>
            <w:vAlign w:val="center"/>
          </w:tcPr>
          <w:p w14:paraId="5171186C">
            <w:pPr>
              <w:pStyle w:val="25"/>
              <w:pageBreakBefore w:val="0"/>
              <w:kinsoku/>
              <w:wordWrap w:val="0"/>
              <w:overflowPunct/>
              <w:topLinePunct/>
              <w:autoSpaceDE/>
              <w:autoSpaceDN/>
              <w:bidi w:val="0"/>
              <w:spacing w:line="240" w:lineRule="auto"/>
              <w:ind w:left="0" w:firstLine="0" w:firstLineChars="0"/>
              <w:jc w:val="center"/>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规划环境影响</w:t>
            </w:r>
          </w:p>
          <w:p w14:paraId="33D3E2C6">
            <w:pPr>
              <w:pStyle w:val="25"/>
              <w:pageBreakBefore w:val="0"/>
              <w:kinsoku/>
              <w:wordWrap w:val="0"/>
              <w:overflowPunct/>
              <w:topLinePunct/>
              <w:autoSpaceDE/>
              <w:autoSpaceDN/>
              <w:bidi w:val="0"/>
              <w:spacing w:line="240" w:lineRule="auto"/>
              <w:ind w:left="0" w:firstLine="0" w:firstLineChars="0"/>
              <w:jc w:val="center"/>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评价情况</w:t>
            </w:r>
          </w:p>
        </w:tc>
        <w:tc>
          <w:tcPr>
            <w:tcW w:w="4105" w:type="pct"/>
            <w:gridSpan w:val="3"/>
            <w:tcBorders>
              <w:right w:val="single" w:color="000000" w:sz="6" w:space="0"/>
            </w:tcBorders>
            <w:shd w:val="clear" w:color="auto" w:fill="auto"/>
            <w:vAlign w:val="center"/>
          </w:tcPr>
          <w:p w14:paraId="5D70E0D8">
            <w:pPr>
              <w:pStyle w:val="25"/>
              <w:pageBreakBefore w:val="0"/>
              <w:kinsoku/>
              <w:wordWrap w:val="0"/>
              <w:overflowPunct/>
              <w:topLinePunct/>
              <w:autoSpaceDE/>
              <w:autoSpaceDN/>
              <w:bidi w:val="0"/>
              <w:spacing w:before="131" w:line="375" w:lineRule="auto"/>
              <w:ind w:right="46" w:rightChars="0"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规划环境影响评价文件：《玛纳斯工业园区塔河产业区总体规划（2024-2035年）（修编）环境影响报告书》</w:t>
            </w:r>
          </w:p>
          <w:p w14:paraId="0C24CCE9">
            <w:pPr>
              <w:pStyle w:val="25"/>
              <w:pageBreakBefore w:val="0"/>
              <w:kinsoku/>
              <w:wordWrap w:val="0"/>
              <w:overflowPunct/>
              <w:topLinePunct/>
              <w:autoSpaceDE/>
              <w:autoSpaceDN/>
              <w:bidi w:val="0"/>
              <w:spacing w:before="131" w:line="375" w:lineRule="auto"/>
              <w:ind w:right="46" w:rightChars="0"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召集审查机关：昌吉回族自治州生态环境局</w:t>
            </w:r>
          </w:p>
          <w:p w14:paraId="3E4B683D">
            <w:pPr>
              <w:pStyle w:val="25"/>
              <w:pageBreakBefore w:val="0"/>
              <w:kinsoku/>
              <w:wordWrap w:val="0"/>
              <w:overflowPunct/>
              <w:topLinePunct/>
              <w:autoSpaceDE/>
              <w:autoSpaceDN/>
              <w:bidi w:val="0"/>
              <w:spacing w:before="131" w:line="375" w:lineRule="auto"/>
              <w:ind w:right="46" w:rightChars="0" w:firstLine="480" w:firstLineChars="200"/>
              <w:jc w:val="both"/>
              <w:rPr>
                <w:rFonts w:hint="default" w:ascii="Times New Roman" w:hAnsi="Times New Roman" w:eastAsia="宋体" w:cs="Times New Roman"/>
                <w:snapToGrid w:val="0"/>
                <w:color w:val="auto"/>
                <w:kern w:val="2"/>
                <w:sz w:val="24"/>
                <w:szCs w:val="24"/>
                <w:highlight w:val="none"/>
                <w:lang w:val="en-US" w:eastAsia="en-US" w:bidi="ar-SA"/>
              </w:rPr>
            </w:pPr>
            <w:r>
              <w:rPr>
                <w:rFonts w:hint="default" w:ascii="Times New Roman" w:hAnsi="Times New Roman" w:eastAsia="宋体" w:cs="Times New Roman"/>
                <w:color w:val="auto"/>
                <w:kern w:val="2"/>
                <w:sz w:val="24"/>
                <w:szCs w:val="24"/>
                <w:highlight w:val="none"/>
                <w:lang w:val="en-US" w:eastAsia="zh-CN" w:bidi="ar-SA"/>
              </w:rPr>
              <w:t>审查文件名称及文号：《关于&lt;玛纳斯工业园区塔河产业区总体规划(2024-2035)(修编)环境影响报告书&gt;的审查意见》昌州环函[2025]11号</w:t>
            </w:r>
          </w:p>
        </w:tc>
      </w:tr>
      <w:tr w14:paraId="37FA5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64" w:hRule="atLeast"/>
        </w:trPr>
        <w:tc>
          <w:tcPr>
            <w:tcW w:w="894" w:type="pct"/>
            <w:tcBorders>
              <w:left w:val="single" w:color="000000" w:sz="6" w:space="0"/>
              <w:bottom w:val="single" w:color="auto" w:sz="4" w:space="0"/>
            </w:tcBorders>
            <w:vAlign w:val="center"/>
          </w:tcPr>
          <w:p w14:paraId="2A820FC6">
            <w:pPr>
              <w:pStyle w:val="25"/>
              <w:pageBreakBefore w:val="0"/>
              <w:kinsoku/>
              <w:wordWrap w:val="0"/>
              <w:overflowPunct/>
              <w:topLinePunct/>
              <w:autoSpaceDE/>
              <w:autoSpaceDN/>
              <w:bidi w:val="0"/>
              <w:spacing w:line="240" w:lineRule="auto"/>
              <w:ind w:firstLine="0" w:firstLineChars="0"/>
              <w:jc w:val="center"/>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规划及规划</w:t>
            </w:r>
          </w:p>
          <w:p w14:paraId="0AEE69DC">
            <w:pPr>
              <w:pStyle w:val="25"/>
              <w:pageBreakBefore w:val="0"/>
              <w:kinsoku/>
              <w:wordWrap w:val="0"/>
              <w:overflowPunct/>
              <w:topLinePunct/>
              <w:autoSpaceDE/>
              <w:autoSpaceDN/>
              <w:bidi w:val="0"/>
              <w:spacing w:line="240" w:lineRule="auto"/>
              <w:ind w:firstLine="0" w:firstLineChars="0"/>
              <w:jc w:val="center"/>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环境影响评</w:t>
            </w:r>
          </w:p>
          <w:p w14:paraId="43276545">
            <w:pPr>
              <w:pStyle w:val="25"/>
              <w:pageBreakBefore w:val="0"/>
              <w:kinsoku/>
              <w:wordWrap w:val="0"/>
              <w:overflowPunct/>
              <w:topLinePunct/>
              <w:autoSpaceDE/>
              <w:autoSpaceDN/>
              <w:bidi w:val="0"/>
              <w:spacing w:line="240" w:lineRule="auto"/>
              <w:ind w:firstLine="0" w:firstLineChars="0"/>
              <w:jc w:val="center"/>
              <w:rPr>
                <w:rFonts w:hint="default" w:ascii="Times New Roman" w:hAnsi="Times New Roman" w:eastAsia="宋体" w:cs="Times New Roman"/>
                <w:color w:val="auto"/>
                <w:spacing w:val="7"/>
                <w:sz w:val="24"/>
                <w:szCs w:val="24"/>
                <w:highlight w:val="none"/>
              </w:rPr>
            </w:pPr>
            <w:r>
              <w:rPr>
                <w:rFonts w:hint="default" w:ascii="Times New Roman" w:hAnsi="Times New Roman" w:eastAsia="宋体" w:cs="Times New Roman"/>
                <w:color w:val="auto"/>
                <w:spacing w:val="7"/>
                <w:sz w:val="24"/>
                <w:szCs w:val="24"/>
                <w:highlight w:val="none"/>
              </w:rPr>
              <w:t>价符合性分析</w:t>
            </w:r>
          </w:p>
        </w:tc>
        <w:tc>
          <w:tcPr>
            <w:tcW w:w="4105" w:type="pct"/>
            <w:gridSpan w:val="3"/>
            <w:tcBorders>
              <w:bottom w:val="single" w:color="auto" w:sz="4" w:space="0"/>
              <w:right w:val="single" w:color="000000" w:sz="6" w:space="0"/>
            </w:tcBorders>
            <w:shd w:val="clear" w:color="auto" w:fill="auto"/>
            <w:vAlign w:val="center"/>
          </w:tcPr>
          <w:p w14:paraId="651651C1">
            <w:pPr>
              <w:pStyle w:val="25"/>
              <w:pageBreakBefore w:val="0"/>
              <w:kinsoku/>
              <w:wordWrap w:val="0"/>
              <w:overflowPunct/>
              <w:topLinePunct/>
              <w:autoSpaceDE/>
              <w:autoSpaceDN/>
              <w:bidi w:val="0"/>
              <w:spacing w:before="157" w:line="360" w:lineRule="auto"/>
              <w:ind w:left="114" w:firstLine="502" w:firstLineChars="200"/>
              <w:rPr>
                <w:rFonts w:hint="default" w:ascii="Times New Roman" w:hAnsi="Times New Roman" w:eastAsia="宋体" w:cs="Times New Roman"/>
                <w:b/>
                <w:bCs/>
                <w:color w:val="auto"/>
                <w:spacing w:val="5"/>
                <w:sz w:val="24"/>
                <w:szCs w:val="24"/>
                <w:highlight w:val="none"/>
              </w:rPr>
            </w:pPr>
            <w:r>
              <w:rPr>
                <w:rFonts w:hint="default" w:ascii="Times New Roman" w:hAnsi="Times New Roman" w:eastAsia="宋体" w:cs="Times New Roman"/>
                <w:b/>
                <w:bCs/>
                <w:color w:val="auto"/>
                <w:spacing w:val="5"/>
                <w:sz w:val="24"/>
                <w:szCs w:val="24"/>
                <w:highlight w:val="none"/>
                <w:lang w:val="en-US" w:eastAsia="en-US"/>
              </w:rPr>
              <w:t>1</w:t>
            </w:r>
            <w:r>
              <w:rPr>
                <w:rFonts w:hint="default" w:ascii="Times New Roman" w:hAnsi="Times New Roman" w:eastAsia="宋体" w:cs="Times New Roman"/>
                <w:b/>
                <w:bCs/>
                <w:color w:val="auto"/>
                <w:spacing w:val="5"/>
                <w:sz w:val="24"/>
                <w:szCs w:val="24"/>
                <w:highlight w:val="none"/>
              </w:rPr>
              <w:t>与</w:t>
            </w:r>
            <w:r>
              <w:rPr>
                <w:rFonts w:hint="default" w:ascii="Times New Roman" w:hAnsi="Times New Roman" w:eastAsia="宋体" w:cs="Times New Roman"/>
                <w:b/>
                <w:bCs/>
                <w:color w:val="auto"/>
                <w:kern w:val="2"/>
                <w:sz w:val="24"/>
                <w:szCs w:val="24"/>
                <w:highlight w:val="none"/>
                <w:lang w:val="en-US" w:eastAsia="zh-CN" w:bidi="ar-SA"/>
              </w:rPr>
              <w:t>《玛纳斯工业园区塔河产业区总体规划（2024-2035年）（修编）》</w:t>
            </w:r>
            <w:r>
              <w:rPr>
                <w:rFonts w:hint="default" w:ascii="Times New Roman" w:hAnsi="Times New Roman" w:eastAsia="宋体" w:cs="Times New Roman"/>
                <w:b/>
                <w:bCs/>
                <w:color w:val="auto"/>
                <w:spacing w:val="5"/>
                <w:sz w:val="24"/>
                <w:szCs w:val="24"/>
                <w:highlight w:val="none"/>
              </w:rPr>
              <w:t>的符合性分析</w:t>
            </w:r>
          </w:p>
          <w:p w14:paraId="09C10351">
            <w:pPr>
              <w:keepNext w:val="0"/>
              <w:keepLines w:val="0"/>
              <w:pageBreakBefore w:val="0"/>
              <w:widowControl/>
              <w:suppressLineNumbers w:val="0"/>
              <w:kinsoku/>
              <w:wordWrap w:val="0"/>
              <w:overflowPunct/>
              <w:topLinePunct/>
              <w:autoSpaceDE/>
              <w:autoSpaceDN/>
              <w:bidi w:val="0"/>
              <w:spacing w:line="360" w:lineRule="auto"/>
              <w:ind w:firstLine="480"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2"/>
                <w:sz w:val="24"/>
                <w:szCs w:val="24"/>
                <w:highlight w:val="none"/>
                <w:lang w:val="en-US" w:eastAsia="zh-CN" w:bidi="ar-SA"/>
              </w:rPr>
              <w:t>玛纳斯工业园区塔河产业区</w:t>
            </w:r>
            <w:r>
              <w:rPr>
                <w:rFonts w:hint="default" w:ascii="Times New Roman" w:hAnsi="Times New Roman" w:eastAsia="宋体" w:cs="Times New Roman"/>
                <w:color w:val="auto"/>
                <w:kern w:val="0"/>
                <w:sz w:val="24"/>
                <w:szCs w:val="24"/>
                <w:highlight w:val="none"/>
                <w:lang w:val="en-US" w:eastAsia="zh-CN" w:bidi="ar"/>
              </w:rPr>
              <w:t>规划修编范围约14.87km</w:t>
            </w:r>
            <w:r>
              <w:rPr>
                <w:rFonts w:hint="default" w:ascii="Times New Roman" w:hAnsi="Times New Roman" w:eastAsia="宋体" w:cs="Times New Roman"/>
                <w:color w:val="auto"/>
                <w:kern w:val="0"/>
                <w:sz w:val="24"/>
                <w:szCs w:val="24"/>
                <w:highlight w:val="none"/>
                <w:vertAlign w:val="superscript"/>
                <w:lang w:val="en-US" w:eastAsia="zh-CN" w:bidi="ar"/>
              </w:rPr>
              <w:t>2</w:t>
            </w:r>
            <w:r>
              <w:rPr>
                <w:rFonts w:hint="default" w:ascii="Times New Roman" w:hAnsi="Times New Roman" w:eastAsia="宋体" w:cs="Times New Roman"/>
                <w:color w:val="auto"/>
                <w:kern w:val="0"/>
                <w:sz w:val="24"/>
                <w:szCs w:val="24"/>
                <w:highlight w:val="none"/>
                <w:lang w:val="en-US" w:eastAsia="zh-CN" w:bidi="ar"/>
              </w:rPr>
              <w:t>（包括城镇开发边界内的规划用地11.57km</w:t>
            </w:r>
            <w:r>
              <w:rPr>
                <w:rFonts w:hint="default" w:ascii="Times New Roman" w:hAnsi="Times New Roman" w:eastAsia="宋体" w:cs="Times New Roman"/>
                <w:color w:val="auto"/>
                <w:kern w:val="0"/>
                <w:sz w:val="24"/>
                <w:szCs w:val="24"/>
                <w:highlight w:val="none"/>
                <w:vertAlign w:val="superscript"/>
                <w:lang w:val="en-US" w:eastAsia="zh-CN" w:bidi="ar"/>
              </w:rPr>
              <w:t>2</w:t>
            </w:r>
            <w:r>
              <w:rPr>
                <w:rFonts w:hint="default" w:ascii="Times New Roman" w:hAnsi="Times New Roman" w:eastAsia="宋体" w:cs="Times New Roman"/>
                <w:color w:val="auto"/>
                <w:kern w:val="0"/>
                <w:sz w:val="24"/>
                <w:szCs w:val="24"/>
                <w:highlight w:val="none"/>
                <w:lang w:val="en-US" w:eastAsia="zh-CN" w:bidi="ar"/>
              </w:rPr>
              <w:t>和城镇开发边界外的远景用地3.30km</w:t>
            </w:r>
            <w:r>
              <w:rPr>
                <w:rFonts w:hint="default" w:ascii="Times New Roman" w:hAnsi="Times New Roman" w:eastAsia="宋体" w:cs="Times New Roman"/>
                <w:color w:val="auto"/>
                <w:kern w:val="0"/>
                <w:sz w:val="24"/>
                <w:szCs w:val="24"/>
                <w:highlight w:val="none"/>
                <w:vertAlign w:val="superscript"/>
                <w:lang w:val="en-US" w:eastAsia="zh-CN" w:bidi="ar"/>
              </w:rPr>
              <w:t>2</w:t>
            </w:r>
            <w:r>
              <w:rPr>
                <w:rFonts w:hint="default" w:ascii="Times New Roman" w:hAnsi="Times New Roman" w:eastAsia="宋体" w:cs="Times New Roman"/>
                <w:color w:val="auto"/>
                <w:kern w:val="0"/>
                <w:sz w:val="24"/>
                <w:szCs w:val="24"/>
                <w:highlight w:val="none"/>
                <w:lang w:val="en-US" w:eastAsia="zh-CN" w:bidi="ar"/>
              </w:rPr>
              <w:t>）为规划编制范围。共分为玛纳斯工业园区塔河产业区（南区）、玛纳斯工业园区塔河产业区（北区）。规划玛纳斯工业园区塔河产业区的产业发展方向为：以化工园区为依托，以心连心、中能万源、嘉润现有产业为基础，建设以煤化工为基础的新材料和精细化工，以及以环保科技为主的特色综合精深加工产业。具体包括新材料产业、新能源产业、先进制造业、资源综合再利用及节能环保等产业。并以开展和拓展产业链为主要特征，构建相关产业共生耦合发展和产业链互补的循环产业网络，辐射带动玛纳斯地区循环经济产业发展的示范产业园区。</w:t>
            </w:r>
          </w:p>
          <w:p w14:paraId="2EA0130C">
            <w:pPr>
              <w:keepNext w:val="0"/>
              <w:keepLines w:val="0"/>
              <w:pageBreakBefore w:val="0"/>
              <w:widowControl/>
              <w:suppressLineNumbers w:val="0"/>
              <w:kinsoku/>
              <w:wordWrap w:val="0"/>
              <w:overflowPunct/>
              <w:topLinePunct/>
              <w:autoSpaceDE/>
              <w:autoSpaceDN/>
              <w:bidi w:val="0"/>
              <w:spacing w:line="360" w:lineRule="auto"/>
              <w:ind w:firstLine="480" w:firstLineChars="200"/>
              <w:jc w:val="both"/>
              <w:rPr>
                <w:rFonts w:hint="default" w:ascii="Times New Roman" w:hAnsi="Times New Roman" w:eastAsia="宋体" w:cs="Times New Roman"/>
                <w:color w:val="auto"/>
                <w:spacing w:val="9"/>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bidi="ar"/>
              </w:rPr>
              <w:t>本项目位于</w:t>
            </w:r>
            <w:r>
              <w:rPr>
                <w:rFonts w:hint="default" w:ascii="Times New Roman" w:hAnsi="Times New Roman" w:eastAsia="宋体" w:cs="Times New Roman"/>
                <w:color w:val="auto"/>
                <w:kern w:val="0"/>
                <w:sz w:val="24"/>
                <w:szCs w:val="24"/>
                <w:highlight w:val="none"/>
                <w:lang w:val="en-US" w:eastAsia="en-US" w:bidi="ar"/>
              </w:rPr>
              <w:t>玛纳斯县塔河工业园区</w:t>
            </w:r>
            <w:r>
              <w:rPr>
                <w:rFonts w:hint="default" w:ascii="Times New Roman" w:hAnsi="Times New Roman" w:eastAsia="宋体" w:cs="Times New Roman"/>
                <w:color w:val="auto"/>
                <w:kern w:val="0"/>
                <w:sz w:val="24"/>
                <w:szCs w:val="24"/>
                <w:highlight w:val="none"/>
                <w:lang w:val="en-US" w:eastAsia="zh-CN" w:bidi="ar"/>
              </w:rPr>
              <w:t>南区资源综合再利用及节能环保产业区，</w:t>
            </w:r>
            <w:r>
              <w:rPr>
                <w:rFonts w:hint="eastAsia" w:ascii="Times New Roman" w:hAnsi="Times New Roman" w:eastAsia="宋体" w:cs="Times New Roman"/>
                <w:color w:val="auto"/>
                <w:kern w:val="0"/>
                <w:sz w:val="24"/>
                <w:szCs w:val="24"/>
                <w:highlight w:val="none"/>
                <w:lang w:val="en-US" w:eastAsia="zh-CN" w:bidi="ar"/>
              </w:rPr>
              <w:t>资源综合再利用产业定位：利用固体废物、废水（液）、废气、再生资源、废旧金属综合利用、农林水产废弃物及其他废弃资源等生产相关产品。</w:t>
            </w:r>
            <w:r>
              <w:rPr>
                <w:rFonts w:hint="default" w:ascii="Times New Roman" w:hAnsi="Times New Roman" w:eastAsia="宋体" w:cs="Times New Roman"/>
                <w:color w:val="auto"/>
                <w:spacing w:val="10"/>
                <w:sz w:val="24"/>
                <w:szCs w:val="24"/>
                <w:highlight w:val="none"/>
                <w:lang w:val="en-US" w:eastAsia="zh-CN"/>
              </w:rPr>
              <w:t>本项目</w:t>
            </w:r>
            <w:r>
              <w:rPr>
                <w:rFonts w:hint="default" w:ascii="Times New Roman" w:hAnsi="Times New Roman" w:eastAsia="宋体" w:cs="Times New Roman"/>
                <w:color w:val="auto"/>
                <w:spacing w:val="10"/>
                <w:sz w:val="24"/>
                <w:szCs w:val="24"/>
                <w:highlight w:val="none"/>
              </w:rPr>
              <w:t>以</w:t>
            </w:r>
            <w:r>
              <w:rPr>
                <w:rFonts w:hint="default" w:ascii="Times New Roman" w:hAnsi="Times New Roman" w:eastAsia="宋体" w:cs="Times New Roman"/>
                <w:color w:val="auto"/>
                <w:spacing w:val="10"/>
                <w:sz w:val="24"/>
                <w:szCs w:val="24"/>
                <w:highlight w:val="none"/>
                <w:lang w:val="en-US" w:eastAsia="zh-CN"/>
              </w:rPr>
              <w:t>机制砂</w:t>
            </w:r>
            <w:r>
              <w:rPr>
                <w:rFonts w:hint="default" w:ascii="Times New Roman" w:hAnsi="Times New Roman" w:eastAsia="宋体" w:cs="Times New Roman"/>
                <w:color w:val="auto"/>
                <w:spacing w:val="10"/>
                <w:sz w:val="24"/>
                <w:szCs w:val="24"/>
                <w:highlight w:val="none"/>
              </w:rPr>
              <w:t>、</w:t>
            </w:r>
            <w:r>
              <w:rPr>
                <w:rFonts w:hint="default" w:ascii="Times New Roman" w:hAnsi="Times New Roman" w:eastAsia="宋体" w:cs="Times New Roman"/>
                <w:b/>
                <w:bCs/>
                <w:color w:val="auto"/>
                <w:spacing w:val="10"/>
                <w:sz w:val="24"/>
                <w:szCs w:val="24"/>
                <w:highlight w:val="none"/>
              </w:rPr>
              <w:t>炉渣</w:t>
            </w:r>
            <w:r>
              <w:rPr>
                <w:rFonts w:hint="default" w:ascii="Times New Roman" w:hAnsi="Times New Roman" w:eastAsia="宋体" w:cs="Times New Roman"/>
                <w:color w:val="auto"/>
                <w:spacing w:val="10"/>
                <w:sz w:val="24"/>
                <w:szCs w:val="24"/>
                <w:highlight w:val="none"/>
              </w:rPr>
              <w:t>、元明粉、三乙醇胺为主要原料，另</w:t>
            </w:r>
            <w:r>
              <w:rPr>
                <w:rFonts w:hint="default" w:ascii="Times New Roman" w:hAnsi="Times New Roman" w:eastAsia="宋体" w:cs="Times New Roman"/>
                <w:color w:val="auto"/>
                <w:spacing w:val="10"/>
                <w:sz w:val="24"/>
                <w:szCs w:val="24"/>
                <w:highlight w:val="none"/>
                <w:lang w:val="en-US" w:eastAsia="zh-CN"/>
              </w:rPr>
              <w:t>外</w:t>
            </w:r>
            <w:r>
              <w:rPr>
                <w:rFonts w:hint="default" w:ascii="Times New Roman" w:hAnsi="Times New Roman" w:eastAsia="宋体" w:cs="Times New Roman"/>
                <w:color w:val="auto"/>
                <w:spacing w:val="10"/>
                <w:sz w:val="24"/>
                <w:szCs w:val="24"/>
                <w:highlight w:val="none"/>
              </w:rPr>
              <w:t>添加其他原料等混合加工而成的矿化</w:t>
            </w:r>
            <w:r>
              <w:rPr>
                <w:rFonts w:hint="default" w:ascii="Times New Roman" w:hAnsi="Times New Roman" w:eastAsia="宋体" w:cs="Times New Roman"/>
                <w:color w:val="auto"/>
                <w:spacing w:val="10"/>
                <w:sz w:val="24"/>
                <w:szCs w:val="24"/>
                <w:highlight w:val="none"/>
                <w:lang w:val="en-US" w:eastAsia="zh-CN"/>
              </w:rPr>
              <w:t>料</w:t>
            </w:r>
            <w:r>
              <w:rPr>
                <w:rFonts w:hint="default" w:ascii="Times New Roman" w:hAnsi="Times New Roman" w:eastAsia="宋体" w:cs="Times New Roman"/>
                <w:color w:val="auto"/>
                <w:spacing w:val="10"/>
                <w:sz w:val="24"/>
                <w:szCs w:val="24"/>
                <w:highlight w:val="none"/>
              </w:rPr>
              <w:t>产品</w:t>
            </w:r>
            <w:r>
              <w:rPr>
                <w:rFonts w:hint="eastAsia" w:ascii="Times New Roman" w:hAnsi="Times New Roman" w:eastAsia="宋体" w:cs="Times New Roman"/>
                <w:color w:val="auto"/>
                <w:spacing w:val="10"/>
                <w:sz w:val="24"/>
                <w:szCs w:val="24"/>
                <w:highlight w:val="none"/>
                <w:lang w:eastAsia="zh-CN"/>
              </w:rPr>
              <w:t>。</w:t>
            </w:r>
            <w:r>
              <w:rPr>
                <w:rFonts w:hint="default" w:ascii="Times New Roman" w:hAnsi="Times New Roman" w:eastAsia="宋体" w:cs="Times New Roman"/>
                <w:color w:val="auto"/>
                <w:spacing w:val="9"/>
                <w:sz w:val="24"/>
                <w:szCs w:val="24"/>
                <w:highlight w:val="none"/>
                <w:lang w:val="en-US" w:eastAsia="zh-CN"/>
              </w:rPr>
              <w:t>符合开发区总体规划</w:t>
            </w:r>
            <w:r>
              <w:rPr>
                <w:rFonts w:hint="default" w:ascii="Times New Roman" w:hAnsi="Times New Roman" w:eastAsia="宋体" w:cs="Times New Roman"/>
                <w:color w:val="auto"/>
                <w:spacing w:val="9"/>
                <w:sz w:val="24"/>
                <w:szCs w:val="24"/>
                <w:highlight w:val="none"/>
              </w:rPr>
              <w:t>。</w:t>
            </w:r>
            <w:r>
              <w:rPr>
                <w:rFonts w:hint="default" w:ascii="Times New Roman" w:hAnsi="Times New Roman" w:eastAsia="宋体" w:cs="Times New Roman"/>
                <w:color w:val="auto"/>
                <w:spacing w:val="9"/>
                <w:sz w:val="24"/>
                <w:szCs w:val="24"/>
                <w:highlight w:val="none"/>
                <w:lang w:eastAsia="zh-CN"/>
              </w:rPr>
              <w:t>本项目在开发区总体空间布局规划中的位置</w:t>
            </w:r>
            <w:r>
              <w:rPr>
                <w:rFonts w:hint="default" w:ascii="Times New Roman" w:hAnsi="Times New Roman" w:eastAsia="宋体" w:cs="Times New Roman"/>
                <w:color w:val="auto"/>
                <w:spacing w:val="9"/>
                <w:sz w:val="24"/>
                <w:szCs w:val="24"/>
                <w:highlight w:val="none"/>
                <w:lang w:val="en-US" w:eastAsia="zh-CN"/>
              </w:rPr>
              <w:t>见附图1-1。</w:t>
            </w:r>
          </w:p>
          <w:p w14:paraId="1D76718C">
            <w:pPr>
              <w:pStyle w:val="25"/>
              <w:pageBreakBefore w:val="0"/>
              <w:kinsoku/>
              <w:wordWrap w:val="0"/>
              <w:overflowPunct/>
              <w:topLinePunct/>
              <w:autoSpaceDE/>
              <w:autoSpaceDN/>
              <w:bidi w:val="0"/>
              <w:spacing w:line="360" w:lineRule="auto"/>
              <w:ind w:left="0" w:firstLine="502" w:firstLineChars="200"/>
              <w:rPr>
                <w:rFonts w:hint="default" w:ascii="Times New Roman" w:hAnsi="Times New Roman" w:eastAsia="宋体" w:cs="Times New Roman"/>
                <w:b/>
                <w:bCs/>
                <w:color w:val="auto"/>
                <w:spacing w:val="5"/>
                <w:sz w:val="24"/>
                <w:szCs w:val="24"/>
                <w:highlight w:val="none"/>
                <w:lang w:val="en-US" w:eastAsia="en-US"/>
              </w:rPr>
            </w:pPr>
            <w:r>
              <w:rPr>
                <w:rFonts w:hint="default" w:ascii="Times New Roman" w:hAnsi="Times New Roman" w:eastAsia="宋体" w:cs="Times New Roman"/>
                <w:b/>
                <w:bCs/>
                <w:color w:val="auto"/>
                <w:spacing w:val="5"/>
                <w:sz w:val="24"/>
                <w:szCs w:val="24"/>
                <w:highlight w:val="none"/>
                <w:lang w:val="en-US" w:eastAsia="en-US"/>
              </w:rPr>
              <w:t>2</w:t>
            </w:r>
            <w:r>
              <w:rPr>
                <w:rFonts w:hint="default" w:ascii="Times New Roman" w:hAnsi="Times New Roman" w:eastAsia="宋体" w:cs="Times New Roman"/>
                <w:b/>
                <w:bCs/>
                <w:color w:val="auto"/>
                <w:spacing w:val="5"/>
                <w:sz w:val="24"/>
                <w:szCs w:val="24"/>
                <w:highlight w:val="none"/>
              </w:rPr>
              <w:t>与</w:t>
            </w:r>
            <w:r>
              <w:rPr>
                <w:rFonts w:hint="default" w:ascii="Times New Roman" w:hAnsi="Times New Roman" w:eastAsia="宋体" w:cs="Times New Roman"/>
                <w:b/>
                <w:bCs/>
                <w:color w:val="auto"/>
                <w:spacing w:val="5"/>
                <w:sz w:val="24"/>
                <w:szCs w:val="24"/>
                <w:highlight w:val="none"/>
                <w:lang w:val="en-US" w:eastAsia="zh-CN"/>
              </w:rPr>
              <w:t>《玛纳斯工业园区塔河产业区总体规划（2024-2035年）（修编）环境影响报告书》</w:t>
            </w:r>
            <w:r>
              <w:rPr>
                <w:rFonts w:hint="default" w:ascii="Times New Roman" w:hAnsi="Times New Roman" w:eastAsia="宋体" w:cs="Times New Roman"/>
                <w:b/>
                <w:bCs/>
                <w:color w:val="auto"/>
                <w:spacing w:val="5"/>
                <w:sz w:val="24"/>
                <w:szCs w:val="24"/>
                <w:highlight w:val="none"/>
              </w:rPr>
              <w:t>及审查意见的符合性分析</w:t>
            </w:r>
          </w:p>
          <w:p w14:paraId="75FDD9DF">
            <w:pPr>
              <w:pStyle w:val="25"/>
              <w:pageBreakBefore w:val="0"/>
              <w:kinsoku/>
              <w:wordWrap w:val="0"/>
              <w:overflowPunct/>
              <w:topLinePunct/>
              <w:autoSpaceDE/>
              <w:autoSpaceDN/>
              <w:bidi w:val="0"/>
              <w:spacing w:line="360" w:lineRule="auto"/>
              <w:ind w:left="0" w:right="0" w:firstLine="516" w:firstLineChars="200"/>
              <w:jc w:val="both"/>
              <w:rPr>
                <w:rFonts w:hint="default" w:ascii="Times New Roman" w:hAnsi="Times New Roman" w:eastAsia="宋体" w:cs="Times New Roman"/>
                <w:color w:val="auto"/>
                <w:spacing w:val="9"/>
                <w:sz w:val="24"/>
                <w:szCs w:val="24"/>
                <w:highlight w:val="none"/>
                <w:lang w:eastAsia="zh-CN"/>
              </w:rPr>
            </w:pPr>
            <w:r>
              <w:rPr>
                <w:rFonts w:hint="default" w:ascii="Times New Roman" w:hAnsi="Times New Roman" w:eastAsia="宋体" w:cs="Times New Roman"/>
                <w:color w:val="auto"/>
                <w:spacing w:val="9"/>
                <w:sz w:val="24"/>
                <w:szCs w:val="24"/>
                <w:highlight w:val="none"/>
                <w:lang w:eastAsia="zh-CN"/>
              </w:rPr>
              <w:t>本项目与</w:t>
            </w:r>
            <w:r>
              <w:rPr>
                <w:rFonts w:hint="default" w:ascii="Times New Roman" w:hAnsi="Times New Roman" w:eastAsia="宋体" w:cs="Times New Roman"/>
                <w:color w:val="auto"/>
                <w:kern w:val="2"/>
                <w:sz w:val="24"/>
                <w:szCs w:val="24"/>
                <w:highlight w:val="none"/>
                <w:lang w:val="en-US" w:eastAsia="zh-CN" w:bidi="ar-SA"/>
              </w:rPr>
              <w:t>《玛纳斯工业园区塔河产业区总体规划（2024-2035年）（修编）环境影响报告书》</w:t>
            </w:r>
            <w:r>
              <w:rPr>
                <w:rFonts w:hint="default" w:ascii="Times New Roman" w:hAnsi="Times New Roman" w:eastAsia="宋体" w:cs="Times New Roman"/>
                <w:color w:val="auto"/>
                <w:spacing w:val="9"/>
                <w:sz w:val="24"/>
                <w:szCs w:val="24"/>
                <w:highlight w:val="none"/>
              </w:rPr>
              <w:t>及审查意见的符合性分析</w:t>
            </w:r>
            <w:r>
              <w:rPr>
                <w:rFonts w:hint="default" w:ascii="Times New Roman" w:hAnsi="Times New Roman" w:eastAsia="宋体" w:cs="Times New Roman"/>
                <w:color w:val="auto"/>
                <w:spacing w:val="9"/>
                <w:sz w:val="24"/>
                <w:szCs w:val="24"/>
                <w:highlight w:val="none"/>
                <w:lang w:eastAsia="zh-CN"/>
              </w:rPr>
              <w:t>详见表1</w:t>
            </w:r>
            <w:r>
              <w:rPr>
                <w:rFonts w:hint="default" w:ascii="Times New Roman" w:hAnsi="Times New Roman" w:eastAsia="宋体" w:cs="Times New Roman"/>
                <w:color w:val="auto"/>
                <w:spacing w:val="9"/>
                <w:sz w:val="24"/>
                <w:szCs w:val="24"/>
                <w:highlight w:val="none"/>
                <w:lang w:val="en-US" w:eastAsia="zh-CN"/>
              </w:rPr>
              <w:t>-1</w:t>
            </w:r>
            <w:r>
              <w:rPr>
                <w:rFonts w:hint="default" w:ascii="Times New Roman" w:hAnsi="Times New Roman" w:eastAsia="宋体" w:cs="Times New Roman"/>
                <w:color w:val="auto"/>
                <w:spacing w:val="9"/>
                <w:sz w:val="24"/>
                <w:szCs w:val="24"/>
                <w:highlight w:val="none"/>
                <w:lang w:eastAsia="zh-CN"/>
              </w:rPr>
              <w:t>。</w:t>
            </w:r>
          </w:p>
          <w:p w14:paraId="49ABA9EC">
            <w:pPr>
              <w:pStyle w:val="25"/>
              <w:pageBreakBefore w:val="0"/>
              <w:kinsoku/>
              <w:wordWrap w:val="0"/>
              <w:overflowPunct/>
              <w:topLinePunct/>
              <w:autoSpaceDE/>
              <w:autoSpaceDN/>
              <w:bidi w:val="0"/>
              <w:spacing w:before="33" w:line="246" w:lineRule="auto"/>
              <w:ind w:left="49" w:firstLine="450" w:firstLineChars="200"/>
              <w:jc w:val="center"/>
              <w:rPr>
                <w:rFonts w:hint="default" w:ascii="Times New Roman" w:hAnsi="Times New Roman" w:eastAsia="宋体" w:cs="Times New Roman"/>
                <w:b/>
                <w:bCs/>
                <w:color w:val="auto"/>
                <w:spacing w:val="7"/>
                <w:sz w:val="21"/>
                <w:szCs w:val="21"/>
                <w:highlight w:val="none"/>
                <w:lang w:val="en-US" w:eastAsia="zh-CN"/>
              </w:rPr>
            </w:pPr>
          </w:p>
          <w:p w14:paraId="4B7923DC">
            <w:pPr>
              <w:pStyle w:val="25"/>
              <w:pageBreakBefore w:val="0"/>
              <w:kinsoku/>
              <w:wordWrap w:val="0"/>
              <w:overflowPunct/>
              <w:topLinePunct/>
              <w:autoSpaceDE/>
              <w:autoSpaceDN/>
              <w:bidi w:val="0"/>
              <w:spacing w:before="33" w:line="246" w:lineRule="auto"/>
              <w:ind w:left="49" w:firstLine="450" w:firstLineChars="200"/>
              <w:jc w:val="center"/>
              <w:rPr>
                <w:rFonts w:hint="default" w:ascii="Times New Roman" w:hAnsi="Times New Roman" w:eastAsia="宋体" w:cs="Times New Roman"/>
                <w:b/>
                <w:bCs/>
                <w:color w:val="auto"/>
                <w:spacing w:val="7"/>
                <w:sz w:val="21"/>
                <w:szCs w:val="21"/>
                <w:highlight w:val="none"/>
                <w:lang w:val="en-US" w:eastAsia="zh-CN"/>
              </w:rPr>
            </w:pPr>
          </w:p>
          <w:p w14:paraId="0659B3E8">
            <w:pPr>
              <w:pStyle w:val="25"/>
              <w:pageBreakBefore w:val="0"/>
              <w:kinsoku/>
              <w:wordWrap w:val="0"/>
              <w:overflowPunct/>
              <w:topLinePunct/>
              <w:autoSpaceDE/>
              <w:autoSpaceDN/>
              <w:bidi w:val="0"/>
              <w:spacing w:before="33" w:line="246" w:lineRule="auto"/>
              <w:ind w:left="49" w:firstLine="450" w:firstLineChars="200"/>
              <w:jc w:val="center"/>
              <w:rPr>
                <w:rFonts w:hint="default" w:ascii="Times New Roman" w:hAnsi="Times New Roman" w:eastAsia="宋体" w:cs="Times New Roman"/>
                <w:b/>
                <w:bCs/>
                <w:color w:val="auto"/>
                <w:spacing w:val="7"/>
                <w:sz w:val="21"/>
                <w:szCs w:val="21"/>
                <w:highlight w:val="none"/>
                <w:lang w:val="en-US" w:eastAsia="zh-CN"/>
              </w:rPr>
            </w:pPr>
          </w:p>
          <w:p w14:paraId="4C6DAEFF">
            <w:pPr>
              <w:pStyle w:val="25"/>
              <w:pageBreakBefore w:val="0"/>
              <w:kinsoku/>
              <w:wordWrap w:val="0"/>
              <w:overflowPunct/>
              <w:topLinePunct/>
              <w:autoSpaceDE/>
              <w:autoSpaceDN/>
              <w:bidi w:val="0"/>
              <w:spacing w:before="33" w:line="246" w:lineRule="auto"/>
              <w:ind w:left="49" w:firstLine="450" w:firstLineChars="200"/>
              <w:jc w:val="center"/>
              <w:rPr>
                <w:rFonts w:hint="default" w:ascii="Times New Roman" w:hAnsi="Times New Roman" w:eastAsia="宋体" w:cs="Times New Roman"/>
                <w:b/>
                <w:bCs/>
                <w:color w:val="auto"/>
                <w:spacing w:val="7"/>
                <w:sz w:val="21"/>
                <w:szCs w:val="21"/>
                <w:highlight w:val="none"/>
                <w:lang w:val="en-US" w:eastAsia="zh-CN"/>
              </w:rPr>
            </w:pPr>
          </w:p>
          <w:p w14:paraId="220CC59D">
            <w:pPr>
              <w:pStyle w:val="25"/>
              <w:pageBreakBefore w:val="0"/>
              <w:kinsoku/>
              <w:wordWrap w:val="0"/>
              <w:overflowPunct/>
              <w:topLinePunct/>
              <w:autoSpaceDE/>
              <w:autoSpaceDN/>
              <w:bidi w:val="0"/>
              <w:spacing w:before="33" w:line="246" w:lineRule="auto"/>
              <w:ind w:left="49" w:firstLine="450" w:firstLineChars="200"/>
              <w:jc w:val="center"/>
              <w:rPr>
                <w:rFonts w:hint="default" w:ascii="Times New Roman" w:hAnsi="Times New Roman" w:eastAsia="宋体" w:cs="Times New Roman"/>
                <w:b/>
                <w:bCs/>
                <w:color w:val="auto"/>
                <w:spacing w:val="7"/>
                <w:sz w:val="21"/>
                <w:szCs w:val="21"/>
                <w:highlight w:val="none"/>
                <w:lang w:val="en-US" w:eastAsia="zh-CN"/>
              </w:rPr>
            </w:pPr>
            <w:r>
              <w:rPr>
                <w:rFonts w:hint="default" w:ascii="Times New Roman" w:hAnsi="Times New Roman" w:eastAsia="宋体" w:cs="Times New Roman"/>
                <w:b/>
                <w:bCs/>
                <w:color w:val="auto"/>
                <w:spacing w:val="7"/>
                <w:sz w:val="21"/>
                <w:szCs w:val="21"/>
                <w:highlight w:val="none"/>
                <w:lang w:val="en-US" w:eastAsia="zh-CN"/>
              </w:rPr>
              <w:t>表1-1本项目与规划环评及审查意见符合性分析</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37"/>
              <w:gridCol w:w="3920"/>
              <w:gridCol w:w="2417"/>
              <w:gridCol w:w="652"/>
            </w:tblGrid>
            <w:tr w14:paraId="28EA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904" w:type="pct"/>
                  <w:gridSpan w:val="2"/>
                  <w:noWrap w:val="0"/>
                  <w:vAlign w:val="center"/>
                </w:tcPr>
                <w:p w14:paraId="4757A9B8">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规划环评及审查意见要求</w:t>
                  </w:r>
                </w:p>
              </w:tc>
              <w:tc>
                <w:tcPr>
                  <w:tcW w:w="1649" w:type="pct"/>
                  <w:noWrap w:val="0"/>
                  <w:vAlign w:val="center"/>
                </w:tcPr>
                <w:p w14:paraId="6019A408">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本项目情况</w:t>
                  </w:r>
                </w:p>
              </w:tc>
              <w:tc>
                <w:tcPr>
                  <w:tcW w:w="445" w:type="pct"/>
                  <w:noWrap w:val="0"/>
                  <w:vAlign w:val="center"/>
                </w:tcPr>
                <w:p w14:paraId="67D99B08">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符合性分析</w:t>
                  </w:r>
                </w:p>
              </w:tc>
            </w:tr>
            <w:tr w14:paraId="18CA8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230" w:type="pct"/>
                  <w:vMerge w:val="restart"/>
                  <w:tcBorders>
                    <w:tl2br w:val="nil"/>
                    <w:tr2bl w:val="nil"/>
                  </w:tcBorders>
                  <w:noWrap w:val="0"/>
                  <w:vAlign w:val="center"/>
                </w:tcPr>
                <w:p w14:paraId="6A3D280C">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规划环评</w:t>
                  </w:r>
                </w:p>
              </w:tc>
              <w:tc>
                <w:tcPr>
                  <w:tcW w:w="2674" w:type="pct"/>
                  <w:tcBorders>
                    <w:tl2br w:val="nil"/>
                    <w:tr2bl w:val="nil"/>
                  </w:tcBorders>
                  <w:shd w:val="clear" w:color="auto" w:fill="auto"/>
                  <w:noWrap w:val="0"/>
                  <w:vAlign w:val="center"/>
                </w:tcPr>
                <w:p w14:paraId="061C50D4">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严格项目准入制度，规划实施过程中应严把项目准入制度，对于符合园区总体规划的企业，在功能、产业布局中也应严格遵守规划区功能区划要求，严格履行审批手续和环境影响评价制度。对于不符合园区总体规划要求、环境准入要求、产业政策的项目严禁作为本规划包含的项目入驻塔河产业区。</w:t>
                  </w:r>
                </w:p>
              </w:tc>
              <w:tc>
                <w:tcPr>
                  <w:tcW w:w="1649" w:type="pct"/>
                  <w:tcBorders>
                    <w:tl2br w:val="nil"/>
                    <w:tr2bl w:val="nil"/>
                  </w:tcBorders>
                  <w:noWrap w:val="0"/>
                  <w:vAlign w:val="center"/>
                </w:tcPr>
                <w:p w14:paraId="267F8D43">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9"/>
                      <w:sz w:val="21"/>
                      <w:szCs w:val="21"/>
                      <w:highlight w:val="none"/>
                      <w:lang w:val="en-US" w:eastAsia="zh-CN"/>
                    </w:rPr>
                    <w:t>本项目属于其他建筑材料制造，位于</w:t>
                  </w:r>
                  <w:r>
                    <w:rPr>
                      <w:rFonts w:hint="default" w:ascii="Times New Roman" w:hAnsi="Times New Roman" w:eastAsia="宋体" w:cs="Times New Roman"/>
                      <w:color w:val="auto"/>
                      <w:spacing w:val="9"/>
                      <w:sz w:val="21"/>
                      <w:szCs w:val="21"/>
                      <w:highlight w:val="none"/>
                      <w:lang w:val="en-US" w:eastAsia="en-US"/>
                    </w:rPr>
                    <w:t>玛纳斯县塔西河工业园区</w:t>
                  </w:r>
                  <w:r>
                    <w:rPr>
                      <w:rFonts w:hint="default" w:ascii="Times New Roman" w:hAnsi="Times New Roman" w:eastAsia="宋体" w:cs="Times New Roman"/>
                      <w:color w:val="auto"/>
                      <w:spacing w:val="9"/>
                      <w:sz w:val="21"/>
                      <w:szCs w:val="21"/>
                      <w:highlight w:val="none"/>
                      <w:lang w:val="en-US" w:eastAsia="zh-CN"/>
                    </w:rPr>
                    <w:t>南区</w:t>
                  </w:r>
                  <w:r>
                    <w:rPr>
                      <w:rFonts w:hint="default" w:ascii="Times New Roman" w:hAnsi="Times New Roman" w:eastAsia="宋体" w:cs="Times New Roman"/>
                      <w:color w:val="auto"/>
                      <w:kern w:val="0"/>
                      <w:sz w:val="21"/>
                      <w:szCs w:val="21"/>
                      <w:highlight w:val="none"/>
                      <w:lang w:val="en-US" w:eastAsia="zh-CN" w:bidi="ar"/>
                    </w:rPr>
                    <w:t>资源综合再利用及节能环保产业区</w:t>
                  </w:r>
                  <w:r>
                    <w:rPr>
                      <w:rFonts w:hint="default" w:ascii="Times New Roman" w:hAnsi="Times New Roman" w:eastAsia="宋体" w:cs="Times New Roman"/>
                      <w:color w:val="auto"/>
                      <w:spacing w:val="9"/>
                      <w:sz w:val="21"/>
                      <w:szCs w:val="21"/>
                      <w:highlight w:val="none"/>
                      <w:lang w:val="en-US" w:eastAsia="zh-CN"/>
                    </w:rPr>
                    <w:t>，符合开发区总体规划</w:t>
                  </w:r>
                  <w:r>
                    <w:rPr>
                      <w:rFonts w:hint="default" w:ascii="Times New Roman" w:hAnsi="Times New Roman" w:eastAsia="宋体" w:cs="Times New Roman"/>
                      <w:color w:val="auto"/>
                      <w:spacing w:val="9"/>
                      <w:sz w:val="21"/>
                      <w:szCs w:val="21"/>
                      <w:highlight w:val="none"/>
                    </w:rPr>
                    <w:t>。</w:t>
                  </w:r>
                  <w:r>
                    <w:rPr>
                      <w:rFonts w:hint="default" w:ascii="Times New Roman" w:hAnsi="Times New Roman" w:eastAsia="宋体" w:cs="Times New Roman"/>
                      <w:color w:val="auto"/>
                      <w:spacing w:val="9"/>
                      <w:sz w:val="21"/>
                      <w:szCs w:val="21"/>
                      <w:highlight w:val="none"/>
                      <w:lang w:val="en-US" w:eastAsia="zh-CN"/>
                    </w:rPr>
                    <w:t>正在开展</w:t>
                  </w:r>
                  <w:r>
                    <w:rPr>
                      <w:rFonts w:hint="default" w:ascii="Times New Roman" w:hAnsi="Times New Roman" w:eastAsia="宋体" w:cs="Times New Roman"/>
                      <w:color w:val="auto"/>
                      <w:spacing w:val="7"/>
                      <w:sz w:val="21"/>
                      <w:szCs w:val="21"/>
                      <w:highlight w:val="none"/>
                      <w:lang w:val="en-US" w:eastAsia="zh-CN"/>
                    </w:rPr>
                    <w:t>环境影响评价工作</w:t>
                  </w:r>
                </w:p>
              </w:tc>
              <w:tc>
                <w:tcPr>
                  <w:tcW w:w="445" w:type="pct"/>
                  <w:tcBorders>
                    <w:tl2br w:val="nil"/>
                    <w:tr2bl w:val="nil"/>
                  </w:tcBorders>
                  <w:noWrap w:val="0"/>
                  <w:vAlign w:val="center"/>
                </w:tcPr>
                <w:p w14:paraId="4639A7F3">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符合</w:t>
                  </w:r>
                </w:p>
              </w:tc>
            </w:tr>
            <w:tr w14:paraId="7394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0" w:type="pct"/>
                  <w:vMerge w:val="continue"/>
                  <w:tcBorders>
                    <w:tl2br w:val="nil"/>
                    <w:tr2bl w:val="nil"/>
                  </w:tcBorders>
                  <w:noWrap w:val="0"/>
                  <w:vAlign w:val="center"/>
                </w:tcPr>
                <w:p w14:paraId="7E4B6182">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p>
              </w:tc>
              <w:tc>
                <w:tcPr>
                  <w:tcW w:w="2674" w:type="pct"/>
                  <w:tcBorders>
                    <w:tl2br w:val="nil"/>
                    <w:tr2bl w:val="nil"/>
                  </w:tcBorders>
                  <w:shd w:val="clear" w:color="auto" w:fill="auto"/>
                  <w:noWrap w:val="0"/>
                  <w:vAlign w:val="center"/>
                </w:tcPr>
                <w:p w14:paraId="1703171A">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强化环境管理，衔接排污许可，在本规划实施过程中应将清洁生产理念贯穿始末，树立从源头控制，从全过程控制的理念，将污染控制在源头中，削减在生产过程的每一个环节中，从而从源头上减少污染物的产生，以保证区域的环境质量达到相应功能区指标要求。对于入驻企业来说，应通过不断地改进设计、采用先进的工艺技术与装备、使用清洁的能源和原料、改善管理、提高综合利用等措施，提高资源利用效率，减少生产、服务，以及产品使用过程中污染物的产生量，从而减轻对人类健康和环境的危害。入园企业要结合所属行业排污许可证申请与核发技术规范，按时申报企业排污许可证，建立环保设施运行卡，对环保设施定期进行检查和维护。园区从规划、施工到正式运行各个阶段均应把环境保护思想贯彻始终，建立、健全管理机构，完善管理制度，加强监管，确保企业的生产和排污在可控范围内。另外，在规划实施过程中，应实行总量控制原则，将总量指标合理分配至每一个企业，确保当地环境质量不下降。</w:t>
                  </w:r>
                </w:p>
              </w:tc>
              <w:tc>
                <w:tcPr>
                  <w:tcW w:w="1649" w:type="pct"/>
                  <w:tcBorders>
                    <w:tl2br w:val="nil"/>
                    <w:tr2bl w:val="nil"/>
                  </w:tcBorders>
                  <w:noWrap w:val="0"/>
                  <w:vAlign w:val="center"/>
                </w:tcPr>
                <w:p w14:paraId="3C030545">
                  <w:pPr>
                    <w:pStyle w:val="25"/>
                    <w:pageBreakBefore w:val="0"/>
                    <w:kinsoku/>
                    <w:wordWrap w:val="0"/>
                    <w:overflowPunct/>
                    <w:topLinePunct/>
                    <w:autoSpaceDE/>
                    <w:autoSpaceDN/>
                    <w:bidi w:val="0"/>
                    <w:spacing w:line="240" w:lineRule="auto"/>
                    <w:ind w:left="0" w:firstLine="0" w:firstLineChars="0"/>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w:t>
                  </w:r>
                  <w:r>
                    <w:rPr>
                      <w:rFonts w:hint="default" w:ascii="Times New Roman" w:hAnsi="Times New Roman" w:eastAsia="宋体" w:cs="Times New Roman"/>
                      <w:color w:val="auto"/>
                      <w:sz w:val="21"/>
                      <w:szCs w:val="21"/>
                      <w:highlight w:val="none"/>
                    </w:rPr>
                    <w:t>不属于《产业结构调整指导目录（2024年本）》中“鼓励类”、“限制类”、“淘汰类”，视为允许类</w:t>
                  </w:r>
                  <w:r>
                    <w:rPr>
                      <w:rFonts w:hint="default" w:ascii="Times New Roman" w:hAnsi="Times New Roman" w:eastAsia="宋体" w:cs="Times New Roman"/>
                      <w:color w:val="auto"/>
                      <w:sz w:val="21"/>
                      <w:szCs w:val="21"/>
                      <w:highlight w:val="none"/>
                      <w:lang w:val="en-US" w:eastAsia="zh-CN"/>
                    </w:rPr>
                    <w:t>建设项目。本项目无生产废水收集的粉尘回收利用，不外排。</w:t>
                  </w:r>
                </w:p>
              </w:tc>
              <w:tc>
                <w:tcPr>
                  <w:tcW w:w="445" w:type="pct"/>
                  <w:tcBorders>
                    <w:tl2br w:val="nil"/>
                    <w:tr2bl w:val="nil"/>
                  </w:tcBorders>
                  <w:noWrap w:val="0"/>
                  <w:vAlign w:val="center"/>
                </w:tcPr>
                <w:p w14:paraId="63C26263">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符合</w:t>
                  </w:r>
                </w:p>
              </w:tc>
            </w:tr>
            <w:tr w14:paraId="3B18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0" w:type="pct"/>
                  <w:vMerge w:val="continue"/>
                  <w:tcBorders>
                    <w:tl2br w:val="nil"/>
                    <w:tr2bl w:val="nil"/>
                  </w:tcBorders>
                  <w:noWrap w:val="0"/>
                  <w:vAlign w:val="center"/>
                </w:tcPr>
                <w:p w14:paraId="74C0D59F">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p>
              </w:tc>
              <w:tc>
                <w:tcPr>
                  <w:tcW w:w="2674" w:type="pct"/>
                  <w:tcBorders>
                    <w:tl2br w:val="nil"/>
                    <w:tr2bl w:val="nil"/>
                  </w:tcBorders>
                  <w:shd w:val="clear" w:color="auto" w:fill="auto"/>
                  <w:noWrap w:val="0"/>
                  <w:vAlign w:val="center"/>
                </w:tcPr>
                <w:p w14:paraId="6BE03E9B">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根据《昌吉地区“三线一单”生态环境分区管控方案》、《昌吉回族自治州区域空间生态环境评价暨“三线一单”生态环境准入清单动态更新成果》，从空间布局约束、污染物排放管控、环境风险防控、资源开发利用等方面，提出本园区总体规划生态环境准入清单本次规划生态环境准入清单。</w:t>
                  </w:r>
                </w:p>
              </w:tc>
              <w:tc>
                <w:tcPr>
                  <w:tcW w:w="1649" w:type="pct"/>
                  <w:tcBorders>
                    <w:tl2br w:val="nil"/>
                    <w:tr2bl w:val="nil"/>
                  </w:tcBorders>
                  <w:noWrap w:val="0"/>
                  <w:vAlign w:val="center"/>
                </w:tcPr>
                <w:p w14:paraId="1AC51097">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本项目符合《昌吉地区“三线一单”生态环境分区管控方案》、《昌吉回族自治州区域空间生态环境评价暨“三线一单”生态环境准入清单动态更新成果》要求，具体分析见表1-5.</w:t>
                  </w:r>
                </w:p>
              </w:tc>
              <w:tc>
                <w:tcPr>
                  <w:tcW w:w="445" w:type="pct"/>
                  <w:tcBorders>
                    <w:tl2br w:val="nil"/>
                    <w:tr2bl w:val="nil"/>
                  </w:tcBorders>
                  <w:noWrap w:val="0"/>
                  <w:vAlign w:val="center"/>
                </w:tcPr>
                <w:p w14:paraId="59935CB9">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符合</w:t>
                  </w:r>
                </w:p>
              </w:tc>
            </w:tr>
            <w:tr w14:paraId="5331D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0" w:type="pct"/>
                  <w:vMerge w:val="restart"/>
                  <w:tcBorders>
                    <w:tl2br w:val="nil"/>
                    <w:tr2bl w:val="nil"/>
                  </w:tcBorders>
                  <w:noWrap w:val="0"/>
                  <w:vAlign w:val="center"/>
                </w:tcPr>
                <w:p w14:paraId="1B3BAF31">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b w:val="0"/>
                      <w:bCs w:val="0"/>
                      <w:color w:val="auto"/>
                      <w:spacing w:val="7"/>
                      <w:sz w:val="21"/>
                      <w:szCs w:val="21"/>
                      <w:highlight w:val="none"/>
                      <w:lang w:val="en-US" w:eastAsia="zh-CN"/>
                    </w:rPr>
                    <w:t>审查意见</w:t>
                  </w:r>
                </w:p>
              </w:tc>
              <w:tc>
                <w:tcPr>
                  <w:tcW w:w="2674" w:type="pct"/>
                  <w:tcBorders>
                    <w:tl2br w:val="nil"/>
                    <w:tr2bl w:val="nil"/>
                  </w:tcBorders>
                  <w:shd w:val="clear" w:color="auto" w:fill="auto"/>
                  <w:noWrap w:val="0"/>
                  <w:vAlign w:val="center"/>
                </w:tcPr>
                <w:p w14:paraId="4AE0FD31">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园区规划环境影响报告书通过生态环境主管部门组织审查后，在园区内新建、扩建、技术改造的建设项目，应对照《建设项目环境影响评价分类管理名录》的要求编制环境影响评价文件,编制时应结合规划环评提出的指导意见，重点开展工程分析环境影响预测与评价、环境风险评价和环保措施的可行性论证强化环境监测和环境保护相关措施的落实。</w:t>
                  </w:r>
                </w:p>
              </w:tc>
              <w:tc>
                <w:tcPr>
                  <w:tcW w:w="1649" w:type="pct"/>
                  <w:tcBorders>
                    <w:tl2br w:val="nil"/>
                    <w:tr2bl w:val="nil"/>
                  </w:tcBorders>
                  <w:noWrap w:val="0"/>
                  <w:vAlign w:val="center"/>
                </w:tcPr>
                <w:p w14:paraId="30569FE9">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本项目对照《建设项目环境影响评价分类管理名录》的要求应编制环境影响评价报告表，报告中重点论述了工程分析环境影响预测与评价、环境风险评价和环保措施的可行性论证强化环境监测和环境保护相关措施的落实。</w:t>
                  </w:r>
                </w:p>
              </w:tc>
              <w:tc>
                <w:tcPr>
                  <w:tcW w:w="445" w:type="pct"/>
                  <w:tcBorders>
                    <w:tl2br w:val="nil"/>
                    <w:tr2bl w:val="nil"/>
                  </w:tcBorders>
                  <w:noWrap w:val="0"/>
                  <w:vAlign w:val="center"/>
                </w:tcPr>
                <w:p w14:paraId="4CE91BB0">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p>
              </w:tc>
            </w:tr>
            <w:tr w14:paraId="1ACA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0" w:type="pct"/>
                  <w:vMerge w:val="continue"/>
                  <w:tcBorders>
                    <w:tl2br w:val="nil"/>
                    <w:tr2bl w:val="nil"/>
                  </w:tcBorders>
                  <w:noWrap w:val="0"/>
                  <w:vAlign w:val="center"/>
                </w:tcPr>
                <w:p w14:paraId="735D1291">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p>
              </w:tc>
              <w:tc>
                <w:tcPr>
                  <w:tcW w:w="2674" w:type="pct"/>
                  <w:tcBorders>
                    <w:tl2br w:val="nil"/>
                    <w:tr2bl w:val="nil"/>
                  </w:tcBorders>
                  <w:shd w:val="clear" w:color="auto" w:fill="auto"/>
                  <w:noWrap w:val="0"/>
                  <w:vAlign w:val="center"/>
                </w:tcPr>
                <w:p w14:paraId="193DCE4F">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规划环评结论及审查意见被园区管理机构和规划审批机关采纳的，入园区建设项目的环评内容可以适当简化。简化内容包括:符合园区规划环评结论及审查意见的入园建设项目政策符合性分析、选址的环境合理性和可行性论证；符合时效性要求的区域生态环境现状调查评价(区域环境质量呈下降趋势或项目新增特征污染物的除外)；入园建设项目依托的污水处理、固体废物处理处置、交通运输等基础设施已按园区规划环评要求建设并运行的相关评价内容。</w:t>
                  </w:r>
                </w:p>
              </w:tc>
              <w:tc>
                <w:tcPr>
                  <w:tcW w:w="1649" w:type="pct"/>
                  <w:tcBorders>
                    <w:tl2br w:val="nil"/>
                    <w:tr2bl w:val="nil"/>
                  </w:tcBorders>
                  <w:noWrap w:val="0"/>
                  <w:vAlign w:val="center"/>
                </w:tcPr>
                <w:p w14:paraId="42CADEAE">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eastAsia="宋体" w:cs="Times New Roman"/>
                      <w:color w:val="auto"/>
                      <w:spacing w:val="7"/>
                      <w:sz w:val="21"/>
                      <w:szCs w:val="21"/>
                      <w:highlight w:val="none"/>
                      <w:lang w:val="en-US" w:eastAsia="zh-CN"/>
                    </w:rPr>
                    <w:t>本项目环评文件已简化相关分析。</w:t>
                  </w:r>
                </w:p>
              </w:tc>
              <w:tc>
                <w:tcPr>
                  <w:tcW w:w="445" w:type="pct"/>
                  <w:tcBorders>
                    <w:tl2br w:val="nil"/>
                    <w:tr2bl w:val="nil"/>
                  </w:tcBorders>
                  <w:noWrap w:val="0"/>
                  <w:vAlign w:val="center"/>
                </w:tcPr>
                <w:p w14:paraId="6C3E575C">
                  <w:pPr>
                    <w:pStyle w:val="25"/>
                    <w:pageBreakBefore w:val="0"/>
                    <w:kinsoku/>
                    <w:wordWrap w:val="0"/>
                    <w:overflowPunct/>
                    <w:topLinePunct/>
                    <w:autoSpaceDE/>
                    <w:autoSpaceDN/>
                    <w:bidi w:val="0"/>
                    <w:spacing w:before="33" w:line="246" w:lineRule="auto"/>
                    <w:ind w:left="49" w:firstLine="1"/>
                    <w:jc w:val="center"/>
                    <w:rPr>
                      <w:rFonts w:hint="default" w:ascii="Times New Roman" w:hAnsi="Times New Roman" w:eastAsia="宋体" w:cs="Times New Roman"/>
                      <w:color w:val="auto"/>
                      <w:spacing w:val="7"/>
                      <w:sz w:val="21"/>
                      <w:szCs w:val="21"/>
                      <w:highlight w:val="none"/>
                      <w:lang w:val="en-US" w:eastAsia="zh-CN"/>
                    </w:rPr>
                  </w:pPr>
                </w:p>
              </w:tc>
            </w:tr>
          </w:tbl>
          <w:p w14:paraId="4F70C324">
            <w:pPr>
              <w:pStyle w:val="25"/>
              <w:pageBreakBefore w:val="0"/>
              <w:kinsoku/>
              <w:wordWrap w:val="0"/>
              <w:overflowPunct/>
              <w:topLinePunct/>
              <w:autoSpaceDE/>
              <w:autoSpaceDN/>
              <w:bidi w:val="0"/>
              <w:spacing w:line="360" w:lineRule="auto"/>
              <w:ind w:left="0" w:leftChars="0" w:right="0" w:rightChars="0" w:firstLine="508" w:firstLineChars="200"/>
              <w:jc w:val="both"/>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综上所述，</w:t>
            </w:r>
            <w:r>
              <w:rPr>
                <w:rFonts w:hint="default" w:ascii="Times New Roman" w:hAnsi="Times New Roman" w:eastAsia="宋体" w:cs="Times New Roman"/>
                <w:color w:val="auto"/>
                <w:spacing w:val="7"/>
                <w:sz w:val="24"/>
                <w:szCs w:val="24"/>
                <w:highlight w:val="none"/>
                <w:lang w:val="en-US" w:eastAsia="en-US"/>
              </w:rPr>
              <w:t>本项目符合园区准入要求，依法开展环境影响评价并执行“三同时”制度，符合</w:t>
            </w:r>
            <w:r>
              <w:rPr>
                <w:rFonts w:hint="default" w:ascii="Times New Roman" w:hAnsi="Times New Roman" w:eastAsia="宋体" w:cs="Times New Roman"/>
                <w:color w:val="auto"/>
                <w:kern w:val="2"/>
                <w:sz w:val="24"/>
                <w:szCs w:val="24"/>
                <w:highlight w:val="none"/>
                <w:lang w:val="en-US" w:eastAsia="zh-CN" w:bidi="ar-SA"/>
              </w:rPr>
              <w:t>《玛纳斯工业园区塔河产业区总体规划（2024-2035年）（修编）环境影响报告书》</w:t>
            </w:r>
            <w:r>
              <w:rPr>
                <w:rFonts w:hint="default" w:ascii="Times New Roman" w:hAnsi="Times New Roman" w:eastAsia="宋体" w:cs="Times New Roman"/>
                <w:color w:val="auto"/>
                <w:spacing w:val="9"/>
                <w:sz w:val="24"/>
                <w:szCs w:val="24"/>
                <w:highlight w:val="none"/>
              </w:rPr>
              <w:t>及审查意见</w:t>
            </w:r>
            <w:r>
              <w:rPr>
                <w:rFonts w:hint="default" w:ascii="Times New Roman" w:hAnsi="Times New Roman" w:eastAsia="宋体" w:cs="Times New Roman"/>
                <w:color w:val="auto"/>
                <w:spacing w:val="7"/>
                <w:sz w:val="24"/>
                <w:szCs w:val="24"/>
                <w:highlight w:val="none"/>
                <w:lang w:val="en-US" w:eastAsia="en-US"/>
              </w:rPr>
              <w:t>的相关要求</w:t>
            </w:r>
            <w:r>
              <w:rPr>
                <w:rFonts w:hint="default" w:ascii="Times New Roman" w:hAnsi="Times New Roman" w:eastAsia="宋体" w:cs="Times New Roman"/>
                <w:color w:val="auto"/>
                <w:spacing w:val="7"/>
                <w:sz w:val="24"/>
                <w:szCs w:val="24"/>
                <w:highlight w:val="none"/>
                <w:lang w:val="en-US" w:eastAsia="zh-CN"/>
              </w:rPr>
              <w:t>。</w:t>
            </w:r>
          </w:p>
          <w:p w14:paraId="735BD9DF">
            <w:pPr>
              <w:pStyle w:val="25"/>
              <w:pageBreakBefore w:val="0"/>
              <w:kinsoku/>
              <w:wordWrap w:val="0"/>
              <w:overflowPunct/>
              <w:topLinePunct/>
              <w:autoSpaceDE/>
              <w:autoSpaceDN/>
              <w:bidi w:val="0"/>
              <w:spacing w:line="360" w:lineRule="auto"/>
              <w:ind w:left="0" w:leftChars="0" w:right="0" w:rightChars="0" w:firstLine="508" w:firstLineChars="200"/>
              <w:jc w:val="both"/>
              <w:rPr>
                <w:rFonts w:hint="default" w:ascii="Times New Roman" w:hAnsi="Times New Roman" w:eastAsia="宋体" w:cs="Times New Roman"/>
                <w:color w:val="auto"/>
                <w:spacing w:val="7"/>
                <w:sz w:val="24"/>
                <w:szCs w:val="24"/>
                <w:highlight w:val="none"/>
                <w:lang w:val="en-US" w:eastAsia="en-US"/>
              </w:rPr>
            </w:pPr>
          </w:p>
        </w:tc>
      </w:tr>
      <w:tr w14:paraId="3CC6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58" w:hRule="atLeast"/>
        </w:trPr>
        <w:tc>
          <w:tcPr>
            <w:tcW w:w="894" w:type="pct"/>
            <w:tcBorders>
              <w:top w:val="single" w:color="auto" w:sz="4" w:space="0"/>
              <w:left w:val="single" w:color="000000" w:sz="6" w:space="0"/>
              <w:bottom w:val="single" w:color="auto" w:sz="4" w:space="0"/>
            </w:tcBorders>
            <w:vAlign w:val="center"/>
          </w:tcPr>
          <w:p w14:paraId="78B78955">
            <w:pPr>
              <w:pStyle w:val="25"/>
              <w:pageBreakBefore w:val="0"/>
              <w:kinsoku/>
              <w:wordWrap w:val="0"/>
              <w:overflowPunct/>
              <w:topLinePunct/>
              <w:autoSpaceDE/>
              <w:autoSpaceDN/>
              <w:bidi w:val="0"/>
              <w:spacing w:line="240" w:lineRule="auto"/>
              <w:ind w:firstLine="0" w:firstLineChars="0"/>
              <w:jc w:val="center"/>
              <w:rPr>
                <w:rFonts w:hint="default" w:ascii="Times New Roman" w:hAnsi="Times New Roman" w:eastAsia="宋体" w:cs="Times New Roman"/>
                <w:color w:val="auto"/>
                <w:spacing w:val="7"/>
                <w:sz w:val="24"/>
                <w:szCs w:val="24"/>
                <w:highlight w:val="none"/>
              </w:rPr>
            </w:pPr>
          </w:p>
        </w:tc>
        <w:tc>
          <w:tcPr>
            <w:tcW w:w="4105" w:type="pct"/>
            <w:gridSpan w:val="3"/>
            <w:tcBorders>
              <w:top w:val="single" w:color="auto" w:sz="4" w:space="0"/>
              <w:bottom w:val="single" w:color="auto" w:sz="4" w:space="0"/>
              <w:right w:val="single" w:color="000000" w:sz="6" w:space="0"/>
            </w:tcBorders>
            <w:shd w:val="clear" w:color="auto" w:fill="auto"/>
            <w:vAlign w:val="center"/>
          </w:tcPr>
          <w:p w14:paraId="38699144">
            <w:pPr>
              <w:pStyle w:val="25"/>
              <w:pageBreakBefore w:val="0"/>
              <w:kinsoku/>
              <w:wordWrap w:val="0"/>
              <w:overflowPunct/>
              <w:topLinePunct/>
              <w:autoSpaceDE/>
              <w:autoSpaceDN/>
              <w:bidi w:val="0"/>
              <w:spacing w:line="360" w:lineRule="auto"/>
              <w:ind w:left="0" w:firstLine="502" w:firstLineChars="200"/>
              <w:rPr>
                <w:rFonts w:hint="default" w:ascii="Times New Roman" w:hAnsi="Times New Roman" w:eastAsia="宋体" w:cs="Times New Roman"/>
                <w:b/>
                <w:bCs/>
                <w:color w:val="auto"/>
                <w:spacing w:val="5"/>
                <w:sz w:val="24"/>
                <w:szCs w:val="24"/>
                <w:highlight w:val="none"/>
                <w:lang w:val="en-US" w:eastAsia="zh-CN"/>
              </w:rPr>
            </w:pPr>
            <w:r>
              <w:rPr>
                <w:rFonts w:hint="default" w:ascii="Times New Roman" w:hAnsi="Times New Roman" w:eastAsia="宋体" w:cs="Times New Roman"/>
                <w:b/>
                <w:bCs/>
                <w:color w:val="auto"/>
                <w:spacing w:val="5"/>
                <w:sz w:val="24"/>
                <w:szCs w:val="24"/>
                <w:highlight w:val="none"/>
                <w:lang w:val="en-US" w:eastAsia="zh-CN"/>
              </w:rPr>
              <w:t>1与《新疆维吾尔自治区生态环境分区管控动态更新成果》（新环环评发[2024]157号）符合性分析</w:t>
            </w:r>
          </w:p>
          <w:p w14:paraId="5558F4D2">
            <w:pPr>
              <w:pStyle w:val="25"/>
              <w:pageBreakBefore w:val="0"/>
              <w:kinsoku/>
              <w:wordWrap w:val="0"/>
              <w:overflowPunct/>
              <w:topLinePunct/>
              <w:autoSpaceDE/>
              <w:autoSpaceDN/>
              <w:bidi w:val="0"/>
              <w:spacing w:line="360" w:lineRule="auto"/>
              <w:ind w:left="0" w:leftChars="0" w:right="0" w:rightChars="0"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本项目与《新疆维吾尔自治区生态环境分区管控动态更新成果》（新环环评发[2024]157号）的符合性分析见表1-2。</w:t>
            </w:r>
          </w:p>
          <w:p w14:paraId="426FA256">
            <w:pPr>
              <w:pStyle w:val="25"/>
              <w:pageBreakBefore w:val="0"/>
              <w:kinsoku/>
              <w:wordWrap w:val="0"/>
              <w:overflowPunct/>
              <w:topLinePunct/>
              <w:autoSpaceDE/>
              <w:autoSpaceDN/>
              <w:bidi w:val="0"/>
              <w:spacing w:before="33" w:line="246" w:lineRule="auto"/>
              <w:ind w:left="49" w:firstLine="450" w:firstLineChars="200"/>
              <w:jc w:val="center"/>
              <w:rPr>
                <w:rFonts w:hint="default" w:ascii="Times New Roman" w:hAnsi="Times New Roman" w:eastAsia="宋体" w:cs="Times New Roman"/>
                <w:b/>
                <w:bCs/>
                <w:color w:val="auto"/>
                <w:spacing w:val="7"/>
                <w:sz w:val="21"/>
                <w:szCs w:val="21"/>
                <w:highlight w:val="none"/>
                <w:lang w:val="en-US" w:eastAsia="zh-CN"/>
              </w:rPr>
            </w:pPr>
            <w:r>
              <w:rPr>
                <w:rFonts w:hint="default" w:ascii="Times New Roman" w:hAnsi="Times New Roman" w:eastAsia="宋体" w:cs="Times New Roman"/>
                <w:b/>
                <w:bCs/>
                <w:color w:val="auto"/>
                <w:spacing w:val="7"/>
                <w:sz w:val="21"/>
                <w:szCs w:val="21"/>
                <w:highlight w:val="none"/>
                <w:lang w:val="en-US" w:eastAsia="zh-CN"/>
              </w:rPr>
              <w:t>表1-2与《新疆维吾尔自治区生态环境分区管控动态更新成果》（新环环评发[2024]157号）符合性分析表</w:t>
            </w:r>
          </w:p>
          <w:tbl>
            <w:tblPr>
              <w:tblStyle w:val="18"/>
              <w:tblW w:w="48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58"/>
              <w:gridCol w:w="437"/>
              <w:gridCol w:w="3961"/>
              <w:gridCol w:w="1694"/>
              <w:gridCol w:w="642"/>
            </w:tblGrid>
            <w:tr w14:paraId="79411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7" w:hRule="atLeast"/>
                <w:jc w:val="center"/>
              </w:trPr>
              <w:tc>
                <w:tcPr>
                  <w:tcW w:w="3353" w:type="pct"/>
                  <w:gridSpan w:val="3"/>
                  <w:shd w:val="clear" w:color="auto" w:fill="auto"/>
                  <w:noWrap w:val="0"/>
                  <w:vAlign w:val="center"/>
                </w:tcPr>
                <w:p w14:paraId="1B220147">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新环环评发〔2024〕157号管控要求</w:t>
                  </w:r>
                </w:p>
              </w:tc>
              <w:tc>
                <w:tcPr>
                  <w:tcW w:w="1194" w:type="pct"/>
                  <w:shd w:val="clear" w:color="auto" w:fill="auto"/>
                  <w:noWrap w:val="0"/>
                  <w:vAlign w:val="center"/>
                </w:tcPr>
                <w:p w14:paraId="4ABA3A61">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本项目情况</w:t>
                  </w:r>
                </w:p>
              </w:tc>
              <w:tc>
                <w:tcPr>
                  <w:tcW w:w="452" w:type="pct"/>
                  <w:shd w:val="clear" w:color="auto" w:fill="auto"/>
                  <w:noWrap w:val="0"/>
                  <w:vAlign w:val="center"/>
                </w:tcPr>
                <w:p w14:paraId="68690AB1">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符合性分析</w:t>
                  </w:r>
                </w:p>
              </w:tc>
            </w:tr>
            <w:tr w14:paraId="2EE15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41" w:hRule="atLeast"/>
                <w:jc w:val="center"/>
              </w:trPr>
              <w:tc>
                <w:tcPr>
                  <w:tcW w:w="252" w:type="pct"/>
                  <w:vMerge w:val="restart"/>
                  <w:shd w:val="clear" w:color="auto" w:fill="auto"/>
                  <w:noWrap w:val="0"/>
                  <w:vAlign w:val="center"/>
                </w:tcPr>
                <w:p w14:paraId="45B8C2A9">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A1.</w:t>
                  </w:r>
                </w:p>
                <w:p w14:paraId="55879F4E">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空间</w:t>
                  </w:r>
                </w:p>
                <w:p w14:paraId="335C153F">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布</w:t>
                  </w:r>
                </w:p>
                <w:p w14:paraId="2C9B70D3">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局</w:t>
                  </w:r>
                </w:p>
                <w:p w14:paraId="7C9E3C48">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约束</w:t>
                  </w:r>
                </w:p>
              </w:tc>
              <w:tc>
                <w:tcPr>
                  <w:tcW w:w="308" w:type="pct"/>
                  <w:vMerge w:val="restart"/>
                  <w:shd w:val="clear" w:color="auto" w:fill="auto"/>
                  <w:noWrap w:val="0"/>
                  <w:vAlign w:val="center"/>
                </w:tcPr>
                <w:p w14:paraId="1E8B7DC0">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A1.1</w:t>
                  </w:r>
                </w:p>
                <w:p w14:paraId="3CEB384A">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禁止</w:t>
                  </w:r>
                </w:p>
                <w:p w14:paraId="6C2F04B5">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开发</w:t>
                  </w:r>
                </w:p>
                <w:p w14:paraId="72105A69">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的活动</w:t>
                  </w:r>
                </w:p>
              </w:tc>
              <w:tc>
                <w:tcPr>
                  <w:tcW w:w="2792" w:type="pct"/>
                  <w:shd w:val="clear" w:color="auto" w:fill="auto"/>
                  <w:noWrap w:val="0"/>
                  <w:vAlign w:val="center"/>
                </w:tcPr>
                <w:p w14:paraId="48BBE5C9">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[A1.1-1]禁止新建、扩建《产业结构调整指导目录（2024年本）》中淘汰类项目。禁止引入《市场准入负面清单》禁止准入类事项。</w:t>
                  </w:r>
                </w:p>
              </w:tc>
              <w:tc>
                <w:tcPr>
                  <w:tcW w:w="1194" w:type="pct"/>
                  <w:shd w:val="clear" w:color="auto" w:fill="auto"/>
                  <w:noWrap w:val="0"/>
                  <w:vAlign w:val="center"/>
                </w:tcPr>
                <w:p w14:paraId="1DB6732F">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本项目为《产业结构调整指导目录（2024年本）》中允许类项目。项目不涉及《市场准入负面清单（2025年版）》禁止准入类事项</w:t>
                  </w:r>
                </w:p>
              </w:tc>
              <w:tc>
                <w:tcPr>
                  <w:tcW w:w="452" w:type="pct"/>
                  <w:shd w:val="clear" w:color="auto" w:fill="auto"/>
                  <w:noWrap w:val="0"/>
                  <w:vAlign w:val="center"/>
                </w:tcPr>
                <w:p w14:paraId="5FFF3461">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w:t>
                  </w:r>
                </w:p>
              </w:tc>
            </w:tr>
            <w:tr w14:paraId="27F2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2" w:hRule="atLeast"/>
                <w:jc w:val="center"/>
              </w:trPr>
              <w:tc>
                <w:tcPr>
                  <w:tcW w:w="252" w:type="pct"/>
                  <w:vMerge w:val="continue"/>
                  <w:shd w:val="clear" w:color="auto" w:fill="auto"/>
                  <w:noWrap w:val="0"/>
                  <w:vAlign w:val="center"/>
                </w:tcPr>
                <w:p w14:paraId="55F255A9">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shd w:val="clear" w:color="auto" w:fill="auto"/>
                  <w:noWrap w:val="0"/>
                  <w:vAlign w:val="center"/>
                </w:tcPr>
                <w:p w14:paraId="42C6789F">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noWrap w:val="0"/>
                  <w:vAlign w:val="center"/>
                </w:tcPr>
                <w:p w14:paraId="33B6511F">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[A1.1-2]禁止建设不符合国家和自治区环境保护标准的项目。</w:t>
                  </w:r>
                </w:p>
              </w:tc>
              <w:tc>
                <w:tcPr>
                  <w:tcW w:w="1194" w:type="pct"/>
                  <w:shd w:val="clear" w:color="auto" w:fill="auto"/>
                  <w:noWrap w:val="0"/>
                  <w:vAlign w:val="center"/>
                </w:tcPr>
                <w:p w14:paraId="3DAD6D73">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本项目的建设符合国家和自治区环境保护标准。</w:t>
                  </w:r>
                </w:p>
              </w:tc>
              <w:tc>
                <w:tcPr>
                  <w:tcW w:w="452" w:type="pct"/>
                  <w:shd w:val="clear" w:color="auto" w:fill="auto"/>
                  <w:noWrap w:val="0"/>
                  <w:vAlign w:val="center"/>
                </w:tcPr>
                <w:p w14:paraId="1FB63014">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w:t>
                  </w:r>
                </w:p>
              </w:tc>
            </w:tr>
            <w:tr w14:paraId="320F2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5" w:hRule="atLeast"/>
                <w:jc w:val="center"/>
              </w:trPr>
              <w:tc>
                <w:tcPr>
                  <w:tcW w:w="252" w:type="pct"/>
                  <w:vMerge w:val="continue"/>
                  <w:shd w:val="clear" w:color="auto" w:fill="auto"/>
                  <w:noWrap w:val="0"/>
                  <w:vAlign w:val="center"/>
                </w:tcPr>
                <w:p w14:paraId="6A6D8DEE">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shd w:val="clear" w:color="auto" w:fill="auto"/>
                  <w:noWrap w:val="0"/>
                  <w:vAlign w:val="center"/>
                </w:tcPr>
                <w:p w14:paraId="1A0928F0">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noWrap w:val="0"/>
                  <w:vAlign w:val="center"/>
                </w:tcPr>
                <w:p w14:paraId="648BFE98">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1.1-6]禁止在自治区行政区域内引进能（水）耗不符合相关国家标准中准入值要求且污染物排放和环境风险防控不符合国家（地方）标准及有关产业准入条件的高污染（排放）、高能（水）耗、高环境风险的工业项目。</w:t>
                  </w:r>
                </w:p>
              </w:tc>
              <w:tc>
                <w:tcPr>
                  <w:tcW w:w="1194" w:type="pct"/>
                  <w:shd w:val="clear" w:color="auto" w:fill="auto"/>
                  <w:noWrap w:val="0"/>
                  <w:vAlign w:val="center"/>
                </w:tcPr>
                <w:p w14:paraId="00671F4E">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本项目各项能耗较低，项目采用先进的污染物治理措施，将污染物排放和环境风险防控控制在较低水平。</w:t>
                  </w:r>
                </w:p>
              </w:tc>
              <w:tc>
                <w:tcPr>
                  <w:tcW w:w="452" w:type="pct"/>
                  <w:shd w:val="clear" w:color="auto" w:fill="auto"/>
                  <w:noWrap w:val="0"/>
                  <w:vAlign w:val="center"/>
                </w:tcPr>
                <w:p w14:paraId="76F5F45E">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w:t>
                  </w:r>
                </w:p>
              </w:tc>
            </w:tr>
            <w:tr w14:paraId="6E43A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89" w:hRule="atLeast"/>
                <w:jc w:val="center"/>
              </w:trPr>
              <w:tc>
                <w:tcPr>
                  <w:tcW w:w="252" w:type="pct"/>
                  <w:vMerge w:val="continue"/>
                  <w:shd w:val="clear" w:color="auto" w:fill="auto"/>
                  <w:noWrap w:val="0"/>
                  <w:vAlign w:val="center"/>
                </w:tcPr>
                <w:p w14:paraId="60142112">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shd w:val="clear" w:color="auto" w:fill="auto"/>
                  <w:noWrap w:val="0"/>
                  <w:vAlign w:val="center"/>
                </w:tcPr>
                <w:p w14:paraId="45C4EDF6">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noWrap w:val="0"/>
                  <w:vAlign w:val="center"/>
                </w:tcPr>
                <w:p w14:paraId="19EC47B7">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1.1-7]①坚决遏制高耗能高排放低水平项目盲目发展。严把高耗能高排放低水平项目准入关口，严格落实污染物排放区域削减要求，对不符合规定的项目坚决停批停建。依法依规淘汰落后产能和化解过剩产能。②重点行业企业纳入重污染天气绩效分级，制定“一厂一策”应急减排清单，实现应纳尽纳；引导重点企业在秋冬季安排停产检修计划，减少冬季和采暖期排放。推进重点行业深度治理，实施全工况脱硫脱硝提标改造，加大无组织排放治理力度，深度开展工业炉窑综合整治，全面提升电解铝、活性炭、硅冶炼、纯碱、电石、聚氯乙烯、石化等行业污染治理水平。</w:t>
                  </w:r>
                </w:p>
              </w:tc>
              <w:tc>
                <w:tcPr>
                  <w:tcW w:w="1194" w:type="pct"/>
                  <w:shd w:val="clear" w:color="auto" w:fill="auto"/>
                  <w:noWrap w:val="0"/>
                  <w:vAlign w:val="center"/>
                </w:tcPr>
                <w:p w14:paraId="25C2D982">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本项目无废水、固废外排，废气排放量较小。</w:t>
                  </w:r>
                </w:p>
              </w:tc>
              <w:tc>
                <w:tcPr>
                  <w:tcW w:w="452" w:type="pct"/>
                  <w:shd w:val="clear" w:color="auto" w:fill="auto"/>
                  <w:noWrap w:val="0"/>
                  <w:vAlign w:val="center"/>
                </w:tcPr>
                <w:p w14:paraId="690ABD71">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w:t>
                  </w:r>
                </w:p>
              </w:tc>
            </w:tr>
            <w:tr w14:paraId="66C7B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 w:hRule="atLeast"/>
                <w:jc w:val="center"/>
              </w:trPr>
              <w:tc>
                <w:tcPr>
                  <w:tcW w:w="252" w:type="pct"/>
                  <w:vMerge w:val="continue"/>
                  <w:shd w:val="clear" w:color="auto" w:fill="auto"/>
                  <w:noWrap w:val="0"/>
                  <w:vAlign w:val="center"/>
                </w:tcPr>
                <w:p w14:paraId="4A243404">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shd w:val="clear" w:color="auto" w:fill="auto"/>
                  <w:noWrap w:val="0"/>
                  <w:vAlign w:val="center"/>
                </w:tcPr>
                <w:p w14:paraId="2852E516">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noWrap w:val="0"/>
                  <w:vAlign w:val="center"/>
                </w:tcPr>
                <w:p w14:paraId="56A7F557">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1.1-9]严禁新建自治区《禁止、控制和限制危险化学品目录》中淘汰类、禁止类危险化学品化工项目。严格执行生态保护红线、永久基本农田管控要求，禁止新（改、扩）建化工项目违规占用生态保护红线和永久基本农田。在塔里木河、伊犁河、额尔齐斯河干流及主要支流岸线1公里范围内，除提升安全、环保、节能、智能化、产品质量水平的技术改造项目外，严格禁止新建、扩建化工项目，不得布局新的化工园区（含化工集中区）。</w:t>
                  </w:r>
                </w:p>
              </w:tc>
              <w:tc>
                <w:tcPr>
                  <w:tcW w:w="1194" w:type="pct"/>
                  <w:shd w:val="clear" w:color="auto" w:fill="auto"/>
                  <w:noWrap w:val="0"/>
                  <w:vAlign w:val="center"/>
                </w:tcPr>
                <w:p w14:paraId="615F5983">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本项目为其他建筑材料制造项目，租赁园区已有厂房进行生产，不涉及左列内容</w:t>
                  </w:r>
                </w:p>
              </w:tc>
              <w:tc>
                <w:tcPr>
                  <w:tcW w:w="452" w:type="pct"/>
                  <w:shd w:val="clear" w:color="auto" w:fill="auto"/>
                  <w:noWrap w:val="0"/>
                  <w:vAlign w:val="center"/>
                </w:tcPr>
                <w:p w14:paraId="32BA5159">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w:t>
                  </w:r>
                </w:p>
              </w:tc>
            </w:tr>
            <w:tr w14:paraId="73AAD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6" w:hRule="atLeast"/>
                <w:jc w:val="center"/>
              </w:trPr>
              <w:tc>
                <w:tcPr>
                  <w:tcW w:w="252" w:type="pct"/>
                  <w:vMerge w:val="continue"/>
                  <w:shd w:val="clear" w:color="auto" w:fill="auto"/>
                  <w:noWrap w:val="0"/>
                  <w:vAlign w:val="center"/>
                </w:tcPr>
                <w:p w14:paraId="163A07E7">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shd w:val="clear" w:color="auto" w:fill="auto"/>
                  <w:noWrap w:val="0"/>
                  <w:vAlign w:val="center"/>
                </w:tcPr>
                <w:p w14:paraId="4179051D">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A1.2</w:t>
                  </w:r>
                </w:p>
                <w:p w14:paraId="11A5D3E9">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限制</w:t>
                  </w:r>
                </w:p>
                <w:p w14:paraId="0E6E6D81">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开发</w:t>
                  </w:r>
                </w:p>
                <w:p w14:paraId="5AE3440F">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的活</w:t>
                  </w:r>
                </w:p>
                <w:p w14:paraId="796EF5D1">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动</w:t>
                  </w:r>
                </w:p>
              </w:tc>
              <w:tc>
                <w:tcPr>
                  <w:tcW w:w="2792" w:type="pct"/>
                  <w:shd w:val="clear" w:color="auto" w:fill="auto"/>
                  <w:noWrap w:val="0"/>
                  <w:vAlign w:val="center"/>
                </w:tcPr>
                <w:p w14:paraId="2336ACFA">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1.2-2]建设项目用地原则上不得占用永久基本农田，确需占用永久基本农田的建设项目须符合《中华人民共和国基本农田保护条例》中相关要求，占用耕地、林地或草地的建设项目须按照国家、自治区相关补偿要求进行补偿。</w:t>
                  </w:r>
                </w:p>
              </w:tc>
              <w:tc>
                <w:tcPr>
                  <w:tcW w:w="1194" w:type="pct"/>
                  <w:shd w:val="clear" w:color="auto" w:fill="auto"/>
                  <w:noWrap w:val="0"/>
                  <w:vAlign w:val="center"/>
                </w:tcPr>
                <w:p w14:paraId="46987D33">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本项目为其他建筑材料制造项目，租赁园区已有厂房进行生产，不涉及左列内容</w:t>
                  </w:r>
                </w:p>
              </w:tc>
              <w:tc>
                <w:tcPr>
                  <w:tcW w:w="452" w:type="pct"/>
                  <w:shd w:val="clear" w:color="auto" w:fill="auto"/>
                  <w:noWrap w:val="0"/>
                  <w:vAlign w:val="center"/>
                </w:tcPr>
                <w:p w14:paraId="56065F22">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7EFDE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2" w:hRule="atLeast"/>
                <w:jc w:val="center"/>
              </w:trPr>
              <w:tc>
                <w:tcPr>
                  <w:tcW w:w="252" w:type="pct"/>
                  <w:vMerge w:val="continue"/>
                  <w:shd w:val="clear" w:color="auto" w:fill="auto"/>
                  <w:noWrap w:val="0"/>
                  <w:vAlign w:val="center"/>
                </w:tcPr>
                <w:p w14:paraId="73EA25EB">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restart"/>
                  <w:shd w:val="clear" w:color="auto" w:fill="auto"/>
                  <w:noWrap w:val="0"/>
                  <w:vAlign w:val="center"/>
                </w:tcPr>
                <w:p w14:paraId="5E0B82B4">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A1.3</w:t>
                  </w:r>
                </w:p>
                <w:p w14:paraId="0415776D">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不符</w:t>
                  </w:r>
                </w:p>
                <w:p w14:paraId="504647D3">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合空</w:t>
                  </w:r>
                </w:p>
                <w:p w14:paraId="1C57D31A">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间布</w:t>
                  </w:r>
                </w:p>
                <w:p w14:paraId="36FA43A3">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局要</w:t>
                  </w:r>
                </w:p>
                <w:p w14:paraId="61CD102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求活</w:t>
                  </w:r>
                </w:p>
                <w:p w14:paraId="75423437">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动的</w:t>
                  </w:r>
                </w:p>
                <w:p w14:paraId="1EE1FCA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退出要求</w:t>
                  </w:r>
                </w:p>
              </w:tc>
              <w:tc>
                <w:tcPr>
                  <w:tcW w:w="2792" w:type="pct"/>
                  <w:shd w:val="clear" w:color="auto" w:fill="auto"/>
                  <w:noWrap w:val="0"/>
                  <w:vAlign w:val="center"/>
                </w:tcPr>
                <w:p w14:paraId="4B190116">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[A1.3-1]任何单位和个人不得在水源涵养区、饮用水水源保护区内和河流、湖泊、水库周围建设重化工、涉重金属等工业污染项目；对已建成的工业污染项目，当地人民政府应当组织限期搬迁。</w:t>
                  </w:r>
                </w:p>
              </w:tc>
              <w:tc>
                <w:tcPr>
                  <w:tcW w:w="1194" w:type="pct"/>
                  <w:shd w:val="clear" w:color="auto" w:fill="auto"/>
                  <w:noWrap w:val="0"/>
                  <w:vAlign w:val="center"/>
                </w:tcPr>
                <w:p w14:paraId="459BA610">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本项目租赁园区已有厂房进行生产，不涉及左列内容</w:t>
                  </w:r>
                </w:p>
              </w:tc>
              <w:tc>
                <w:tcPr>
                  <w:tcW w:w="452" w:type="pct"/>
                  <w:shd w:val="clear" w:color="auto" w:fill="auto"/>
                  <w:noWrap w:val="0"/>
                  <w:vAlign w:val="center"/>
                </w:tcPr>
                <w:p w14:paraId="34AA03A5">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52C55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jc w:val="center"/>
              </w:trPr>
              <w:tc>
                <w:tcPr>
                  <w:tcW w:w="252" w:type="pct"/>
                  <w:vMerge w:val="continue"/>
                </w:tcPr>
                <w:p w14:paraId="6CCF4A70">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54EB4E07">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3C2D9C18">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[A1.3-2]对不符合国家产业政策、严重污染水环境的生产项目全部予以取缔。</w:t>
                  </w:r>
                </w:p>
              </w:tc>
              <w:tc>
                <w:tcPr>
                  <w:tcW w:w="1194" w:type="pct"/>
                  <w:shd w:val="clear" w:color="auto" w:fill="auto"/>
                  <w:vAlign w:val="center"/>
                </w:tcPr>
                <w:p w14:paraId="51E7CAA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本项目无生产废水外排</w:t>
                  </w:r>
                </w:p>
              </w:tc>
              <w:tc>
                <w:tcPr>
                  <w:tcW w:w="452" w:type="pct"/>
                  <w:shd w:val="clear" w:color="auto" w:fill="auto"/>
                  <w:vAlign w:val="center"/>
                </w:tcPr>
                <w:p w14:paraId="79DF253B">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248A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252" w:type="pct"/>
                  <w:vMerge w:val="continue"/>
                </w:tcPr>
                <w:p w14:paraId="0A08A327">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739F32B8">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5CB8AF0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1.3-3]根据《产业结构调整指导目录》《限期淘汰产生严重污染环境的工业固体废物的落后生产工艺设备名录》等要求，配合有关部门依法淘汰烧结-鼓风炉5炼铅工艺炼铅等涉重金属落后产能和化解过剩产能。严格执行生态环境保护等相关法规标准，推动经整改仍达不到要求的产能依法依规关闭退出</w:t>
                  </w:r>
                </w:p>
              </w:tc>
              <w:tc>
                <w:tcPr>
                  <w:tcW w:w="1194" w:type="pct"/>
                  <w:shd w:val="clear" w:color="auto" w:fill="auto"/>
                  <w:vAlign w:val="center"/>
                </w:tcPr>
                <w:p w14:paraId="56AE7C31">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本项目为其他建筑材料制造项目，租赁园区已有厂房进行生产，不涉及左列内容</w:t>
                  </w:r>
                </w:p>
              </w:tc>
              <w:tc>
                <w:tcPr>
                  <w:tcW w:w="452" w:type="pct"/>
                  <w:shd w:val="clear" w:color="auto" w:fill="auto"/>
                  <w:vAlign w:val="center"/>
                </w:tcPr>
                <w:p w14:paraId="1B1898DB">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4D64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7" w:hRule="atLeast"/>
                <w:jc w:val="center"/>
              </w:trPr>
              <w:tc>
                <w:tcPr>
                  <w:tcW w:w="252" w:type="pct"/>
                  <w:vMerge w:val="continue"/>
                </w:tcPr>
                <w:p w14:paraId="717ACE22">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266CF4E6">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666E6442">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[1.3-4]城市建成区、重点流域内已建成投产化工企业和危险化学品生产企业应加快退城入园，搬入化工园区前企业不应实施改扩建工程扩大生产规模。</w:t>
                  </w:r>
                </w:p>
              </w:tc>
              <w:tc>
                <w:tcPr>
                  <w:tcW w:w="1194" w:type="pct"/>
                  <w:shd w:val="clear" w:color="auto" w:fill="auto"/>
                  <w:vAlign w:val="center"/>
                </w:tcPr>
                <w:p w14:paraId="402D2D84">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本项目不涉及</w:t>
                  </w:r>
                </w:p>
              </w:tc>
              <w:tc>
                <w:tcPr>
                  <w:tcW w:w="452" w:type="pct"/>
                  <w:shd w:val="clear" w:color="auto" w:fill="auto"/>
                  <w:vAlign w:val="center"/>
                </w:tcPr>
                <w:p w14:paraId="15F97B3A">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33AE1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2" w:hRule="atLeast"/>
                <w:jc w:val="center"/>
              </w:trPr>
              <w:tc>
                <w:tcPr>
                  <w:tcW w:w="252" w:type="pct"/>
                  <w:vMerge w:val="continue"/>
                </w:tcPr>
                <w:p w14:paraId="516A2211">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restart"/>
                  <w:shd w:val="clear" w:color="auto" w:fill="auto"/>
                  <w:vAlign w:val="center"/>
                </w:tcPr>
                <w:p w14:paraId="4DA12E03">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A1.4其他</w:t>
                  </w:r>
                </w:p>
                <w:p w14:paraId="6F7AA42A">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布局</w:t>
                  </w:r>
                </w:p>
                <w:p w14:paraId="202F97E9">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要求</w:t>
                  </w:r>
                </w:p>
              </w:tc>
              <w:tc>
                <w:tcPr>
                  <w:tcW w:w="2792" w:type="pct"/>
                  <w:shd w:val="clear" w:color="auto" w:fill="auto"/>
                  <w:vAlign w:val="center"/>
                </w:tcPr>
                <w:p w14:paraId="317068FE">
                  <w:pPr>
                    <w:pStyle w:val="21"/>
                    <w:keepNext w:val="0"/>
                    <w:keepLines w:val="0"/>
                    <w:pageBreakBefore w:val="0"/>
                    <w:widowControl/>
                    <w:kinsoku/>
                    <w:wordWrap w:val="0"/>
                    <w:overflowPunct/>
                    <w:topLinePunct/>
                    <w:autoSpaceDE/>
                    <w:autoSpaceDN/>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1.4-1]一切开发建设活动应符合国家、自治区主体功能区规划、自治区和各地颁布实施的生态环境功能区划、国民经济发展规划、产业发展规划、国土空间规划等相关规划及重点生态功能区负面清单要求，符合区域或产业规划环评要求。</w:t>
                  </w:r>
                </w:p>
              </w:tc>
              <w:tc>
                <w:tcPr>
                  <w:tcW w:w="1194" w:type="pct"/>
                  <w:shd w:val="clear" w:color="auto" w:fill="auto"/>
                  <w:vAlign w:val="center"/>
                </w:tcPr>
                <w:p w14:paraId="194DFBC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本项目为其他建筑材料制造项目，租赁园区已有厂房进行生产，符合园区规划</w:t>
                  </w:r>
                </w:p>
              </w:tc>
              <w:tc>
                <w:tcPr>
                  <w:tcW w:w="452" w:type="pct"/>
                  <w:shd w:val="clear" w:color="auto" w:fill="auto"/>
                  <w:vAlign w:val="center"/>
                </w:tcPr>
                <w:p w14:paraId="6C1EE4CF">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17B52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302DC2EE">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539A1672">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04F0E52B">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[A1.4-2]新建、扩建石化、化工、焦化、有色金属冶炼、平板玻璃项目应布设在依法合规设立并经规划环评的产业园区。</w:t>
                  </w:r>
                </w:p>
              </w:tc>
              <w:tc>
                <w:tcPr>
                  <w:tcW w:w="1194" w:type="pct"/>
                  <w:shd w:val="clear" w:color="auto" w:fill="auto"/>
                  <w:vAlign w:val="center"/>
                </w:tcPr>
                <w:p w14:paraId="2E0B23B4">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本项目不涉及</w:t>
                  </w:r>
                </w:p>
              </w:tc>
              <w:tc>
                <w:tcPr>
                  <w:tcW w:w="452" w:type="pct"/>
                  <w:shd w:val="clear" w:color="auto" w:fill="auto"/>
                  <w:vAlign w:val="center"/>
                </w:tcPr>
                <w:p w14:paraId="7BA86A3D">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2AAA1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2651ABD2">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2E369B0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3A2B36DB">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1.4-3]危险化学品生产企业搬迁改造及新建化工项目必须进入国家及自治区各级人民政府正式批准设立，规划环评通过审查，规划通过审批且环保基础设施完善的工业园区，并符合国土空间规划、产业发展规划和生态红线管控要求。</w:t>
                  </w:r>
                </w:p>
              </w:tc>
              <w:tc>
                <w:tcPr>
                  <w:tcW w:w="1194" w:type="pct"/>
                  <w:shd w:val="clear" w:color="auto" w:fill="auto"/>
                  <w:vAlign w:val="center"/>
                </w:tcPr>
                <w:p w14:paraId="0A1316D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本项目不涉及</w:t>
                  </w:r>
                </w:p>
              </w:tc>
              <w:tc>
                <w:tcPr>
                  <w:tcW w:w="452" w:type="pct"/>
                  <w:shd w:val="clear" w:color="auto" w:fill="auto"/>
                  <w:vAlign w:val="center"/>
                </w:tcPr>
                <w:p w14:paraId="28B240A1">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3A5E3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restart"/>
                </w:tcPr>
                <w:p w14:paraId="4714F17F">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A2污染物排放管控</w:t>
                  </w:r>
                </w:p>
              </w:tc>
              <w:tc>
                <w:tcPr>
                  <w:tcW w:w="308" w:type="pct"/>
                  <w:vMerge w:val="restart"/>
                  <w:shd w:val="clear" w:color="auto" w:fill="auto"/>
                  <w:vAlign w:val="center"/>
                </w:tcPr>
                <w:p w14:paraId="37E2E486">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A2.1污染</w:t>
                  </w:r>
                </w:p>
                <w:p w14:paraId="088355FD">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物削</w:t>
                  </w:r>
                </w:p>
                <w:p w14:paraId="3518FED7">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减/</w:t>
                  </w:r>
                </w:p>
                <w:p w14:paraId="6BEDCF83">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替代</w:t>
                  </w:r>
                </w:p>
                <w:p w14:paraId="781B8B6B">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要求</w:t>
                  </w:r>
                </w:p>
              </w:tc>
              <w:tc>
                <w:tcPr>
                  <w:tcW w:w="2792" w:type="pct"/>
                  <w:shd w:val="clear" w:color="auto" w:fill="auto"/>
                  <w:vAlign w:val="center"/>
                </w:tcPr>
                <w:p w14:paraId="04BDB54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2.1-1]新、改、扩建重点行业建设项目应符合“三线一单”、产业政策、区域环评、规划环评和行业环境准入管控要求。重点区域的新、改、扩建重点行业建设项目应遵循重点重金属污染物排放“减量替代”原则。</w:t>
                  </w:r>
                </w:p>
              </w:tc>
              <w:tc>
                <w:tcPr>
                  <w:tcW w:w="1194" w:type="pct"/>
                  <w:shd w:val="clear" w:color="auto" w:fill="auto"/>
                  <w:vAlign w:val="center"/>
                </w:tcPr>
                <w:p w14:paraId="465A5855">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本项目符合自治区，昌吉州“三线一单”、产业政策、区域环评、规划环评和行业环境准入管控要求。</w:t>
                  </w:r>
                </w:p>
              </w:tc>
              <w:tc>
                <w:tcPr>
                  <w:tcW w:w="452" w:type="pct"/>
                  <w:shd w:val="clear" w:color="auto" w:fill="auto"/>
                  <w:vAlign w:val="center"/>
                </w:tcPr>
                <w:p w14:paraId="7AD081D8">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1DBCF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6E4C3A30">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16C8DC4E">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3E322B2A">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[A2.1-2]以石化、化工、涂装、医药、包装印刷、油品储运销等行业领域为重点，安全高效推进挥发性有机物综合治理，实施原辅材料和产品源头替代工程。</w:t>
                  </w:r>
                </w:p>
              </w:tc>
              <w:tc>
                <w:tcPr>
                  <w:tcW w:w="1194" w:type="pct"/>
                  <w:shd w:val="clear" w:color="auto" w:fill="auto"/>
                  <w:vAlign w:val="center"/>
                </w:tcPr>
                <w:p w14:paraId="6E70EFD9">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本项目不属于左列行业。</w:t>
                  </w:r>
                </w:p>
              </w:tc>
              <w:tc>
                <w:tcPr>
                  <w:tcW w:w="452" w:type="pct"/>
                  <w:shd w:val="clear" w:color="auto" w:fill="auto"/>
                  <w:vAlign w:val="center"/>
                </w:tcPr>
                <w:p w14:paraId="31EB4DCA">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33C09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36C3B061">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574FED3D">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5204A283">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2.1-3]促进大气污染物与温室气体协同控制。实施污染物和温室气体协同控制，实现减污降碳协同效应。开展工业、农业温室气体和污染减排协同控制研究，减少温室气体和污染物排放。强化污水、垃圾等集中处置设施环境管理，协同控制氢氟碳化物、甲烷、氧化亚氨等温室气体。加强节约能源与大气污染防治协同有效衔接，促进大气污染防治协同增效。</w:t>
                  </w:r>
                </w:p>
              </w:tc>
              <w:tc>
                <w:tcPr>
                  <w:tcW w:w="1194" w:type="pct"/>
                  <w:shd w:val="clear" w:color="auto" w:fill="auto"/>
                  <w:vAlign w:val="center"/>
                </w:tcPr>
                <w:p w14:paraId="76762D95">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本项目无生产废水废气排放量较小</w:t>
                  </w:r>
                </w:p>
              </w:tc>
              <w:tc>
                <w:tcPr>
                  <w:tcW w:w="452" w:type="pct"/>
                  <w:shd w:val="clear" w:color="auto" w:fill="auto"/>
                  <w:vAlign w:val="center"/>
                </w:tcPr>
                <w:p w14:paraId="394F6791">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39B05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056E7F59">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74F99077">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1E8C8466">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2.1-4]严控建材、铸造、冶炼等行业无组织排放，推进石化、化工、涂装、医药、包装印刷、油品储运销等行业项目挥发性有机物（VOCs）防治。严格有色金属冶炼、石油加工、化工、焦化等行业项目的土壤、地下水污染防治措施要求。推进工业园区和企业集群建设涉VOCs“绿岛”项目，统筹规划建设一批集中涂装中心、活性炭集中处理中心、溶剂回收中心等，实现VOCs集中高效处理</w:t>
                  </w:r>
                </w:p>
              </w:tc>
              <w:tc>
                <w:tcPr>
                  <w:tcW w:w="1194" w:type="pct"/>
                  <w:shd w:val="clear" w:color="auto" w:fill="auto"/>
                  <w:vAlign w:val="center"/>
                </w:tcPr>
                <w:p w14:paraId="3310520A">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本项目不涉及</w:t>
                  </w:r>
                </w:p>
              </w:tc>
              <w:tc>
                <w:tcPr>
                  <w:tcW w:w="452" w:type="pct"/>
                  <w:shd w:val="clear" w:color="auto" w:fill="auto"/>
                  <w:vAlign w:val="center"/>
                </w:tcPr>
                <w:p w14:paraId="038A70DB">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5D75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4F1DA5DF">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restart"/>
                  <w:shd w:val="clear" w:color="auto" w:fill="auto"/>
                  <w:vAlign w:val="center"/>
                </w:tcPr>
                <w:p w14:paraId="05E3CBC4">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A2.2污染</w:t>
                  </w:r>
                </w:p>
                <w:p w14:paraId="3973E0E2">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控制</w:t>
                  </w:r>
                </w:p>
                <w:p w14:paraId="6B4DD4D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措施</w:t>
                  </w:r>
                </w:p>
                <w:p w14:paraId="3915B4B1">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要求</w:t>
                  </w:r>
                </w:p>
              </w:tc>
              <w:tc>
                <w:tcPr>
                  <w:tcW w:w="2792" w:type="pct"/>
                  <w:shd w:val="clear" w:color="auto" w:fill="auto"/>
                  <w:vAlign w:val="center"/>
                </w:tcPr>
                <w:p w14:paraId="48845842">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2.2-1]推动能源、钢铁、建材、有色、电力、化工等重点领域技术升级，控制工业过程温室气体排放，推动工业领域绿色低碳发展。积极鼓励发展二氧化碳捕集利用与封存等低碳技术。促进大气污染物与温室气体协同控制。实施污染物和温室气体协同控制，实现减污降碳协同效应。强化污水、垃圾等集中处置设施环境管理，协同控制氢氟碳化物、甲烷、氧化亚氦等温室气体。加强节约能源与大气污染防治协同有效衔接，促进大气污染防治协同增效。</w:t>
                  </w:r>
                </w:p>
              </w:tc>
              <w:tc>
                <w:tcPr>
                  <w:tcW w:w="1194" w:type="pct"/>
                  <w:shd w:val="clear" w:color="auto" w:fill="auto"/>
                  <w:vAlign w:val="center"/>
                </w:tcPr>
                <w:p w14:paraId="68096A38">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本项目不涉及</w:t>
                  </w:r>
                </w:p>
              </w:tc>
              <w:tc>
                <w:tcPr>
                  <w:tcW w:w="452" w:type="pct"/>
                  <w:shd w:val="clear" w:color="auto" w:fill="auto"/>
                  <w:vAlign w:val="center"/>
                </w:tcPr>
                <w:p w14:paraId="2A454B0E">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08AEA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01C266B4">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shd w:val="clear" w:color="auto" w:fill="auto"/>
                  <w:vAlign w:val="center"/>
                </w:tcPr>
                <w:p w14:paraId="1CEAEA85">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57511DF3">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2.2-2]实施重点行业氮氧化物等污染物深度治理。持续推进钢铁、水泥、焦化行业超低排放改造。推进玻璃、陶瓷、铸造、铁合金、有色、煤化和石化等行业采取清洁生产、提标改造、深度治理等综合措施。加强自备燃煤机组污染治理设施运行管控，确保按照超低排放标准运行。针对铸造、铁合金、焦化、水泥、砖瓦、石灰、耐火材料、金属冶炼以及煤化工、石油化工等行业，严格控制物料储存、输送及生产工艺过程无组织排放。重点涉气排放企业逐步取消烟气旁路，因安全生产无法取消的，安装在线监控系统</w:t>
                  </w:r>
                </w:p>
              </w:tc>
              <w:tc>
                <w:tcPr>
                  <w:tcW w:w="1194" w:type="pct"/>
                  <w:shd w:val="clear" w:color="auto" w:fill="auto"/>
                  <w:vAlign w:val="center"/>
                </w:tcPr>
                <w:p w14:paraId="163FA473">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本项目不涉及</w:t>
                  </w:r>
                </w:p>
              </w:tc>
              <w:tc>
                <w:tcPr>
                  <w:tcW w:w="452" w:type="pct"/>
                  <w:shd w:val="clear" w:color="auto" w:fill="auto"/>
                  <w:vAlign w:val="center"/>
                </w:tcPr>
                <w:p w14:paraId="5AEDE6FD">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65CCD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67824C19">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66FD0C9D">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27B6DC44">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2.2-3]强化重点区域大气污染联防联控，合理确定产业布局，推动区域内统一产业准入和排放标准。实施水泥行业错峰生产，推进散煤整治、挥发性有机污染物综合治理、钢铁、水泥、焦化和燃煤工业锅炉行业超低排放改造、燃气锅炉低氨燃烧改造、工业园区内轨道运输（大宗货物“公转铁”）、柴油货车治理、锅炉炉窑综合治理等工程项目。全面推行绿色施工，持续推动城市建成区重污染企业搬迁或关闭退出。</w:t>
                  </w:r>
                </w:p>
              </w:tc>
              <w:tc>
                <w:tcPr>
                  <w:tcW w:w="1194" w:type="pct"/>
                  <w:shd w:val="clear" w:color="auto" w:fill="auto"/>
                  <w:vAlign w:val="center"/>
                </w:tcPr>
                <w:p w14:paraId="702C2CD0">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本项目施工期采取完善措施减少施工造成的环境影响。</w:t>
                  </w:r>
                </w:p>
              </w:tc>
              <w:tc>
                <w:tcPr>
                  <w:tcW w:w="452" w:type="pct"/>
                  <w:shd w:val="clear" w:color="auto" w:fill="auto"/>
                  <w:vAlign w:val="center"/>
                </w:tcPr>
                <w:p w14:paraId="75781372">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6F3DE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479C31D2">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7B4C7436">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475BBFA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2.2-6]推进地表水与地下水协同防治。以傍河型地下水饮用水水源为重点，防范受污染河段侧渗和垂直补给对地下水污染。加强化学品生产企业、工业聚集区、矿山开采区等污染源的地表、地下协同防治与环境风险管控。加强工业污染防治。推动重点行业、重点企业绿色发展，严格落实水污染物排放标准和排污许可制度。加强农副食品加工、化工、印染、棉浆粕、粘胶纤维、制糖等企业综合治理和清洁化改造。支持企业积极实施节水技术改造，加强工业园区污水集中处理设施运行管理，加快再生水回用设施建设，提升园区水资源循环利用水平。</w:t>
                  </w:r>
                </w:p>
              </w:tc>
              <w:tc>
                <w:tcPr>
                  <w:tcW w:w="1194" w:type="pct"/>
                  <w:shd w:val="clear" w:color="auto" w:fill="auto"/>
                  <w:vAlign w:val="center"/>
                </w:tcPr>
                <w:p w14:paraId="2205091D">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本项目无生产废水外排，不会严重污染水环境。</w:t>
                  </w:r>
                </w:p>
              </w:tc>
              <w:tc>
                <w:tcPr>
                  <w:tcW w:w="452" w:type="pct"/>
                  <w:shd w:val="clear" w:color="auto" w:fill="auto"/>
                  <w:vAlign w:val="center"/>
                </w:tcPr>
                <w:p w14:paraId="5E70A23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35BD1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restart"/>
                  <w:shd w:val="clear" w:color="auto" w:fill="auto"/>
                  <w:vAlign w:val="center"/>
                </w:tcPr>
                <w:p w14:paraId="099CD9FD">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A3环境风险防</w:t>
                  </w:r>
                </w:p>
                <w:p w14:paraId="50E95FA9">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控</w:t>
                  </w:r>
                </w:p>
              </w:tc>
              <w:tc>
                <w:tcPr>
                  <w:tcW w:w="308" w:type="pct"/>
                  <w:vMerge w:val="restart"/>
                  <w:shd w:val="clear" w:color="auto" w:fill="auto"/>
                  <w:vAlign w:val="center"/>
                </w:tcPr>
                <w:p w14:paraId="1DC6DDD9">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A3.2联防联控要求</w:t>
                  </w:r>
                </w:p>
              </w:tc>
              <w:tc>
                <w:tcPr>
                  <w:tcW w:w="2792" w:type="pct"/>
                  <w:shd w:val="clear" w:color="auto" w:fill="auto"/>
                  <w:vAlign w:val="center"/>
                </w:tcPr>
                <w:p w14:paraId="51418771">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3.2-3]加强新污染物多环境介质协同治理。排放重点管控新污染物的企事业单位应采取污染控制措施，达到相关污染物排放标准及环境质量目标要求；按照排污许可管理有关要求，依法申领排污许可证或填写排污登记表，并在其中载明执行的污染控制标准要求及采取的污染控制措施。排放重点管控新污染物的企事业单位和其他生产经营者应按照相关法律法规要求，对排放（污）口及其周边环境定期开展环境监测，评估环境风险，排查整治环境安全隐患，依法公开新污染物信息，采取措施防范环境风险。土壤污染重点监管单位应严格控制有毒有害物质排放，建立土壤污染隐患排查制度，防止有毒有害物质渗漏、流失、扬散。</w:t>
                  </w:r>
                </w:p>
              </w:tc>
              <w:tc>
                <w:tcPr>
                  <w:tcW w:w="1194" w:type="pct"/>
                  <w:shd w:val="clear" w:color="auto" w:fill="auto"/>
                  <w:vAlign w:val="center"/>
                </w:tcPr>
                <w:p w14:paraId="38EE591E">
                  <w:pPr>
                    <w:pStyle w:val="21"/>
                    <w:keepNext w:val="0"/>
                    <w:keepLines w:val="0"/>
                    <w:pageBreakBefore w:val="0"/>
                    <w:widowControl/>
                    <w:kinsoku/>
                    <w:wordWrap w:val="0"/>
                    <w:overflowPunct/>
                    <w:topLinePunct/>
                    <w:autoSpaceDE/>
                    <w:autoSpaceDN/>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本项目为简化管理，排污许可证正在办理中。</w:t>
                  </w:r>
                </w:p>
              </w:tc>
              <w:tc>
                <w:tcPr>
                  <w:tcW w:w="452" w:type="pct"/>
                  <w:shd w:val="clear" w:color="auto" w:fill="auto"/>
                  <w:vAlign w:val="center"/>
                </w:tcPr>
                <w:p w14:paraId="564FD1E9">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6F50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388E6EE1">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704215FB">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777FDFE4">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3.2-5]强化生态环境应急管理。实施企业突发生态环境应急预案电子化备案，完成县级以上政府突发环境事件应急预案修编。完善区域和企业应急处置物资储备系统，结合新疆各地特征污染物的特性，加强应急物资储备及应急物资信息化建设，掌握社会应急物资储备动态信息，妥善应对各类突发生态环境事件。加强应急监测装备配置，定期开展应急演练，增强实战能力。</w:t>
                  </w:r>
                </w:p>
              </w:tc>
              <w:tc>
                <w:tcPr>
                  <w:tcW w:w="1194" w:type="pct"/>
                  <w:shd w:val="clear" w:color="auto" w:fill="auto"/>
                  <w:vAlign w:val="center"/>
                </w:tcPr>
                <w:p w14:paraId="68169864">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企业必须按照要求制定突发环境事件应急预案，定期演练。</w:t>
                  </w:r>
                </w:p>
              </w:tc>
              <w:tc>
                <w:tcPr>
                  <w:tcW w:w="452" w:type="pct"/>
                  <w:shd w:val="clear" w:color="auto" w:fill="auto"/>
                  <w:vAlign w:val="center"/>
                </w:tcPr>
                <w:p w14:paraId="34013794">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1CAB7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restart"/>
                  <w:shd w:val="clear" w:color="auto" w:fill="auto"/>
                  <w:vAlign w:val="center"/>
                </w:tcPr>
                <w:p w14:paraId="715CC029">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A4</w:t>
                  </w:r>
                </w:p>
                <w:p w14:paraId="19A3C6A4">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w:t>
                  </w:r>
                </w:p>
                <w:p w14:paraId="29F6CEF2">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源</w:t>
                  </w:r>
                </w:p>
                <w:p w14:paraId="472AE330">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利用要求</w:t>
                  </w:r>
                </w:p>
              </w:tc>
              <w:tc>
                <w:tcPr>
                  <w:tcW w:w="308" w:type="pct"/>
                  <w:shd w:val="clear" w:color="auto" w:fill="auto"/>
                  <w:vAlign w:val="center"/>
                </w:tcPr>
                <w:p w14:paraId="4858DDA0">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A4.1</w:t>
                  </w:r>
                </w:p>
                <w:p w14:paraId="6BC61475">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水资</w:t>
                  </w:r>
                </w:p>
                <w:p w14:paraId="5EAA0EDF">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源</w:t>
                  </w:r>
                </w:p>
              </w:tc>
              <w:tc>
                <w:tcPr>
                  <w:tcW w:w="2792" w:type="pct"/>
                  <w:shd w:val="clear" w:color="auto" w:fill="auto"/>
                  <w:vAlign w:val="center"/>
                </w:tcPr>
                <w:p w14:paraId="592FF394">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4.1-1]自治区用水总量2025年、2030年控制在国家下达的指标内。[A4.1-4]地下水资源利用实行总量控制和水位控制。取用地下水资源，应当按照国家和自治区有关规定申请取水许可。地下水利用应当以浅层地下水为主。</w:t>
                  </w:r>
                </w:p>
              </w:tc>
              <w:tc>
                <w:tcPr>
                  <w:tcW w:w="1194" w:type="pct"/>
                  <w:shd w:val="clear" w:color="auto" w:fill="auto"/>
                  <w:vAlign w:val="center"/>
                </w:tcPr>
                <w:p w14:paraId="70DBDE86">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项目生产不用水，不开采地下水。</w:t>
                  </w:r>
                </w:p>
              </w:tc>
              <w:tc>
                <w:tcPr>
                  <w:tcW w:w="452" w:type="pct"/>
                  <w:shd w:val="clear" w:color="auto" w:fill="auto"/>
                  <w:vAlign w:val="center"/>
                </w:tcPr>
                <w:p w14:paraId="61D1636B">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3676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2315C015">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shd w:val="clear" w:color="auto" w:fill="auto"/>
                  <w:vAlign w:val="center"/>
                </w:tcPr>
                <w:p w14:paraId="3A1E1B28">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A4.2土地资源</w:t>
                  </w:r>
                </w:p>
              </w:tc>
              <w:tc>
                <w:tcPr>
                  <w:tcW w:w="2792" w:type="pct"/>
                  <w:shd w:val="clear" w:color="auto" w:fill="auto"/>
                  <w:vAlign w:val="center"/>
                </w:tcPr>
                <w:p w14:paraId="4D2D589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[A4.2-1]土地资源上线指标控制在最终批复的国土空间规划控制指标内。</w:t>
                  </w:r>
                </w:p>
              </w:tc>
              <w:tc>
                <w:tcPr>
                  <w:tcW w:w="1194" w:type="pct"/>
                  <w:shd w:val="clear" w:color="auto" w:fill="auto"/>
                  <w:vAlign w:val="center"/>
                </w:tcPr>
                <w:p w14:paraId="1FC9B0B3">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本项目符合玛纳斯塔河产业园国土空间规划。</w:t>
                  </w:r>
                </w:p>
              </w:tc>
              <w:tc>
                <w:tcPr>
                  <w:tcW w:w="452" w:type="pct"/>
                  <w:shd w:val="clear" w:color="auto" w:fill="auto"/>
                  <w:vAlign w:val="center"/>
                </w:tcPr>
                <w:p w14:paraId="32C49CFB">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498CB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6E314346">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restart"/>
                  <w:shd w:val="clear" w:color="auto" w:fill="auto"/>
                  <w:vAlign w:val="center"/>
                </w:tcPr>
                <w:p w14:paraId="3ECBC2E2">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A4.3</w:t>
                  </w:r>
                </w:p>
                <w:p w14:paraId="30C39129">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能源利用</w:t>
                  </w:r>
                </w:p>
              </w:tc>
              <w:tc>
                <w:tcPr>
                  <w:tcW w:w="2792" w:type="pct"/>
                  <w:shd w:val="clear" w:color="auto" w:fill="auto"/>
                  <w:vAlign w:val="center"/>
                </w:tcPr>
                <w:p w14:paraId="2BBAAC66">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[A4.3-1]单位地区生产总值二氧化碳排放降低水平完成国家下达指标。</w:t>
                  </w:r>
                </w:p>
                <w:p w14:paraId="0A6FBFDC">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[A4.3-2]到2025年，自治区万元国内生产总值能耗比2020年下降14.5%。</w:t>
                  </w:r>
                </w:p>
                <w:p w14:paraId="3D26C522">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[A4.3-3]到2025年，非化石能源占一次能源消费比重达18%以上。</w:t>
                  </w:r>
                </w:p>
              </w:tc>
              <w:tc>
                <w:tcPr>
                  <w:tcW w:w="1194" w:type="pct"/>
                  <w:shd w:val="clear" w:color="auto" w:fill="auto"/>
                  <w:vAlign w:val="center"/>
                </w:tcPr>
                <w:p w14:paraId="2A5F2D9B">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本项目采用先进生产设备，降低能源消耗</w:t>
                  </w:r>
                </w:p>
              </w:tc>
              <w:tc>
                <w:tcPr>
                  <w:tcW w:w="452" w:type="pct"/>
                  <w:shd w:val="clear" w:color="auto" w:fill="auto"/>
                  <w:vAlign w:val="center"/>
                </w:tcPr>
                <w:p w14:paraId="0A13F4A8">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03EA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08AE7F1E">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vMerge w:val="continue"/>
                </w:tcPr>
                <w:p w14:paraId="7AEA2A04">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2792" w:type="pct"/>
                  <w:shd w:val="clear" w:color="auto" w:fill="auto"/>
                  <w:vAlign w:val="center"/>
                </w:tcPr>
                <w:p w14:paraId="4DDA52B6">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4.3-4]鼓励使用清洁能源或电厂热力、工业余热等替代锅炉、炉窑燃料用煤。[A4.3-5]以碳达峰碳中和工作为引领，着力提高能源资源利用效率。引导重点行业深入实施清洁生产改造，钢铁、建材、石油化工等重点行业以及其他行业重点用能单位持续开展节能降耗。[A4.3-6]深入推进碳达峰碳中和行动。推动能源清洁低碳转型，加强能耗“双控”管理，优化能源消费结构。新增原料用能不纳入能源消费总量控制。持续推进散煤整治。</w:t>
                  </w:r>
                </w:p>
              </w:tc>
              <w:tc>
                <w:tcPr>
                  <w:tcW w:w="1194" w:type="pct"/>
                  <w:shd w:val="clear" w:color="auto" w:fill="auto"/>
                  <w:vAlign w:val="center"/>
                </w:tcPr>
                <w:p w14:paraId="4EB26C1F">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项目生产时使用电能，冬季不生产，无需供热</w:t>
                  </w:r>
                </w:p>
              </w:tc>
              <w:tc>
                <w:tcPr>
                  <w:tcW w:w="452" w:type="pct"/>
                  <w:shd w:val="clear" w:color="auto" w:fill="auto"/>
                  <w:vAlign w:val="center"/>
                </w:tcPr>
                <w:p w14:paraId="06DEDC5B">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r w14:paraId="30E77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52" w:type="pct"/>
                  <w:vMerge w:val="continue"/>
                </w:tcPr>
                <w:p w14:paraId="02DB9D9C">
                  <w:pPr>
                    <w:pStyle w:val="21"/>
                    <w:keepNext w:val="0"/>
                    <w:keepLines w:val="0"/>
                    <w:pageBreakBefore w:val="0"/>
                    <w:widowControl/>
                    <w:kinsoku/>
                    <w:wordWrap w:val="0"/>
                    <w:overflowPunct/>
                    <w:topLinePunct w:val="0"/>
                    <w:autoSpaceDE w:val="0"/>
                    <w:autoSpaceDN w:val="0"/>
                    <w:bidi w:val="0"/>
                    <w:adjustRightInd w:val="0"/>
                    <w:snapToGrid w:val="0"/>
                    <w:spacing w:line="240" w:lineRule="auto"/>
                    <w:ind w:firstLine="0" w:firstLineChars="0"/>
                    <w:textAlignment w:val="baseline"/>
                    <w:rPr>
                      <w:rFonts w:hint="eastAsia" w:ascii="宋体" w:hAnsi="宋体" w:eastAsia="宋体" w:cs="宋体"/>
                      <w:color w:val="auto"/>
                      <w:sz w:val="21"/>
                      <w:szCs w:val="21"/>
                      <w:highlight w:val="none"/>
                      <w:lang w:val="en-US" w:eastAsia="zh-CN"/>
                    </w:rPr>
                  </w:pPr>
                </w:p>
              </w:tc>
              <w:tc>
                <w:tcPr>
                  <w:tcW w:w="308" w:type="pct"/>
                  <w:shd w:val="clear" w:color="auto" w:fill="auto"/>
                  <w:vAlign w:val="center"/>
                </w:tcPr>
                <w:p w14:paraId="1E0650C6">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A4.5资源综合利用</w:t>
                  </w:r>
                </w:p>
              </w:tc>
              <w:tc>
                <w:tcPr>
                  <w:tcW w:w="2792" w:type="pct"/>
                  <w:shd w:val="clear" w:color="auto" w:fill="auto"/>
                  <w:vAlign w:val="center"/>
                </w:tcPr>
                <w:p w14:paraId="08294B51">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A4.5-1]加强固体废物源头减量、资源化利用和无害化处置，最大限度减少填埋量。推进工业固体废物精细化、名录化环境管理，促进大宗工业固废综合利用、主要农业废弃物全量利用。加快构建废旧物资回收和循环利用体系，健全强制报废制度和废旧家电、消费电子等耐用消费品回收处理体系，推行生产企业“逆向回收”等模式。以尾矿和共伴生矿、煤矸石、炉渣、粉煤灰、脱硫石膏、冶炼渣、建筑垃圾等为重点，持续推进固体废物综合利用和环境整治，不断提高大宗固体废物资源化利用水平。推行生活垃圾分类，加快建设县（市）生活垃圾处理设施，到2025年，全疆城市生活垃圾无害化处理率达到99%以上。</w:t>
                  </w:r>
                </w:p>
              </w:tc>
              <w:tc>
                <w:tcPr>
                  <w:tcW w:w="1194" w:type="pct"/>
                  <w:shd w:val="clear" w:color="auto" w:fill="auto"/>
                  <w:vAlign w:val="center"/>
                </w:tcPr>
                <w:p w14:paraId="464BBE70">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本项目各项固体废物均能得到合理处置，符合固体废物源头减量、资源化利用和无害化处置的要求。</w:t>
                  </w:r>
                </w:p>
              </w:tc>
              <w:tc>
                <w:tcPr>
                  <w:tcW w:w="452" w:type="pct"/>
                  <w:shd w:val="clear" w:color="auto" w:fill="auto"/>
                  <w:vAlign w:val="center"/>
                </w:tcPr>
                <w:p w14:paraId="1685BD4F">
                  <w:pPr>
                    <w:pStyle w:val="21"/>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ind w:firstLine="0" w:firstLine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w:t>
                  </w:r>
                </w:p>
              </w:tc>
            </w:tr>
          </w:tbl>
          <w:p w14:paraId="69B42570">
            <w:pPr>
              <w:pStyle w:val="30"/>
              <w:pageBreakBefore w:val="0"/>
              <w:kinsoku/>
              <w:wordWrap w:val="0"/>
              <w:overflowPunct/>
              <w:topLinePunct/>
              <w:autoSpaceDE/>
              <w:autoSpaceDN/>
              <w:bidi w:val="0"/>
              <w:spacing w:line="360" w:lineRule="auto"/>
              <w:ind w:left="0" w:leftChars="0" w:firstLine="502" w:firstLineChars="200"/>
              <w:rPr>
                <w:rFonts w:hint="default" w:ascii="Times New Roman" w:hAnsi="Times New Roman" w:eastAsia="宋体" w:cs="Times New Roman"/>
                <w:b/>
                <w:bCs/>
                <w:snapToGrid w:val="0"/>
                <w:color w:val="auto"/>
                <w:spacing w:val="5"/>
                <w:kern w:val="0"/>
                <w:sz w:val="24"/>
                <w:szCs w:val="24"/>
                <w:highlight w:val="none"/>
                <w:lang w:val="en-US" w:eastAsia="en-US" w:bidi="ar-SA"/>
              </w:rPr>
            </w:pPr>
            <w:r>
              <w:rPr>
                <w:rFonts w:hint="default" w:ascii="Times New Roman" w:hAnsi="Times New Roman" w:eastAsia="宋体" w:cs="Times New Roman"/>
                <w:b/>
                <w:bCs/>
                <w:snapToGrid w:val="0"/>
                <w:color w:val="auto"/>
                <w:spacing w:val="5"/>
                <w:kern w:val="0"/>
                <w:sz w:val="24"/>
                <w:szCs w:val="24"/>
                <w:highlight w:val="none"/>
                <w:lang w:val="en-US" w:eastAsia="zh-CN" w:bidi="ar-SA"/>
              </w:rPr>
              <w:t>2与</w:t>
            </w:r>
            <w:r>
              <w:rPr>
                <w:rFonts w:hint="default" w:ascii="Times New Roman" w:hAnsi="Times New Roman" w:eastAsia="宋体" w:cs="Times New Roman"/>
                <w:b/>
                <w:bCs/>
                <w:snapToGrid w:val="0"/>
                <w:color w:val="auto"/>
                <w:spacing w:val="5"/>
                <w:kern w:val="0"/>
                <w:sz w:val="24"/>
                <w:szCs w:val="24"/>
                <w:highlight w:val="none"/>
                <w:lang w:val="en-US" w:eastAsia="en-US" w:bidi="ar-SA"/>
              </w:rPr>
              <w:t>《新疆维吾尔自治区七大片区“三线一单”生态环境分区管控要求（2021年版）》（新环环评发[2021]162号）符合性分析</w:t>
            </w:r>
          </w:p>
          <w:p w14:paraId="51C3360E">
            <w:pPr>
              <w:pStyle w:val="34"/>
              <w:pageBreakBefore w:val="0"/>
              <w:kinsoku/>
              <w:wordWrap w:val="0"/>
              <w:overflowPunct/>
              <w:topLinePunct/>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本项目位于昌吉回族自治州</w:t>
            </w:r>
            <w:r>
              <w:rPr>
                <w:rFonts w:hint="default" w:ascii="Times New Roman" w:hAnsi="Times New Roman" w:eastAsia="宋体" w:cs="Times New Roman"/>
                <w:color w:val="auto"/>
                <w:kern w:val="2"/>
                <w:sz w:val="24"/>
                <w:szCs w:val="24"/>
                <w:highlight w:val="none"/>
                <w:lang w:val="en-US" w:eastAsia="zh-CN"/>
              </w:rPr>
              <w:t>玛纳斯县</w:t>
            </w:r>
            <w:r>
              <w:rPr>
                <w:rFonts w:hint="default" w:ascii="Times New Roman" w:hAnsi="Times New Roman" w:eastAsia="宋体" w:cs="Times New Roman"/>
                <w:color w:val="auto"/>
                <w:kern w:val="2"/>
                <w:sz w:val="24"/>
                <w:szCs w:val="24"/>
                <w:highlight w:val="none"/>
              </w:rPr>
              <w:t>，属于乌昌石片区，</w:t>
            </w:r>
            <w:r>
              <w:rPr>
                <w:rFonts w:hint="default" w:ascii="Times New Roman" w:hAnsi="Times New Roman" w:eastAsia="宋体" w:cs="Times New Roman"/>
                <w:color w:val="auto"/>
                <w:sz w:val="24"/>
                <w:szCs w:val="24"/>
                <w:highlight w:val="none"/>
              </w:rPr>
              <w:t>本项目与</w:t>
            </w:r>
            <w:r>
              <w:rPr>
                <w:rFonts w:hint="default" w:ascii="Times New Roman" w:hAnsi="Times New Roman" w:eastAsia="宋体" w:cs="Times New Roman"/>
                <w:color w:val="auto"/>
                <w:kern w:val="2"/>
                <w:sz w:val="24"/>
                <w:szCs w:val="24"/>
                <w:highlight w:val="none"/>
              </w:rPr>
              <w:t>（新环环评发[2021]162号）中乌昌石片区管控要求符合性见表</w:t>
            </w:r>
            <w:r>
              <w:rPr>
                <w:rFonts w:hint="default" w:ascii="Times New Roman" w:hAnsi="Times New Roman" w:eastAsia="宋体" w:cs="Times New Roman"/>
                <w:color w:val="auto"/>
                <w:kern w:val="2"/>
                <w:sz w:val="24"/>
                <w:szCs w:val="24"/>
                <w:highlight w:val="none"/>
                <w:lang w:val="en-US" w:eastAsia="zh-CN"/>
              </w:rPr>
              <w:t>1-3</w:t>
            </w:r>
            <w:r>
              <w:rPr>
                <w:rFonts w:hint="default" w:ascii="Times New Roman" w:hAnsi="Times New Roman" w:eastAsia="宋体" w:cs="Times New Roman"/>
                <w:color w:val="auto"/>
                <w:kern w:val="2"/>
                <w:sz w:val="24"/>
                <w:szCs w:val="24"/>
                <w:highlight w:val="none"/>
              </w:rPr>
              <w:t>。</w:t>
            </w:r>
          </w:p>
          <w:p w14:paraId="1FAF0B0A">
            <w:pPr>
              <w:pStyle w:val="6"/>
              <w:pageBreakBefore w:val="0"/>
              <w:kinsoku/>
              <w:wordWrap w:val="0"/>
              <w:overflowPunct/>
              <w:topLinePunct/>
              <w:autoSpaceDE/>
              <w:autoSpaceDN/>
              <w:bidi w:val="0"/>
              <w:spacing w:before="120" w:line="240" w:lineRule="auto"/>
              <w:ind w:firstLine="450" w:firstLineChars="200"/>
              <w:rPr>
                <w:rFonts w:hint="default" w:ascii="Times New Roman" w:hAnsi="Times New Roman" w:eastAsia="宋体" w:cs="Times New Roman"/>
                <w:b/>
                <w:bCs/>
                <w:snapToGrid w:val="0"/>
                <w:color w:val="auto"/>
                <w:spacing w:val="7"/>
                <w:kern w:val="0"/>
                <w:sz w:val="21"/>
                <w:szCs w:val="21"/>
                <w:highlight w:val="none"/>
                <w:lang w:val="en-US" w:eastAsia="zh-CN" w:bidi="ar-SA"/>
              </w:rPr>
            </w:pPr>
            <w:bookmarkStart w:id="0" w:name="_Ref138670874"/>
          </w:p>
          <w:p w14:paraId="0FEB80A0">
            <w:pPr>
              <w:pStyle w:val="6"/>
              <w:pageBreakBefore w:val="0"/>
              <w:kinsoku/>
              <w:wordWrap w:val="0"/>
              <w:overflowPunct/>
              <w:topLinePunct/>
              <w:autoSpaceDE/>
              <w:autoSpaceDN/>
              <w:bidi w:val="0"/>
              <w:spacing w:before="120" w:line="240" w:lineRule="auto"/>
              <w:ind w:firstLine="450" w:firstLineChars="200"/>
              <w:rPr>
                <w:rFonts w:hint="default" w:ascii="Times New Roman" w:hAnsi="Times New Roman" w:eastAsia="宋体" w:cs="Times New Roman"/>
                <w:b/>
                <w:bCs/>
                <w:snapToGrid w:val="0"/>
                <w:color w:val="auto"/>
                <w:spacing w:val="7"/>
                <w:kern w:val="0"/>
                <w:sz w:val="21"/>
                <w:szCs w:val="21"/>
                <w:highlight w:val="none"/>
                <w:lang w:val="en-US" w:eastAsia="zh-CN" w:bidi="ar-SA"/>
              </w:rPr>
            </w:pPr>
          </w:p>
          <w:p w14:paraId="79C1E034">
            <w:pPr>
              <w:pStyle w:val="6"/>
              <w:pageBreakBefore w:val="0"/>
              <w:kinsoku/>
              <w:wordWrap w:val="0"/>
              <w:overflowPunct/>
              <w:topLinePunct/>
              <w:autoSpaceDE/>
              <w:autoSpaceDN/>
              <w:bidi w:val="0"/>
              <w:spacing w:before="120" w:line="240" w:lineRule="auto"/>
              <w:ind w:firstLine="450" w:firstLineChars="200"/>
              <w:rPr>
                <w:rFonts w:hint="default" w:ascii="Times New Roman" w:hAnsi="Times New Roman" w:eastAsia="宋体" w:cs="Times New Roman"/>
                <w:b/>
                <w:bCs/>
                <w:snapToGrid w:val="0"/>
                <w:color w:val="auto"/>
                <w:spacing w:val="7"/>
                <w:kern w:val="0"/>
                <w:sz w:val="21"/>
                <w:szCs w:val="21"/>
                <w:highlight w:val="none"/>
                <w:lang w:val="en-US" w:eastAsia="zh-CN" w:bidi="ar-SA"/>
              </w:rPr>
            </w:pPr>
          </w:p>
          <w:p w14:paraId="6EC7714E">
            <w:pPr>
              <w:pStyle w:val="6"/>
              <w:pageBreakBefore w:val="0"/>
              <w:kinsoku/>
              <w:wordWrap w:val="0"/>
              <w:overflowPunct/>
              <w:topLinePunct/>
              <w:autoSpaceDE/>
              <w:autoSpaceDN/>
              <w:bidi w:val="0"/>
              <w:spacing w:before="120" w:line="240" w:lineRule="auto"/>
              <w:ind w:firstLine="450" w:firstLineChars="200"/>
              <w:rPr>
                <w:rFonts w:hint="default" w:ascii="Times New Roman" w:hAnsi="Times New Roman" w:eastAsia="宋体" w:cs="Times New Roman"/>
                <w:b/>
                <w:bCs/>
                <w:snapToGrid w:val="0"/>
                <w:color w:val="auto"/>
                <w:spacing w:val="7"/>
                <w:kern w:val="0"/>
                <w:sz w:val="21"/>
                <w:szCs w:val="21"/>
                <w:highlight w:val="none"/>
                <w:lang w:val="en-US" w:eastAsia="zh-CN" w:bidi="ar-SA"/>
              </w:rPr>
            </w:pPr>
            <w:r>
              <w:rPr>
                <w:rFonts w:hint="default" w:ascii="Times New Roman" w:hAnsi="Times New Roman" w:eastAsia="宋体" w:cs="Times New Roman"/>
                <w:b/>
                <w:bCs/>
                <w:snapToGrid w:val="0"/>
                <w:color w:val="auto"/>
                <w:spacing w:val="7"/>
                <w:kern w:val="0"/>
                <w:sz w:val="21"/>
                <w:szCs w:val="21"/>
                <w:highlight w:val="none"/>
                <w:lang w:val="en-US" w:eastAsia="zh-CN" w:bidi="ar-SA"/>
              </w:rPr>
              <w:t>表</w:t>
            </w:r>
            <w:bookmarkEnd w:id="0"/>
            <w:r>
              <w:rPr>
                <w:rFonts w:hint="default" w:ascii="Times New Roman" w:hAnsi="Times New Roman" w:eastAsia="宋体" w:cs="Times New Roman"/>
                <w:b/>
                <w:bCs/>
                <w:snapToGrid w:val="0"/>
                <w:color w:val="auto"/>
                <w:spacing w:val="7"/>
                <w:kern w:val="0"/>
                <w:sz w:val="21"/>
                <w:szCs w:val="21"/>
                <w:highlight w:val="none"/>
                <w:lang w:val="en-US" w:eastAsia="zh-CN" w:bidi="ar-SA"/>
              </w:rPr>
              <w:t>1-3与新环环评发[2021]162号中乌昌石片区管控要求符合性分析</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4858"/>
              <w:gridCol w:w="1603"/>
              <w:gridCol w:w="433"/>
            </w:tblGrid>
            <w:tr w14:paraId="59C6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35" w:type="dxa"/>
                  <w:noWrap w:val="0"/>
                  <w:vAlign w:val="center"/>
                </w:tcPr>
                <w:p w14:paraId="4F912027">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序号</w:t>
                  </w:r>
                </w:p>
              </w:tc>
              <w:tc>
                <w:tcPr>
                  <w:tcW w:w="4858" w:type="dxa"/>
                  <w:noWrap w:val="0"/>
                  <w:vAlign w:val="center"/>
                </w:tcPr>
                <w:p w14:paraId="6369A3C0">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新环环评发[2021]162号要求</w:t>
                  </w:r>
                </w:p>
              </w:tc>
              <w:tc>
                <w:tcPr>
                  <w:tcW w:w="1603" w:type="dxa"/>
                  <w:noWrap w:val="0"/>
                  <w:vAlign w:val="center"/>
                </w:tcPr>
                <w:p w14:paraId="6DAD24DE">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项目情况</w:t>
                  </w:r>
                </w:p>
              </w:tc>
              <w:tc>
                <w:tcPr>
                  <w:tcW w:w="433" w:type="dxa"/>
                  <w:noWrap w:val="0"/>
                  <w:vAlign w:val="center"/>
                </w:tcPr>
                <w:p w14:paraId="2718EBAA">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符合性</w:t>
                  </w:r>
                </w:p>
              </w:tc>
            </w:tr>
            <w:tr w14:paraId="41EFD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9" w:hRule="atLeast"/>
                <w:jc w:val="center"/>
              </w:trPr>
              <w:tc>
                <w:tcPr>
                  <w:tcW w:w="435" w:type="dxa"/>
                  <w:noWrap w:val="0"/>
                  <w:vAlign w:val="center"/>
                </w:tcPr>
                <w:p w14:paraId="663C4E3E">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1</w:t>
                  </w:r>
                </w:p>
              </w:tc>
              <w:tc>
                <w:tcPr>
                  <w:tcW w:w="4858" w:type="dxa"/>
                  <w:noWrap w:val="0"/>
                  <w:vAlign w:val="center"/>
                </w:tcPr>
                <w:p w14:paraId="63666D27">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除国家规划项目外，乌鲁木齐市七区一县、昌吉市、阜康市、玛纳斯县、呼图壁县、沙湾市建成区及周边敏感区域内不再布局建设煤化工、电解铝、燃煤纯发电机组、金属硅、碳化硅、聚氯乙烯（电石法）、焦炭（含半焦）等新增产能项目，具备风光电清洁供暖建设条件的区域原则上不新批热电联产项目。坚持属地负责与区域大气污染联防联控相结合，以明显降低细颗粒物浓度为重点，协同推进“乌-昌-石”区域大气环境治理，强化与生产建设兵团第六师、第八师、第十一师、第十二师的同防同治，确保区域环境空气质量持续改善。所有新建、改建、扩建工业项目执行最严格的大气污染物排放标准。强化氮氧化物深度治理。强化挥发性有机物污染防治措施。推广使用低挥发性有机物原辅料，推动有条件的园区（工业集聚区）建设集中喷涂工程中心，配备高效治污设施，替代企业独立喷涂工序。</w:t>
                  </w:r>
                </w:p>
              </w:tc>
              <w:tc>
                <w:tcPr>
                  <w:tcW w:w="1603" w:type="dxa"/>
                  <w:noWrap w:val="0"/>
                  <w:vAlign w:val="center"/>
                </w:tcPr>
                <w:p w14:paraId="65FB2C78">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本项目属于</w:t>
                  </w:r>
                  <w:r>
                    <w:rPr>
                      <w:rFonts w:hint="default" w:ascii="Times New Roman" w:hAnsi="Times New Roman" w:eastAsia="宋体" w:cs="Times New Roman"/>
                      <w:color w:val="auto"/>
                      <w:spacing w:val="9"/>
                      <w:sz w:val="21"/>
                      <w:szCs w:val="21"/>
                      <w:highlight w:val="none"/>
                      <w:lang w:val="en-US" w:eastAsia="zh-CN"/>
                    </w:rPr>
                    <w:t>其他建筑材料制造项目</w:t>
                  </w: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不属于煤化工、电解铝、燃煤纯发电机组、金属硅、碳化硅、聚氯乙烯（电石法）、焦炭（含半焦）等新增产能项目，不属于热电联产项目，本项目运营期厂房密闭，产生的颗粒物经布袋除尘器处理后排放。对周边环境空气影响较小。</w:t>
                  </w:r>
                </w:p>
              </w:tc>
              <w:tc>
                <w:tcPr>
                  <w:tcW w:w="433" w:type="dxa"/>
                  <w:noWrap w:val="0"/>
                  <w:vAlign w:val="center"/>
                </w:tcPr>
                <w:p w14:paraId="2A59EF61">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符合</w:t>
                  </w:r>
                </w:p>
              </w:tc>
            </w:tr>
            <w:tr w14:paraId="5F2B7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5" w:type="dxa"/>
                  <w:shd w:val="clear" w:color="auto" w:fill="auto"/>
                  <w:noWrap w:val="0"/>
                  <w:vAlign w:val="center"/>
                </w:tcPr>
                <w:p w14:paraId="5180A51D">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2</w:t>
                  </w:r>
                </w:p>
              </w:tc>
              <w:tc>
                <w:tcPr>
                  <w:tcW w:w="4858" w:type="dxa"/>
                  <w:shd w:val="clear" w:color="auto" w:fill="auto"/>
                  <w:noWrap w:val="0"/>
                  <w:vAlign w:val="center"/>
                </w:tcPr>
                <w:p w14:paraId="6FE84F1A">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强化企业清洁生产改造，推进节水型企业、节水型工业园区建设，提高资源集约节约利用水平。积极推进地下水超采治理，逐步压减地下水超采量，实现地下水采补平衡。</w:t>
                  </w:r>
                </w:p>
              </w:tc>
              <w:tc>
                <w:tcPr>
                  <w:tcW w:w="1603" w:type="dxa"/>
                  <w:shd w:val="clear" w:color="auto" w:fill="auto"/>
                  <w:noWrap w:val="0"/>
                  <w:vAlign w:val="center"/>
                </w:tcPr>
                <w:p w14:paraId="14F4F647">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本项目生产不用水；本项目不涉及地下水开采。</w:t>
                  </w:r>
                </w:p>
              </w:tc>
              <w:tc>
                <w:tcPr>
                  <w:tcW w:w="433" w:type="dxa"/>
                  <w:shd w:val="clear" w:color="auto" w:fill="auto"/>
                  <w:noWrap w:val="0"/>
                  <w:vAlign w:val="center"/>
                </w:tcPr>
                <w:p w14:paraId="07FCAC83">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符合</w:t>
                  </w:r>
                </w:p>
              </w:tc>
            </w:tr>
            <w:tr w14:paraId="3DE59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435" w:type="dxa"/>
                  <w:shd w:val="clear" w:color="auto" w:fill="auto"/>
                  <w:vAlign w:val="center"/>
                </w:tcPr>
                <w:p w14:paraId="62293AF5">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3</w:t>
                  </w:r>
                </w:p>
              </w:tc>
              <w:tc>
                <w:tcPr>
                  <w:tcW w:w="4858" w:type="dxa"/>
                  <w:shd w:val="clear" w:color="auto" w:fill="auto"/>
                  <w:vAlign w:val="center"/>
                </w:tcPr>
                <w:p w14:paraId="7341DE8E">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强化油（气）资源开发区土壤环境污染综合整治。加强涉重金属行业污染防控与工业废物处理处置。</w:t>
                  </w:r>
                </w:p>
              </w:tc>
              <w:tc>
                <w:tcPr>
                  <w:tcW w:w="1603" w:type="dxa"/>
                  <w:shd w:val="clear" w:color="auto" w:fill="auto"/>
                  <w:vAlign w:val="center"/>
                </w:tcPr>
                <w:p w14:paraId="6C80843E">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本项目不涉及</w:t>
                  </w:r>
                </w:p>
              </w:tc>
              <w:tc>
                <w:tcPr>
                  <w:tcW w:w="433" w:type="dxa"/>
                  <w:shd w:val="clear" w:color="auto" w:fill="auto"/>
                  <w:vAlign w:val="center"/>
                </w:tcPr>
                <w:p w14:paraId="1A0834A6">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符合</w:t>
                  </w:r>
                </w:p>
              </w:tc>
            </w:tr>
            <w:tr w14:paraId="38315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435" w:type="dxa"/>
                  <w:shd w:val="clear" w:color="auto" w:fill="auto"/>
                  <w:vAlign w:val="center"/>
                </w:tcPr>
                <w:p w14:paraId="05FD2C27">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4</w:t>
                  </w:r>
                </w:p>
              </w:tc>
              <w:tc>
                <w:tcPr>
                  <w:tcW w:w="4858" w:type="dxa"/>
                  <w:shd w:val="clear" w:color="auto" w:fill="auto"/>
                  <w:vAlign w:val="center"/>
                </w:tcPr>
                <w:p w14:paraId="17DA4415">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煤炭、石油、天然气开发单位应当制定生态保护和恢复治理方案，并予以实施。生态保护和恢复治理方案内容应当向社会公布，接受社会监督。</w:t>
                  </w:r>
                </w:p>
              </w:tc>
              <w:tc>
                <w:tcPr>
                  <w:tcW w:w="1603" w:type="dxa"/>
                  <w:shd w:val="clear" w:color="auto" w:fill="auto"/>
                  <w:vAlign w:val="center"/>
                </w:tcPr>
                <w:p w14:paraId="1F8220BB">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本项目不涉及</w:t>
                  </w:r>
                </w:p>
              </w:tc>
              <w:tc>
                <w:tcPr>
                  <w:tcW w:w="433" w:type="dxa"/>
                  <w:shd w:val="clear" w:color="auto" w:fill="auto"/>
                  <w:vAlign w:val="center"/>
                </w:tcPr>
                <w:p w14:paraId="74E1FC27">
                  <w:pPr>
                    <w:pStyle w:val="32"/>
                    <w:pageBreakBefore w:val="0"/>
                    <w:kinsoku/>
                    <w:wordWrap w:val="0"/>
                    <w:overflowPunct/>
                    <w:topLinePunct/>
                    <w:autoSpaceDE/>
                    <w:autoSpaceDN/>
                    <w:bidi w:val="0"/>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符合</w:t>
                  </w:r>
                </w:p>
              </w:tc>
            </w:tr>
          </w:tbl>
          <w:p w14:paraId="4930B931">
            <w:pPr>
              <w:pStyle w:val="30"/>
              <w:pageBreakBefore w:val="0"/>
              <w:kinsoku/>
              <w:wordWrap w:val="0"/>
              <w:overflowPunct/>
              <w:topLinePunct/>
              <w:autoSpaceDE/>
              <w:autoSpaceDN/>
              <w:bidi w:val="0"/>
              <w:ind w:left="0" w:leftChars="0" w:firstLine="502" w:firstLineChars="200"/>
              <w:rPr>
                <w:rFonts w:hint="default" w:ascii="Times New Roman" w:hAnsi="Times New Roman" w:eastAsia="宋体" w:cs="Times New Roman"/>
                <w:b/>
                <w:bCs/>
                <w:snapToGrid w:val="0"/>
                <w:color w:val="auto"/>
                <w:spacing w:val="5"/>
                <w:kern w:val="0"/>
                <w:sz w:val="24"/>
                <w:szCs w:val="24"/>
                <w:highlight w:val="none"/>
                <w:lang w:val="en-US" w:eastAsia="en-US" w:bidi="ar-SA"/>
              </w:rPr>
            </w:pPr>
            <w:r>
              <w:rPr>
                <w:rFonts w:hint="default" w:ascii="Times New Roman" w:hAnsi="Times New Roman" w:eastAsia="宋体" w:cs="Times New Roman"/>
                <w:b/>
                <w:bCs/>
                <w:snapToGrid w:val="0"/>
                <w:color w:val="auto"/>
                <w:spacing w:val="5"/>
                <w:kern w:val="0"/>
                <w:sz w:val="24"/>
                <w:szCs w:val="24"/>
                <w:highlight w:val="none"/>
                <w:lang w:val="en-US" w:eastAsia="zh-CN" w:bidi="ar-SA"/>
              </w:rPr>
              <w:t>3</w:t>
            </w:r>
            <w:r>
              <w:rPr>
                <w:rFonts w:hint="default" w:ascii="Times New Roman" w:hAnsi="Times New Roman" w:eastAsia="宋体" w:cs="Times New Roman"/>
                <w:b/>
                <w:bCs/>
                <w:snapToGrid w:val="0"/>
                <w:color w:val="auto"/>
                <w:spacing w:val="5"/>
                <w:kern w:val="0"/>
                <w:sz w:val="24"/>
                <w:szCs w:val="24"/>
                <w:highlight w:val="none"/>
                <w:lang w:val="en-US" w:eastAsia="en-US" w:bidi="ar-SA"/>
              </w:rPr>
              <w:t>与《昌吉回族自治州“三线一单”生态环境分区管控方案及生态环境准入清单（</w:t>
            </w:r>
            <w:r>
              <w:rPr>
                <w:rFonts w:hint="default" w:ascii="Times New Roman" w:hAnsi="Times New Roman" w:eastAsia="宋体" w:cs="Times New Roman"/>
                <w:b/>
                <w:bCs/>
                <w:snapToGrid w:val="0"/>
                <w:color w:val="auto"/>
                <w:spacing w:val="5"/>
                <w:kern w:val="0"/>
                <w:sz w:val="24"/>
                <w:szCs w:val="24"/>
                <w:highlight w:val="none"/>
                <w:lang w:val="en-US" w:eastAsia="zh-CN" w:bidi="ar-SA"/>
              </w:rPr>
              <w:t>2024</w:t>
            </w:r>
            <w:r>
              <w:rPr>
                <w:rFonts w:hint="default" w:ascii="Times New Roman" w:hAnsi="Times New Roman" w:eastAsia="宋体" w:cs="Times New Roman"/>
                <w:b/>
                <w:bCs/>
                <w:snapToGrid w:val="0"/>
                <w:color w:val="auto"/>
                <w:spacing w:val="5"/>
                <w:kern w:val="0"/>
                <w:sz w:val="24"/>
                <w:szCs w:val="24"/>
                <w:highlight w:val="none"/>
                <w:lang w:val="en-US" w:eastAsia="en-US" w:bidi="ar-SA"/>
              </w:rPr>
              <w:t>）》符合性分析</w:t>
            </w:r>
          </w:p>
          <w:p w14:paraId="0B7DCAFF">
            <w:pPr>
              <w:pStyle w:val="35"/>
              <w:pageBreakBefore w:val="0"/>
              <w:kinsoku/>
              <w:wordWrap w:val="0"/>
              <w:overflowPunct/>
              <w:topLinePunct/>
              <w:autoSpaceDE/>
              <w:autoSpaceDN/>
              <w:bidi w:val="0"/>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根据《昌吉回族自治州“三线一单”生态环境分区管控方案及生态环境准入清单（</w:t>
            </w:r>
            <w:r>
              <w:rPr>
                <w:rFonts w:hint="default" w:ascii="Times New Roman" w:hAnsi="Times New Roman" w:eastAsia="宋体" w:cs="Times New Roman"/>
                <w:color w:val="auto"/>
                <w:sz w:val="24"/>
                <w:szCs w:val="24"/>
                <w:highlight w:val="none"/>
                <w:lang w:val="en-US" w:eastAsia="en-US"/>
              </w:rPr>
              <w:t>（</w:t>
            </w:r>
            <w:r>
              <w:rPr>
                <w:rFonts w:hint="default" w:ascii="Times New Roman" w:hAnsi="Times New Roman" w:eastAsia="宋体" w:cs="Times New Roman"/>
                <w:color w:val="auto"/>
                <w:sz w:val="24"/>
                <w:szCs w:val="24"/>
                <w:highlight w:val="none"/>
                <w:lang w:val="en-US" w:eastAsia="zh-CN"/>
              </w:rPr>
              <w:t>2024</w:t>
            </w:r>
            <w:r>
              <w:rPr>
                <w:rFonts w:hint="default" w:ascii="Times New Roman" w:hAnsi="Times New Roman" w:eastAsia="宋体" w:cs="Times New Roman"/>
                <w:color w:val="auto"/>
                <w:sz w:val="24"/>
                <w:szCs w:val="24"/>
                <w:highlight w:val="none"/>
              </w:rPr>
              <w:t>）》，本项目位于玛纳斯县工业园区塔河产业区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属于</w:t>
            </w:r>
            <w:r>
              <w:rPr>
                <w:rFonts w:hint="default" w:ascii="Times New Roman" w:hAnsi="Times New Roman" w:eastAsia="宋体" w:cs="Times New Roman"/>
                <w:color w:val="auto"/>
                <w:sz w:val="24"/>
                <w:szCs w:val="24"/>
                <w:highlight w:val="none"/>
              </w:rPr>
              <w:t>重点管控单元</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编码ZH65232420003。</w:t>
            </w:r>
            <w:r>
              <w:rPr>
                <w:rFonts w:hint="default" w:ascii="Times New Roman" w:hAnsi="Times New Roman" w:eastAsia="宋体" w:cs="Times New Roman"/>
                <w:color w:val="auto"/>
                <w:sz w:val="24"/>
                <w:szCs w:val="24"/>
                <w:highlight w:val="none"/>
              </w:rPr>
              <w:t>管控要求符合性分析见表</w:t>
            </w:r>
            <w:r>
              <w:rPr>
                <w:rFonts w:hint="default" w:ascii="Times New Roman" w:hAnsi="Times New Roman" w:eastAsia="宋体" w:cs="Times New Roman"/>
                <w:color w:val="auto"/>
                <w:sz w:val="24"/>
                <w:szCs w:val="24"/>
                <w:highlight w:val="none"/>
                <w:lang w:val="en-US" w:eastAsia="zh-CN"/>
              </w:rPr>
              <w:t>1-4</w:t>
            </w:r>
            <w:r>
              <w:rPr>
                <w:rFonts w:hint="default" w:ascii="Times New Roman" w:hAnsi="Times New Roman" w:eastAsia="宋体" w:cs="Times New Roman"/>
                <w:color w:val="auto"/>
                <w:sz w:val="24"/>
                <w:szCs w:val="24"/>
                <w:highlight w:val="none"/>
              </w:rPr>
              <w:t>。</w:t>
            </w:r>
          </w:p>
          <w:p w14:paraId="5BEF6363">
            <w:pPr>
              <w:pStyle w:val="25"/>
              <w:pageBreakBefore w:val="0"/>
              <w:kinsoku/>
              <w:wordWrap w:val="0"/>
              <w:overflowPunct/>
              <w:topLinePunct/>
              <w:autoSpaceDE/>
              <w:autoSpaceDN/>
              <w:bidi w:val="0"/>
              <w:spacing w:line="360" w:lineRule="auto"/>
              <w:ind w:left="0" w:leftChars="0" w:right="0" w:rightChars="0" w:firstLine="508" w:firstLineChars="200"/>
              <w:jc w:val="both"/>
              <w:rPr>
                <w:rFonts w:hint="default" w:ascii="Times New Roman" w:hAnsi="Times New Roman" w:eastAsia="宋体" w:cs="Times New Roman"/>
                <w:color w:val="auto"/>
                <w:spacing w:val="7"/>
                <w:sz w:val="24"/>
                <w:szCs w:val="24"/>
                <w:highlight w:val="none"/>
                <w:lang w:val="en-US" w:eastAsia="zh-CN"/>
              </w:rPr>
            </w:pPr>
          </w:p>
        </w:tc>
      </w:tr>
      <w:tr w14:paraId="3CFCA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94" w:type="pct"/>
            <w:tcBorders>
              <w:top w:val="single" w:color="auto" w:sz="4" w:space="0"/>
              <w:left w:val="single" w:color="000000" w:sz="6" w:space="0"/>
            </w:tcBorders>
            <w:vAlign w:val="center"/>
          </w:tcPr>
          <w:p w14:paraId="0F478A0C">
            <w:pPr>
              <w:pageBreakBefore w:val="0"/>
              <w:kinsoku/>
              <w:wordWrap w:val="0"/>
              <w:overflowPunct/>
              <w:topLinePunct/>
              <w:autoSpaceDE/>
              <w:autoSpaceDN/>
              <w:bidi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7"/>
                <w:sz w:val="24"/>
                <w:szCs w:val="24"/>
                <w:highlight w:val="none"/>
              </w:rPr>
              <w:t>其他符合性</w:t>
            </w:r>
            <w:r>
              <w:rPr>
                <w:rFonts w:hint="default" w:ascii="Times New Roman" w:hAnsi="Times New Roman" w:eastAsia="宋体" w:cs="Times New Roman"/>
                <w:color w:val="auto"/>
                <w:spacing w:val="3"/>
                <w:sz w:val="24"/>
                <w:szCs w:val="24"/>
                <w:highlight w:val="none"/>
              </w:rPr>
              <w:t>分析</w:t>
            </w:r>
          </w:p>
        </w:tc>
        <w:tc>
          <w:tcPr>
            <w:tcW w:w="4105" w:type="pct"/>
            <w:gridSpan w:val="3"/>
            <w:tcBorders>
              <w:top w:val="single" w:color="auto" w:sz="4" w:space="0"/>
              <w:bottom w:val="single" w:color="auto" w:sz="4" w:space="0"/>
              <w:right w:val="single" w:color="000000" w:sz="6" w:space="0"/>
            </w:tcBorders>
            <w:vAlign w:val="top"/>
          </w:tcPr>
          <w:p w14:paraId="529D47C6">
            <w:pPr>
              <w:pStyle w:val="6"/>
              <w:pageBreakBefore w:val="0"/>
              <w:kinsoku/>
              <w:wordWrap w:val="0"/>
              <w:overflowPunct/>
              <w:topLinePunct/>
              <w:autoSpaceDE/>
              <w:autoSpaceDN/>
              <w:bidi w:val="0"/>
              <w:spacing w:before="120" w:line="240" w:lineRule="auto"/>
              <w:ind w:firstLine="450" w:firstLineChars="200"/>
              <w:jc w:val="center"/>
              <w:rPr>
                <w:rFonts w:hint="default" w:ascii="Times New Roman" w:hAnsi="Times New Roman" w:eastAsia="宋体" w:cs="Times New Roman"/>
                <w:b/>
                <w:bCs/>
                <w:snapToGrid w:val="0"/>
                <w:color w:val="auto"/>
                <w:spacing w:val="7"/>
                <w:kern w:val="0"/>
                <w:sz w:val="21"/>
                <w:szCs w:val="21"/>
                <w:highlight w:val="none"/>
                <w:lang w:val="en-US" w:eastAsia="zh-CN" w:bidi="ar-SA"/>
              </w:rPr>
            </w:pPr>
            <w:bookmarkStart w:id="1" w:name="_Ref138671949"/>
            <w:r>
              <w:rPr>
                <w:rFonts w:hint="default" w:ascii="Times New Roman" w:hAnsi="Times New Roman" w:eastAsia="宋体" w:cs="Times New Roman"/>
                <w:b/>
                <w:bCs/>
                <w:snapToGrid w:val="0"/>
                <w:color w:val="auto"/>
                <w:spacing w:val="7"/>
                <w:kern w:val="0"/>
                <w:sz w:val="21"/>
                <w:szCs w:val="21"/>
                <w:highlight w:val="none"/>
                <w:lang w:val="en-US" w:eastAsia="zh-CN" w:bidi="ar-SA"/>
              </w:rPr>
              <w:t>表</w:t>
            </w:r>
            <w:bookmarkEnd w:id="1"/>
            <w:r>
              <w:rPr>
                <w:rFonts w:hint="default" w:ascii="Times New Roman" w:hAnsi="Times New Roman" w:eastAsia="宋体" w:cs="Times New Roman"/>
                <w:b/>
                <w:bCs/>
                <w:snapToGrid w:val="0"/>
                <w:color w:val="auto"/>
                <w:spacing w:val="7"/>
                <w:kern w:val="0"/>
                <w:sz w:val="21"/>
                <w:szCs w:val="21"/>
                <w:highlight w:val="none"/>
                <w:lang w:val="en-US" w:eastAsia="zh-CN" w:bidi="ar-SA"/>
              </w:rPr>
              <w:t>1-4与《昌吉回族自治州“三线一单”生态环境分区管控方案及生态环境准入清单（</w:t>
            </w:r>
            <w:r>
              <w:rPr>
                <w:rFonts w:hint="default" w:ascii="Times New Roman" w:hAnsi="Times New Roman" w:eastAsia="宋体" w:cs="Times New Roman"/>
                <w:b/>
                <w:bCs/>
                <w:snapToGrid w:val="0"/>
                <w:color w:val="auto"/>
                <w:spacing w:val="7"/>
                <w:kern w:val="0"/>
                <w:sz w:val="21"/>
                <w:szCs w:val="21"/>
                <w:highlight w:val="none"/>
                <w:lang w:val="en-US" w:eastAsia="en-US" w:bidi="ar-SA"/>
              </w:rPr>
              <w:t>（</w:t>
            </w:r>
            <w:r>
              <w:rPr>
                <w:rFonts w:hint="default" w:ascii="Times New Roman" w:hAnsi="Times New Roman" w:eastAsia="宋体" w:cs="Times New Roman"/>
                <w:b/>
                <w:bCs/>
                <w:snapToGrid w:val="0"/>
                <w:color w:val="auto"/>
                <w:spacing w:val="7"/>
                <w:kern w:val="0"/>
                <w:sz w:val="21"/>
                <w:szCs w:val="21"/>
                <w:highlight w:val="none"/>
                <w:lang w:val="en-US" w:eastAsia="zh-CN" w:bidi="ar-SA"/>
              </w:rPr>
              <w:t>2024）》符合性分析</w:t>
            </w:r>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
              <w:gridCol w:w="447"/>
              <w:gridCol w:w="4093"/>
              <w:gridCol w:w="1857"/>
              <w:gridCol w:w="481"/>
            </w:tblGrid>
            <w:tr w14:paraId="22C64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307" w:type="pct"/>
                  <w:shd w:val="clear" w:color="auto" w:fill="auto"/>
                  <w:noWrap w:val="0"/>
                  <w:vAlign w:val="center"/>
                </w:tcPr>
                <w:p w14:paraId="70C632F5">
                  <w:pPr>
                    <w:pStyle w:val="32"/>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序号</w:t>
                  </w:r>
                </w:p>
              </w:tc>
              <w:tc>
                <w:tcPr>
                  <w:tcW w:w="3097" w:type="pct"/>
                  <w:gridSpan w:val="2"/>
                  <w:shd w:val="clear" w:color="auto" w:fill="auto"/>
                  <w:noWrap w:val="0"/>
                  <w:vAlign w:val="center"/>
                </w:tcPr>
                <w:p w14:paraId="42ABF408">
                  <w:pPr>
                    <w:pStyle w:val="32"/>
                    <w:pageBreakBefore w:val="0"/>
                    <w:kinsoku/>
                    <w:wordWrap w:val="0"/>
                    <w:overflowPunct/>
                    <w:topLinePunct/>
                    <w:autoSpaceDE/>
                    <w:autoSpaceDN/>
                    <w:bidi w:val="0"/>
                    <w:jc w:val="center"/>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《昌吉回族自治州“三线一单”生态环境分区管控方案及生态环境准入清单（2024）》要求</w:t>
                  </w:r>
                </w:p>
              </w:tc>
              <w:tc>
                <w:tcPr>
                  <w:tcW w:w="1267" w:type="pct"/>
                  <w:shd w:val="clear" w:color="auto" w:fill="auto"/>
                  <w:noWrap w:val="0"/>
                  <w:vAlign w:val="center"/>
                </w:tcPr>
                <w:p w14:paraId="025F0A1C">
                  <w:pPr>
                    <w:pStyle w:val="32"/>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项目情况</w:t>
                  </w:r>
                </w:p>
              </w:tc>
              <w:tc>
                <w:tcPr>
                  <w:tcW w:w="328" w:type="pct"/>
                  <w:shd w:val="clear" w:color="auto" w:fill="auto"/>
                  <w:noWrap w:val="0"/>
                  <w:vAlign w:val="center"/>
                </w:tcPr>
                <w:p w14:paraId="76E06EBB">
                  <w:pPr>
                    <w:pStyle w:val="32"/>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符合性</w:t>
                  </w:r>
                </w:p>
              </w:tc>
            </w:tr>
            <w:tr w14:paraId="06496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jc w:val="center"/>
              </w:trPr>
              <w:tc>
                <w:tcPr>
                  <w:tcW w:w="307" w:type="pct"/>
                  <w:shd w:val="clear" w:color="auto" w:fill="auto"/>
                  <w:noWrap w:val="0"/>
                  <w:vAlign w:val="center"/>
                </w:tcPr>
                <w:p w14:paraId="0AC5EC6E">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1</w:t>
                  </w:r>
                </w:p>
              </w:tc>
              <w:tc>
                <w:tcPr>
                  <w:tcW w:w="304" w:type="pct"/>
                  <w:shd w:val="clear" w:color="auto" w:fill="auto"/>
                  <w:noWrap w:val="0"/>
                  <w:vAlign w:val="center"/>
                </w:tcPr>
                <w:p w14:paraId="2B61132C">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空间布局约束</w:t>
                  </w:r>
                </w:p>
              </w:tc>
              <w:tc>
                <w:tcPr>
                  <w:tcW w:w="2792" w:type="pct"/>
                  <w:shd w:val="clear" w:color="auto" w:fill="auto"/>
                  <w:noWrap w:val="0"/>
                  <w:vAlign w:val="center"/>
                </w:tcPr>
                <w:p w14:paraId="6B037AD5">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1、入园企业需符合园区产业发展定位，产业发展方向为：以环保科技为主的特色综合精细化加工产业、依托新能源、新原料的新材料产业。</w:t>
                  </w:r>
                </w:p>
                <w:p w14:paraId="7E709A70">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2、优先引进与园区循环经济产业链发展方向吻合的项目。</w:t>
                  </w:r>
                </w:p>
                <w:p w14:paraId="553144BF">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3、禁止废水经预处理达不到工业园污水处理厂接纳标准的项目。</w:t>
                  </w:r>
                </w:p>
                <w:p w14:paraId="516494A5">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4、限制严重依赖水资源的高耗水项目。</w:t>
                  </w:r>
                </w:p>
                <w:p w14:paraId="508EB9EE">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5、入园企业需符合产业布局规划及土地利用规划。</w:t>
                  </w:r>
                </w:p>
              </w:tc>
              <w:tc>
                <w:tcPr>
                  <w:tcW w:w="1267" w:type="pct"/>
                  <w:shd w:val="clear" w:color="auto" w:fill="auto"/>
                  <w:noWrap w:val="0"/>
                  <w:vAlign w:val="center"/>
                </w:tcPr>
                <w:p w14:paraId="235874BA">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1</w:t>
                  </w:r>
                  <w:r>
                    <w:rPr>
                      <w:rFonts w:hint="default" w:ascii="Times New Roman" w:hAnsi="Times New Roman" w:eastAsia="宋体" w:cs="Times New Roman"/>
                      <w:b w:val="0"/>
                      <w:bCs w:val="0"/>
                      <w:color w:val="auto"/>
                      <w:spacing w:val="7"/>
                      <w:sz w:val="21"/>
                      <w:szCs w:val="21"/>
                      <w:highlight w:val="none"/>
                      <w:lang w:val="en-US" w:eastAsia="zh-CN"/>
                    </w:rPr>
                    <w:t>本项目为</w:t>
                  </w:r>
                  <w:r>
                    <w:rPr>
                      <w:rFonts w:hint="default" w:ascii="Times New Roman" w:hAnsi="Times New Roman" w:eastAsia="宋体" w:cs="Times New Roman"/>
                      <w:color w:val="auto"/>
                      <w:spacing w:val="9"/>
                      <w:sz w:val="21"/>
                      <w:szCs w:val="21"/>
                      <w:highlight w:val="none"/>
                      <w:lang w:val="en-US" w:eastAsia="zh-CN"/>
                    </w:rPr>
                    <w:t>其他建筑材料制造</w:t>
                  </w:r>
                  <w:r>
                    <w:rPr>
                      <w:rFonts w:hint="default" w:ascii="Times New Roman" w:hAnsi="Times New Roman" w:eastAsia="宋体" w:cs="Times New Roman"/>
                      <w:b w:val="0"/>
                      <w:bCs w:val="0"/>
                      <w:color w:val="auto"/>
                      <w:spacing w:val="7"/>
                      <w:sz w:val="21"/>
                      <w:szCs w:val="21"/>
                      <w:highlight w:val="none"/>
                      <w:lang w:val="en-US" w:eastAsia="zh-CN"/>
                    </w:rPr>
                    <w:t>项目，符合园区规划</w:t>
                  </w:r>
                </w:p>
                <w:p w14:paraId="63B0AC39">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2</w:t>
                  </w:r>
                  <w:r>
                    <w:rPr>
                      <w:rFonts w:hint="default" w:ascii="Times New Roman" w:hAnsi="Times New Roman" w:eastAsia="宋体" w:cs="Times New Roman"/>
                      <w:b w:val="0"/>
                      <w:bCs w:val="0"/>
                      <w:color w:val="auto"/>
                      <w:spacing w:val="7"/>
                      <w:sz w:val="21"/>
                      <w:szCs w:val="21"/>
                      <w:highlight w:val="none"/>
                      <w:lang w:val="en-US" w:eastAsia="zh-CN"/>
                    </w:rPr>
                    <w:t>本项目无生产废水、固废外排，</w:t>
                  </w: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本项目运营期厂房密闭，产生的废气经布袋除尘器处理后排放。对周边环境空气影响较小。</w:t>
                  </w:r>
                </w:p>
              </w:tc>
              <w:tc>
                <w:tcPr>
                  <w:tcW w:w="328" w:type="pct"/>
                  <w:shd w:val="clear" w:color="auto" w:fill="auto"/>
                  <w:noWrap w:val="0"/>
                  <w:vAlign w:val="center"/>
                </w:tcPr>
                <w:p w14:paraId="79580514">
                  <w:pPr>
                    <w:pStyle w:val="32"/>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符合</w:t>
                  </w:r>
                </w:p>
              </w:tc>
            </w:tr>
            <w:tr w14:paraId="2AF79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5" w:hRule="atLeast"/>
                <w:jc w:val="center"/>
              </w:trPr>
              <w:tc>
                <w:tcPr>
                  <w:tcW w:w="307" w:type="pct"/>
                  <w:shd w:val="clear" w:color="auto" w:fill="auto"/>
                  <w:noWrap w:val="0"/>
                  <w:vAlign w:val="center"/>
                </w:tcPr>
                <w:p w14:paraId="0C52935D">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2</w:t>
                  </w:r>
                </w:p>
              </w:tc>
              <w:tc>
                <w:tcPr>
                  <w:tcW w:w="304" w:type="pct"/>
                  <w:shd w:val="clear" w:color="auto" w:fill="auto"/>
                  <w:noWrap w:val="0"/>
                  <w:vAlign w:val="center"/>
                </w:tcPr>
                <w:p w14:paraId="536EB7A8">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污染物排放管控</w:t>
                  </w:r>
                </w:p>
              </w:tc>
              <w:tc>
                <w:tcPr>
                  <w:tcW w:w="2792" w:type="pct"/>
                  <w:shd w:val="clear" w:color="auto" w:fill="auto"/>
                  <w:noWrap w:val="0"/>
                  <w:vAlign w:val="center"/>
                </w:tcPr>
                <w:p w14:paraId="7673E9CE">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1、推进重点行业深度治理，实施全工况脱硫脱硝提标改造，加大无组织排放治理力度，深度开展工业炉窑综合整治，全面提升电解铝、活性炭、硅冶炼、纯碱、电石、聚氯乙烯、石化等行业污染治理水平。</w:t>
                  </w:r>
                </w:p>
                <w:p w14:paraId="1F1EADF1">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2、新（改、扩）建项目应执行最严格的大气污染物特别排放标准。</w:t>
                  </w:r>
                </w:p>
                <w:p w14:paraId="52E35E13">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3、煤化工行业推广应用新技术、新工艺、新设备。合成气净化必须配套建设氮、硫回收装置和回收尾气处理设施，确保尾气达标排放。</w:t>
                  </w:r>
                </w:p>
                <w:p w14:paraId="7E12AB8A">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4、实施化纤、化工等重点行业企业的工艺废气（恶臭）治理设施改造项目，对其空气恶臭污染进行在线监控。</w:t>
                  </w:r>
                </w:p>
                <w:p w14:paraId="06A508EA">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5、园区内各企业工业废水必须经预处理达到集中处理要求，才能进入污水集中处理设施。</w:t>
                  </w:r>
                </w:p>
                <w:p w14:paraId="13DAA218">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6、严格限制石化、化工、包装印刷、工业涂装等高VOCs排放建设项目。新、改、扩建涉VOCs排放项目，应从源头加强控制，使用低（无）VOCs含量的原辅材料，加强废气收集，安装高效治理设施。</w:t>
                  </w:r>
                </w:p>
                <w:p w14:paraId="5CA3A32D">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7、除国家规定新增原料用能不纳入能源消费总量控制的项目和列入国家规划的项目外，“乌—昌—石”等重点区域不再新建、扩建使用煤炭项目。</w:t>
                  </w:r>
                </w:p>
                <w:p w14:paraId="78285B0B">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8、“乌-昌-石”区域内，已实施超低排放的涉气排污单位，其实施超低排放改造的污染因子执行超低排放限值，其他污染因子执行特别排放限值和特别控制要求。</w:t>
                  </w:r>
                </w:p>
              </w:tc>
              <w:tc>
                <w:tcPr>
                  <w:tcW w:w="1267" w:type="pct"/>
                  <w:shd w:val="clear" w:color="auto" w:fill="auto"/>
                  <w:noWrap w:val="0"/>
                  <w:vAlign w:val="center"/>
                </w:tcPr>
                <w:p w14:paraId="17AFAD5B">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本项目运营期厂房密闭，产生的废气经布袋除尘器处理后排放。对周边环境空气影响较小。</w:t>
                  </w:r>
                </w:p>
              </w:tc>
              <w:tc>
                <w:tcPr>
                  <w:tcW w:w="328" w:type="pct"/>
                  <w:shd w:val="clear" w:color="auto" w:fill="auto"/>
                  <w:noWrap w:val="0"/>
                  <w:vAlign w:val="center"/>
                </w:tcPr>
                <w:p w14:paraId="7729C4FE">
                  <w:pPr>
                    <w:pStyle w:val="32"/>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符合</w:t>
                  </w:r>
                </w:p>
              </w:tc>
            </w:tr>
            <w:tr w14:paraId="2B78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307" w:type="pct"/>
                  <w:shd w:val="clear" w:color="auto" w:fill="auto"/>
                  <w:noWrap w:val="0"/>
                  <w:vAlign w:val="center"/>
                </w:tcPr>
                <w:p w14:paraId="4D7BB6AD">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3</w:t>
                  </w:r>
                </w:p>
              </w:tc>
              <w:tc>
                <w:tcPr>
                  <w:tcW w:w="304" w:type="pct"/>
                  <w:shd w:val="clear" w:color="auto" w:fill="auto"/>
                  <w:noWrap w:val="0"/>
                  <w:vAlign w:val="center"/>
                </w:tcPr>
                <w:p w14:paraId="012C27DF">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环境风险防控</w:t>
                  </w:r>
                </w:p>
              </w:tc>
              <w:tc>
                <w:tcPr>
                  <w:tcW w:w="2792" w:type="pct"/>
                  <w:shd w:val="clear" w:color="auto" w:fill="auto"/>
                  <w:noWrap w:val="0"/>
                  <w:vAlign w:val="center"/>
                </w:tcPr>
                <w:p w14:paraId="37997E14">
                  <w:pPr>
                    <w:pageBreakBefore w:val="0"/>
                    <w:widowControl/>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1、禁止向河流、湖泊、水库等水体及行洪渠道排放岩土、含油垃圾、泥浆、煤渣、煤矸石和其他固体废物。</w:t>
                  </w:r>
                </w:p>
                <w:p w14:paraId="4561363C">
                  <w:pPr>
                    <w:pageBreakBefore w:val="0"/>
                    <w:widowControl/>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2、对化学品生产企业、工业集聚区、尾矿库、矿山开采区、危险废物处置场、垃圾填埋场等地下水污染源及周边区域，逐步开展地下水环境状况调查评估，加强风险管控。</w:t>
                  </w:r>
                </w:p>
              </w:tc>
              <w:tc>
                <w:tcPr>
                  <w:tcW w:w="1267" w:type="pct"/>
                  <w:shd w:val="clear" w:color="auto" w:fill="auto"/>
                  <w:noWrap w:val="0"/>
                  <w:vAlign w:val="center"/>
                </w:tcPr>
                <w:p w14:paraId="26C6FC12">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1、本项目建设符合自治区重点管控单元环境风险防控的准入要求。</w:t>
                  </w:r>
                </w:p>
              </w:tc>
              <w:tc>
                <w:tcPr>
                  <w:tcW w:w="328" w:type="pct"/>
                  <w:shd w:val="clear" w:color="auto" w:fill="auto"/>
                  <w:noWrap w:val="0"/>
                  <w:vAlign w:val="center"/>
                </w:tcPr>
                <w:p w14:paraId="2DE02F45">
                  <w:pPr>
                    <w:pStyle w:val="32"/>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符合</w:t>
                  </w:r>
                </w:p>
              </w:tc>
            </w:tr>
            <w:tr w14:paraId="7047E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307" w:type="pct"/>
                  <w:shd w:val="clear" w:color="auto" w:fill="auto"/>
                  <w:noWrap w:val="0"/>
                  <w:vAlign w:val="center"/>
                </w:tcPr>
                <w:p w14:paraId="0B9C450D">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4</w:t>
                  </w:r>
                </w:p>
              </w:tc>
              <w:tc>
                <w:tcPr>
                  <w:tcW w:w="304" w:type="pct"/>
                  <w:shd w:val="clear" w:color="auto" w:fill="auto"/>
                  <w:noWrap w:val="0"/>
                  <w:vAlign w:val="center"/>
                </w:tcPr>
                <w:p w14:paraId="6779F0C2">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资源开发效率要求</w:t>
                  </w:r>
                </w:p>
              </w:tc>
              <w:tc>
                <w:tcPr>
                  <w:tcW w:w="2792" w:type="pct"/>
                  <w:shd w:val="clear" w:color="auto" w:fill="auto"/>
                  <w:noWrap w:val="0"/>
                  <w:vAlign w:val="center"/>
                </w:tcPr>
                <w:p w14:paraId="53253337">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1、加大对煤矸石、矿井水等开采废弃物的治理力度，推广应用矿井水净化处理和综合循环利用技术，逐步实现废弃物零排放、零污染。</w:t>
                  </w:r>
                </w:p>
                <w:p w14:paraId="14505FF5">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2、煤矿生产、生活用水应优先使用矿井水，条件具备的地区应主要采用矿井水作为第一水源。积极探索矿井水排放量较大的矿区矿井水产业化发展模式，推动矿井水产业化进程。</w:t>
                  </w:r>
                </w:p>
                <w:p w14:paraId="0458161E">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3、矿（坑）井涌水在矿区充分自用前提下，余水可作为生态等用水，其水质应达到相应标准要求；生活废水达标处置，充分用于场区绿化等。</w:t>
                  </w:r>
                </w:p>
                <w:p w14:paraId="33F64730">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4、加强煤矿瓦斯抽采利用，减少温室气体排放。矿井抽排的高浓度瓦斯（甲烷体积分数≥30%）应进行综合利用，可用作居民和公共服务设施燃气、工业燃料、汽车燃料等；鼓励利用低浓度瓦斯发电。</w:t>
                  </w:r>
                </w:p>
              </w:tc>
              <w:tc>
                <w:tcPr>
                  <w:tcW w:w="1267" w:type="pct"/>
                  <w:shd w:val="clear" w:color="auto" w:fill="auto"/>
                  <w:noWrap w:val="0"/>
                  <w:vAlign w:val="center"/>
                </w:tcPr>
                <w:p w14:paraId="2BE4F9CD">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1、本项目建设符合自治区重点管控单元资源利用要求的准入要求。</w:t>
                  </w:r>
                </w:p>
                <w:p w14:paraId="50887CF8">
                  <w:pPr>
                    <w:pStyle w:val="33"/>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2、本项目不涉及使用高污染燃料。</w:t>
                  </w:r>
                </w:p>
              </w:tc>
              <w:tc>
                <w:tcPr>
                  <w:tcW w:w="328" w:type="pct"/>
                  <w:shd w:val="clear" w:color="auto" w:fill="auto"/>
                  <w:noWrap w:val="0"/>
                  <w:vAlign w:val="center"/>
                </w:tcPr>
                <w:p w14:paraId="0B8A2F88">
                  <w:pPr>
                    <w:pStyle w:val="32"/>
                    <w:pageBreakBefore w:val="0"/>
                    <w:kinsoku/>
                    <w:wordWrap w:val="0"/>
                    <w:overflowPunct/>
                    <w:topLinePunct/>
                    <w:autoSpaceDE/>
                    <w:autoSpaceDN/>
                    <w:bidi w:val="0"/>
                    <w:jc w:val="left"/>
                    <w:rPr>
                      <w:rFonts w:hint="default" w:ascii="Times New Roman" w:hAnsi="Times New Roman" w:eastAsia="宋体" w:cs="Times New Roman"/>
                      <w:b w:val="0"/>
                      <w:bCs w:val="0"/>
                      <w:snapToGrid w:val="0"/>
                      <w:color w:val="auto"/>
                      <w:spacing w:val="7"/>
                      <w:kern w:val="0"/>
                      <w:sz w:val="21"/>
                      <w:szCs w:val="21"/>
                      <w:highlight w:val="none"/>
                      <w:lang w:val="en-US" w:eastAsia="zh-CN" w:bidi="ar-SA"/>
                    </w:rPr>
                  </w:pPr>
                  <w:r>
                    <w:rPr>
                      <w:rFonts w:hint="default" w:ascii="Times New Roman" w:hAnsi="Times New Roman" w:eastAsia="宋体" w:cs="Times New Roman"/>
                      <w:b w:val="0"/>
                      <w:bCs w:val="0"/>
                      <w:snapToGrid w:val="0"/>
                      <w:color w:val="auto"/>
                      <w:spacing w:val="7"/>
                      <w:kern w:val="0"/>
                      <w:sz w:val="21"/>
                      <w:szCs w:val="21"/>
                      <w:highlight w:val="none"/>
                      <w:lang w:val="en-US" w:eastAsia="zh-CN" w:bidi="ar-SA"/>
                    </w:rPr>
                    <w:t>符合</w:t>
                  </w:r>
                </w:p>
              </w:tc>
            </w:tr>
          </w:tbl>
          <w:p w14:paraId="26878BB7">
            <w:pPr>
              <w:pStyle w:val="25"/>
              <w:pageBreakBefore w:val="0"/>
              <w:tabs>
                <w:tab w:val="left" w:pos="7422"/>
              </w:tabs>
              <w:kinsoku/>
              <w:wordWrap w:val="0"/>
              <w:overflowPunct/>
              <w:topLinePunct/>
              <w:autoSpaceDE/>
              <w:autoSpaceDN/>
              <w:bidi w:val="0"/>
              <w:spacing w:line="360" w:lineRule="auto"/>
              <w:ind w:left="0" w:firstLine="516"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9"/>
                <w:sz w:val="24"/>
                <w:szCs w:val="24"/>
                <w:highlight w:val="none"/>
              </w:rPr>
              <w:t>综上所述，本项目符合生态保护红线、环境质量底线、资源利用上线和生</w:t>
            </w:r>
            <w:r>
              <w:rPr>
                <w:rFonts w:hint="default" w:ascii="Times New Roman" w:hAnsi="Times New Roman" w:eastAsia="宋体" w:cs="Times New Roman"/>
                <w:color w:val="auto"/>
                <w:spacing w:val="8"/>
                <w:sz w:val="24"/>
                <w:szCs w:val="24"/>
                <w:highlight w:val="none"/>
              </w:rPr>
              <w:t>态环境准入清单的各项审批原则及要求。本项目与昌吉回族自治州“三线一单”</w:t>
            </w:r>
            <w:r>
              <w:rPr>
                <w:rFonts w:hint="default" w:ascii="Times New Roman" w:hAnsi="Times New Roman" w:eastAsia="宋体" w:cs="Times New Roman"/>
                <w:color w:val="auto"/>
                <w:spacing w:val="4"/>
                <w:sz w:val="24"/>
                <w:szCs w:val="24"/>
                <w:highlight w:val="none"/>
              </w:rPr>
              <w:t>生态环境管控单元位置关系见附图1</w:t>
            </w:r>
            <w:r>
              <w:rPr>
                <w:rFonts w:hint="default" w:ascii="Times New Roman" w:hAnsi="Times New Roman" w:eastAsia="宋体" w:cs="Times New Roman"/>
                <w:color w:val="auto"/>
                <w:spacing w:val="4"/>
                <w:sz w:val="24"/>
                <w:szCs w:val="24"/>
                <w:highlight w:val="none"/>
                <w:lang w:val="en-US" w:eastAsia="zh-CN"/>
              </w:rPr>
              <w:t>-2</w:t>
            </w:r>
            <w:r>
              <w:rPr>
                <w:rFonts w:hint="default" w:ascii="Times New Roman" w:hAnsi="Times New Roman" w:eastAsia="宋体" w:cs="Times New Roman"/>
                <w:color w:val="auto"/>
                <w:spacing w:val="4"/>
                <w:sz w:val="24"/>
                <w:szCs w:val="24"/>
                <w:highlight w:val="none"/>
              </w:rPr>
              <w:t>。</w:t>
            </w:r>
          </w:p>
          <w:p w14:paraId="7A7AC113">
            <w:pPr>
              <w:pStyle w:val="25"/>
              <w:pageBreakBefore w:val="0"/>
              <w:kinsoku/>
              <w:wordWrap w:val="0"/>
              <w:overflowPunct/>
              <w:topLinePunct/>
              <w:autoSpaceDE/>
              <w:autoSpaceDN/>
              <w:bidi w:val="0"/>
              <w:spacing w:line="360" w:lineRule="auto"/>
              <w:ind w:left="105" w:firstLine="506"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6"/>
                <w:sz w:val="24"/>
                <w:szCs w:val="24"/>
                <w:highlight w:val="none"/>
              </w:rPr>
              <w:t>4与《新疆维吾尔自治区“十四五”生态环境保护规划》符合性分析</w:t>
            </w:r>
          </w:p>
          <w:p w14:paraId="3E30CFFE">
            <w:pPr>
              <w:pageBreakBefore w:val="0"/>
              <w:kinsoku/>
              <w:wordWrap w:val="0"/>
              <w:overflowPunct/>
              <w:topLinePunct/>
              <w:autoSpaceDE/>
              <w:autoSpaceDN/>
              <w:bidi w:val="0"/>
              <w:spacing w:line="460" w:lineRule="exact"/>
              <w:ind w:firstLine="480" w:firstLineChars="200"/>
              <w:jc w:val="both"/>
              <w:rPr>
                <w:rFonts w:hint="default" w:ascii="Times New Roman" w:hAnsi="Times New Roman" w:eastAsia="宋体" w:cs="Times New Roman"/>
                <w:snapToGrid w:val="0"/>
                <w:color w:val="auto"/>
                <w:sz w:val="24"/>
                <w:szCs w:val="24"/>
                <w:highlight w:val="none"/>
              </w:rPr>
            </w:pPr>
            <w:r>
              <w:rPr>
                <w:rFonts w:hint="default" w:ascii="Times New Roman" w:hAnsi="Times New Roman" w:eastAsia="宋体" w:cs="Times New Roman"/>
                <w:snapToGrid w:val="0"/>
                <w:color w:val="auto"/>
                <w:sz w:val="24"/>
                <w:szCs w:val="24"/>
                <w:highlight w:val="none"/>
              </w:rPr>
              <w:t>《</w:t>
            </w:r>
            <w:bookmarkStart w:id="2" w:name="OLE_LINK8"/>
            <w:bookmarkStart w:id="3" w:name="OLE_LINK7"/>
            <w:r>
              <w:rPr>
                <w:rFonts w:hint="default" w:ascii="Times New Roman" w:hAnsi="Times New Roman" w:eastAsia="宋体" w:cs="Times New Roman"/>
                <w:snapToGrid w:val="0"/>
                <w:color w:val="auto"/>
                <w:sz w:val="24"/>
                <w:szCs w:val="24"/>
                <w:highlight w:val="none"/>
              </w:rPr>
              <w:t>新疆生态环境保护“十四五”规划</w:t>
            </w:r>
            <w:bookmarkEnd w:id="2"/>
            <w:bookmarkEnd w:id="3"/>
            <w:r>
              <w:rPr>
                <w:rFonts w:hint="default" w:ascii="Times New Roman" w:hAnsi="Times New Roman" w:eastAsia="宋体" w:cs="Times New Roman"/>
                <w:snapToGrid w:val="0"/>
                <w:color w:val="auto"/>
                <w:sz w:val="24"/>
                <w:szCs w:val="24"/>
                <w:highlight w:val="none"/>
              </w:rPr>
              <w:t>》“第五章”“第三节持续推进涉气污染源治理”中明确：实施重点行业氮氧化物（以下简称“NOx”）等污染物深度治理。持续推进钢铁、水泥、焦化行业超低排放改造。推进玻璃、陶瓷、铸造、铁合金、有色、煤化和石化等行业采取清洁生产、提标改造、深度治理等综合措施。加强自备燃煤机组污染治理设施运行管控，确保按照超低排放标准运行。针对铸造、铁合金、焦化、水泥、砖瓦、石灰、耐火材料、金属冶炼以及煤化工、石油化工等行业，严格控制物料储存、输送及生产工艺过程无组织排放。重点涉气排放企业逐步取消烟气旁路，因安全生产无法取消的，安装在线监控系统。推进扬尘精细化管控。全面推行绿色施工，城市建成区建筑工地扬尘防控标准化管理全覆盖；加强城市道路清扫保洁和洒水抑尘，渣土车实施硬覆盖；推进低尘机械化作业水平，控制道路扬尘污染；强化非道路移动源综合治理；充分运用新型、高效的防尘、降尘、除尘技术，加强矿山粉尘治理。</w:t>
            </w:r>
          </w:p>
          <w:p w14:paraId="71A811F2">
            <w:pPr>
              <w:pageBreakBefore w:val="0"/>
              <w:kinsoku/>
              <w:wordWrap w:val="0"/>
              <w:overflowPunct/>
              <w:topLinePunct/>
              <w:autoSpaceDE/>
              <w:autoSpaceDN/>
              <w:bidi w:val="0"/>
              <w:spacing w:line="460" w:lineRule="exact"/>
              <w:ind w:firstLine="480" w:firstLineChars="200"/>
              <w:jc w:val="both"/>
              <w:rPr>
                <w:rFonts w:hint="default" w:ascii="Times New Roman" w:hAnsi="Times New Roman" w:eastAsia="宋体" w:cs="Times New Roman"/>
                <w:snapToGrid w:val="0"/>
                <w:color w:val="auto"/>
                <w:sz w:val="24"/>
                <w:szCs w:val="24"/>
                <w:highlight w:val="none"/>
              </w:rPr>
            </w:pPr>
            <w:r>
              <w:rPr>
                <w:rFonts w:hint="default" w:ascii="Times New Roman" w:hAnsi="Times New Roman" w:eastAsia="宋体" w:cs="Times New Roman"/>
                <w:snapToGrid w:val="0"/>
                <w:color w:val="auto"/>
                <w:sz w:val="24"/>
                <w:szCs w:val="24"/>
                <w:highlight w:val="none"/>
              </w:rPr>
              <w:t>“第四节加强其他污染治理”中明确</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snapToGrid w:val="0"/>
                <w:color w:val="auto"/>
                <w:sz w:val="24"/>
                <w:szCs w:val="24"/>
                <w:highlight w:val="none"/>
              </w:rPr>
              <w:t>加强环境噪声污染防控。加强噪声污染源监管，继续强化和深入推进交通运输噪声、建筑施工噪声、社会生活噪声、工业企业、机场周边噪声污染防治，推进工业企业噪声纳入排污许可管理。优化重点区域声环境质量监测点位，加强城市环境噪声、道路交通噪声、功能区噪声例行监测与评价，推动功能区声环境质量自动监测，强化声环境功能区管理，适时调整完善声环境功能区。继续强化噪声信访处置，畅通噪声污染投诉渠道，完善生态环境与相关部门的噪声污染投诉信息共享处理机制。</w:t>
            </w:r>
          </w:p>
          <w:p w14:paraId="59867093">
            <w:pPr>
              <w:pageBreakBefore w:val="0"/>
              <w:kinsoku/>
              <w:wordWrap w:val="0"/>
              <w:overflowPunct/>
              <w:topLinePunct/>
              <w:autoSpaceDE/>
              <w:autoSpaceDN/>
              <w:bidi w:val="0"/>
              <w:spacing w:line="460" w:lineRule="exact"/>
              <w:ind w:firstLine="482" w:firstLineChars="200"/>
              <w:jc w:val="both"/>
              <w:rPr>
                <w:rFonts w:hint="default" w:ascii="Times New Roman" w:hAnsi="Times New Roman" w:eastAsia="宋体" w:cs="Times New Roman"/>
                <w:b/>
                <w:bCs/>
                <w:snapToGrid w:val="0"/>
                <w:color w:val="auto"/>
                <w:sz w:val="24"/>
                <w:szCs w:val="24"/>
                <w:highlight w:val="none"/>
              </w:rPr>
            </w:pPr>
            <w:r>
              <w:rPr>
                <w:rFonts w:hint="default" w:ascii="Times New Roman" w:hAnsi="Times New Roman" w:eastAsia="宋体" w:cs="Times New Roman"/>
                <w:b/>
                <w:bCs/>
                <w:snapToGrid w:val="0"/>
                <w:color w:val="auto"/>
                <w:sz w:val="24"/>
                <w:szCs w:val="24"/>
                <w:highlight w:val="none"/>
              </w:rPr>
              <w:t>符合性：</w:t>
            </w:r>
            <w:r>
              <w:rPr>
                <w:rFonts w:hint="default" w:ascii="Times New Roman" w:hAnsi="Times New Roman" w:eastAsia="宋体" w:cs="Times New Roman"/>
                <w:snapToGrid w:val="0"/>
                <w:color w:val="auto"/>
                <w:sz w:val="24"/>
                <w:szCs w:val="24"/>
                <w:highlight w:val="none"/>
              </w:rPr>
              <w:t>本项目砂</w:t>
            </w:r>
            <w:r>
              <w:rPr>
                <w:rFonts w:hint="default" w:ascii="Times New Roman" w:hAnsi="Times New Roman" w:eastAsia="宋体" w:cs="Times New Roman"/>
                <w:snapToGrid w:val="0"/>
                <w:color w:val="auto"/>
                <w:sz w:val="24"/>
                <w:szCs w:val="24"/>
                <w:highlight w:val="none"/>
                <w:lang w:val="en-US" w:eastAsia="zh-CN"/>
              </w:rPr>
              <w:t>石料、炉渣存放在密闭厂房内，</w:t>
            </w:r>
            <w:r>
              <w:rPr>
                <w:rFonts w:hint="default" w:ascii="Times New Roman" w:hAnsi="Times New Roman" w:eastAsia="宋体" w:cs="Times New Roman"/>
                <w:snapToGrid w:val="0"/>
                <w:color w:val="auto"/>
                <w:sz w:val="24"/>
                <w:szCs w:val="24"/>
                <w:highlight w:val="none"/>
              </w:rPr>
              <w:t>采用设置洒水喷淋措施；采用全封闭式物料输送；</w:t>
            </w:r>
            <w:r>
              <w:rPr>
                <w:rFonts w:hint="default" w:ascii="Times New Roman" w:hAnsi="Times New Roman" w:eastAsia="宋体" w:cs="Times New Roman"/>
                <w:color w:val="auto"/>
                <w:sz w:val="24"/>
                <w:szCs w:val="24"/>
                <w:highlight w:val="none"/>
              </w:rPr>
              <w:t>运输车辆出厂前必须经过冲洗，以减少扬尘的产生和逸散；运输车辆采取对车体进行覆盖的方式，道路定期人工清扫；噪声选用低噪声设备，基础减振厂房隔声等措施降噪，符合相关要求。</w:t>
            </w:r>
          </w:p>
          <w:p w14:paraId="38731C46">
            <w:pPr>
              <w:pStyle w:val="25"/>
              <w:pageBreakBefore w:val="0"/>
              <w:kinsoku/>
              <w:wordWrap w:val="0"/>
              <w:overflowPunct/>
              <w:topLinePunct/>
              <w:autoSpaceDE/>
              <w:autoSpaceDN/>
              <w:bidi w:val="0"/>
              <w:spacing w:before="51" w:line="377" w:lineRule="auto"/>
              <w:ind w:left="114" w:right="74" w:firstLine="506"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6"/>
                <w:sz w:val="24"/>
                <w:szCs w:val="24"/>
                <w:highlight w:val="none"/>
                <w:lang w:val="en-US" w:eastAsia="zh-CN"/>
              </w:rPr>
              <w:t>5</w:t>
            </w:r>
            <w:r>
              <w:rPr>
                <w:rFonts w:hint="default" w:ascii="Times New Roman" w:hAnsi="Times New Roman" w:eastAsia="宋体" w:cs="Times New Roman"/>
                <w:b/>
                <w:bCs/>
                <w:color w:val="auto"/>
                <w:spacing w:val="6"/>
                <w:sz w:val="24"/>
                <w:szCs w:val="24"/>
                <w:highlight w:val="none"/>
              </w:rPr>
              <w:t>、与《“乌-昌-石”区域执行大气污染物特别排放限值的公告》（生态环境厅公告〔2023〕20号）符合性分析</w:t>
            </w:r>
          </w:p>
          <w:p w14:paraId="59E259C8">
            <w:pPr>
              <w:pStyle w:val="25"/>
              <w:pageBreakBefore w:val="0"/>
              <w:kinsoku/>
              <w:wordWrap w:val="0"/>
              <w:overflowPunct/>
              <w:topLinePunct/>
              <w:autoSpaceDE/>
              <w:autoSpaceDN/>
              <w:bidi w:val="0"/>
              <w:spacing w:line="360" w:lineRule="auto"/>
              <w:ind w:left="0" w:right="0" w:firstLine="528"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2"/>
                <w:sz w:val="24"/>
                <w:szCs w:val="24"/>
                <w:highlight w:val="none"/>
              </w:rPr>
              <w:t>（一）各级生态环境部门要按照本公告要求严格审批新建、改扩建项目，</w:t>
            </w:r>
            <w:r>
              <w:rPr>
                <w:rFonts w:hint="default" w:ascii="Times New Roman" w:hAnsi="Times New Roman" w:eastAsia="宋体" w:cs="Times New Roman"/>
                <w:color w:val="auto"/>
                <w:spacing w:val="7"/>
                <w:sz w:val="24"/>
                <w:szCs w:val="24"/>
                <w:highlight w:val="none"/>
              </w:rPr>
              <w:t>并严格按照“三同时”制度进行管理，确保满足特别排放限值和特别控制要求。</w:t>
            </w:r>
          </w:p>
          <w:p w14:paraId="7DB779A2">
            <w:pPr>
              <w:pStyle w:val="25"/>
              <w:pageBreakBefore w:val="0"/>
              <w:kinsoku/>
              <w:wordWrap w:val="0"/>
              <w:overflowPunct/>
              <w:topLinePunct/>
              <w:autoSpaceDE/>
              <w:autoSpaceDN/>
              <w:bidi w:val="0"/>
              <w:spacing w:line="360" w:lineRule="auto"/>
              <w:ind w:right="0" w:firstLine="520"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0"/>
                <w:sz w:val="24"/>
                <w:szCs w:val="24"/>
                <w:highlight w:val="none"/>
              </w:rPr>
              <w:t>（二）已实施超低排放的涉气排污单位，其实施超低排放改造的污染因子</w:t>
            </w:r>
            <w:r>
              <w:rPr>
                <w:rFonts w:hint="default" w:ascii="Times New Roman" w:hAnsi="Times New Roman" w:eastAsia="宋体" w:cs="Times New Roman"/>
                <w:color w:val="auto"/>
                <w:spacing w:val="9"/>
                <w:sz w:val="24"/>
                <w:szCs w:val="24"/>
                <w:highlight w:val="none"/>
              </w:rPr>
              <w:t>执行超低排放限值，其他污染因子执行特别排放限值和特别控制要求。</w:t>
            </w:r>
          </w:p>
          <w:p w14:paraId="222401B6">
            <w:pPr>
              <w:pStyle w:val="25"/>
              <w:pageBreakBefore w:val="0"/>
              <w:kinsoku/>
              <w:wordWrap w:val="0"/>
              <w:overflowPunct/>
              <w:topLinePunct/>
              <w:autoSpaceDE/>
              <w:autoSpaceDN/>
              <w:bidi w:val="0"/>
              <w:spacing w:line="360" w:lineRule="auto"/>
              <w:ind w:left="0" w:right="0" w:firstLine="520"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0"/>
                <w:sz w:val="24"/>
                <w:szCs w:val="24"/>
                <w:highlight w:val="none"/>
              </w:rPr>
              <w:t>（三）已确定异地搬迁或为执行更严格大气污染控制标准进行升级改造的</w:t>
            </w:r>
            <w:r>
              <w:rPr>
                <w:rFonts w:hint="default" w:ascii="Times New Roman" w:hAnsi="Times New Roman" w:eastAsia="宋体" w:cs="Times New Roman"/>
                <w:color w:val="auto"/>
                <w:spacing w:val="12"/>
                <w:sz w:val="24"/>
                <w:szCs w:val="24"/>
                <w:highlight w:val="none"/>
              </w:rPr>
              <w:t>企业，在异地搬迁或升级改造前可暂不执行本公告中特别排放限值和特别控制</w:t>
            </w:r>
            <w:r>
              <w:rPr>
                <w:rFonts w:hint="default" w:ascii="Times New Roman" w:hAnsi="Times New Roman" w:eastAsia="宋体" w:cs="Times New Roman"/>
                <w:color w:val="auto"/>
                <w:spacing w:val="2"/>
                <w:sz w:val="24"/>
                <w:szCs w:val="24"/>
                <w:highlight w:val="none"/>
              </w:rPr>
              <w:t>要求。</w:t>
            </w:r>
          </w:p>
          <w:p w14:paraId="7DF80ADB">
            <w:pPr>
              <w:pStyle w:val="25"/>
              <w:pageBreakBefore w:val="0"/>
              <w:kinsoku/>
              <w:wordWrap w:val="0"/>
              <w:overflowPunct/>
              <w:topLinePunct/>
              <w:autoSpaceDE/>
              <w:autoSpaceDN/>
              <w:bidi w:val="0"/>
              <w:spacing w:line="360" w:lineRule="auto"/>
              <w:ind w:left="0" w:right="0" w:firstLine="520"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0"/>
                <w:sz w:val="24"/>
                <w:szCs w:val="24"/>
                <w:highlight w:val="none"/>
              </w:rPr>
              <w:t>（四）国家和自治区出台更严格的大气污染物排放标准和排放要求后，相</w:t>
            </w:r>
            <w:r>
              <w:rPr>
                <w:rFonts w:hint="default" w:ascii="Times New Roman" w:hAnsi="Times New Roman" w:eastAsia="宋体" w:cs="Times New Roman"/>
                <w:color w:val="auto"/>
                <w:spacing w:val="7"/>
                <w:sz w:val="24"/>
                <w:szCs w:val="24"/>
                <w:highlight w:val="none"/>
              </w:rPr>
              <w:t>关企业需从严执行。</w:t>
            </w:r>
          </w:p>
          <w:p w14:paraId="4AF33F38">
            <w:pPr>
              <w:pStyle w:val="25"/>
              <w:pageBreakBefore w:val="0"/>
              <w:kinsoku/>
              <w:wordWrap w:val="0"/>
              <w:overflowPunct/>
              <w:topLinePunct/>
              <w:autoSpaceDE/>
              <w:autoSpaceDN/>
              <w:bidi w:val="0"/>
              <w:spacing w:line="360" w:lineRule="auto"/>
              <w:ind w:left="0" w:right="0" w:firstLine="524"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1"/>
                <w:sz w:val="24"/>
                <w:szCs w:val="24"/>
                <w:highlight w:val="none"/>
              </w:rPr>
              <w:t>本项目严格按照项目环境保护“三同时”制度，完善污染</w:t>
            </w:r>
            <w:r>
              <w:rPr>
                <w:rFonts w:hint="default" w:ascii="Times New Roman" w:hAnsi="Times New Roman" w:eastAsia="宋体" w:cs="Times New Roman"/>
                <w:color w:val="auto"/>
                <w:spacing w:val="10"/>
                <w:sz w:val="24"/>
                <w:szCs w:val="24"/>
                <w:highlight w:val="none"/>
              </w:rPr>
              <w:t>防治措施要求，</w:t>
            </w:r>
            <w:r>
              <w:rPr>
                <w:rFonts w:hint="default" w:ascii="Times New Roman" w:hAnsi="Times New Roman" w:eastAsia="宋体" w:cs="Times New Roman"/>
                <w:color w:val="auto"/>
                <w:spacing w:val="9"/>
                <w:sz w:val="24"/>
                <w:szCs w:val="24"/>
                <w:highlight w:val="none"/>
              </w:rPr>
              <w:t>确保无组织颗粒物满足特别排放限值和特别控制要求。</w:t>
            </w:r>
          </w:p>
          <w:p w14:paraId="363A6207">
            <w:pPr>
              <w:pStyle w:val="25"/>
              <w:pageBreakBefore w:val="0"/>
              <w:kinsoku/>
              <w:wordWrap w:val="0"/>
              <w:overflowPunct/>
              <w:topLinePunct/>
              <w:autoSpaceDE/>
              <w:autoSpaceDN/>
              <w:bidi w:val="0"/>
              <w:spacing w:before="160" w:line="360" w:lineRule="auto"/>
              <w:ind w:left="107" w:firstLine="378"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26"/>
                <w:sz w:val="24"/>
                <w:szCs w:val="24"/>
                <w:highlight w:val="none"/>
                <w:lang w:val="en-US" w:eastAsia="zh-CN"/>
              </w:rPr>
              <w:t>6</w:t>
            </w:r>
            <w:r>
              <w:rPr>
                <w:rFonts w:hint="default" w:ascii="Times New Roman" w:hAnsi="Times New Roman" w:eastAsia="宋体" w:cs="Times New Roman"/>
                <w:b/>
                <w:bCs/>
                <w:color w:val="auto"/>
                <w:spacing w:val="5"/>
                <w:sz w:val="24"/>
                <w:szCs w:val="24"/>
                <w:highlight w:val="none"/>
              </w:rPr>
              <w:t>、与《“乌-昌-石”区域大气环境整治2023年行动方案</w:t>
            </w:r>
            <w:r>
              <w:rPr>
                <w:rFonts w:hint="default" w:ascii="Times New Roman" w:hAnsi="Times New Roman" w:eastAsia="宋体" w:cs="Times New Roman"/>
                <w:b/>
                <w:bCs/>
                <w:color w:val="auto"/>
                <w:spacing w:val="4"/>
                <w:sz w:val="24"/>
                <w:szCs w:val="24"/>
                <w:highlight w:val="none"/>
              </w:rPr>
              <w:t>》符合性分析</w:t>
            </w:r>
          </w:p>
          <w:p w14:paraId="510531AA">
            <w:pPr>
              <w:pStyle w:val="25"/>
              <w:pageBreakBefore w:val="0"/>
              <w:kinsoku/>
              <w:wordWrap w:val="0"/>
              <w:overflowPunct/>
              <w:topLinePunct/>
              <w:autoSpaceDE/>
              <w:autoSpaceDN/>
              <w:bidi w:val="0"/>
              <w:spacing w:line="360" w:lineRule="auto"/>
              <w:ind w:left="0" w:right="0" w:firstLine="520" w:firstLineChars="200"/>
              <w:jc w:val="both"/>
              <w:rPr>
                <w:rFonts w:hint="default" w:ascii="Times New Roman" w:hAnsi="Times New Roman" w:eastAsia="宋体" w:cs="Times New Roman"/>
                <w:color w:val="auto"/>
                <w:spacing w:val="10"/>
                <w:sz w:val="24"/>
                <w:szCs w:val="24"/>
                <w:highlight w:val="none"/>
              </w:rPr>
            </w:pPr>
            <w:r>
              <w:rPr>
                <w:rFonts w:hint="default" w:ascii="Times New Roman" w:hAnsi="Times New Roman" w:eastAsia="宋体" w:cs="Times New Roman"/>
                <w:color w:val="auto"/>
                <w:spacing w:val="10"/>
                <w:sz w:val="24"/>
                <w:szCs w:val="24"/>
                <w:highlight w:val="none"/>
              </w:rPr>
              <w:t>《“乌-昌-石”区域大气环境整治2023年行动方案》在“实施工业重点行业污染深度治理”中提出：实施工业重点行业深度治理。区域内污染物排放总量在100吨以上的企业制定“一企一策”三年污染防治方案，选择成熟稳定的高效废气治理技术，明确污染物减排措施和完成时限。推进钢铁、水泥等行业超低排放改造。2023年9月30日前完成除尘、脱硫、脱硝低效治理设施提标改造，对无法稳定达标排放的企业实施分类整治。实施无组织排放全流程控制和收集处理，实现厂区内无可见烟粉尘及明显异味。</w:t>
            </w:r>
          </w:p>
          <w:p w14:paraId="6D058439">
            <w:pPr>
              <w:pStyle w:val="25"/>
              <w:pageBreakBefore w:val="0"/>
              <w:kinsoku/>
              <w:wordWrap w:val="0"/>
              <w:overflowPunct/>
              <w:topLinePunct/>
              <w:autoSpaceDE/>
              <w:autoSpaceDN/>
              <w:bidi w:val="0"/>
              <w:spacing w:line="360" w:lineRule="auto"/>
              <w:ind w:left="0" w:right="0" w:firstLine="508" w:firstLineChars="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snapToGrid w:val="0"/>
                <w:color w:val="auto"/>
                <w:spacing w:val="7"/>
                <w:kern w:val="0"/>
                <w:sz w:val="24"/>
                <w:szCs w:val="24"/>
                <w:highlight w:val="none"/>
                <w:lang w:val="en-US" w:eastAsia="zh-CN" w:bidi="ar-SA"/>
              </w:rPr>
              <w:t>本项目属于</w:t>
            </w:r>
            <w:r>
              <w:rPr>
                <w:rFonts w:hint="default" w:ascii="Times New Roman" w:hAnsi="Times New Roman" w:eastAsia="宋体" w:cs="Times New Roman"/>
                <w:color w:val="auto"/>
                <w:spacing w:val="9"/>
                <w:sz w:val="24"/>
                <w:szCs w:val="24"/>
                <w:highlight w:val="none"/>
                <w:lang w:val="en-US" w:eastAsia="zh-CN"/>
              </w:rPr>
              <w:t>其他建筑材料制造项目</w:t>
            </w:r>
            <w:r>
              <w:rPr>
                <w:rFonts w:hint="default" w:ascii="Times New Roman" w:hAnsi="Times New Roman" w:eastAsia="宋体" w:cs="Times New Roman"/>
                <w:b w:val="0"/>
                <w:bCs w:val="0"/>
                <w:snapToGrid w:val="0"/>
                <w:color w:val="auto"/>
                <w:spacing w:val="7"/>
                <w:kern w:val="0"/>
                <w:sz w:val="24"/>
                <w:szCs w:val="24"/>
                <w:highlight w:val="none"/>
                <w:lang w:val="en-US" w:eastAsia="zh-CN" w:bidi="ar-SA"/>
              </w:rPr>
              <w:t>，本项目运营期厂房密闭，产生的颗粒物经布袋除尘器处理后排放。</w:t>
            </w:r>
            <w:r>
              <w:rPr>
                <w:rFonts w:hint="default" w:ascii="Times New Roman" w:hAnsi="Times New Roman" w:eastAsia="宋体" w:cs="Times New Roman"/>
                <w:color w:val="auto"/>
                <w:spacing w:val="2"/>
                <w:sz w:val="24"/>
                <w:szCs w:val="24"/>
                <w:highlight w:val="none"/>
              </w:rPr>
              <w:t>粉尘排放浓度执行《大</w:t>
            </w:r>
            <w:r>
              <w:rPr>
                <w:rFonts w:hint="default" w:ascii="Times New Roman" w:hAnsi="Times New Roman" w:eastAsia="宋体" w:cs="Times New Roman"/>
                <w:color w:val="auto"/>
                <w:spacing w:val="9"/>
                <w:sz w:val="24"/>
                <w:szCs w:val="24"/>
                <w:highlight w:val="none"/>
              </w:rPr>
              <w:t>气污染物综合排放标准》（</w:t>
            </w:r>
            <w:r>
              <w:rPr>
                <w:rFonts w:hint="default" w:ascii="Times New Roman" w:hAnsi="Times New Roman" w:eastAsia="宋体" w:cs="Times New Roman"/>
                <w:color w:val="auto"/>
                <w:sz w:val="24"/>
                <w:szCs w:val="24"/>
                <w:highlight w:val="none"/>
              </w:rPr>
              <w:t>GB</w:t>
            </w:r>
            <w:r>
              <w:rPr>
                <w:rFonts w:hint="default" w:ascii="Times New Roman" w:hAnsi="Times New Roman" w:eastAsia="宋体" w:cs="Times New Roman"/>
                <w:color w:val="auto"/>
                <w:spacing w:val="9"/>
                <w:sz w:val="24"/>
                <w:szCs w:val="24"/>
                <w:highlight w:val="none"/>
              </w:rPr>
              <w:t>16297-1996）中排放限值要求，符合方案</w:t>
            </w:r>
            <w:r>
              <w:rPr>
                <w:rFonts w:hint="default" w:ascii="Times New Roman" w:hAnsi="Times New Roman" w:eastAsia="宋体" w:cs="Times New Roman"/>
                <w:color w:val="auto"/>
                <w:spacing w:val="9"/>
                <w:sz w:val="24"/>
                <w:szCs w:val="24"/>
                <w:highlight w:val="none"/>
                <w:lang w:val="en-US" w:eastAsia="zh-CN"/>
              </w:rPr>
              <w:t>要求</w:t>
            </w:r>
            <w:r>
              <w:rPr>
                <w:rFonts w:hint="default" w:ascii="Times New Roman" w:hAnsi="Times New Roman" w:eastAsia="宋体" w:cs="Times New Roman"/>
                <w:color w:val="auto"/>
                <w:spacing w:val="9"/>
                <w:sz w:val="24"/>
                <w:szCs w:val="24"/>
                <w:highlight w:val="none"/>
              </w:rPr>
              <w:t>。</w:t>
            </w:r>
          </w:p>
          <w:p w14:paraId="4BD58CFC">
            <w:pPr>
              <w:pStyle w:val="25"/>
              <w:pageBreakBefore w:val="0"/>
              <w:kinsoku/>
              <w:wordWrap w:val="0"/>
              <w:overflowPunct/>
              <w:topLinePunct/>
              <w:autoSpaceDE/>
              <w:autoSpaceDN/>
              <w:bidi w:val="0"/>
              <w:spacing w:line="240" w:lineRule="auto"/>
              <w:ind w:left="0" w:right="0" w:firstLine="490" w:firstLineChars="200"/>
              <w:rPr>
                <w:rFonts w:hint="default" w:ascii="Times New Roman" w:hAnsi="Times New Roman" w:eastAsia="宋体" w:cs="Times New Roman"/>
                <w:b/>
                <w:bCs/>
                <w:color w:val="auto"/>
                <w:spacing w:val="2"/>
                <w:sz w:val="24"/>
                <w:szCs w:val="24"/>
                <w:highlight w:val="none"/>
              </w:rPr>
            </w:pPr>
            <w:r>
              <w:rPr>
                <w:rFonts w:hint="default" w:ascii="Times New Roman" w:hAnsi="Times New Roman" w:eastAsia="宋体" w:cs="Times New Roman"/>
                <w:b/>
                <w:bCs/>
                <w:color w:val="auto"/>
                <w:spacing w:val="2"/>
                <w:sz w:val="24"/>
                <w:szCs w:val="24"/>
                <w:highlight w:val="none"/>
                <w:lang w:val="en-US" w:eastAsia="zh-CN"/>
              </w:rPr>
              <w:t>7</w:t>
            </w:r>
            <w:r>
              <w:rPr>
                <w:rFonts w:hint="default" w:ascii="Times New Roman" w:hAnsi="Times New Roman" w:eastAsia="宋体" w:cs="Times New Roman"/>
                <w:b/>
                <w:bCs/>
                <w:color w:val="auto"/>
                <w:spacing w:val="2"/>
                <w:sz w:val="24"/>
                <w:szCs w:val="24"/>
                <w:highlight w:val="none"/>
              </w:rPr>
              <w:t>、与《昌吉回族自治州生态环境保护与建设“十四五”规划》符合性分析</w:t>
            </w:r>
          </w:p>
          <w:p w14:paraId="7AEEC188">
            <w:pPr>
              <w:pStyle w:val="25"/>
              <w:pageBreakBefore w:val="0"/>
              <w:kinsoku/>
              <w:wordWrap w:val="0"/>
              <w:overflowPunct/>
              <w:topLinePunct/>
              <w:autoSpaceDE/>
              <w:autoSpaceDN/>
              <w:bidi w:val="0"/>
              <w:spacing w:before="165" w:line="369" w:lineRule="auto"/>
              <w:ind w:left="109" w:right="46" w:firstLine="488" w:firstLineChars="200"/>
              <w:jc w:val="both"/>
              <w:rPr>
                <w:rFonts w:hint="default" w:ascii="Times New Roman" w:hAnsi="Times New Roman" w:eastAsia="宋体" w:cs="Times New Roman"/>
                <w:b/>
                <w:bCs/>
                <w:snapToGrid w:val="0"/>
                <w:color w:val="auto"/>
                <w:sz w:val="24"/>
                <w:szCs w:val="24"/>
                <w:highlight w:val="none"/>
              </w:rPr>
            </w:pPr>
            <w:r>
              <w:rPr>
                <w:rFonts w:hint="default" w:ascii="Times New Roman" w:hAnsi="Times New Roman" w:eastAsia="宋体" w:cs="Times New Roman"/>
                <w:color w:val="auto"/>
                <w:spacing w:val="2"/>
                <w:sz w:val="24"/>
                <w:szCs w:val="24"/>
                <w:highlight w:val="none"/>
              </w:rPr>
              <w:t>推进重点行业污染治理升级改造。各县市、园区电解铝、焦化碳素等重点行业及“乌-昌-石”区域所有行业均实施特别排放限值。2023年年底前，“乌-昌-石”区域完成钢铁、铸造等行业的超低排放改造工作，至2025年，其他区域全部完成钢铁、铸造等行业的超低排放运行。推进铸造、砖瓦、陶瓷、玻璃、石灰、矿物棉、独立轧钢、有色金属再生、炭素、化工、煤炭洗选、包装印刷、家具、人造板、橡胶制品、塑料制品等企业升级改造。实施工业企业物料封闭化管理专项整治，使全州各县市（园区）贮存煤炭、煤矸石、煤渣、水泥、石灰、石膏、砂土等易产生扬尘的物料全部实现密闭、密封储存，企业无组织排放等扬尘污染得到有效控制，持续推进工</w:t>
            </w:r>
          </w:p>
        </w:tc>
      </w:tr>
      <w:tr w14:paraId="53AA77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894" w:type="pct"/>
            <w:tcBorders>
              <w:top w:val="single" w:color="auto" w:sz="4" w:space="0"/>
              <w:left w:val="single" w:color="000000" w:sz="6" w:space="0"/>
              <w:bottom w:val="single" w:color="000000" w:sz="6" w:space="0"/>
            </w:tcBorders>
            <w:vAlign w:val="center"/>
          </w:tcPr>
          <w:p w14:paraId="4E0719F4">
            <w:pPr>
              <w:pageBreakBefore w:val="0"/>
              <w:kinsoku/>
              <w:wordWrap w:val="0"/>
              <w:overflowPunct/>
              <w:topLinePunct/>
              <w:autoSpaceDE/>
              <w:autoSpaceDN/>
              <w:bidi w:val="0"/>
              <w:jc w:val="center"/>
              <w:rPr>
                <w:rFonts w:hint="default" w:ascii="Times New Roman" w:hAnsi="Times New Roman" w:eastAsia="宋体" w:cs="Times New Roman"/>
                <w:color w:val="auto"/>
                <w:spacing w:val="7"/>
                <w:sz w:val="24"/>
                <w:szCs w:val="24"/>
                <w:highlight w:val="none"/>
              </w:rPr>
            </w:pPr>
          </w:p>
        </w:tc>
        <w:tc>
          <w:tcPr>
            <w:tcW w:w="4105" w:type="pct"/>
            <w:gridSpan w:val="3"/>
            <w:tcBorders>
              <w:top w:val="single" w:color="auto" w:sz="4" w:space="0"/>
              <w:bottom w:val="single" w:color="000000" w:sz="6" w:space="0"/>
              <w:right w:val="single" w:color="000000" w:sz="6" w:space="0"/>
            </w:tcBorders>
            <w:vAlign w:val="top"/>
          </w:tcPr>
          <w:p w14:paraId="0D8202A0">
            <w:pPr>
              <w:pStyle w:val="25"/>
              <w:pageBreakBefore w:val="0"/>
              <w:kinsoku/>
              <w:wordWrap w:val="0"/>
              <w:overflowPunct/>
              <w:topLinePunct/>
              <w:autoSpaceDE/>
              <w:autoSpaceDN/>
              <w:bidi w:val="0"/>
              <w:spacing w:line="360" w:lineRule="auto"/>
              <w:ind w:right="0"/>
              <w:jc w:val="both"/>
              <w:rPr>
                <w:rFonts w:hint="default" w:ascii="Times New Roman" w:hAnsi="Times New Roman" w:eastAsia="宋体" w:cs="Times New Roman"/>
                <w:color w:val="auto"/>
                <w:spacing w:val="2"/>
                <w:sz w:val="24"/>
                <w:szCs w:val="24"/>
                <w:highlight w:val="none"/>
              </w:rPr>
            </w:pPr>
            <w:r>
              <w:rPr>
                <w:rFonts w:hint="default" w:ascii="Times New Roman" w:hAnsi="Times New Roman" w:eastAsia="宋体" w:cs="Times New Roman"/>
                <w:color w:val="auto"/>
                <w:spacing w:val="2"/>
                <w:sz w:val="24"/>
                <w:szCs w:val="24"/>
                <w:highlight w:val="none"/>
              </w:rPr>
              <w:t>业源全面达标排放。</w:t>
            </w:r>
          </w:p>
          <w:p w14:paraId="614E1FF5">
            <w:pPr>
              <w:pStyle w:val="25"/>
              <w:pageBreakBefore w:val="0"/>
              <w:kinsoku/>
              <w:wordWrap w:val="0"/>
              <w:overflowPunct/>
              <w:topLinePunct/>
              <w:autoSpaceDE/>
              <w:autoSpaceDN/>
              <w:bidi w:val="0"/>
              <w:spacing w:line="360" w:lineRule="auto"/>
              <w:ind w:left="0" w:right="0" w:firstLine="488" w:firstLineChars="200"/>
              <w:jc w:val="both"/>
              <w:rPr>
                <w:rFonts w:hint="default" w:ascii="Times New Roman" w:hAnsi="Times New Roman" w:eastAsia="宋体" w:cs="Times New Roman"/>
                <w:color w:val="auto"/>
                <w:spacing w:val="2"/>
                <w:sz w:val="24"/>
                <w:szCs w:val="24"/>
                <w:highlight w:val="none"/>
              </w:rPr>
            </w:pPr>
            <w:r>
              <w:rPr>
                <w:rFonts w:hint="default" w:ascii="Times New Roman" w:hAnsi="Times New Roman" w:eastAsia="宋体" w:cs="Times New Roman"/>
                <w:color w:val="auto"/>
                <w:spacing w:val="2"/>
                <w:sz w:val="24"/>
                <w:szCs w:val="24"/>
                <w:highlight w:val="none"/>
              </w:rPr>
              <w:t>本项目不属于电解铝、焦化、碳素、钢铁、铸造等重点行业，</w:t>
            </w:r>
            <w:r>
              <w:rPr>
                <w:rFonts w:hint="default" w:ascii="Times New Roman" w:hAnsi="Times New Roman" w:eastAsia="宋体" w:cs="Times New Roman"/>
                <w:color w:val="auto"/>
                <w:spacing w:val="2"/>
                <w:sz w:val="24"/>
                <w:szCs w:val="24"/>
                <w:highlight w:val="none"/>
                <w:lang w:val="en-US" w:eastAsia="zh-CN"/>
              </w:rPr>
              <w:t>属其他建筑材料制造项目，本项目机制砂和炉渣堆放在密闭厂房内，并</w:t>
            </w:r>
            <w:r>
              <w:rPr>
                <w:rFonts w:hint="default" w:ascii="Times New Roman" w:hAnsi="Times New Roman" w:eastAsia="宋体" w:cs="Times New Roman"/>
                <w:color w:val="auto"/>
                <w:spacing w:val="2"/>
                <w:sz w:val="24"/>
                <w:szCs w:val="24"/>
                <w:highlight w:val="none"/>
              </w:rPr>
              <w:t>设置洒水喷淋措施，</w:t>
            </w:r>
            <w:r>
              <w:rPr>
                <w:rFonts w:hint="default" w:ascii="Times New Roman" w:hAnsi="Times New Roman" w:eastAsia="宋体" w:cs="Times New Roman"/>
                <w:color w:val="auto"/>
                <w:spacing w:val="2"/>
                <w:sz w:val="24"/>
                <w:szCs w:val="24"/>
                <w:highlight w:val="none"/>
                <w:lang w:val="en-US" w:eastAsia="zh-CN"/>
              </w:rPr>
              <w:t>运营期厂房密闭</w:t>
            </w:r>
            <w:r>
              <w:rPr>
                <w:rFonts w:hint="default" w:ascii="Times New Roman" w:hAnsi="Times New Roman" w:eastAsia="宋体" w:cs="Times New Roman"/>
                <w:color w:val="auto"/>
                <w:spacing w:val="2"/>
                <w:sz w:val="24"/>
                <w:szCs w:val="24"/>
                <w:highlight w:val="none"/>
              </w:rPr>
              <w:t>，企业无组织排放扬尘污染得到有效控制。与</w:t>
            </w:r>
            <w:r>
              <w:rPr>
                <w:rFonts w:hint="default" w:ascii="Times New Roman" w:hAnsi="Times New Roman" w:eastAsia="宋体" w:cs="Times New Roman"/>
                <w:color w:val="auto"/>
                <w:spacing w:val="2"/>
                <w:sz w:val="24"/>
                <w:szCs w:val="24"/>
                <w:highlight w:val="none"/>
                <w:lang w:val="en-US" w:eastAsia="zh-CN"/>
              </w:rPr>
              <w:t>规划</w:t>
            </w:r>
            <w:r>
              <w:rPr>
                <w:rFonts w:hint="default" w:ascii="Times New Roman" w:hAnsi="Times New Roman" w:eastAsia="宋体" w:cs="Times New Roman"/>
                <w:color w:val="auto"/>
                <w:spacing w:val="2"/>
                <w:sz w:val="24"/>
                <w:szCs w:val="24"/>
                <w:highlight w:val="none"/>
              </w:rPr>
              <w:t>符合。</w:t>
            </w:r>
          </w:p>
          <w:p w14:paraId="0F82882D">
            <w:pPr>
              <w:pStyle w:val="25"/>
              <w:pageBreakBefore w:val="0"/>
              <w:kinsoku/>
              <w:wordWrap w:val="0"/>
              <w:overflowPunct/>
              <w:topLinePunct/>
              <w:autoSpaceDE/>
              <w:autoSpaceDN/>
              <w:bidi w:val="0"/>
              <w:spacing w:line="360" w:lineRule="auto"/>
              <w:ind w:left="0" w:right="0" w:firstLine="490" w:firstLineChars="200"/>
              <w:rPr>
                <w:rFonts w:hint="default" w:ascii="Times New Roman" w:hAnsi="Times New Roman" w:eastAsia="宋体" w:cs="Times New Roman"/>
                <w:b/>
                <w:bCs/>
                <w:color w:val="auto"/>
                <w:spacing w:val="2"/>
                <w:sz w:val="24"/>
                <w:szCs w:val="24"/>
                <w:highlight w:val="none"/>
              </w:rPr>
            </w:pPr>
            <w:r>
              <w:rPr>
                <w:rFonts w:hint="default" w:ascii="Times New Roman" w:hAnsi="Times New Roman" w:eastAsia="宋体" w:cs="Times New Roman"/>
                <w:b/>
                <w:bCs/>
                <w:color w:val="auto"/>
                <w:spacing w:val="2"/>
                <w:sz w:val="24"/>
                <w:szCs w:val="24"/>
                <w:highlight w:val="none"/>
                <w:lang w:val="en-US" w:eastAsia="zh-CN"/>
              </w:rPr>
              <w:t>8</w:t>
            </w:r>
            <w:r>
              <w:rPr>
                <w:rFonts w:hint="default" w:ascii="Times New Roman" w:hAnsi="Times New Roman" w:eastAsia="宋体" w:cs="Times New Roman"/>
                <w:b/>
                <w:bCs/>
                <w:color w:val="auto"/>
                <w:spacing w:val="2"/>
                <w:sz w:val="24"/>
                <w:szCs w:val="24"/>
                <w:highlight w:val="none"/>
              </w:rPr>
              <w:t>、</w:t>
            </w:r>
            <w:r>
              <w:rPr>
                <w:rFonts w:hint="eastAsia" w:ascii="Times New Roman" w:hAnsi="Times New Roman" w:eastAsia="宋体" w:cs="Times New Roman"/>
                <w:b/>
                <w:bCs/>
                <w:color w:val="auto"/>
                <w:spacing w:val="2"/>
                <w:sz w:val="24"/>
                <w:szCs w:val="24"/>
                <w:highlight w:val="none"/>
                <w:lang w:val="en-US" w:eastAsia="zh-CN"/>
              </w:rPr>
              <w:t xml:space="preserve">与《新疆维吾尔自治区 </w:t>
            </w:r>
            <w:r>
              <w:rPr>
                <w:rFonts w:hint="default" w:ascii="Times New Roman" w:hAnsi="Times New Roman" w:eastAsia="宋体" w:cs="Times New Roman"/>
                <w:b/>
                <w:bCs/>
                <w:color w:val="auto"/>
                <w:spacing w:val="2"/>
                <w:sz w:val="24"/>
                <w:szCs w:val="24"/>
                <w:highlight w:val="none"/>
                <w:lang w:val="en-US" w:eastAsia="zh-CN"/>
              </w:rPr>
              <w:t xml:space="preserve">2025 </w:t>
            </w:r>
            <w:r>
              <w:rPr>
                <w:rFonts w:hint="eastAsia" w:ascii="Times New Roman" w:hAnsi="Times New Roman" w:eastAsia="宋体" w:cs="Times New Roman"/>
                <w:b/>
                <w:bCs/>
                <w:color w:val="auto"/>
                <w:spacing w:val="2"/>
                <w:sz w:val="24"/>
                <w:szCs w:val="24"/>
                <w:highlight w:val="none"/>
                <w:lang w:val="en-US" w:eastAsia="zh-CN"/>
              </w:rPr>
              <w:t>年空气质量持续改善行 动实施方案》</w:t>
            </w:r>
            <w:r>
              <w:rPr>
                <w:rFonts w:hint="default" w:ascii="Times New Roman" w:hAnsi="Times New Roman" w:eastAsia="宋体" w:cs="Times New Roman"/>
                <w:b/>
                <w:bCs/>
                <w:color w:val="auto"/>
                <w:spacing w:val="2"/>
                <w:sz w:val="24"/>
                <w:szCs w:val="24"/>
                <w:highlight w:val="none"/>
              </w:rPr>
              <w:t>的符合性分析</w:t>
            </w:r>
          </w:p>
          <w:p w14:paraId="2E4CAF09">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default" w:ascii="Times New Roman" w:hAnsi="Times New Roman" w:eastAsia="宋体" w:cs="Times New Roman"/>
                <w:snapToGrid w:val="0"/>
                <w:color w:val="auto"/>
                <w:spacing w:val="2"/>
                <w:kern w:val="0"/>
                <w:sz w:val="24"/>
                <w:szCs w:val="24"/>
                <w:highlight w:val="none"/>
                <w:lang w:val="en-US" w:eastAsia="en-US" w:bidi="ar-SA"/>
              </w:rPr>
            </w:pPr>
            <w:r>
              <w:rPr>
                <w:rFonts w:hint="eastAsia" w:ascii="Times New Roman" w:hAnsi="Times New Roman" w:eastAsia="宋体" w:cs="Times New Roman"/>
                <w:snapToGrid w:val="0"/>
                <w:color w:val="auto"/>
                <w:spacing w:val="2"/>
                <w:kern w:val="0"/>
                <w:sz w:val="24"/>
                <w:szCs w:val="24"/>
                <w:highlight w:val="none"/>
                <w:lang w:val="en-US" w:eastAsia="zh-CN" w:bidi="ar-SA"/>
              </w:rPr>
              <w:t>方案要求：</w:t>
            </w:r>
            <w:r>
              <w:rPr>
                <w:rFonts w:hint="default" w:ascii="Times New Roman" w:hAnsi="Times New Roman" w:eastAsia="宋体" w:cs="Times New Roman"/>
                <w:snapToGrid w:val="0"/>
                <w:color w:val="auto"/>
                <w:spacing w:val="2"/>
                <w:kern w:val="0"/>
                <w:sz w:val="24"/>
                <w:szCs w:val="24"/>
                <w:highlight w:val="none"/>
                <w:lang w:val="en-US" w:eastAsia="en-US" w:bidi="ar-SA"/>
              </w:rPr>
              <w:t>坚决遏制高耗能、高排放、低水平项目盲目上马。新改扩建项目严格落实国家和自治区产业规划、产业政策、生态环境分区管控方案、规划环评、项目环评、节能审查、产能置换、重点污染物总量控制、污染物排放区域削减、碳排放达峰目标等相关要求，原则上采用清洁运输方式，达到能效标杆水平、环保绩效A级水平。涉及产能置换的项目，被置换产能及设备关停后，新建项目方可投产。</w:t>
            </w:r>
          </w:p>
          <w:p w14:paraId="6AA0F54A">
            <w:pPr>
              <w:pStyle w:val="25"/>
              <w:pageBreakBefore w:val="0"/>
              <w:kinsoku/>
              <w:wordWrap w:val="0"/>
              <w:overflowPunct/>
              <w:topLinePunct/>
              <w:autoSpaceDE/>
              <w:autoSpaceDN/>
              <w:bidi w:val="0"/>
              <w:spacing w:line="360" w:lineRule="auto"/>
              <w:ind w:left="0" w:right="0" w:firstLine="488" w:firstLineChars="200"/>
              <w:rPr>
                <w:rFonts w:hint="eastAsia" w:ascii="Times New Roman" w:hAnsi="Times New Roman" w:eastAsia="宋体" w:cs="Times New Roman"/>
                <w:color w:val="auto"/>
                <w:spacing w:val="2"/>
                <w:sz w:val="24"/>
                <w:szCs w:val="24"/>
                <w:highlight w:val="none"/>
                <w:lang w:val="en-US" w:eastAsia="zh-CN"/>
              </w:rPr>
            </w:pPr>
            <w:r>
              <w:rPr>
                <w:rFonts w:hint="default" w:ascii="Times New Roman" w:hAnsi="Times New Roman" w:eastAsia="宋体" w:cs="Times New Roman"/>
                <w:color w:val="auto"/>
                <w:spacing w:val="2"/>
                <w:sz w:val="24"/>
                <w:szCs w:val="24"/>
                <w:highlight w:val="none"/>
                <w:lang w:val="en-US" w:eastAsia="zh-CN"/>
              </w:rPr>
              <w:t>本项目属其他建筑材料制造项目，产生的颗粒物经布袋除尘器处理后排放。本项目机制砂和炉渣堆放在密闭厂房内，并</w:t>
            </w:r>
            <w:r>
              <w:rPr>
                <w:rFonts w:hint="default" w:ascii="Times New Roman" w:hAnsi="Times New Roman" w:eastAsia="宋体" w:cs="Times New Roman"/>
                <w:color w:val="auto"/>
                <w:spacing w:val="2"/>
                <w:sz w:val="24"/>
                <w:szCs w:val="24"/>
                <w:highlight w:val="none"/>
              </w:rPr>
              <w:t>设置洒水喷淋措施，</w:t>
            </w:r>
            <w:r>
              <w:rPr>
                <w:rFonts w:hint="default" w:ascii="Times New Roman" w:hAnsi="Times New Roman" w:eastAsia="宋体" w:cs="Times New Roman"/>
                <w:color w:val="auto"/>
                <w:spacing w:val="2"/>
                <w:sz w:val="24"/>
                <w:szCs w:val="24"/>
                <w:highlight w:val="none"/>
                <w:lang w:val="en-US" w:eastAsia="zh-CN"/>
              </w:rPr>
              <w:t>运营期厂房密闭</w:t>
            </w:r>
            <w:r>
              <w:rPr>
                <w:rFonts w:hint="default" w:ascii="Times New Roman" w:hAnsi="Times New Roman" w:eastAsia="宋体" w:cs="Times New Roman"/>
                <w:color w:val="auto"/>
                <w:spacing w:val="2"/>
                <w:sz w:val="24"/>
                <w:szCs w:val="24"/>
                <w:highlight w:val="none"/>
              </w:rPr>
              <w:t>，企业无组织排放扬尘污染得到有效控制。</w:t>
            </w:r>
            <w:r>
              <w:rPr>
                <w:rFonts w:hint="eastAsia" w:ascii="Times New Roman" w:hAnsi="Times New Roman" w:eastAsia="宋体" w:cs="Times New Roman"/>
                <w:color w:val="auto"/>
                <w:spacing w:val="2"/>
                <w:sz w:val="24"/>
                <w:szCs w:val="24"/>
                <w:highlight w:val="none"/>
                <w:lang w:val="en-US" w:eastAsia="zh-CN"/>
              </w:rPr>
              <w:t>本项目符合</w:t>
            </w:r>
            <w:r>
              <w:rPr>
                <w:rFonts w:hint="default" w:ascii="Times New Roman" w:hAnsi="Times New Roman" w:eastAsia="宋体" w:cs="Times New Roman"/>
                <w:color w:val="auto"/>
                <w:spacing w:val="2"/>
                <w:sz w:val="24"/>
                <w:szCs w:val="24"/>
                <w:highlight w:val="none"/>
                <w:lang w:val="en-US" w:eastAsia="en-US"/>
              </w:rPr>
              <w:t>产业政策、生态环境分区管控方案</w:t>
            </w:r>
            <w:r>
              <w:rPr>
                <w:rFonts w:hint="eastAsia" w:ascii="Times New Roman" w:hAnsi="Times New Roman" w:eastAsia="宋体" w:cs="Times New Roman"/>
                <w:color w:val="auto"/>
                <w:spacing w:val="2"/>
                <w:sz w:val="24"/>
                <w:szCs w:val="24"/>
                <w:highlight w:val="none"/>
                <w:lang w:val="en-US" w:eastAsia="zh-CN"/>
              </w:rPr>
              <w:t>和</w:t>
            </w:r>
            <w:r>
              <w:rPr>
                <w:rFonts w:hint="default" w:ascii="Times New Roman" w:hAnsi="Times New Roman" w:eastAsia="宋体" w:cs="Times New Roman"/>
                <w:color w:val="auto"/>
                <w:spacing w:val="2"/>
                <w:sz w:val="24"/>
                <w:szCs w:val="24"/>
                <w:highlight w:val="none"/>
                <w:lang w:val="en-US" w:eastAsia="en-US"/>
              </w:rPr>
              <w:t>规划环评</w:t>
            </w:r>
            <w:r>
              <w:rPr>
                <w:rFonts w:hint="eastAsia" w:ascii="Times New Roman" w:hAnsi="Times New Roman" w:eastAsia="宋体" w:cs="Times New Roman"/>
                <w:color w:val="auto"/>
                <w:spacing w:val="2"/>
                <w:sz w:val="24"/>
                <w:szCs w:val="24"/>
                <w:highlight w:val="none"/>
                <w:lang w:val="en-US" w:eastAsia="zh-CN"/>
              </w:rPr>
              <w:t>要求，不涉及</w:t>
            </w:r>
            <w:r>
              <w:rPr>
                <w:rFonts w:hint="default" w:ascii="Times New Roman" w:hAnsi="Times New Roman" w:eastAsia="宋体" w:cs="Times New Roman"/>
                <w:color w:val="auto"/>
                <w:spacing w:val="2"/>
                <w:sz w:val="24"/>
                <w:szCs w:val="24"/>
                <w:highlight w:val="none"/>
                <w:lang w:val="en-US" w:eastAsia="en-US"/>
              </w:rPr>
              <w:t>产能置换</w:t>
            </w:r>
            <w:r>
              <w:rPr>
                <w:rFonts w:hint="eastAsia" w:ascii="Times New Roman" w:hAnsi="Times New Roman" w:eastAsia="宋体" w:cs="Times New Roman"/>
                <w:color w:val="auto"/>
                <w:spacing w:val="2"/>
                <w:sz w:val="24"/>
                <w:szCs w:val="24"/>
                <w:highlight w:val="none"/>
                <w:lang w:val="en-US" w:eastAsia="zh-CN"/>
              </w:rPr>
              <w:t xml:space="preserve">，符合《新疆维吾尔自治区 </w:t>
            </w:r>
            <w:r>
              <w:rPr>
                <w:rFonts w:hint="default" w:ascii="Times New Roman" w:hAnsi="Times New Roman" w:eastAsia="宋体" w:cs="Times New Roman"/>
                <w:color w:val="auto"/>
                <w:spacing w:val="2"/>
                <w:sz w:val="24"/>
                <w:szCs w:val="24"/>
                <w:highlight w:val="none"/>
                <w:lang w:val="en-US" w:eastAsia="zh-CN"/>
              </w:rPr>
              <w:t xml:space="preserve">2025 </w:t>
            </w:r>
            <w:r>
              <w:rPr>
                <w:rFonts w:hint="eastAsia" w:ascii="Times New Roman" w:hAnsi="Times New Roman" w:eastAsia="宋体" w:cs="Times New Roman"/>
                <w:color w:val="auto"/>
                <w:spacing w:val="2"/>
                <w:sz w:val="24"/>
                <w:szCs w:val="24"/>
                <w:highlight w:val="none"/>
                <w:lang w:val="en-US" w:eastAsia="zh-CN"/>
              </w:rPr>
              <w:t>年空气质量持续改善行 动实施方案》要求。</w:t>
            </w:r>
          </w:p>
          <w:p w14:paraId="355ED4CE">
            <w:pPr>
              <w:keepNext w:val="0"/>
              <w:keepLines w:val="0"/>
              <w:widowControl/>
              <w:suppressLineNumbers w:val="0"/>
              <w:spacing w:line="360" w:lineRule="auto"/>
              <w:ind w:firstLine="490" w:firstLineChars="200"/>
              <w:jc w:val="left"/>
              <w:rPr>
                <w:rFonts w:hint="eastAsia" w:ascii="Times New Roman" w:hAnsi="Times New Roman" w:eastAsia="宋体" w:cs="Times New Roman"/>
                <w:b/>
                <w:bCs/>
                <w:snapToGrid w:val="0"/>
                <w:color w:val="auto"/>
                <w:spacing w:val="2"/>
                <w:kern w:val="0"/>
                <w:sz w:val="24"/>
                <w:szCs w:val="24"/>
                <w:highlight w:val="none"/>
                <w:lang w:val="en-US" w:eastAsia="zh-CN" w:bidi="ar-SA"/>
              </w:rPr>
            </w:pPr>
            <w:r>
              <w:rPr>
                <w:rFonts w:hint="eastAsia" w:ascii="Times New Roman" w:hAnsi="Times New Roman" w:eastAsia="宋体" w:cs="Times New Roman"/>
                <w:b/>
                <w:bCs/>
                <w:snapToGrid w:val="0"/>
                <w:color w:val="auto"/>
                <w:spacing w:val="2"/>
                <w:kern w:val="0"/>
                <w:sz w:val="24"/>
                <w:szCs w:val="24"/>
                <w:highlight w:val="none"/>
                <w:lang w:val="en-US" w:eastAsia="zh-CN" w:bidi="ar-SA"/>
              </w:rPr>
              <w:t>9、《关于进一步加强乌鲁木齐、昌古、石河子、五家渠 区城大气环境同防同治的意见》（新政办发〔</w:t>
            </w:r>
            <w:r>
              <w:rPr>
                <w:rFonts w:hint="default" w:ascii="Times New Roman" w:hAnsi="Times New Roman" w:eastAsia="宋体" w:cs="Times New Roman"/>
                <w:b/>
                <w:bCs/>
                <w:snapToGrid w:val="0"/>
                <w:color w:val="auto"/>
                <w:spacing w:val="2"/>
                <w:kern w:val="0"/>
                <w:sz w:val="24"/>
                <w:szCs w:val="24"/>
                <w:highlight w:val="none"/>
                <w:lang w:val="en-US" w:eastAsia="zh-CN" w:bidi="ar-SA"/>
              </w:rPr>
              <w:t>2023</w:t>
            </w:r>
            <w:r>
              <w:rPr>
                <w:rFonts w:hint="eastAsia" w:ascii="Times New Roman" w:hAnsi="Times New Roman" w:eastAsia="宋体" w:cs="Times New Roman"/>
                <w:b/>
                <w:bCs/>
                <w:snapToGrid w:val="0"/>
                <w:color w:val="auto"/>
                <w:spacing w:val="2"/>
                <w:kern w:val="0"/>
                <w:sz w:val="24"/>
                <w:szCs w:val="24"/>
                <w:highlight w:val="none"/>
                <w:lang w:val="en-US" w:eastAsia="zh-CN" w:bidi="ar-SA"/>
              </w:rPr>
              <w:t>〕</w:t>
            </w:r>
            <w:r>
              <w:rPr>
                <w:rFonts w:hint="default" w:ascii="Times New Roman" w:hAnsi="Times New Roman" w:eastAsia="宋体" w:cs="Times New Roman"/>
                <w:b/>
                <w:bCs/>
                <w:snapToGrid w:val="0"/>
                <w:color w:val="auto"/>
                <w:spacing w:val="2"/>
                <w:kern w:val="0"/>
                <w:sz w:val="24"/>
                <w:szCs w:val="24"/>
                <w:highlight w:val="none"/>
                <w:lang w:val="en-US" w:eastAsia="zh-CN" w:bidi="ar-SA"/>
              </w:rPr>
              <w:t xml:space="preserve">29 </w:t>
            </w:r>
            <w:r>
              <w:rPr>
                <w:rFonts w:hint="eastAsia" w:ascii="Times New Roman" w:hAnsi="Times New Roman" w:eastAsia="宋体" w:cs="Times New Roman"/>
                <w:b/>
                <w:bCs/>
                <w:snapToGrid w:val="0"/>
                <w:color w:val="auto"/>
                <w:spacing w:val="2"/>
                <w:kern w:val="0"/>
                <w:sz w:val="24"/>
                <w:szCs w:val="24"/>
                <w:highlight w:val="none"/>
                <w:lang w:val="en-US" w:eastAsia="zh-CN" w:bidi="ar-SA"/>
              </w:rPr>
              <w:t>号）符合性</w:t>
            </w:r>
          </w:p>
          <w:p w14:paraId="3D864E12">
            <w:pPr>
              <w:pStyle w:val="25"/>
              <w:pageBreakBefore w:val="0"/>
              <w:kinsoku/>
              <w:wordWrap w:val="0"/>
              <w:overflowPunct/>
              <w:topLinePunct/>
              <w:autoSpaceDE/>
              <w:autoSpaceDN/>
              <w:bidi w:val="0"/>
              <w:spacing w:line="360" w:lineRule="auto"/>
              <w:ind w:left="0" w:right="0" w:firstLine="488" w:firstLineChars="200"/>
              <w:rPr>
                <w:rFonts w:hint="default" w:ascii="Times New Roman" w:hAnsi="Times New Roman" w:eastAsia="宋体" w:cs="Times New Roman"/>
                <w:color w:val="auto"/>
                <w:spacing w:val="2"/>
                <w:sz w:val="24"/>
                <w:szCs w:val="24"/>
                <w:highlight w:val="none"/>
                <w:lang w:val="en-US" w:eastAsia="zh-CN"/>
              </w:rPr>
            </w:pPr>
            <w:r>
              <w:rPr>
                <w:rFonts w:hint="eastAsia" w:ascii="Times New Roman" w:hAnsi="Times New Roman" w:cs="Times New Roman"/>
                <w:color w:val="auto"/>
                <w:spacing w:val="2"/>
                <w:sz w:val="24"/>
                <w:szCs w:val="24"/>
                <w:highlight w:val="none"/>
                <w:lang w:val="en-US" w:eastAsia="zh-CN"/>
              </w:rPr>
              <w:t>意见要求：</w:t>
            </w:r>
            <w:r>
              <w:rPr>
                <w:rFonts w:hint="default" w:ascii="Times New Roman" w:hAnsi="Times New Roman" w:eastAsia="宋体" w:cs="Times New Roman"/>
                <w:color w:val="auto"/>
                <w:spacing w:val="2"/>
                <w:sz w:val="24"/>
                <w:szCs w:val="24"/>
                <w:highlight w:val="none"/>
                <w:lang w:val="en-US" w:eastAsia="zh-CN"/>
              </w:rPr>
              <w:t>促进清洁生产。加强对重点企业的清洁生产审核和评估验收。对重点企业实行强制性清洁生产审核，按照行业清洁生产先进水平实施技术改造。将清洁生产实施情况纳入企业环保绩效考核范围。加快制定能源、钢铁、焦化、建材、有色金属、石化化工、印染、造纸、化学原料、电镀、农副食品加工、工业涂装、包装印刷等重点行业治理方案，推动实施清洁化改造。</w:t>
            </w:r>
          </w:p>
          <w:p w14:paraId="6ABDDC5D">
            <w:pPr>
              <w:pStyle w:val="25"/>
              <w:pageBreakBefore w:val="0"/>
              <w:kinsoku/>
              <w:wordWrap w:val="0"/>
              <w:overflowPunct/>
              <w:topLinePunct/>
              <w:autoSpaceDE/>
              <w:autoSpaceDN/>
              <w:bidi w:val="0"/>
              <w:spacing w:line="360" w:lineRule="auto"/>
              <w:ind w:left="0" w:right="0" w:firstLine="488" w:firstLineChars="200"/>
              <w:rPr>
                <w:rFonts w:hint="default" w:ascii="Times New Roman" w:hAnsi="Times New Roman" w:cs="Times New Roman"/>
                <w:color w:val="auto"/>
                <w:spacing w:val="2"/>
                <w:sz w:val="24"/>
                <w:szCs w:val="24"/>
                <w:highlight w:val="none"/>
                <w:lang w:val="en-US" w:eastAsia="zh-CN"/>
              </w:rPr>
            </w:pPr>
            <w:r>
              <w:rPr>
                <w:rFonts w:hint="default" w:ascii="Times New Roman" w:hAnsi="Times New Roman" w:cs="Times New Roman"/>
                <w:color w:val="auto"/>
                <w:spacing w:val="2"/>
                <w:sz w:val="24"/>
                <w:szCs w:val="24"/>
                <w:highlight w:val="none"/>
                <w:lang w:val="en-US" w:eastAsia="zh-CN"/>
              </w:rPr>
              <w:t>本项目</w:t>
            </w:r>
            <w:r>
              <w:rPr>
                <w:rFonts w:hint="eastAsia" w:ascii="Times New Roman" w:hAnsi="Times New Roman" w:cs="Times New Roman"/>
                <w:color w:val="auto"/>
                <w:spacing w:val="2"/>
                <w:sz w:val="24"/>
                <w:szCs w:val="24"/>
                <w:highlight w:val="none"/>
                <w:lang w:val="en-US" w:eastAsia="zh-CN"/>
              </w:rPr>
              <w:t>以电为能源，以炉渣等为原料进行生产</w:t>
            </w:r>
            <w:r>
              <w:rPr>
                <w:rFonts w:hint="default" w:ascii="Times New Roman" w:hAnsi="Times New Roman" w:cs="Times New Roman"/>
                <w:color w:val="auto"/>
                <w:spacing w:val="2"/>
                <w:sz w:val="24"/>
                <w:szCs w:val="24"/>
                <w:highlight w:val="none"/>
                <w:lang w:val="en-US" w:eastAsia="zh-CN"/>
              </w:rPr>
              <w:t>，</w:t>
            </w:r>
            <w:r>
              <w:rPr>
                <w:rFonts w:hint="eastAsia" w:ascii="Times New Roman" w:hAnsi="Times New Roman" w:cs="Times New Roman"/>
                <w:color w:val="auto"/>
                <w:spacing w:val="2"/>
                <w:sz w:val="24"/>
                <w:szCs w:val="24"/>
                <w:highlight w:val="none"/>
                <w:lang w:val="en-US" w:eastAsia="zh-CN"/>
              </w:rPr>
              <w:t>生产中</w:t>
            </w:r>
            <w:r>
              <w:rPr>
                <w:rFonts w:hint="default" w:ascii="Times New Roman" w:hAnsi="Times New Roman" w:cs="Times New Roman"/>
                <w:color w:val="auto"/>
                <w:spacing w:val="2"/>
                <w:sz w:val="24"/>
                <w:szCs w:val="24"/>
                <w:highlight w:val="none"/>
                <w:lang w:val="en-US" w:eastAsia="zh-CN"/>
              </w:rPr>
              <w:t>产生的颗粒物经布袋除尘器处理后排放。本项目机制砂和炉渣堆放在密闭厂房内，并设置洒水喷淋措施，运营期厂房密闭，企业无组织排放扬尘污染得到有效控制。</w:t>
            </w:r>
            <w:r>
              <w:rPr>
                <w:rFonts w:hint="eastAsia" w:ascii="Times New Roman" w:hAnsi="Times New Roman" w:cs="Times New Roman"/>
                <w:color w:val="auto"/>
                <w:spacing w:val="2"/>
                <w:sz w:val="24"/>
                <w:szCs w:val="24"/>
                <w:highlight w:val="none"/>
                <w:lang w:val="en-US" w:eastAsia="zh-CN"/>
              </w:rPr>
              <w:t>符合《关于进一步加强乌鲁木齐、昌古、石河子、五家渠 区城大气环境同防同治的意见》（新政办发〔</w:t>
            </w:r>
            <w:r>
              <w:rPr>
                <w:rFonts w:hint="default" w:ascii="Times New Roman" w:hAnsi="Times New Roman" w:cs="Times New Roman"/>
                <w:color w:val="auto"/>
                <w:spacing w:val="2"/>
                <w:sz w:val="24"/>
                <w:szCs w:val="24"/>
                <w:highlight w:val="none"/>
                <w:lang w:val="en-US" w:eastAsia="zh-CN"/>
              </w:rPr>
              <w:t>2023</w:t>
            </w:r>
            <w:r>
              <w:rPr>
                <w:rFonts w:hint="eastAsia" w:ascii="Times New Roman" w:hAnsi="Times New Roman" w:cs="Times New Roman"/>
                <w:color w:val="auto"/>
                <w:spacing w:val="2"/>
                <w:sz w:val="24"/>
                <w:szCs w:val="24"/>
                <w:highlight w:val="none"/>
                <w:lang w:val="en-US" w:eastAsia="zh-CN"/>
              </w:rPr>
              <w:t>〕</w:t>
            </w:r>
            <w:r>
              <w:rPr>
                <w:rFonts w:hint="default" w:ascii="Times New Roman" w:hAnsi="Times New Roman" w:cs="Times New Roman"/>
                <w:color w:val="auto"/>
                <w:spacing w:val="2"/>
                <w:sz w:val="24"/>
                <w:szCs w:val="24"/>
                <w:highlight w:val="none"/>
                <w:lang w:val="en-US" w:eastAsia="zh-CN"/>
              </w:rPr>
              <w:t xml:space="preserve">29 </w:t>
            </w:r>
            <w:r>
              <w:rPr>
                <w:rFonts w:hint="eastAsia" w:ascii="Times New Roman" w:hAnsi="Times New Roman" w:cs="Times New Roman"/>
                <w:color w:val="auto"/>
                <w:spacing w:val="2"/>
                <w:sz w:val="24"/>
                <w:szCs w:val="24"/>
                <w:highlight w:val="none"/>
                <w:lang w:val="en-US" w:eastAsia="zh-CN"/>
              </w:rPr>
              <w:t>号）要求。</w:t>
            </w:r>
          </w:p>
          <w:p w14:paraId="0A2A4223">
            <w:pPr>
              <w:pStyle w:val="25"/>
              <w:pageBreakBefore w:val="0"/>
              <w:kinsoku/>
              <w:wordWrap w:val="0"/>
              <w:overflowPunct/>
              <w:topLinePunct/>
              <w:autoSpaceDE/>
              <w:autoSpaceDN/>
              <w:bidi w:val="0"/>
              <w:spacing w:line="240" w:lineRule="auto"/>
              <w:ind w:left="0" w:right="0" w:firstLine="490" w:firstLineChars="200"/>
              <w:rPr>
                <w:rFonts w:hint="default" w:ascii="Times New Roman" w:hAnsi="Times New Roman" w:eastAsia="宋体" w:cs="Times New Roman"/>
                <w:b/>
                <w:bCs/>
                <w:color w:val="auto"/>
                <w:spacing w:val="2"/>
                <w:sz w:val="24"/>
                <w:szCs w:val="24"/>
                <w:highlight w:val="none"/>
              </w:rPr>
            </w:pPr>
            <w:r>
              <w:rPr>
                <w:rFonts w:hint="eastAsia" w:ascii="Times New Roman" w:hAnsi="Times New Roman" w:cs="Times New Roman"/>
                <w:b/>
                <w:bCs/>
                <w:color w:val="auto"/>
                <w:spacing w:val="2"/>
                <w:sz w:val="24"/>
                <w:szCs w:val="24"/>
                <w:highlight w:val="none"/>
                <w:lang w:val="en-US" w:eastAsia="zh-CN"/>
              </w:rPr>
              <w:t>10</w:t>
            </w:r>
            <w:r>
              <w:rPr>
                <w:rFonts w:hint="default" w:ascii="Times New Roman" w:hAnsi="Times New Roman" w:eastAsia="宋体" w:cs="Times New Roman"/>
                <w:b/>
                <w:bCs/>
                <w:color w:val="auto"/>
                <w:spacing w:val="2"/>
                <w:sz w:val="24"/>
                <w:szCs w:val="24"/>
                <w:highlight w:val="none"/>
              </w:rPr>
              <w:t>、与《工业料堆场扬尘整治规范》的符合性分析</w:t>
            </w:r>
          </w:p>
          <w:p w14:paraId="45BBBA64">
            <w:pPr>
              <w:pStyle w:val="25"/>
              <w:pageBreakBefore w:val="0"/>
              <w:kinsoku/>
              <w:wordWrap w:val="0"/>
              <w:overflowPunct/>
              <w:topLinePunct/>
              <w:autoSpaceDE/>
              <w:autoSpaceDN/>
              <w:bidi w:val="0"/>
              <w:spacing w:before="165" w:line="369" w:lineRule="auto"/>
              <w:ind w:left="109" w:right="46" w:firstLine="488" w:firstLineChars="200"/>
              <w:jc w:val="both"/>
              <w:rPr>
                <w:rFonts w:hint="default" w:ascii="Times New Roman" w:hAnsi="Times New Roman" w:eastAsia="宋体" w:cs="Times New Roman"/>
                <w:color w:val="auto"/>
                <w:spacing w:val="2"/>
                <w:sz w:val="24"/>
                <w:szCs w:val="24"/>
                <w:highlight w:val="none"/>
              </w:rPr>
            </w:pPr>
            <w:r>
              <w:rPr>
                <w:rFonts w:hint="default" w:ascii="Times New Roman" w:hAnsi="Times New Roman" w:eastAsia="宋体" w:cs="Times New Roman"/>
                <w:color w:val="auto"/>
                <w:spacing w:val="2"/>
                <w:sz w:val="24"/>
                <w:szCs w:val="24"/>
                <w:highlight w:val="none"/>
              </w:rPr>
              <w:t>根据《工业料堆场扬尘整治规范》（DB65/T4061-2017），本项目堆场属于</w:t>
            </w:r>
            <w:r>
              <w:rPr>
                <w:rFonts w:hint="default" w:ascii="Times New Roman" w:hAnsi="Times New Roman" w:eastAsia="宋体" w:cs="Times New Roman"/>
                <w:color w:val="auto"/>
                <w:spacing w:val="2"/>
                <w:sz w:val="24"/>
                <w:szCs w:val="24"/>
                <w:highlight w:val="none"/>
              </w:rPr>
              <w:fldChar w:fldCharType="begin"/>
            </w:r>
            <w:r>
              <w:rPr>
                <w:rFonts w:hint="default" w:ascii="Times New Roman" w:hAnsi="Times New Roman" w:eastAsia="宋体" w:cs="Times New Roman"/>
                <w:color w:val="auto"/>
                <w:spacing w:val="2"/>
                <w:sz w:val="24"/>
                <w:szCs w:val="24"/>
                <w:highlight w:val="none"/>
              </w:rPr>
              <w:instrText xml:space="preserve"> = 2 \* ROMAN </w:instrText>
            </w:r>
            <w:r>
              <w:rPr>
                <w:rFonts w:hint="default" w:ascii="Times New Roman" w:hAnsi="Times New Roman" w:eastAsia="宋体" w:cs="Times New Roman"/>
                <w:color w:val="auto"/>
                <w:spacing w:val="2"/>
                <w:sz w:val="24"/>
                <w:szCs w:val="24"/>
                <w:highlight w:val="none"/>
              </w:rPr>
              <w:fldChar w:fldCharType="separate"/>
            </w:r>
            <w:r>
              <w:rPr>
                <w:rFonts w:hint="default" w:ascii="Times New Roman" w:hAnsi="Times New Roman" w:eastAsia="宋体" w:cs="Times New Roman"/>
                <w:color w:val="auto"/>
                <w:spacing w:val="2"/>
                <w:sz w:val="24"/>
                <w:szCs w:val="24"/>
                <w:highlight w:val="none"/>
              </w:rPr>
              <w:t>II</w:t>
            </w:r>
            <w:r>
              <w:rPr>
                <w:rFonts w:hint="default" w:ascii="Times New Roman" w:hAnsi="Times New Roman" w:eastAsia="宋体" w:cs="Times New Roman"/>
                <w:color w:val="auto"/>
                <w:spacing w:val="2"/>
                <w:sz w:val="24"/>
                <w:szCs w:val="24"/>
                <w:highlight w:val="none"/>
              </w:rPr>
              <w:fldChar w:fldCharType="end"/>
            </w:r>
            <w:r>
              <w:rPr>
                <w:rFonts w:hint="default" w:ascii="Times New Roman" w:hAnsi="Times New Roman" w:eastAsia="宋体" w:cs="Times New Roman"/>
                <w:color w:val="auto"/>
                <w:spacing w:val="2"/>
                <w:sz w:val="24"/>
                <w:szCs w:val="24"/>
                <w:highlight w:val="none"/>
              </w:rPr>
              <w:t>类堆场，本项目</w:t>
            </w:r>
            <w:r>
              <w:rPr>
                <w:rFonts w:hint="default" w:ascii="Times New Roman" w:hAnsi="Times New Roman" w:eastAsia="宋体" w:cs="Times New Roman"/>
                <w:color w:val="auto"/>
                <w:spacing w:val="2"/>
                <w:sz w:val="24"/>
                <w:szCs w:val="24"/>
                <w:highlight w:val="none"/>
                <w:lang w:val="en-US" w:eastAsia="zh-CN"/>
              </w:rPr>
              <w:t>机制砂和炉渣堆放在密闭厂房内，并</w:t>
            </w:r>
            <w:r>
              <w:rPr>
                <w:rFonts w:hint="default" w:ascii="Times New Roman" w:hAnsi="Times New Roman" w:eastAsia="宋体" w:cs="Times New Roman"/>
                <w:color w:val="auto"/>
                <w:spacing w:val="2"/>
                <w:sz w:val="24"/>
                <w:szCs w:val="24"/>
                <w:highlight w:val="none"/>
              </w:rPr>
              <w:t>设置洒水喷淋措施，符合《工业料堆场扬尘整治规范》（DB65/T4061-2017）中要求。</w:t>
            </w:r>
          </w:p>
          <w:p w14:paraId="425E25C8">
            <w:pPr>
              <w:pStyle w:val="25"/>
              <w:pageBreakBefore w:val="0"/>
              <w:kinsoku/>
              <w:wordWrap w:val="0"/>
              <w:overflowPunct/>
              <w:topLinePunct/>
              <w:autoSpaceDE/>
              <w:autoSpaceDN/>
              <w:bidi w:val="0"/>
              <w:spacing w:line="360" w:lineRule="auto"/>
              <w:ind w:left="0" w:right="0" w:firstLine="490" w:firstLineChars="200"/>
              <w:rPr>
                <w:rFonts w:hint="default" w:ascii="Times New Roman" w:hAnsi="Times New Roman" w:eastAsia="宋体" w:cs="Times New Roman"/>
                <w:b/>
                <w:bCs/>
                <w:color w:val="auto"/>
                <w:spacing w:val="2"/>
                <w:sz w:val="24"/>
                <w:szCs w:val="24"/>
                <w:highlight w:val="none"/>
              </w:rPr>
            </w:pPr>
            <w:r>
              <w:rPr>
                <w:rFonts w:hint="eastAsia" w:ascii="Times New Roman" w:hAnsi="Times New Roman" w:cs="Times New Roman"/>
                <w:b/>
                <w:bCs/>
                <w:color w:val="auto"/>
                <w:spacing w:val="2"/>
                <w:sz w:val="24"/>
                <w:szCs w:val="24"/>
                <w:highlight w:val="none"/>
                <w:lang w:val="en-US" w:eastAsia="zh-CN"/>
              </w:rPr>
              <w:t>11</w:t>
            </w:r>
            <w:r>
              <w:rPr>
                <w:rFonts w:hint="default" w:ascii="Times New Roman" w:hAnsi="Times New Roman" w:eastAsia="宋体" w:cs="Times New Roman"/>
                <w:b/>
                <w:bCs/>
                <w:color w:val="auto"/>
                <w:spacing w:val="2"/>
                <w:sz w:val="24"/>
                <w:szCs w:val="24"/>
                <w:highlight w:val="none"/>
              </w:rPr>
              <w:t>、选址合理性分析</w:t>
            </w:r>
          </w:p>
          <w:p w14:paraId="385FE2F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88" w:firstLineChars="200"/>
              <w:textAlignment w:val="baseline"/>
              <w:rPr>
                <w:rFonts w:hint="default" w:ascii="Times New Roman" w:hAnsi="Times New Roman" w:eastAsia="宋体" w:cs="Times New Roman"/>
                <w:color w:val="auto"/>
                <w:spacing w:val="2"/>
                <w:sz w:val="24"/>
                <w:szCs w:val="24"/>
                <w:highlight w:val="none"/>
                <w:lang w:val="en-US" w:eastAsia="zh-CN"/>
              </w:rPr>
            </w:pPr>
            <w:r>
              <w:rPr>
                <w:rFonts w:hint="default" w:ascii="Times New Roman" w:hAnsi="Times New Roman" w:eastAsia="宋体" w:cs="Times New Roman"/>
                <w:color w:val="auto"/>
                <w:spacing w:val="2"/>
                <w:sz w:val="24"/>
                <w:szCs w:val="24"/>
                <w:highlight w:val="none"/>
                <w:lang w:val="en-US" w:eastAsia="zh-CN"/>
              </w:rPr>
              <w:t>（1）与规划符合性</w:t>
            </w:r>
          </w:p>
          <w:p w14:paraId="10963109">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80" w:firstLineChars="200"/>
              <w:textAlignment w:val="baseline"/>
              <w:rPr>
                <w:rFonts w:hint="default" w:ascii="Times New Roman" w:hAnsi="Times New Roman" w:eastAsia="宋体" w:cs="Times New Roman"/>
                <w:color w:val="auto"/>
                <w:spacing w:val="2"/>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bidi="ar"/>
              </w:rPr>
              <w:t>本项目位于</w:t>
            </w:r>
            <w:r>
              <w:rPr>
                <w:rFonts w:hint="default" w:ascii="Times New Roman" w:hAnsi="Times New Roman" w:eastAsia="宋体" w:cs="Times New Roman"/>
                <w:color w:val="auto"/>
                <w:kern w:val="0"/>
                <w:sz w:val="24"/>
                <w:szCs w:val="24"/>
                <w:highlight w:val="none"/>
                <w:lang w:val="en-US" w:eastAsia="en-US" w:bidi="ar"/>
              </w:rPr>
              <w:t>玛纳斯县塔河工业园区</w:t>
            </w:r>
            <w:r>
              <w:rPr>
                <w:rFonts w:hint="default" w:ascii="Times New Roman" w:hAnsi="Times New Roman" w:eastAsia="宋体" w:cs="Times New Roman"/>
                <w:color w:val="auto"/>
                <w:kern w:val="0"/>
                <w:sz w:val="24"/>
                <w:szCs w:val="24"/>
                <w:highlight w:val="none"/>
                <w:lang w:val="en-US" w:eastAsia="zh-CN" w:bidi="ar"/>
              </w:rPr>
              <w:t>南区资源综合再利用及节能环保产业区，</w:t>
            </w:r>
            <w:r>
              <w:rPr>
                <w:rFonts w:hint="eastAsia" w:ascii="Times New Roman" w:hAnsi="Times New Roman" w:eastAsia="宋体" w:cs="Times New Roman"/>
                <w:color w:val="auto"/>
                <w:kern w:val="0"/>
                <w:sz w:val="24"/>
                <w:szCs w:val="24"/>
                <w:highlight w:val="none"/>
                <w:lang w:val="en-US" w:eastAsia="zh-CN" w:bidi="ar"/>
              </w:rPr>
              <w:t>资源综合再利用产业定位：利用固体废物、废水（液）、废气、再生资源、废旧金属综合利用、农林水产废弃物及其他废弃资源等生产相关产品。</w:t>
            </w:r>
            <w:r>
              <w:rPr>
                <w:rFonts w:hint="default" w:ascii="Times New Roman" w:hAnsi="Times New Roman" w:eastAsia="宋体" w:cs="Times New Roman"/>
                <w:color w:val="auto"/>
                <w:spacing w:val="10"/>
                <w:sz w:val="24"/>
                <w:szCs w:val="24"/>
                <w:highlight w:val="none"/>
                <w:lang w:val="en-US" w:eastAsia="zh-CN"/>
              </w:rPr>
              <w:t>本项目</w:t>
            </w:r>
            <w:r>
              <w:rPr>
                <w:rFonts w:hint="default" w:ascii="Times New Roman" w:hAnsi="Times New Roman" w:eastAsia="宋体" w:cs="Times New Roman"/>
                <w:color w:val="auto"/>
                <w:spacing w:val="10"/>
                <w:sz w:val="24"/>
                <w:szCs w:val="24"/>
                <w:highlight w:val="none"/>
              </w:rPr>
              <w:t>以</w:t>
            </w:r>
            <w:r>
              <w:rPr>
                <w:rFonts w:hint="default" w:ascii="Times New Roman" w:hAnsi="Times New Roman" w:eastAsia="宋体" w:cs="Times New Roman"/>
                <w:color w:val="auto"/>
                <w:spacing w:val="10"/>
                <w:sz w:val="24"/>
                <w:szCs w:val="24"/>
                <w:highlight w:val="none"/>
                <w:lang w:val="en-US" w:eastAsia="zh-CN"/>
              </w:rPr>
              <w:t>机制砂</w:t>
            </w:r>
            <w:r>
              <w:rPr>
                <w:rFonts w:hint="default" w:ascii="Times New Roman" w:hAnsi="Times New Roman" w:eastAsia="宋体" w:cs="Times New Roman"/>
                <w:color w:val="auto"/>
                <w:spacing w:val="10"/>
                <w:sz w:val="24"/>
                <w:szCs w:val="24"/>
                <w:highlight w:val="none"/>
              </w:rPr>
              <w:t>、</w:t>
            </w:r>
            <w:r>
              <w:rPr>
                <w:rFonts w:hint="default" w:ascii="Times New Roman" w:hAnsi="Times New Roman" w:eastAsia="宋体" w:cs="Times New Roman"/>
                <w:b/>
                <w:bCs/>
                <w:color w:val="auto"/>
                <w:spacing w:val="10"/>
                <w:sz w:val="24"/>
                <w:szCs w:val="24"/>
                <w:highlight w:val="none"/>
              </w:rPr>
              <w:t>炉渣</w:t>
            </w:r>
            <w:r>
              <w:rPr>
                <w:rFonts w:hint="default" w:ascii="Times New Roman" w:hAnsi="Times New Roman" w:eastAsia="宋体" w:cs="Times New Roman"/>
                <w:color w:val="auto"/>
                <w:spacing w:val="10"/>
                <w:sz w:val="24"/>
                <w:szCs w:val="24"/>
                <w:highlight w:val="none"/>
              </w:rPr>
              <w:t>、元明粉、三乙醇胺为主要原料，另</w:t>
            </w:r>
            <w:r>
              <w:rPr>
                <w:rFonts w:hint="default" w:ascii="Times New Roman" w:hAnsi="Times New Roman" w:eastAsia="宋体" w:cs="Times New Roman"/>
                <w:color w:val="auto"/>
                <w:spacing w:val="10"/>
                <w:sz w:val="24"/>
                <w:szCs w:val="24"/>
                <w:highlight w:val="none"/>
                <w:lang w:val="en-US" w:eastAsia="zh-CN"/>
              </w:rPr>
              <w:t>外</w:t>
            </w:r>
            <w:r>
              <w:rPr>
                <w:rFonts w:hint="default" w:ascii="Times New Roman" w:hAnsi="Times New Roman" w:eastAsia="宋体" w:cs="Times New Roman"/>
                <w:color w:val="auto"/>
                <w:spacing w:val="10"/>
                <w:sz w:val="24"/>
                <w:szCs w:val="24"/>
                <w:highlight w:val="none"/>
              </w:rPr>
              <w:t>添加其他原料等混合加工而成的矿化</w:t>
            </w:r>
            <w:r>
              <w:rPr>
                <w:rFonts w:hint="default" w:ascii="Times New Roman" w:hAnsi="Times New Roman" w:eastAsia="宋体" w:cs="Times New Roman"/>
                <w:color w:val="auto"/>
                <w:spacing w:val="10"/>
                <w:sz w:val="24"/>
                <w:szCs w:val="24"/>
                <w:highlight w:val="none"/>
                <w:lang w:val="en-US" w:eastAsia="zh-CN"/>
              </w:rPr>
              <w:t>料</w:t>
            </w:r>
            <w:r>
              <w:rPr>
                <w:rFonts w:hint="default" w:ascii="Times New Roman" w:hAnsi="Times New Roman" w:eastAsia="宋体" w:cs="Times New Roman"/>
                <w:color w:val="auto"/>
                <w:spacing w:val="10"/>
                <w:sz w:val="24"/>
                <w:szCs w:val="24"/>
                <w:highlight w:val="none"/>
              </w:rPr>
              <w:t>产品</w:t>
            </w:r>
            <w:r>
              <w:rPr>
                <w:rFonts w:hint="eastAsia" w:ascii="Times New Roman" w:hAnsi="Times New Roman" w:eastAsia="宋体" w:cs="Times New Roman"/>
                <w:color w:val="auto"/>
                <w:spacing w:val="10"/>
                <w:sz w:val="24"/>
                <w:szCs w:val="24"/>
                <w:highlight w:val="none"/>
                <w:lang w:eastAsia="zh-CN"/>
              </w:rPr>
              <w:t>。</w:t>
            </w:r>
            <w:r>
              <w:rPr>
                <w:rFonts w:hint="default" w:ascii="Times New Roman" w:hAnsi="Times New Roman" w:eastAsia="宋体" w:cs="Times New Roman"/>
                <w:color w:val="auto"/>
                <w:spacing w:val="9"/>
                <w:sz w:val="24"/>
                <w:szCs w:val="24"/>
                <w:highlight w:val="none"/>
                <w:lang w:val="en-US" w:eastAsia="zh-CN"/>
              </w:rPr>
              <w:t>符合开发区总体规划</w:t>
            </w:r>
            <w:r>
              <w:rPr>
                <w:rFonts w:hint="default" w:ascii="Times New Roman" w:hAnsi="Times New Roman" w:eastAsia="宋体" w:cs="Times New Roman"/>
                <w:color w:val="auto"/>
                <w:spacing w:val="9"/>
                <w:sz w:val="24"/>
                <w:szCs w:val="24"/>
                <w:highlight w:val="none"/>
              </w:rPr>
              <w:t>。</w:t>
            </w:r>
          </w:p>
          <w:p w14:paraId="303FA506">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88" w:firstLineChars="200"/>
              <w:textAlignment w:val="baseline"/>
              <w:rPr>
                <w:rFonts w:hint="default" w:ascii="Times New Roman" w:hAnsi="Times New Roman" w:eastAsia="宋体" w:cs="Times New Roman"/>
                <w:color w:val="auto"/>
                <w:spacing w:val="2"/>
                <w:sz w:val="24"/>
                <w:szCs w:val="24"/>
                <w:highlight w:val="none"/>
              </w:rPr>
            </w:pPr>
            <w:r>
              <w:rPr>
                <w:rFonts w:hint="default" w:ascii="Times New Roman" w:hAnsi="Times New Roman" w:eastAsia="宋体" w:cs="Times New Roman"/>
                <w:color w:val="auto"/>
                <w:spacing w:val="2"/>
                <w:sz w:val="24"/>
                <w:szCs w:val="24"/>
                <w:highlight w:val="none"/>
              </w:rPr>
              <w:t>（2）环境敏感性分析</w:t>
            </w:r>
          </w:p>
          <w:p w14:paraId="4AB00DFB">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88" w:firstLineChars="200"/>
              <w:textAlignment w:val="baseline"/>
              <w:rPr>
                <w:rFonts w:hint="default" w:ascii="Times New Roman" w:hAnsi="Times New Roman" w:eastAsia="宋体" w:cs="Times New Roman"/>
                <w:color w:val="auto"/>
                <w:spacing w:val="2"/>
                <w:sz w:val="24"/>
                <w:szCs w:val="24"/>
                <w:highlight w:val="none"/>
              </w:rPr>
            </w:pPr>
            <w:r>
              <w:rPr>
                <w:rFonts w:hint="default" w:ascii="Times New Roman" w:hAnsi="Times New Roman" w:eastAsia="宋体" w:cs="Times New Roman"/>
                <w:color w:val="auto"/>
                <w:spacing w:val="2"/>
                <w:sz w:val="24"/>
                <w:szCs w:val="24"/>
                <w:highlight w:val="none"/>
              </w:rPr>
              <w:t>从环境敏感性看，评价区无国家及省级确定的风景名胜、历史遗迹等保护区；无饮用水水源保护区；厂区内无特殊自然观赏价值较高的景观，也不属于土地荒漠化地区；项目</w:t>
            </w:r>
            <w:r>
              <w:rPr>
                <w:rFonts w:hint="default" w:ascii="Times New Roman" w:hAnsi="Times New Roman" w:eastAsia="宋体" w:cs="Times New Roman"/>
                <w:color w:val="auto"/>
                <w:spacing w:val="2"/>
                <w:sz w:val="24"/>
                <w:szCs w:val="24"/>
                <w:highlight w:val="none"/>
                <w:lang w:val="en-US" w:eastAsia="zh-CN"/>
              </w:rPr>
              <w:t>位于塔河园</w:t>
            </w:r>
            <w:r>
              <w:rPr>
                <w:rFonts w:hint="default" w:ascii="Times New Roman" w:hAnsi="Times New Roman" w:eastAsia="宋体" w:cs="Times New Roman"/>
                <w:color w:val="auto"/>
                <w:spacing w:val="2"/>
                <w:sz w:val="24"/>
                <w:szCs w:val="24"/>
                <w:highlight w:val="none"/>
              </w:rPr>
              <w:t>区周围500m范围内无居民区、学校、医院等环境敏感点，因此，项目区环境敏感程度较低。</w:t>
            </w:r>
          </w:p>
          <w:p w14:paraId="11E1109B">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88" w:firstLineChars="200"/>
              <w:textAlignment w:val="baseline"/>
              <w:rPr>
                <w:rFonts w:hint="default" w:ascii="Times New Roman" w:hAnsi="Times New Roman" w:eastAsia="宋体" w:cs="Times New Roman"/>
                <w:color w:val="auto"/>
                <w:spacing w:val="2"/>
                <w:sz w:val="24"/>
                <w:szCs w:val="24"/>
                <w:highlight w:val="none"/>
              </w:rPr>
            </w:pPr>
            <w:r>
              <w:rPr>
                <w:rFonts w:hint="default" w:ascii="Times New Roman" w:hAnsi="Times New Roman" w:eastAsia="宋体" w:cs="Times New Roman"/>
                <w:color w:val="auto"/>
                <w:spacing w:val="2"/>
                <w:sz w:val="24"/>
                <w:szCs w:val="24"/>
                <w:highlight w:val="none"/>
              </w:rPr>
              <w:t>（3）环境承载能力及影响可接受的分析</w:t>
            </w:r>
          </w:p>
          <w:p w14:paraId="35B4007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88" w:firstLineChars="200"/>
              <w:textAlignment w:val="baseline"/>
              <w:rPr>
                <w:rFonts w:hint="default" w:ascii="Times New Roman" w:hAnsi="Times New Roman" w:eastAsia="宋体" w:cs="Times New Roman"/>
                <w:color w:val="auto"/>
                <w:spacing w:val="2"/>
                <w:sz w:val="24"/>
                <w:szCs w:val="24"/>
                <w:highlight w:val="none"/>
              </w:rPr>
            </w:pPr>
            <w:r>
              <w:rPr>
                <w:rFonts w:hint="default" w:ascii="Times New Roman" w:hAnsi="Times New Roman" w:cs="Times New Roman"/>
                <w:color w:val="auto"/>
                <w:spacing w:val="2"/>
                <w:sz w:val="24"/>
                <w:szCs w:val="24"/>
                <w:highlight w:val="none"/>
                <w:lang w:val="en-US" w:eastAsia="zh-CN"/>
              </w:rPr>
              <w:t>本项目</w:t>
            </w:r>
            <w:r>
              <w:rPr>
                <w:rFonts w:hint="eastAsia" w:ascii="Times New Roman" w:hAnsi="Times New Roman" w:cs="Times New Roman"/>
                <w:color w:val="auto"/>
                <w:spacing w:val="2"/>
                <w:sz w:val="24"/>
                <w:szCs w:val="24"/>
                <w:highlight w:val="none"/>
                <w:lang w:val="en-US" w:eastAsia="zh-CN"/>
              </w:rPr>
              <w:t>以电为能源，以炉渣等为原料进行生产</w:t>
            </w:r>
            <w:r>
              <w:rPr>
                <w:rFonts w:hint="default" w:ascii="Times New Roman" w:hAnsi="Times New Roman" w:cs="Times New Roman"/>
                <w:color w:val="auto"/>
                <w:spacing w:val="2"/>
                <w:sz w:val="24"/>
                <w:szCs w:val="24"/>
                <w:highlight w:val="none"/>
                <w:lang w:val="en-US" w:eastAsia="zh-CN"/>
              </w:rPr>
              <w:t>，</w:t>
            </w:r>
            <w:r>
              <w:rPr>
                <w:rFonts w:hint="eastAsia" w:ascii="Times New Roman" w:hAnsi="Times New Roman" w:cs="Times New Roman"/>
                <w:color w:val="auto"/>
                <w:spacing w:val="2"/>
                <w:sz w:val="24"/>
                <w:szCs w:val="24"/>
                <w:highlight w:val="none"/>
                <w:lang w:val="en-US" w:eastAsia="zh-CN"/>
              </w:rPr>
              <w:t>生产中</w:t>
            </w:r>
            <w:r>
              <w:rPr>
                <w:rFonts w:hint="default" w:ascii="Times New Roman" w:hAnsi="Times New Roman" w:cs="Times New Roman"/>
                <w:color w:val="auto"/>
                <w:spacing w:val="2"/>
                <w:sz w:val="24"/>
                <w:szCs w:val="24"/>
                <w:highlight w:val="none"/>
                <w:lang w:val="en-US" w:eastAsia="zh-CN"/>
              </w:rPr>
              <w:t>产生的颗粒物经布袋除尘器处理后排放。本项目机制砂和炉渣堆放在密闭厂房内，并设置洒水喷淋措施，运营期厂房密闭，企业无组织排放扬尘污染得到有效控制。</w:t>
            </w:r>
            <w:r>
              <w:rPr>
                <w:rFonts w:hint="eastAsia" w:ascii="Times New Roman" w:hAnsi="Times New Roman" w:cs="Times New Roman"/>
                <w:color w:val="auto"/>
                <w:spacing w:val="2"/>
                <w:sz w:val="24"/>
                <w:szCs w:val="24"/>
                <w:highlight w:val="none"/>
                <w:lang w:val="en-US" w:eastAsia="zh-CN"/>
              </w:rPr>
              <w:t>运营期无生产废水排放，固体废物得到妥善处理。</w:t>
            </w:r>
            <w:r>
              <w:rPr>
                <w:rFonts w:hint="default" w:ascii="Times New Roman" w:hAnsi="Times New Roman" w:eastAsia="宋体" w:cs="Times New Roman"/>
                <w:color w:val="auto"/>
                <w:spacing w:val="2"/>
                <w:sz w:val="24"/>
                <w:szCs w:val="24"/>
                <w:highlight w:val="none"/>
              </w:rPr>
              <w:t>污染物达标排放可以实现，对环境空气、地下水、声环境、生态环境影响较小，不会改变环境功能区现状。</w:t>
            </w:r>
          </w:p>
          <w:p w14:paraId="25D8CBB4">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88" w:firstLineChars="200"/>
              <w:textAlignment w:val="baseline"/>
              <w:rPr>
                <w:rFonts w:hint="default" w:ascii="Times New Roman" w:hAnsi="Times New Roman" w:eastAsia="宋体" w:cs="Times New Roman"/>
                <w:color w:val="auto"/>
                <w:spacing w:val="2"/>
                <w:sz w:val="24"/>
                <w:szCs w:val="24"/>
                <w:highlight w:val="none"/>
              </w:rPr>
            </w:pPr>
            <w:r>
              <w:rPr>
                <w:rFonts w:hint="default" w:ascii="Times New Roman" w:hAnsi="Times New Roman" w:eastAsia="宋体" w:cs="Times New Roman"/>
                <w:color w:val="auto"/>
                <w:spacing w:val="2"/>
                <w:sz w:val="24"/>
                <w:szCs w:val="24"/>
                <w:highlight w:val="none"/>
              </w:rPr>
              <w:t>综上所述，项目所在地地理位置优越，交通便利，环境质量现状良好，区域环境敏感程度较低，项目正常生产对环境的影响不大，环境风险水平可接受，结合环境影响分析，拟建项目产生的污染物在采用可行、严格的污染治理措施，污染物达标排放可以实现，对环境空气、地下水、声环境、生态环境影响较小，不会改变环境功能区现状，适宜项目建设，因此项目选址合理。</w:t>
            </w:r>
          </w:p>
        </w:tc>
      </w:tr>
    </w:tbl>
    <w:p w14:paraId="7A74E809">
      <w:pPr>
        <w:pageBreakBefore w:val="0"/>
        <w:kinsoku/>
        <w:wordWrap w:val="0"/>
        <w:overflowPunct/>
        <w:topLinePunct/>
        <w:autoSpaceDE/>
        <w:autoSpaceDN/>
        <w:bidi w:val="0"/>
        <w:spacing w:before="28"/>
        <w:rPr>
          <w:rFonts w:hint="default" w:ascii="Times New Roman" w:hAnsi="Times New Roman" w:cs="Times New Roman"/>
          <w:color w:val="auto"/>
          <w:highlight w:val="none"/>
        </w:rPr>
      </w:pPr>
    </w:p>
    <w:p w14:paraId="101E8E7F">
      <w:pPr>
        <w:pStyle w:val="8"/>
        <w:pageBreakBefore w:val="0"/>
        <w:kinsoku/>
        <w:wordWrap w:val="0"/>
        <w:overflowPunct/>
        <w:topLinePunct/>
        <w:autoSpaceDE/>
        <w:autoSpaceDN/>
        <w:bidi w:val="0"/>
        <w:rPr>
          <w:rFonts w:hint="default" w:ascii="Times New Roman" w:hAnsi="Times New Roman" w:cs="Times New Roman"/>
          <w:color w:val="auto"/>
          <w:highlight w:val="none"/>
        </w:rPr>
      </w:pPr>
    </w:p>
    <w:p w14:paraId="16FEC8BC">
      <w:pPr>
        <w:pageBreakBefore w:val="0"/>
        <w:kinsoku/>
        <w:wordWrap w:val="0"/>
        <w:overflowPunct/>
        <w:topLinePunct/>
        <w:autoSpaceDE/>
        <w:autoSpaceDN/>
        <w:bidi w:val="0"/>
        <w:rPr>
          <w:rFonts w:hint="default" w:ascii="Times New Roman" w:hAnsi="Times New Roman" w:cs="Times New Roman"/>
          <w:color w:val="auto"/>
          <w:highlight w:val="none"/>
        </w:rPr>
        <w:sectPr>
          <w:footerReference r:id="rId7" w:type="default"/>
          <w:pgSz w:w="11906" w:h="16839"/>
          <w:pgMar w:top="1431" w:right="1508" w:bottom="1245" w:left="1508" w:header="0" w:footer="911" w:gutter="0"/>
          <w:pgNumType w:fmt="decimal" w:start="1"/>
          <w:cols w:space="720" w:num="1"/>
        </w:sectPr>
      </w:pPr>
    </w:p>
    <w:p w14:paraId="07592555">
      <w:pPr>
        <w:pageBreakBefore w:val="0"/>
        <w:kinsoku/>
        <w:wordWrap w:val="0"/>
        <w:overflowPunct/>
        <w:topLinePunct/>
        <w:autoSpaceDE/>
        <w:autoSpaceDN/>
        <w:bidi w:val="0"/>
        <w:spacing w:before="97" w:line="222" w:lineRule="auto"/>
        <w:ind w:left="3055"/>
        <w:outlineLvl w:val="1"/>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pacing w:val="-2"/>
          <w:sz w:val="30"/>
          <w:szCs w:val="30"/>
          <w:highlight w:val="none"/>
        </w:rPr>
        <w:t>二、建设项目工程分析</w:t>
      </w:r>
    </w:p>
    <w:tbl>
      <w:tblPr>
        <w:tblStyle w:val="24"/>
        <w:tblW w:w="5185" w:type="pct"/>
        <w:tblInd w:w="-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1"/>
        <w:gridCol w:w="8582"/>
      </w:tblGrid>
      <w:tr w14:paraId="71D03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7" w:type="pct"/>
            <w:tcBorders>
              <w:top w:val="single" w:color="auto" w:sz="4" w:space="0"/>
              <w:left w:val="single" w:color="000000" w:sz="6" w:space="0"/>
              <w:bottom w:val="single" w:color="auto" w:sz="4" w:space="0"/>
            </w:tcBorders>
            <w:vAlign w:val="center"/>
          </w:tcPr>
          <w:p w14:paraId="1AB4D290">
            <w:pPr>
              <w:pageBreakBefore w:val="0"/>
              <w:kinsoku/>
              <w:wordWrap w:val="0"/>
              <w:overflowPunct/>
              <w:topLinePunct/>
              <w:autoSpaceDE/>
              <w:autoSpaceDN/>
              <w:bidi w:val="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6"/>
                <w:sz w:val="24"/>
                <w:szCs w:val="24"/>
                <w:highlight w:val="none"/>
              </w:rPr>
              <w:t>建设内</w:t>
            </w:r>
            <w:r>
              <w:rPr>
                <w:rFonts w:hint="default" w:ascii="Times New Roman" w:hAnsi="Times New Roman" w:eastAsia="宋体" w:cs="Times New Roman"/>
                <w:color w:val="auto"/>
                <w:sz w:val="24"/>
                <w:szCs w:val="24"/>
                <w:highlight w:val="none"/>
              </w:rPr>
              <w:t>容</w:t>
            </w:r>
          </w:p>
        </w:tc>
        <w:tc>
          <w:tcPr>
            <w:tcW w:w="4682" w:type="pct"/>
            <w:tcBorders>
              <w:top w:val="single" w:color="auto" w:sz="4" w:space="0"/>
              <w:bottom w:val="single" w:color="auto" w:sz="4" w:space="0"/>
              <w:right w:val="single" w:color="000000" w:sz="6" w:space="0"/>
            </w:tcBorders>
            <w:vAlign w:val="top"/>
          </w:tcPr>
          <w:p w14:paraId="6BBCA40D">
            <w:pPr>
              <w:pStyle w:val="25"/>
              <w:pageBreakBefore w:val="0"/>
              <w:kinsoku/>
              <w:wordWrap w:val="0"/>
              <w:overflowPunct/>
              <w:topLinePunct/>
              <w:autoSpaceDE/>
              <w:autoSpaceDN/>
              <w:bidi w:val="0"/>
              <w:spacing w:before="26" w:line="360" w:lineRule="auto"/>
              <w:ind w:left="104" w:firstLine="490" w:firstLineChars="200"/>
              <w:rPr>
                <w:rFonts w:hint="default" w:ascii="Times New Roman" w:hAnsi="Times New Roman" w:eastAsia="宋体" w:cs="Times New Roman"/>
                <w:b/>
                <w:bCs/>
                <w:color w:val="auto"/>
                <w:spacing w:val="2"/>
                <w:sz w:val="24"/>
                <w:szCs w:val="24"/>
                <w:highlight w:val="none"/>
                <w:lang w:val="en-US" w:eastAsia="zh-CN"/>
              </w:rPr>
            </w:pPr>
            <w:r>
              <w:rPr>
                <w:rFonts w:hint="default" w:ascii="Times New Roman" w:hAnsi="Times New Roman" w:eastAsia="宋体" w:cs="Times New Roman"/>
                <w:b/>
                <w:bCs/>
                <w:color w:val="auto"/>
                <w:spacing w:val="2"/>
                <w:sz w:val="24"/>
                <w:szCs w:val="24"/>
                <w:highlight w:val="none"/>
                <w:lang w:val="en-US" w:eastAsia="zh-CN"/>
              </w:rPr>
              <w:t>1、项目背景介绍</w:t>
            </w:r>
          </w:p>
          <w:p w14:paraId="5893E97E">
            <w:pPr>
              <w:pStyle w:val="25"/>
              <w:pageBreakBefore w:val="0"/>
              <w:kinsoku/>
              <w:wordWrap w:val="0"/>
              <w:overflowPunct/>
              <w:topLinePunct/>
              <w:autoSpaceDE/>
              <w:autoSpaceDN/>
              <w:bidi w:val="0"/>
              <w:spacing w:line="360" w:lineRule="auto"/>
              <w:ind w:left="0" w:right="0" w:firstLine="520" w:firstLineChars="200"/>
              <w:jc w:val="both"/>
              <w:rPr>
                <w:rFonts w:hint="default" w:ascii="Times New Roman" w:hAnsi="Times New Roman" w:eastAsia="宋体" w:cs="Times New Roman"/>
                <w:color w:val="auto"/>
                <w:spacing w:val="10"/>
                <w:sz w:val="24"/>
                <w:szCs w:val="24"/>
                <w:highlight w:val="none"/>
                <w:lang w:val="en-US" w:eastAsia="zh-CN"/>
              </w:rPr>
            </w:pPr>
            <w:r>
              <w:rPr>
                <w:rFonts w:hint="default" w:ascii="Times New Roman" w:hAnsi="Times New Roman" w:eastAsia="宋体" w:cs="Times New Roman"/>
                <w:color w:val="auto"/>
                <w:spacing w:val="10"/>
                <w:sz w:val="24"/>
                <w:szCs w:val="24"/>
                <w:highlight w:val="none"/>
                <w:lang w:val="en-US" w:eastAsia="zh-CN"/>
              </w:rPr>
              <w:t>本项目</w:t>
            </w:r>
            <w:r>
              <w:rPr>
                <w:rFonts w:hint="default" w:ascii="Times New Roman" w:hAnsi="Times New Roman" w:eastAsia="宋体" w:cs="Times New Roman"/>
                <w:color w:val="auto"/>
                <w:spacing w:val="10"/>
                <w:sz w:val="24"/>
                <w:szCs w:val="24"/>
                <w:highlight w:val="none"/>
              </w:rPr>
              <w:t>以</w:t>
            </w:r>
            <w:r>
              <w:rPr>
                <w:rFonts w:hint="default" w:ascii="Times New Roman" w:hAnsi="Times New Roman" w:eastAsia="宋体" w:cs="Times New Roman"/>
                <w:color w:val="auto"/>
                <w:spacing w:val="10"/>
                <w:sz w:val="24"/>
                <w:szCs w:val="24"/>
                <w:highlight w:val="none"/>
                <w:lang w:val="en-US" w:eastAsia="zh-CN"/>
              </w:rPr>
              <w:t>机制砂</w:t>
            </w:r>
            <w:r>
              <w:rPr>
                <w:rFonts w:hint="default" w:ascii="Times New Roman" w:hAnsi="Times New Roman" w:eastAsia="宋体" w:cs="Times New Roman"/>
                <w:color w:val="auto"/>
                <w:spacing w:val="10"/>
                <w:sz w:val="24"/>
                <w:szCs w:val="24"/>
                <w:highlight w:val="none"/>
              </w:rPr>
              <w:t>、炉渣、元明粉、三乙醇胺为主要原料，另</w:t>
            </w:r>
            <w:r>
              <w:rPr>
                <w:rFonts w:hint="default" w:ascii="Times New Roman" w:hAnsi="Times New Roman" w:eastAsia="宋体" w:cs="Times New Roman"/>
                <w:color w:val="auto"/>
                <w:spacing w:val="10"/>
                <w:sz w:val="24"/>
                <w:szCs w:val="24"/>
                <w:highlight w:val="none"/>
                <w:lang w:val="en-US" w:eastAsia="zh-CN"/>
              </w:rPr>
              <w:t>外</w:t>
            </w:r>
            <w:r>
              <w:rPr>
                <w:rFonts w:hint="default" w:ascii="Times New Roman" w:hAnsi="Times New Roman" w:eastAsia="宋体" w:cs="Times New Roman"/>
                <w:color w:val="auto"/>
                <w:spacing w:val="10"/>
                <w:sz w:val="24"/>
                <w:szCs w:val="24"/>
                <w:highlight w:val="none"/>
              </w:rPr>
              <w:t>添加其他原料等混合加工而成的矿化</w:t>
            </w:r>
            <w:r>
              <w:rPr>
                <w:rFonts w:hint="default" w:ascii="Times New Roman" w:hAnsi="Times New Roman" w:eastAsia="宋体" w:cs="Times New Roman"/>
                <w:color w:val="auto"/>
                <w:spacing w:val="10"/>
                <w:sz w:val="24"/>
                <w:szCs w:val="24"/>
                <w:highlight w:val="none"/>
                <w:lang w:val="en-US" w:eastAsia="zh-CN"/>
              </w:rPr>
              <w:t>料</w:t>
            </w:r>
            <w:r>
              <w:rPr>
                <w:rFonts w:hint="default" w:ascii="Times New Roman" w:hAnsi="Times New Roman" w:eastAsia="宋体" w:cs="Times New Roman"/>
                <w:color w:val="auto"/>
                <w:spacing w:val="10"/>
                <w:sz w:val="24"/>
                <w:szCs w:val="24"/>
                <w:highlight w:val="none"/>
              </w:rPr>
              <w:t>产品，所有原材料都无毒无害，生产过程中只产生微量粉尘，生产流程符合环保要求。产品是</w:t>
            </w:r>
            <w:r>
              <w:rPr>
                <w:rFonts w:hint="default" w:ascii="Times New Roman" w:hAnsi="Times New Roman" w:eastAsia="宋体" w:cs="Times New Roman"/>
                <w:color w:val="auto"/>
                <w:spacing w:val="10"/>
                <w:sz w:val="24"/>
                <w:szCs w:val="24"/>
                <w:highlight w:val="none"/>
                <w:lang w:val="en-US" w:eastAsia="zh-CN"/>
              </w:rPr>
              <w:t>建设单位</w:t>
            </w:r>
            <w:r>
              <w:rPr>
                <w:rFonts w:hint="default" w:ascii="Times New Roman" w:hAnsi="Times New Roman" w:eastAsia="宋体" w:cs="Times New Roman"/>
                <w:color w:val="auto"/>
                <w:spacing w:val="10"/>
                <w:sz w:val="24"/>
                <w:szCs w:val="24"/>
                <w:highlight w:val="none"/>
              </w:rPr>
              <w:t>自</w:t>
            </w:r>
            <w:r>
              <w:rPr>
                <w:rFonts w:hint="default" w:ascii="Times New Roman" w:hAnsi="Times New Roman" w:eastAsia="宋体" w:cs="Times New Roman"/>
                <w:color w:val="auto"/>
                <w:spacing w:val="10"/>
                <w:sz w:val="24"/>
                <w:szCs w:val="24"/>
                <w:highlight w:val="none"/>
                <w:lang w:val="en-US" w:eastAsia="zh-CN"/>
              </w:rPr>
              <w:t>行</w:t>
            </w:r>
            <w:r>
              <w:rPr>
                <w:rFonts w:hint="default" w:ascii="Times New Roman" w:hAnsi="Times New Roman" w:eastAsia="宋体" w:cs="Times New Roman"/>
                <w:color w:val="auto"/>
                <w:spacing w:val="10"/>
                <w:sz w:val="24"/>
                <w:szCs w:val="24"/>
                <w:highlight w:val="none"/>
              </w:rPr>
              <w:t>研发的一种用于</w:t>
            </w:r>
            <w:r>
              <w:rPr>
                <w:rFonts w:hint="default" w:ascii="Times New Roman" w:hAnsi="Times New Roman" w:eastAsia="宋体" w:cs="Times New Roman"/>
                <w:color w:val="auto"/>
                <w:spacing w:val="10"/>
                <w:sz w:val="24"/>
                <w:szCs w:val="24"/>
                <w:highlight w:val="none"/>
                <w:shd w:val="clear"/>
              </w:rPr>
              <w:t>水泥粉磨过程中的外加材料，能</w:t>
            </w:r>
            <w:r>
              <w:rPr>
                <w:rFonts w:hint="default" w:ascii="Times New Roman" w:hAnsi="Times New Roman" w:eastAsia="宋体" w:cs="Times New Roman"/>
                <w:color w:val="auto"/>
                <w:spacing w:val="10"/>
                <w:sz w:val="24"/>
                <w:szCs w:val="24"/>
                <w:highlight w:val="none"/>
              </w:rPr>
              <w:t>为水泥生产企业降本增效,针对矿化料用途与性能在</w:t>
            </w:r>
            <w:r>
              <w:rPr>
                <w:rFonts w:hint="default" w:ascii="Times New Roman" w:hAnsi="Times New Roman" w:eastAsia="宋体" w:cs="Times New Roman"/>
                <w:color w:val="auto"/>
                <w:spacing w:val="10"/>
                <w:sz w:val="24"/>
                <w:szCs w:val="24"/>
                <w:highlight w:val="none"/>
                <w:lang w:val="en-US" w:eastAsia="zh-CN"/>
              </w:rPr>
              <w:t>建设单位</w:t>
            </w:r>
            <w:r>
              <w:rPr>
                <w:rFonts w:hint="default" w:ascii="Times New Roman" w:hAnsi="Times New Roman" w:eastAsia="宋体" w:cs="Times New Roman"/>
                <w:color w:val="auto"/>
                <w:spacing w:val="10"/>
                <w:sz w:val="24"/>
                <w:szCs w:val="24"/>
                <w:highlight w:val="none"/>
              </w:rPr>
              <w:t>新疆周边进行考察调研,根据市场反馈信息，市场前景看好</w:t>
            </w:r>
            <w:r>
              <w:rPr>
                <w:rFonts w:hint="default" w:ascii="Times New Roman" w:hAnsi="Times New Roman" w:eastAsia="宋体"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lang w:val="en-US" w:eastAsia="zh-CN"/>
              </w:rPr>
              <w:t>因此，建设单位决定租赁</w:t>
            </w:r>
            <w:r>
              <w:rPr>
                <w:rFonts w:hint="default" w:ascii="Times New Roman" w:hAnsi="Times New Roman" w:eastAsia="宋体" w:cs="Times New Roman"/>
                <w:color w:val="auto"/>
                <w:spacing w:val="6"/>
                <w:sz w:val="24"/>
                <w:szCs w:val="24"/>
                <w:highlight w:val="none"/>
              </w:rPr>
              <w:t>玛纳斯县</w:t>
            </w:r>
            <w:r>
              <w:rPr>
                <w:rFonts w:hint="default" w:ascii="Times New Roman" w:hAnsi="Times New Roman" w:eastAsia="宋体" w:cs="Times New Roman"/>
                <w:color w:val="auto"/>
                <w:spacing w:val="6"/>
                <w:sz w:val="24"/>
                <w:szCs w:val="24"/>
                <w:highlight w:val="none"/>
                <w:lang w:val="en-US" w:eastAsia="zh-CN"/>
              </w:rPr>
              <w:t>塔河工业园区新疆华房盛泰保温材料科技有限公司院内8#生产厂房建设本项目</w:t>
            </w:r>
          </w:p>
          <w:p w14:paraId="510DC5C1">
            <w:pPr>
              <w:keepNext w:val="0"/>
              <w:keepLines w:val="0"/>
              <w:pageBreakBefore w:val="0"/>
              <w:widowControl w:val="0"/>
              <w:suppressLineNumbers w:val="0"/>
              <w:kinsoku/>
              <w:wordWrap w:val="0"/>
              <w:overflowPunct/>
              <w:topLinePunct/>
              <w:autoSpaceDE/>
              <w:autoSpaceDN/>
              <w:bidi w:val="0"/>
              <w:adjustRightInd w:val="0"/>
              <w:snapToGrid w:val="0"/>
              <w:spacing w:beforeAutospacing="0" w:after="0" w:afterAutospacing="0" w:line="360" w:lineRule="auto"/>
              <w:ind w:left="0" w:right="0" w:firstLine="490" w:firstLineChars="200"/>
              <w:textAlignment w:val="auto"/>
              <w:rPr>
                <w:rFonts w:hint="default" w:ascii="Times New Roman" w:hAnsi="Times New Roman" w:eastAsia="宋体" w:cs="Times New Roman"/>
                <w:b/>
                <w:bCs/>
                <w:snapToGrid w:val="0"/>
                <w:color w:val="auto"/>
                <w:spacing w:val="2"/>
                <w:kern w:val="0"/>
                <w:sz w:val="24"/>
                <w:szCs w:val="24"/>
                <w:highlight w:val="none"/>
                <w:lang w:val="en-US" w:eastAsia="zh-CN" w:bidi="ar-SA"/>
              </w:rPr>
            </w:pPr>
            <w:r>
              <w:rPr>
                <w:rFonts w:hint="default" w:ascii="Times New Roman" w:hAnsi="Times New Roman" w:eastAsia="宋体" w:cs="Times New Roman"/>
                <w:b/>
                <w:bCs/>
                <w:color w:val="auto"/>
                <w:spacing w:val="2"/>
                <w:sz w:val="24"/>
                <w:szCs w:val="24"/>
                <w:highlight w:val="none"/>
              </w:rPr>
              <w:t>2</w:t>
            </w:r>
            <w:r>
              <w:rPr>
                <w:rFonts w:hint="default" w:ascii="Times New Roman" w:hAnsi="Times New Roman" w:eastAsia="宋体" w:cs="Times New Roman"/>
                <w:b/>
                <w:bCs/>
                <w:snapToGrid w:val="0"/>
                <w:color w:val="auto"/>
                <w:spacing w:val="2"/>
                <w:kern w:val="0"/>
                <w:sz w:val="24"/>
                <w:szCs w:val="24"/>
                <w:highlight w:val="none"/>
                <w:lang w:val="en-US" w:eastAsia="zh-CN" w:bidi="ar-SA"/>
              </w:rPr>
              <w:t>、项目基本情况</w:t>
            </w:r>
          </w:p>
          <w:p w14:paraId="2ABBAED7">
            <w:pPr>
              <w:keepNext w:val="0"/>
              <w:keepLines w:val="0"/>
              <w:pageBreakBefore w:val="0"/>
              <w:widowControl w:val="0"/>
              <w:suppressLineNumbers w:val="0"/>
              <w:kinsoku/>
              <w:wordWrap w:val="0"/>
              <w:overflowPunct/>
              <w:topLinePunct/>
              <w:autoSpaceDE/>
              <w:autoSpaceDN/>
              <w:bidi w:val="0"/>
              <w:spacing w:before="0" w:beforeAutospacing="0" w:after="0" w:afterAutospacing="0" w:line="360" w:lineRule="auto"/>
              <w:ind w:left="0" w:right="0" w:firstLine="520" w:firstLineChars="200"/>
              <w:textAlignment w:val="auto"/>
              <w:rPr>
                <w:rFonts w:hint="default" w:ascii="Times New Roman" w:hAnsi="Times New Roman" w:eastAsia="宋体" w:cs="Times New Roman"/>
                <w:snapToGrid w:val="0"/>
                <w:color w:val="auto"/>
                <w:spacing w:val="10"/>
                <w:kern w:val="0"/>
                <w:sz w:val="24"/>
                <w:szCs w:val="24"/>
                <w:highlight w:val="none"/>
                <w:lang w:val="en-US" w:eastAsia="zh-CN" w:bidi="ar-SA"/>
              </w:rPr>
            </w:pPr>
            <w:r>
              <w:rPr>
                <w:rFonts w:hint="default" w:ascii="Times New Roman" w:hAnsi="Times New Roman" w:eastAsia="宋体" w:cs="Times New Roman"/>
                <w:snapToGrid w:val="0"/>
                <w:color w:val="auto"/>
                <w:spacing w:val="10"/>
                <w:kern w:val="0"/>
                <w:sz w:val="24"/>
                <w:szCs w:val="24"/>
                <w:highlight w:val="none"/>
                <w:lang w:val="en-US" w:eastAsia="zh-CN" w:bidi="ar-SA"/>
              </w:rPr>
              <w:t>项目名称：</w:t>
            </w:r>
            <w:r>
              <w:rPr>
                <w:rFonts w:hint="default" w:ascii="Times New Roman" w:hAnsi="Times New Roman" w:eastAsia="宋体" w:cs="Times New Roman"/>
                <w:color w:val="auto"/>
                <w:spacing w:val="9"/>
                <w:sz w:val="24"/>
                <w:szCs w:val="24"/>
                <w:highlight w:val="none"/>
                <w:lang w:eastAsia="zh-CN"/>
              </w:rPr>
              <w:t>新疆驰骋建材科技有限公司年产10万吨矿化料建设项目</w:t>
            </w:r>
          </w:p>
          <w:p w14:paraId="4CD00655">
            <w:pPr>
              <w:keepNext w:val="0"/>
              <w:keepLines w:val="0"/>
              <w:pageBreakBefore w:val="0"/>
              <w:widowControl w:val="0"/>
              <w:suppressLineNumbers w:val="0"/>
              <w:kinsoku/>
              <w:wordWrap w:val="0"/>
              <w:overflowPunct/>
              <w:topLinePunct/>
              <w:autoSpaceDE/>
              <w:autoSpaceDN/>
              <w:bidi w:val="0"/>
              <w:spacing w:before="0" w:beforeAutospacing="0" w:after="0" w:afterAutospacing="0" w:line="360" w:lineRule="auto"/>
              <w:ind w:left="0" w:right="0" w:firstLine="520" w:firstLineChars="200"/>
              <w:textAlignment w:val="auto"/>
              <w:rPr>
                <w:rFonts w:hint="default" w:ascii="Times New Roman" w:hAnsi="Times New Roman" w:eastAsia="宋体" w:cs="Times New Roman"/>
                <w:snapToGrid w:val="0"/>
                <w:color w:val="auto"/>
                <w:spacing w:val="10"/>
                <w:kern w:val="0"/>
                <w:sz w:val="24"/>
                <w:szCs w:val="24"/>
                <w:highlight w:val="none"/>
                <w:lang w:val="en-US" w:eastAsia="zh-CN" w:bidi="ar-SA"/>
              </w:rPr>
            </w:pPr>
            <w:r>
              <w:rPr>
                <w:rFonts w:hint="default" w:ascii="Times New Roman" w:hAnsi="Times New Roman" w:eastAsia="宋体" w:cs="Times New Roman"/>
                <w:snapToGrid w:val="0"/>
                <w:color w:val="auto"/>
                <w:spacing w:val="10"/>
                <w:kern w:val="0"/>
                <w:sz w:val="24"/>
                <w:szCs w:val="24"/>
                <w:highlight w:val="none"/>
                <w:lang w:val="en-US" w:eastAsia="zh-CN" w:bidi="ar-SA"/>
              </w:rPr>
              <w:t>建设单位：</w:t>
            </w:r>
            <w:r>
              <w:rPr>
                <w:rFonts w:hint="default" w:ascii="Times New Roman" w:hAnsi="Times New Roman" w:eastAsia="宋体" w:cs="Times New Roman"/>
                <w:color w:val="auto"/>
                <w:spacing w:val="9"/>
                <w:sz w:val="24"/>
                <w:szCs w:val="24"/>
                <w:highlight w:val="none"/>
                <w:lang w:eastAsia="zh-CN"/>
              </w:rPr>
              <w:t>新疆驰骋建材科技有限公司</w:t>
            </w:r>
          </w:p>
          <w:p w14:paraId="4F605DC1">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60" w:lineRule="auto"/>
              <w:ind w:left="0" w:right="0" w:firstLine="520" w:firstLineChars="200"/>
              <w:textAlignment w:val="auto"/>
              <w:rPr>
                <w:rFonts w:hint="default" w:ascii="Times New Roman" w:hAnsi="Times New Roman" w:eastAsia="宋体" w:cs="Times New Roman"/>
                <w:snapToGrid w:val="0"/>
                <w:color w:val="auto"/>
                <w:spacing w:val="10"/>
                <w:kern w:val="0"/>
                <w:sz w:val="24"/>
                <w:szCs w:val="24"/>
                <w:highlight w:val="none"/>
                <w:lang w:val="en-US" w:eastAsia="zh-CN" w:bidi="ar-SA"/>
              </w:rPr>
            </w:pPr>
            <w:r>
              <w:rPr>
                <w:rFonts w:hint="default" w:ascii="Times New Roman" w:hAnsi="Times New Roman" w:eastAsia="宋体" w:cs="Times New Roman"/>
                <w:snapToGrid w:val="0"/>
                <w:color w:val="auto"/>
                <w:spacing w:val="10"/>
                <w:kern w:val="0"/>
                <w:sz w:val="24"/>
                <w:szCs w:val="24"/>
                <w:highlight w:val="none"/>
                <w:lang w:val="en-US" w:eastAsia="zh-CN" w:bidi="ar-SA"/>
              </w:rPr>
              <w:t>建设地点：</w:t>
            </w:r>
            <w:r>
              <w:rPr>
                <w:rFonts w:hint="default" w:ascii="Times New Roman" w:hAnsi="Times New Roman" w:eastAsia="宋体" w:cs="Times New Roman"/>
                <w:color w:val="auto"/>
                <w:spacing w:val="6"/>
                <w:sz w:val="24"/>
                <w:szCs w:val="24"/>
                <w:highlight w:val="none"/>
              </w:rPr>
              <w:t>昌吉回族自治州玛纳斯县</w:t>
            </w:r>
            <w:r>
              <w:rPr>
                <w:rFonts w:hint="default" w:ascii="Times New Roman" w:hAnsi="Times New Roman" w:eastAsia="宋体" w:cs="Times New Roman"/>
                <w:color w:val="auto"/>
                <w:spacing w:val="6"/>
                <w:sz w:val="24"/>
                <w:szCs w:val="24"/>
                <w:highlight w:val="none"/>
                <w:lang w:val="en-US" w:eastAsia="zh-CN"/>
              </w:rPr>
              <w:t>塔河工业园区新疆华房盛泰保温材料科技有限公司8#生产厂房</w:t>
            </w:r>
            <w:r>
              <w:rPr>
                <w:rFonts w:hint="default" w:ascii="Times New Roman" w:hAnsi="Times New Roman" w:eastAsia="宋体" w:cs="Times New Roman"/>
                <w:snapToGrid w:val="0"/>
                <w:color w:val="auto"/>
                <w:spacing w:val="10"/>
                <w:kern w:val="0"/>
                <w:sz w:val="24"/>
                <w:szCs w:val="24"/>
                <w:highlight w:val="none"/>
                <w:lang w:val="en-US" w:eastAsia="zh-CN" w:bidi="ar-SA"/>
              </w:rPr>
              <w:t>（项目区中心地理坐标：E86°20′4.513"，N44°12′41.926"）。项目区西侧、北侧均为闲置厂房、南侧为</w:t>
            </w:r>
            <w:r>
              <w:rPr>
                <w:rFonts w:hint="default" w:ascii="Times New Roman" w:hAnsi="Times New Roman" w:eastAsia="宋体" w:cs="Times New Roman"/>
                <w:color w:val="auto"/>
                <w:spacing w:val="6"/>
                <w:sz w:val="24"/>
                <w:szCs w:val="24"/>
                <w:highlight w:val="none"/>
                <w:lang w:val="en-US" w:eastAsia="zh-CN"/>
              </w:rPr>
              <w:t>新疆华房盛泰保温材料科技有限公司办公楼，</w:t>
            </w:r>
            <w:r>
              <w:rPr>
                <w:rFonts w:hint="default" w:ascii="Times New Roman" w:hAnsi="Times New Roman" w:eastAsia="宋体" w:cs="Times New Roman"/>
                <w:snapToGrid w:val="0"/>
                <w:color w:val="auto"/>
                <w:spacing w:val="10"/>
                <w:kern w:val="0"/>
                <w:sz w:val="24"/>
                <w:szCs w:val="24"/>
                <w:highlight w:val="none"/>
                <w:lang w:val="en-US" w:eastAsia="zh-CN" w:bidi="ar-SA"/>
              </w:rPr>
              <w:t>东侧为厂区道路。项目地理位置见图2-1，项目与周边关系见图2-2。</w:t>
            </w:r>
          </w:p>
          <w:p w14:paraId="6B353D08">
            <w:pPr>
              <w:keepNext w:val="0"/>
              <w:keepLines w:val="0"/>
              <w:pageBreakBefore w:val="0"/>
              <w:suppressLineNumbers w:val="0"/>
              <w:kinsoku/>
              <w:wordWrap w:val="0"/>
              <w:overflowPunct/>
              <w:topLinePunct/>
              <w:autoSpaceDE/>
              <w:autoSpaceDN/>
              <w:bidi w:val="0"/>
              <w:spacing w:before="0" w:beforeAutospacing="0" w:after="0" w:afterAutospacing="0" w:line="360" w:lineRule="auto"/>
              <w:ind w:left="0" w:right="0" w:firstLine="520" w:firstLineChars="200"/>
              <w:rPr>
                <w:rFonts w:hint="default" w:ascii="Times New Roman" w:hAnsi="Times New Roman" w:eastAsia="宋体" w:cs="Times New Roman"/>
                <w:snapToGrid w:val="0"/>
                <w:color w:val="auto"/>
                <w:spacing w:val="10"/>
                <w:kern w:val="0"/>
                <w:sz w:val="24"/>
                <w:szCs w:val="24"/>
                <w:highlight w:val="none"/>
                <w:lang w:val="en-US" w:eastAsia="zh-CN" w:bidi="ar-SA"/>
              </w:rPr>
            </w:pPr>
            <w:r>
              <w:rPr>
                <w:rFonts w:hint="default" w:ascii="Times New Roman" w:hAnsi="Times New Roman" w:eastAsia="宋体" w:cs="Times New Roman"/>
                <w:snapToGrid w:val="0"/>
                <w:color w:val="auto"/>
                <w:spacing w:val="10"/>
                <w:kern w:val="0"/>
                <w:sz w:val="24"/>
                <w:szCs w:val="24"/>
                <w:highlight w:val="none"/>
                <w:lang w:val="en-US" w:eastAsia="zh-CN" w:bidi="ar-SA"/>
              </w:rPr>
              <w:t>建设性质：新建；</w:t>
            </w:r>
          </w:p>
          <w:p w14:paraId="07B93031">
            <w:pPr>
              <w:keepNext w:val="0"/>
              <w:keepLines w:val="0"/>
              <w:pageBreakBefore w:val="0"/>
              <w:suppressLineNumbers w:val="0"/>
              <w:kinsoku/>
              <w:wordWrap w:val="0"/>
              <w:overflowPunct/>
              <w:topLinePunct/>
              <w:autoSpaceDE/>
              <w:autoSpaceDN/>
              <w:bidi w:val="0"/>
              <w:spacing w:before="0" w:beforeAutospacing="0" w:after="0" w:afterAutospacing="0" w:line="360" w:lineRule="auto"/>
              <w:ind w:left="0" w:right="0" w:firstLine="520" w:firstLineChars="200"/>
              <w:rPr>
                <w:rFonts w:hint="default" w:ascii="Times New Roman" w:hAnsi="Times New Roman" w:eastAsia="宋体" w:cs="Times New Roman"/>
                <w:snapToGrid w:val="0"/>
                <w:color w:val="auto"/>
                <w:spacing w:val="10"/>
                <w:kern w:val="0"/>
                <w:sz w:val="24"/>
                <w:szCs w:val="24"/>
                <w:highlight w:val="none"/>
                <w:lang w:val="en-US" w:eastAsia="zh-CN" w:bidi="ar-SA"/>
              </w:rPr>
            </w:pPr>
            <w:r>
              <w:rPr>
                <w:rFonts w:hint="default" w:ascii="Times New Roman" w:hAnsi="Times New Roman" w:eastAsia="宋体" w:cs="Times New Roman"/>
                <w:snapToGrid w:val="0"/>
                <w:color w:val="auto"/>
                <w:spacing w:val="10"/>
                <w:kern w:val="0"/>
                <w:sz w:val="24"/>
                <w:szCs w:val="24"/>
                <w:highlight w:val="none"/>
                <w:lang w:val="en-US" w:eastAsia="zh-CN" w:bidi="ar-SA"/>
              </w:rPr>
              <w:t>生产规模：</w:t>
            </w:r>
            <w:r>
              <w:rPr>
                <w:rFonts w:hint="default" w:ascii="Times New Roman" w:hAnsi="Times New Roman" w:eastAsia="宋体" w:cs="Times New Roman"/>
                <w:color w:val="auto"/>
                <w:spacing w:val="9"/>
                <w:sz w:val="24"/>
                <w:szCs w:val="24"/>
                <w:highlight w:val="none"/>
                <w:lang w:eastAsia="zh-CN"/>
              </w:rPr>
              <w:t>年产10万吨矿化料</w:t>
            </w:r>
          </w:p>
          <w:p w14:paraId="6A13E5D8">
            <w:pPr>
              <w:keepNext w:val="0"/>
              <w:keepLines w:val="0"/>
              <w:pageBreakBefore w:val="0"/>
              <w:suppressLineNumbers w:val="0"/>
              <w:kinsoku/>
              <w:wordWrap w:val="0"/>
              <w:overflowPunct/>
              <w:topLinePunct/>
              <w:autoSpaceDE/>
              <w:autoSpaceDN/>
              <w:bidi w:val="0"/>
              <w:spacing w:before="0" w:beforeAutospacing="0" w:after="0" w:afterAutospacing="0" w:line="360" w:lineRule="auto"/>
              <w:ind w:left="0" w:right="0" w:firstLine="520" w:firstLineChars="200"/>
              <w:rPr>
                <w:rFonts w:hint="default" w:ascii="Times New Roman" w:hAnsi="Times New Roman" w:eastAsia="宋体" w:cs="Times New Roman"/>
                <w:snapToGrid w:val="0"/>
                <w:color w:val="auto"/>
                <w:spacing w:val="10"/>
                <w:kern w:val="0"/>
                <w:sz w:val="24"/>
                <w:szCs w:val="24"/>
                <w:highlight w:val="none"/>
                <w:lang w:val="en-US" w:eastAsia="zh-CN" w:bidi="ar-SA"/>
              </w:rPr>
            </w:pPr>
            <w:r>
              <w:rPr>
                <w:rFonts w:hint="default" w:ascii="Times New Roman" w:hAnsi="Times New Roman" w:eastAsia="宋体" w:cs="Times New Roman"/>
                <w:snapToGrid w:val="0"/>
                <w:color w:val="auto"/>
                <w:spacing w:val="10"/>
                <w:kern w:val="0"/>
                <w:sz w:val="24"/>
                <w:szCs w:val="24"/>
                <w:highlight w:val="none"/>
                <w:lang w:val="en-US" w:eastAsia="zh-CN" w:bidi="ar-SA"/>
              </w:rPr>
              <w:t>总投资：项目总投资100万元；</w:t>
            </w:r>
          </w:p>
          <w:p w14:paraId="71B1425E">
            <w:pPr>
              <w:keepNext w:val="0"/>
              <w:keepLines w:val="0"/>
              <w:pageBreakBefore w:val="0"/>
              <w:suppressLineNumbers w:val="0"/>
              <w:kinsoku/>
              <w:wordWrap w:val="0"/>
              <w:overflowPunct/>
              <w:topLinePunct/>
              <w:autoSpaceDE/>
              <w:autoSpaceDN/>
              <w:bidi w:val="0"/>
              <w:spacing w:before="0" w:beforeAutospacing="0" w:after="0" w:afterAutospacing="0" w:line="360" w:lineRule="auto"/>
              <w:ind w:left="0" w:right="0" w:firstLine="520" w:firstLineChars="200"/>
              <w:rPr>
                <w:rFonts w:hint="default" w:ascii="Times New Roman" w:hAnsi="Times New Roman" w:eastAsia="宋体" w:cs="Times New Roman"/>
                <w:snapToGrid w:val="0"/>
                <w:color w:val="auto"/>
                <w:spacing w:val="10"/>
                <w:kern w:val="0"/>
                <w:sz w:val="24"/>
                <w:szCs w:val="24"/>
                <w:highlight w:val="none"/>
                <w:lang w:val="en-US" w:eastAsia="zh-CN" w:bidi="ar-SA"/>
              </w:rPr>
            </w:pPr>
            <w:r>
              <w:rPr>
                <w:rFonts w:hint="default" w:ascii="Times New Roman" w:hAnsi="Times New Roman" w:eastAsia="宋体" w:cs="Times New Roman"/>
                <w:snapToGrid w:val="0"/>
                <w:color w:val="auto"/>
                <w:spacing w:val="10"/>
                <w:kern w:val="0"/>
                <w:sz w:val="24"/>
                <w:szCs w:val="24"/>
                <w:highlight w:val="none"/>
                <w:lang w:val="en-US" w:eastAsia="zh-CN" w:bidi="ar-SA"/>
              </w:rPr>
              <w:t>工作制度及劳动定员：劳动定员为8人，年运行天数210天，实行1班工作制，每班8小时，共1680小时。</w:t>
            </w:r>
          </w:p>
          <w:p w14:paraId="6C2B6D4F">
            <w:pPr>
              <w:keepNext w:val="0"/>
              <w:keepLines w:val="0"/>
              <w:pageBreakBefore w:val="0"/>
              <w:suppressLineNumbers w:val="0"/>
              <w:kinsoku/>
              <w:wordWrap w:val="0"/>
              <w:overflowPunct/>
              <w:topLinePunct/>
              <w:autoSpaceDE/>
              <w:autoSpaceDN/>
              <w:bidi w:val="0"/>
              <w:spacing w:before="0" w:beforeAutospacing="0" w:after="0" w:afterAutospacing="0" w:line="360" w:lineRule="auto"/>
              <w:ind w:left="0" w:right="0" w:firstLine="520" w:firstLineChars="200"/>
              <w:rPr>
                <w:rFonts w:hint="default" w:ascii="Times New Roman" w:hAnsi="Times New Roman" w:eastAsia="宋体" w:cs="Times New Roman"/>
                <w:snapToGrid w:val="0"/>
                <w:color w:val="auto"/>
                <w:spacing w:val="10"/>
                <w:kern w:val="0"/>
                <w:sz w:val="24"/>
                <w:szCs w:val="24"/>
                <w:highlight w:val="none"/>
                <w:lang w:val="en-US" w:eastAsia="zh-CN" w:bidi="ar-SA"/>
              </w:rPr>
            </w:pPr>
            <w:r>
              <w:rPr>
                <w:rFonts w:hint="default" w:ascii="Times New Roman" w:hAnsi="Times New Roman" w:eastAsia="宋体" w:cs="Times New Roman"/>
                <w:snapToGrid w:val="0"/>
                <w:color w:val="auto"/>
                <w:spacing w:val="10"/>
                <w:kern w:val="0"/>
                <w:sz w:val="24"/>
                <w:szCs w:val="24"/>
                <w:highlight w:val="none"/>
                <w:lang w:val="en-US" w:eastAsia="zh-CN" w:bidi="ar-SA"/>
              </w:rPr>
              <w:t>施工工期：202</w:t>
            </w:r>
            <w:r>
              <w:rPr>
                <w:rFonts w:hint="eastAsia" w:ascii="Times New Roman" w:hAnsi="Times New Roman" w:eastAsia="宋体" w:cs="Times New Roman"/>
                <w:snapToGrid w:val="0"/>
                <w:color w:val="auto"/>
                <w:spacing w:val="10"/>
                <w:kern w:val="0"/>
                <w:sz w:val="24"/>
                <w:szCs w:val="24"/>
                <w:highlight w:val="none"/>
                <w:lang w:val="en-US" w:eastAsia="zh-CN" w:bidi="ar-SA"/>
              </w:rPr>
              <w:t>6</w:t>
            </w:r>
            <w:r>
              <w:rPr>
                <w:rFonts w:hint="default" w:ascii="Times New Roman" w:hAnsi="Times New Roman" w:eastAsia="宋体" w:cs="Times New Roman"/>
                <w:snapToGrid w:val="0"/>
                <w:color w:val="auto"/>
                <w:spacing w:val="10"/>
                <w:kern w:val="0"/>
                <w:sz w:val="24"/>
                <w:szCs w:val="24"/>
                <w:highlight w:val="none"/>
                <w:lang w:val="en-US" w:eastAsia="zh-CN" w:bidi="ar-SA"/>
              </w:rPr>
              <w:t>年</w:t>
            </w:r>
            <w:r>
              <w:rPr>
                <w:rFonts w:hint="eastAsia" w:ascii="Times New Roman" w:hAnsi="Times New Roman" w:eastAsia="宋体" w:cs="Times New Roman"/>
                <w:snapToGrid w:val="0"/>
                <w:color w:val="auto"/>
                <w:spacing w:val="10"/>
                <w:kern w:val="0"/>
                <w:sz w:val="24"/>
                <w:szCs w:val="24"/>
                <w:highlight w:val="none"/>
                <w:lang w:val="en-US" w:eastAsia="zh-CN" w:bidi="ar-SA"/>
              </w:rPr>
              <w:t>5</w:t>
            </w:r>
            <w:r>
              <w:rPr>
                <w:rFonts w:hint="default" w:ascii="Times New Roman" w:hAnsi="Times New Roman" w:eastAsia="宋体" w:cs="Times New Roman"/>
                <w:snapToGrid w:val="0"/>
                <w:color w:val="auto"/>
                <w:spacing w:val="10"/>
                <w:kern w:val="0"/>
                <w:sz w:val="24"/>
                <w:szCs w:val="24"/>
                <w:highlight w:val="none"/>
                <w:lang w:val="en-US" w:eastAsia="zh-CN" w:bidi="ar-SA"/>
              </w:rPr>
              <w:t>月开工，2026年10月竣工，建设周期为</w:t>
            </w:r>
            <w:r>
              <w:rPr>
                <w:rFonts w:hint="eastAsia" w:ascii="Times New Roman" w:hAnsi="Times New Roman" w:eastAsia="宋体" w:cs="Times New Roman"/>
                <w:snapToGrid w:val="0"/>
                <w:color w:val="auto"/>
                <w:spacing w:val="10"/>
                <w:kern w:val="0"/>
                <w:sz w:val="24"/>
                <w:szCs w:val="24"/>
                <w:highlight w:val="none"/>
                <w:lang w:val="en-US" w:eastAsia="zh-CN" w:bidi="ar-SA"/>
              </w:rPr>
              <w:t>6</w:t>
            </w:r>
            <w:r>
              <w:rPr>
                <w:rFonts w:hint="default" w:ascii="Times New Roman" w:hAnsi="Times New Roman" w:eastAsia="宋体" w:cs="Times New Roman"/>
                <w:snapToGrid w:val="0"/>
                <w:color w:val="auto"/>
                <w:spacing w:val="10"/>
                <w:kern w:val="0"/>
                <w:sz w:val="24"/>
                <w:szCs w:val="24"/>
                <w:highlight w:val="none"/>
                <w:lang w:val="en-US" w:eastAsia="zh-CN" w:bidi="ar-SA"/>
              </w:rPr>
              <w:t>个月；</w:t>
            </w:r>
          </w:p>
          <w:p w14:paraId="48A26808">
            <w:pPr>
              <w:keepNext w:val="0"/>
              <w:keepLines w:val="0"/>
              <w:pageBreakBefore w:val="0"/>
              <w:widowControl w:val="0"/>
              <w:suppressLineNumbers w:val="0"/>
              <w:kinsoku/>
              <w:wordWrap w:val="0"/>
              <w:overflowPunct/>
              <w:topLinePunct/>
              <w:autoSpaceDE/>
              <w:autoSpaceDN/>
              <w:bidi w:val="0"/>
              <w:adjustRightInd w:val="0"/>
              <w:snapToGrid w:val="0"/>
              <w:spacing w:beforeAutospacing="0" w:after="0" w:afterAutospacing="0" w:line="360" w:lineRule="auto"/>
              <w:ind w:left="0" w:right="0" w:firstLine="490" w:firstLineChars="200"/>
              <w:textAlignment w:val="auto"/>
              <w:rPr>
                <w:rFonts w:hint="default" w:ascii="Times New Roman" w:hAnsi="Times New Roman" w:eastAsia="宋体" w:cs="Times New Roman"/>
                <w:b/>
                <w:bCs/>
                <w:snapToGrid w:val="0"/>
                <w:color w:val="auto"/>
                <w:spacing w:val="2"/>
                <w:kern w:val="0"/>
                <w:sz w:val="24"/>
                <w:szCs w:val="24"/>
                <w:highlight w:val="none"/>
                <w:lang w:val="en-US" w:eastAsia="zh-CN" w:bidi="ar-SA"/>
              </w:rPr>
            </w:pPr>
            <w:r>
              <w:rPr>
                <w:rFonts w:hint="default" w:ascii="Times New Roman" w:hAnsi="Times New Roman" w:eastAsia="宋体" w:cs="Times New Roman"/>
                <w:b/>
                <w:bCs/>
                <w:snapToGrid w:val="0"/>
                <w:color w:val="auto"/>
                <w:spacing w:val="2"/>
                <w:kern w:val="0"/>
                <w:sz w:val="24"/>
                <w:szCs w:val="24"/>
                <w:highlight w:val="none"/>
                <w:lang w:val="en-US" w:eastAsia="zh-CN" w:bidi="ar-SA"/>
              </w:rPr>
              <w:t>3、项目组成</w:t>
            </w:r>
          </w:p>
          <w:p w14:paraId="7A7D8BB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本项目</w:t>
            </w:r>
            <w:r>
              <w:rPr>
                <w:rFonts w:hint="default" w:ascii="Times New Roman" w:hAnsi="Times New Roman" w:eastAsia="宋体" w:cs="Times New Roman"/>
                <w:color w:val="auto"/>
                <w:sz w:val="24"/>
                <w:szCs w:val="24"/>
                <w:highlight w:val="none"/>
                <w:lang w:val="en-US" w:eastAsia="zh-CN"/>
              </w:rPr>
              <w:t>租赁</w:t>
            </w:r>
            <w:r>
              <w:rPr>
                <w:rFonts w:hint="default" w:ascii="Times New Roman" w:hAnsi="Times New Roman" w:eastAsia="宋体" w:cs="Times New Roman"/>
                <w:color w:val="auto"/>
                <w:sz w:val="24"/>
                <w:szCs w:val="24"/>
                <w:highlight w:val="none"/>
              </w:rPr>
              <w:t>车间</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eastAsia="zh-CN"/>
              </w:rPr>
              <w:t>座。</w:t>
            </w:r>
            <w:r>
              <w:rPr>
                <w:rFonts w:hint="default" w:ascii="Times New Roman" w:hAnsi="Times New Roman" w:eastAsia="宋体" w:cs="Times New Roman"/>
                <w:color w:val="auto"/>
                <w:sz w:val="24"/>
                <w:szCs w:val="24"/>
                <w:highlight w:val="none"/>
                <w:vertAlign w:val="baseline"/>
                <w:lang w:val="en-US" w:eastAsia="zh-CN"/>
              </w:rPr>
              <w:t>建设内容详</w:t>
            </w:r>
            <w:r>
              <w:rPr>
                <w:rFonts w:hint="default" w:ascii="Times New Roman" w:hAnsi="Times New Roman" w:eastAsia="宋体" w:cs="Times New Roman"/>
                <w:color w:val="auto"/>
                <w:sz w:val="24"/>
                <w:szCs w:val="24"/>
                <w:highlight w:val="none"/>
              </w:rPr>
              <w:t>见表2-1</w:t>
            </w:r>
            <w:r>
              <w:rPr>
                <w:rFonts w:hint="default" w:ascii="Times New Roman" w:hAnsi="Times New Roman" w:eastAsia="宋体" w:cs="Times New Roman"/>
                <w:color w:val="auto"/>
                <w:sz w:val="24"/>
                <w:szCs w:val="24"/>
                <w:highlight w:val="none"/>
                <w:vertAlign w:val="baseline"/>
                <w:lang w:val="en-US" w:eastAsia="zh-CN"/>
              </w:rPr>
              <w:t>。</w:t>
            </w:r>
          </w:p>
          <w:p w14:paraId="1B3C4661">
            <w:pPr>
              <w:pStyle w:val="25"/>
              <w:pageBreakBefore w:val="0"/>
              <w:kinsoku/>
              <w:wordWrap w:val="0"/>
              <w:overflowPunct/>
              <w:topLinePunct/>
              <w:autoSpaceDE/>
              <w:autoSpaceDN/>
              <w:bidi w:val="0"/>
              <w:spacing w:before="47" w:line="228"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pacing w:val="5"/>
                <w:sz w:val="21"/>
                <w:szCs w:val="21"/>
                <w:highlight w:val="none"/>
              </w:rPr>
              <w:t>表2-</w:t>
            </w:r>
            <w:r>
              <w:rPr>
                <w:rFonts w:hint="default" w:ascii="Times New Roman" w:hAnsi="Times New Roman" w:eastAsia="宋体" w:cs="Times New Roman"/>
                <w:b/>
                <w:bCs/>
                <w:color w:val="auto"/>
                <w:spacing w:val="5"/>
                <w:sz w:val="21"/>
                <w:szCs w:val="21"/>
                <w:highlight w:val="none"/>
                <w:lang w:val="en-US" w:eastAsia="zh-CN"/>
              </w:rPr>
              <w:t>1</w:t>
            </w:r>
            <w:r>
              <w:rPr>
                <w:rFonts w:hint="default" w:ascii="Times New Roman" w:hAnsi="Times New Roman" w:eastAsia="宋体" w:cs="Times New Roman"/>
                <w:b/>
                <w:bCs/>
                <w:color w:val="auto"/>
                <w:spacing w:val="5"/>
                <w:sz w:val="21"/>
                <w:szCs w:val="21"/>
                <w:highlight w:val="none"/>
              </w:rPr>
              <w:t>项目组成一览表</w:t>
            </w:r>
          </w:p>
          <w:tbl>
            <w:tblPr>
              <w:tblStyle w:val="24"/>
              <w:tblW w:w="48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9"/>
              <w:gridCol w:w="1155"/>
              <w:gridCol w:w="5529"/>
              <w:gridCol w:w="647"/>
            </w:tblGrid>
            <w:tr w14:paraId="35F0B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4" w:hRule="atLeast"/>
                <w:jc w:val="center"/>
              </w:trPr>
              <w:tc>
                <w:tcPr>
                  <w:tcW w:w="610" w:type="pct"/>
                  <w:vAlign w:val="center"/>
                </w:tcPr>
                <w:p w14:paraId="2AFA91F2">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pacing w:val="3"/>
                      <w:sz w:val="21"/>
                      <w:szCs w:val="21"/>
                      <w:highlight w:val="none"/>
                    </w:rPr>
                    <w:t>类别</w:t>
                  </w:r>
                </w:p>
              </w:tc>
              <w:tc>
                <w:tcPr>
                  <w:tcW w:w="691" w:type="pct"/>
                  <w:vAlign w:val="center"/>
                </w:tcPr>
                <w:p w14:paraId="13DCBA9F">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pacing w:val="5"/>
                      <w:sz w:val="21"/>
                      <w:szCs w:val="21"/>
                      <w:highlight w:val="none"/>
                    </w:rPr>
                    <w:t>工程名称</w:t>
                  </w:r>
                </w:p>
              </w:tc>
              <w:tc>
                <w:tcPr>
                  <w:tcW w:w="3311" w:type="pct"/>
                  <w:vAlign w:val="center"/>
                </w:tcPr>
                <w:p w14:paraId="66FF1583">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pacing w:val="5"/>
                      <w:sz w:val="21"/>
                      <w:szCs w:val="21"/>
                      <w:highlight w:val="none"/>
                    </w:rPr>
                    <w:t>建设内容</w:t>
                  </w:r>
                </w:p>
              </w:tc>
              <w:tc>
                <w:tcPr>
                  <w:tcW w:w="387" w:type="pct"/>
                  <w:vAlign w:val="center"/>
                </w:tcPr>
                <w:p w14:paraId="6C025E42">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pacing w:val="2"/>
                      <w:sz w:val="21"/>
                      <w:szCs w:val="21"/>
                      <w:highlight w:val="none"/>
                    </w:rPr>
                    <w:t>备注</w:t>
                  </w:r>
                </w:p>
              </w:tc>
            </w:tr>
            <w:tr w14:paraId="0F5F2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610" w:type="pct"/>
                  <w:vAlign w:val="center"/>
                </w:tcPr>
                <w:p w14:paraId="43613296">
                  <w:pPr>
                    <w:pStyle w:val="25"/>
                    <w:pageBreakBefore w:val="0"/>
                    <w:kinsoku/>
                    <w:wordWrap w:val="0"/>
                    <w:overflowPunct/>
                    <w:topLinePunct/>
                    <w:autoSpaceDE/>
                    <w:autoSpaceDN/>
                    <w:bidi w:val="0"/>
                    <w:spacing w:line="240" w:lineRule="auto"/>
                    <w:ind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主体工</w:t>
                  </w:r>
                  <w:r>
                    <w:rPr>
                      <w:rFonts w:hint="default" w:ascii="Times New Roman" w:hAnsi="Times New Roman" w:eastAsia="宋体" w:cs="Times New Roman"/>
                      <w:color w:val="auto"/>
                      <w:spacing w:val="1"/>
                      <w:sz w:val="21"/>
                      <w:szCs w:val="21"/>
                      <w:highlight w:val="none"/>
                    </w:rPr>
                    <w:t>程</w:t>
                  </w:r>
                </w:p>
              </w:tc>
              <w:tc>
                <w:tcPr>
                  <w:tcW w:w="691" w:type="pct"/>
                  <w:vAlign w:val="center"/>
                </w:tcPr>
                <w:p w14:paraId="5CF7FCCB">
                  <w:pPr>
                    <w:pStyle w:val="25"/>
                    <w:pageBreakBefore w:val="0"/>
                    <w:kinsoku/>
                    <w:wordWrap w:val="0"/>
                    <w:overflowPunct/>
                    <w:topLinePunct/>
                    <w:autoSpaceDE/>
                    <w:autoSpaceDN/>
                    <w:bidi w:val="0"/>
                    <w:spacing w:line="268" w:lineRule="exact"/>
                    <w:ind w:right="4"/>
                    <w:jc w:val="center"/>
                    <w:rPr>
                      <w:rFonts w:hint="default" w:ascii="Times New Roman" w:hAnsi="Times New Roman" w:eastAsia="宋体" w:cs="Times New Roman"/>
                      <w:color w:val="auto"/>
                      <w:spacing w:val="3"/>
                      <w:position w:val="1"/>
                      <w:sz w:val="21"/>
                      <w:szCs w:val="21"/>
                      <w:highlight w:val="none"/>
                      <w:lang w:val="en-US" w:eastAsia="zh-CN"/>
                    </w:rPr>
                  </w:pPr>
                  <w:r>
                    <w:rPr>
                      <w:rFonts w:hint="default" w:ascii="Times New Roman" w:hAnsi="Times New Roman" w:eastAsia="宋体" w:cs="Times New Roman"/>
                      <w:color w:val="auto"/>
                      <w:spacing w:val="3"/>
                      <w:position w:val="1"/>
                      <w:sz w:val="21"/>
                      <w:szCs w:val="21"/>
                      <w:highlight w:val="none"/>
                    </w:rPr>
                    <w:t>生产</w:t>
                  </w:r>
                  <w:r>
                    <w:rPr>
                      <w:rFonts w:hint="default" w:ascii="Times New Roman" w:hAnsi="Times New Roman" w:eastAsia="宋体" w:cs="Times New Roman"/>
                      <w:color w:val="auto"/>
                      <w:spacing w:val="3"/>
                      <w:position w:val="1"/>
                      <w:sz w:val="21"/>
                      <w:szCs w:val="21"/>
                      <w:highlight w:val="none"/>
                      <w:lang w:val="en-US" w:eastAsia="zh-CN"/>
                    </w:rPr>
                    <w:t>车间</w:t>
                  </w:r>
                </w:p>
              </w:tc>
              <w:tc>
                <w:tcPr>
                  <w:tcW w:w="3311" w:type="pct"/>
                  <w:vAlign w:val="center"/>
                </w:tcPr>
                <w:p w14:paraId="1047CAFF">
                  <w:pPr>
                    <w:pStyle w:val="25"/>
                    <w:pageBreakBefore w:val="0"/>
                    <w:kinsoku/>
                    <w:wordWrap w:val="0"/>
                    <w:overflowPunct/>
                    <w:topLinePunct/>
                    <w:autoSpaceDE/>
                    <w:autoSpaceDN/>
                    <w:bidi w:val="0"/>
                    <w:spacing w:line="268" w:lineRule="exact"/>
                    <w:ind w:right="4"/>
                    <w:jc w:val="center"/>
                    <w:rPr>
                      <w:rFonts w:hint="default" w:ascii="Times New Roman" w:hAnsi="Times New Roman" w:eastAsia="宋体" w:cs="Times New Roman"/>
                      <w:color w:val="auto"/>
                      <w:spacing w:val="3"/>
                      <w:position w:val="1"/>
                      <w:sz w:val="21"/>
                      <w:szCs w:val="21"/>
                      <w:highlight w:val="none"/>
                      <w:lang w:val="en-US" w:eastAsia="zh-CN"/>
                    </w:rPr>
                  </w:pPr>
                  <w:r>
                    <w:rPr>
                      <w:rFonts w:hint="default" w:ascii="Times New Roman" w:hAnsi="Times New Roman" w:eastAsia="宋体" w:cs="Times New Roman"/>
                      <w:color w:val="auto"/>
                      <w:spacing w:val="3"/>
                      <w:position w:val="1"/>
                      <w:sz w:val="21"/>
                      <w:szCs w:val="21"/>
                      <w:highlight w:val="none"/>
                      <w:lang w:val="en-US" w:eastAsia="zh-CN"/>
                    </w:rPr>
                    <w:t>租赁</w:t>
                  </w:r>
                  <w:r>
                    <w:rPr>
                      <w:rFonts w:hint="default" w:ascii="Times New Roman" w:hAnsi="Times New Roman" w:eastAsia="宋体" w:cs="Times New Roman"/>
                      <w:color w:val="auto"/>
                      <w:spacing w:val="3"/>
                      <w:position w:val="1"/>
                      <w:sz w:val="21"/>
                      <w:szCs w:val="21"/>
                      <w:highlight w:val="none"/>
                    </w:rPr>
                    <w:t>1座</w:t>
                  </w:r>
                  <w:r>
                    <w:rPr>
                      <w:rFonts w:hint="default" w:ascii="Times New Roman" w:hAnsi="Times New Roman" w:eastAsia="宋体" w:cs="Times New Roman"/>
                      <w:color w:val="auto"/>
                      <w:spacing w:val="3"/>
                      <w:position w:val="1"/>
                      <w:sz w:val="21"/>
                      <w:szCs w:val="21"/>
                      <w:highlight w:val="none"/>
                      <w:lang w:val="en-US" w:eastAsia="zh-CN"/>
                    </w:rPr>
                    <w:t>2356</w:t>
                  </w:r>
                  <w:r>
                    <w:rPr>
                      <w:rFonts w:hint="default" w:ascii="Times New Roman" w:hAnsi="Times New Roman" w:eastAsia="宋体" w:cs="Times New Roman"/>
                      <w:color w:val="auto"/>
                      <w:spacing w:val="3"/>
                      <w:position w:val="1"/>
                      <w:sz w:val="21"/>
                      <w:szCs w:val="21"/>
                      <w:highlight w:val="none"/>
                    </w:rPr>
                    <w:t>m</w:t>
                  </w:r>
                  <w:r>
                    <w:rPr>
                      <w:rFonts w:hint="default" w:ascii="Times New Roman" w:hAnsi="Times New Roman" w:eastAsia="宋体" w:cs="Times New Roman"/>
                      <w:color w:val="auto"/>
                      <w:spacing w:val="3"/>
                      <w:position w:val="1"/>
                      <w:sz w:val="21"/>
                      <w:szCs w:val="21"/>
                      <w:highlight w:val="none"/>
                      <w:vertAlign w:val="superscript"/>
                    </w:rPr>
                    <w:t>2</w:t>
                  </w:r>
                  <w:r>
                    <w:rPr>
                      <w:rFonts w:hint="default" w:ascii="Times New Roman" w:hAnsi="Times New Roman" w:eastAsia="宋体" w:cs="Times New Roman"/>
                      <w:color w:val="auto"/>
                      <w:spacing w:val="3"/>
                      <w:position w:val="1"/>
                      <w:sz w:val="21"/>
                      <w:szCs w:val="21"/>
                      <w:highlight w:val="none"/>
                    </w:rPr>
                    <w:t>全部密闭厂房，</w:t>
                  </w:r>
                  <w:r>
                    <w:rPr>
                      <w:rFonts w:hint="default" w:ascii="Times New Roman" w:hAnsi="Times New Roman" w:eastAsia="宋体" w:cs="Times New Roman"/>
                      <w:color w:val="auto"/>
                      <w:spacing w:val="3"/>
                      <w:position w:val="1"/>
                      <w:sz w:val="21"/>
                      <w:szCs w:val="21"/>
                      <w:highlight w:val="none"/>
                      <w:lang w:val="en-US" w:eastAsia="zh-CN"/>
                    </w:rPr>
                    <w:t>并分割了</w:t>
                  </w:r>
                  <w:r>
                    <w:rPr>
                      <w:rFonts w:hint="default" w:ascii="Times New Roman" w:hAnsi="Times New Roman" w:eastAsia="宋体" w:cs="Times New Roman"/>
                      <w:color w:val="auto"/>
                      <w:spacing w:val="6"/>
                      <w:sz w:val="21"/>
                      <w:szCs w:val="21"/>
                      <w:highlight w:val="none"/>
                    </w:rPr>
                    <w:t>办公</w:t>
                  </w:r>
                  <w:r>
                    <w:rPr>
                      <w:rFonts w:hint="default" w:ascii="Times New Roman" w:hAnsi="Times New Roman" w:eastAsia="宋体" w:cs="Times New Roman"/>
                      <w:color w:val="auto"/>
                      <w:spacing w:val="6"/>
                      <w:sz w:val="21"/>
                      <w:szCs w:val="21"/>
                      <w:highlight w:val="none"/>
                      <w:lang w:val="en-US" w:eastAsia="zh-CN"/>
                    </w:rPr>
                    <w:t>区、</w:t>
                  </w:r>
                  <w:r>
                    <w:rPr>
                      <w:rFonts w:hint="default" w:ascii="Times New Roman" w:hAnsi="Times New Roman" w:eastAsia="宋体" w:cs="Times New Roman"/>
                      <w:color w:val="auto"/>
                      <w:spacing w:val="3"/>
                      <w:position w:val="1"/>
                      <w:sz w:val="21"/>
                      <w:szCs w:val="21"/>
                      <w:highlight w:val="none"/>
                      <w:lang w:val="en-US" w:eastAsia="zh-CN"/>
                    </w:rPr>
                    <w:t>原料储存区，产品储存区、生产区。生产区</w:t>
                  </w:r>
                  <w:r>
                    <w:rPr>
                      <w:rFonts w:hint="default" w:ascii="Times New Roman" w:hAnsi="Times New Roman" w:eastAsia="宋体" w:cs="Times New Roman"/>
                      <w:color w:val="auto"/>
                      <w:spacing w:val="3"/>
                      <w:position w:val="1"/>
                      <w:sz w:val="21"/>
                      <w:szCs w:val="21"/>
                      <w:highlight w:val="none"/>
                    </w:rPr>
                    <w:t>设1条</w:t>
                  </w:r>
                  <w:r>
                    <w:rPr>
                      <w:rFonts w:hint="default" w:ascii="Times New Roman" w:hAnsi="Times New Roman" w:eastAsia="宋体" w:cs="Times New Roman"/>
                      <w:color w:val="auto"/>
                      <w:spacing w:val="3"/>
                      <w:position w:val="1"/>
                      <w:sz w:val="21"/>
                      <w:szCs w:val="21"/>
                      <w:highlight w:val="none"/>
                      <w:lang w:eastAsia="zh-CN"/>
                    </w:rPr>
                    <w:t>矿化料</w:t>
                  </w:r>
                  <w:r>
                    <w:rPr>
                      <w:rFonts w:hint="default" w:ascii="Times New Roman" w:hAnsi="Times New Roman" w:eastAsia="宋体" w:cs="Times New Roman"/>
                      <w:color w:val="auto"/>
                      <w:spacing w:val="3"/>
                      <w:position w:val="1"/>
                      <w:sz w:val="21"/>
                      <w:szCs w:val="21"/>
                      <w:highlight w:val="none"/>
                    </w:rPr>
                    <w:t>生产线，</w:t>
                  </w:r>
                </w:p>
              </w:tc>
              <w:tc>
                <w:tcPr>
                  <w:tcW w:w="387" w:type="pct"/>
                  <w:vMerge w:val="restart"/>
                  <w:vAlign w:val="center"/>
                </w:tcPr>
                <w:p w14:paraId="04431C85">
                  <w:pPr>
                    <w:pStyle w:val="25"/>
                    <w:pageBreakBefore w:val="0"/>
                    <w:kinsoku/>
                    <w:wordWrap w:val="0"/>
                    <w:overflowPunct/>
                    <w:topLinePunct/>
                    <w:autoSpaceDE/>
                    <w:autoSpaceDN/>
                    <w:bidi w:val="0"/>
                    <w:spacing w:before="65" w:line="229"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position w:val="1"/>
                      <w:sz w:val="21"/>
                      <w:szCs w:val="21"/>
                      <w:highlight w:val="none"/>
                      <w:lang w:val="en-US" w:eastAsia="zh-CN"/>
                    </w:rPr>
                    <w:t>租赁</w:t>
                  </w:r>
                </w:p>
              </w:tc>
            </w:tr>
            <w:tr w14:paraId="63B45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Align w:val="center"/>
                </w:tcPr>
                <w:p w14:paraId="30B85409">
                  <w:pPr>
                    <w:pStyle w:val="25"/>
                    <w:pageBreakBefore w:val="0"/>
                    <w:kinsoku/>
                    <w:wordWrap w:val="0"/>
                    <w:overflowPunct/>
                    <w:topLinePunct/>
                    <w:autoSpaceDE/>
                    <w:autoSpaceDN/>
                    <w:bidi w:val="0"/>
                    <w:spacing w:line="240" w:lineRule="auto"/>
                    <w:ind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辅助工</w:t>
                  </w:r>
                  <w:r>
                    <w:rPr>
                      <w:rFonts w:hint="default" w:ascii="Times New Roman" w:hAnsi="Times New Roman" w:eastAsia="宋体" w:cs="Times New Roman"/>
                      <w:color w:val="auto"/>
                      <w:spacing w:val="1"/>
                      <w:sz w:val="21"/>
                      <w:szCs w:val="21"/>
                      <w:highlight w:val="none"/>
                    </w:rPr>
                    <w:t>程</w:t>
                  </w:r>
                </w:p>
              </w:tc>
              <w:tc>
                <w:tcPr>
                  <w:tcW w:w="691" w:type="pct"/>
                  <w:vAlign w:val="center"/>
                </w:tcPr>
                <w:p w14:paraId="5D257DC1">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办公用房</w:t>
                  </w:r>
                </w:p>
              </w:tc>
              <w:tc>
                <w:tcPr>
                  <w:tcW w:w="3311" w:type="pct"/>
                  <w:vAlign w:val="center"/>
                </w:tcPr>
                <w:p w14:paraId="5145071E">
                  <w:pPr>
                    <w:pStyle w:val="25"/>
                    <w:pageBreakBefore w:val="0"/>
                    <w:kinsoku/>
                    <w:wordWrap w:val="0"/>
                    <w:overflowPunct/>
                    <w:topLinePunct/>
                    <w:autoSpaceDE/>
                    <w:autoSpaceDN/>
                    <w:bidi w:val="0"/>
                    <w:spacing w:line="269"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3"/>
                      <w:position w:val="1"/>
                      <w:sz w:val="21"/>
                      <w:szCs w:val="21"/>
                      <w:highlight w:val="none"/>
                    </w:rPr>
                    <w:t>生产</w:t>
                  </w:r>
                  <w:r>
                    <w:rPr>
                      <w:rFonts w:hint="default" w:ascii="Times New Roman" w:hAnsi="Times New Roman" w:eastAsia="宋体" w:cs="Times New Roman"/>
                      <w:color w:val="auto"/>
                      <w:spacing w:val="3"/>
                      <w:position w:val="1"/>
                      <w:sz w:val="21"/>
                      <w:szCs w:val="21"/>
                      <w:highlight w:val="none"/>
                      <w:lang w:val="en-US" w:eastAsia="zh-CN"/>
                    </w:rPr>
                    <w:t>车间内分割100</w:t>
                  </w:r>
                  <w:r>
                    <w:rPr>
                      <w:rFonts w:hint="default" w:ascii="Times New Roman" w:hAnsi="Times New Roman" w:eastAsia="宋体" w:cs="Times New Roman"/>
                      <w:color w:val="auto"/>
                      <w:spacing w:val="3"/>
                      <w:position w:val="1"/>
                      <w:sz w:val="21"/>
                      <w:szCs w:val="21"/>
                      <w:highlight w:val="none"/>
                    </w:rPr>
                    <w:t>m</w:t>
                  </w:r>
                  <w:r>
                    <w:rPr>
                      <w:rFonts w:hint="default" w:ascii="Times New Roman" w:hAnsi="Times New Roman" w:eastAsia="宋体" w:cs="Times New Roman"/>
                      <w:color w:val="auto"/>
                      <w:spacing w:val="3"/>
                      <w:position w:val="1"/>
                      <w:sz w:val="21"/>
                      <w:szCs w:val="21"/>
                      <w:highlight w:val="none"/>
                      <w:vertAlign w:val="superscript"/>
                    </w:rPr>
                    <w:t>2</w:t>
                  </w:r>
                </w:p>
              </w:tc>
              <w:tc>
                <w:tcPr>
                  <w:tcW w:w="387" w:type="pct"/>
                  <w:vMerge w:val="continue"/>
                  <w:vAlign w:val="center"/>
                </w:tcPr>
                <w:p w14:paraId="7605EC9D">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z w:val="21"/>
                      <w:szCs w:val="21"/>
                      <w:highlight w:val="none"/>
                    </w:rPr>
                  </w:pPr>
                </w:p>
              </w:tc>
            </w:tr>
            <w:tr w14:paraId="5BB36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restart"/>
                  <w:vAlign w:val="center"/>
                </w:tcPr>
                <w:p w14:paraId="75A66FC2">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r>
                    <w:rPr>
                      <w:rFonts w:hint="default" w:ascii="Times New Roman" w:hAnsi="Times New Roman" w:eastAsia="宋体" w:cs="Times New Roman"/>
                      <w:color w:val="auto"/>
                      <w:spacing w:val="3"/>
                      <w:position w:val="1"/>
                      <w:sz w:val="21"/>
                      <w:szCs w:val="21"/>
                      <w:highlight w:val="none"/>
                      <w:lang w:val="en-US" w:eastAsia="zh-CN"/>
                    </w:rPr>
                    <w:t>储运工程</w:t>
                  </w:r>
                </w:p>
              </w:tc>
              <w:tc>
                <w:tcPr>
                  <w:tcW w:w="691" w:type="pct"/>
                  <w:vAlign w:val="center"/>
                </w:tcPr>
                <w:p w14:paraId="69E67D2E">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r>
                    <w:rPr>
                      <w:rFonts w:hint="default" w:ascii="Times New Roman" w:hAnsi="Times New Roman" w:eastAsia="宋体" w:cs="Times New Roman"/>
                      <w:color w:val="auto"/>
                      <w:spacing w:val="3"/>
                      <w:position w:val="1"/>
                      <w:sz w:val="21"/>
                      <w:szCs w:val="21"/>
                      <w:highlight w:val="none"/>
                      <w:lang w:val="en-US" w:eastAsia="zh-CN"/>
                    </w:rPr>
                    <w:t>原料储存区</w:t>
                  </w:r>
                </w:p>
              </w:tc>
              <w:tc>
                <w:tcPr>
                  <w:tcW w:w="3311" w:type="pct"/>
                  <w:vAlign w:val="center"/>
                </w:tcPr>
                <w:p w14:paraId="382237C1">
                  <w:pPr>
                    <w:pStyle w:val="25"/>
                    <w:pageBreakBefore w:val="0"/>
                    <w:kinsoku/>
                    <w:wordWrap w:val="0"/>
                    <w:overflowPunct/>
                    <w:topLinePunct/>
                    <w:autoSpaceDE/>
                    <w:autoSpaceDN/>
                    <w:bidi w:val="0"/>
                    <w:spacing w:line="269" w:lineRule="exact"/>
                    <w:jc w:val="center"/>
                    <w:rPr>
                      <w:rFonts w:hint="default" w:ascii="Times New Roman" w:hAnsi="Times New Roman" w:eastAsia="宋体" w:cs="Times New Roman"/>
                      <w:color w:val="auto"/>
                      <w:spacing w:val="3"/>
                      <w:position w:val="1"/>
                      <w:sz w:val="21"/>
                      <w:szCs w:val="21"/>
                      <w:highlight w:val="none"/>
                    </w:rPr>
                  </w:pPr>
                  <w:r>
                    <w:rPr>
                      <w:rFonts w:hint="default" w:ascii="Times New Roman" w:hAnsi="Times New Roman" w:eastAsia="宋体" w:cs="Times New Roman"/>
                      <w:color w:val="auto"/>
                      <w:spacing w:val="3"/>
                      <w:position w:val="1"/>
                      <w:sz w:val="21"/>
                      <w:szCs w:val="21"/>
                      <w:highlight w:val="none"/>
                    </w:rPr>
                    <w:t>生产</w:t>
                  </w:r>
                  <w:r>
                    <w:rPr>
                      <w:rFonts w:hint="default" w:ascii="Times New Roman" w:hAnsi="Times New Roman" w:eastAsia="宋体" w:cs="Times New Roman"/>
                      <w:color w:val="auto"/>
                      <w:spacing w:val="3"/>
                      <w:position w:val="1"/>
                      <w:sz w:val="21"/>
                      <w:szCs w:val="21"/>
                      <w:highlight w:val="none"/>
                      <w:lang w:val="en-US" w:eastAsia="zh-CN"/>
                    </w:rPr>
                    <w:t>车间内分割400</w:t>
                  </w:r>
                  <w:r>
                    <w:rPr>
                      <w:rFonts w:hint="default" w:ascii="Times New Roman" w:hAnsi="Times New Roman" w:eastAsia="宋体" w:cs="Times New Roman"/>
                      <w:color w:val="auto"/>
                      <w:spacing w:val="3"/>
                      <w:position w:val="1"/>
                      <w:sz w:val="21"/>
                      <w:szCs w:val="21"/>
                      <w:highlight w:val="none"/>
                    </w:rPr>
                    <w:t>m</w:t>
                  </w:r>
                  <w:r>
                    <w:rPr>
                      <w:rFonts w:hint="default" w:ascii="Times New Roman" w:hAnsi="Times New Roman" w:eastAsia="宋体" w:cs="Times New Roman"/>
                      <w:color w:val="auto"/>
                      <w:spacing w:val="3"/>
                      <w:position w:val="1"/>
                      <w:sz w:val="21"/>
                      <w:szCs w:val="21"/>
                      <w:highlight w:val="none"/>
                      <w:vertAlign w:val="superscript"/>
                    </w:rPr>
                    <w:t>2</w:t>
                  </w:r>
                </w:p>
              </w:tc>
              <w:tc>
                <w:tcPr>
                  <w:tcW w:w="387" w:type="pct"/>
                  <w:vMerge w:val="continue"/>
                  <w:vAlign w:val="center"/>
                </w:tcPr>
                <w:p w14:paraId="6A370254">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p>
              </w:tc>
            </w:tr>
            <w:tr w14:paraId="5B75F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continue"/>
                  <w:vAlign w:val="center"/>
                </w:tcPr>
                <w:p w14:paraId="01EE36CF">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p>
              </w:tc>
              <w:tc>
                <w:tcPr>
                  <w:tcW w:w="691" w:type="pct"/>
                  <w:vAlign w:val="center"/>
                </w:tcPr>
                <w:p w14:paraId="5463817A">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r>
                    <w:rPr>
                      <w:rFonts w:hint="default" w:ascii="Times New Roman" w:hAnsi="Times New Roman" w:eastAsia="宋体" w:cs="Times New Roman"/>
                      <w:color w:val="auto"/>
                      <w:spacing w:val="3"/>
                      <w:position w:val="1"/>
                      <w:sz w:val="21"/>
                      <w:szCs w:val="21"/>
                      <w:highlight w:val="none"/>
                      <w:lang w:val="en-US" w:eastAsia="zh-CN"/>
                    </w:rPr>
                    <w:t>产品储存区</w:t>
                  </w:r>
                </w:p>
              </w:tc>
              <w:tc>
                <w:tcPr>
                  <w:tcW w:w="3311" w:type="pct"/>
                  <w:vAlign w:val="center"/>
                </w:tcPr>
                <w:p w14:paraId="52A402C8">
                  <w:pPr>
                    <w:pStyle w:val="25"/>
                    <w:pageBreakBefore w:val="0"/>
                    <w:kinsoku/>
                    <w:wordWrap w:val="0"/>
                    <w:overflowPunct/>
                    <w:topLinePunct/>
                    <w:autoSpaceDE/>
                    <w:autoSpaceDN/>
                    <w:bidi w:val="0"/>
                    <w:spacing w:line="269" w:lineRule="exact"/>
                    <w:jc w:val="center"/>
                    <w:rPr>
                      <w:rFonts w:hint="default" w:ascii="Times New Roman" w:hAnsi="Times New Roman" w:eastAsia="宋体" w:cs="Times New Roman"/>
                      <w:color w:val="auto"/>
                      <w:spacing w:val="3"/>
                      <w:position w:val="1"/>
                      <w:sz w:val="21"/>
                      <w:szCs w:val="21"/>
                      <w:highlight w:val="none"/>
                    </w:rPr>
                  </w:pPr>
                  <w:r>
                    <w:rPr>
                      <w:rFonts w:hint="default" w:ascii="Times New Roman" w:hAnsi="Times New Roman" w:eastAsia="宋体" w:cs="Times New Roman"/>
                      <w:color w:val="auto"/>
                      <w:spacing w:val="3"/>
                      <w:position w:val="1"/>
                      <w:sz w:val="21"/>
                      <w:szCs w:val="21"/>
                      <w:highlight w:val="none"/>
                    </w:rPr>
                    <w:t>生产</w:t>
                  </w:r>
                  <w:r>
                    <w:rPr>
                      <w:rFonts w:hint="default" w:ascii="Times New Roman" w:hAnsi="Times New Roman" w:eastAsia="宋体" w:cs="Times New Roman"/>
                      <w:color w:val="auto"/>
                      <w:spacing w:val="3"/>
                      <w:position w:val="1"/>
                      <w:sz w:val="21"/>
                      <w:szCs w:val="21"/>
                      <w:highlight w:val="none"/>
                      <w:lang w:val="en-US" w:eastAsia="zh-CN"/>
                    </w:rPr>
                    <w:t>车间内分割400</w:t>
                  </w:r>
                  <w:r>
                    <w:rPr>
                      <w:rFonts w:hint="default" w:ascii="Times New Roman" w:hAnsi="Times New Roman" w:eastAsia="宋体" w:cs="Times New Roman"/>
                      <w:color w:val="auto"/>
                      <w:spacing w:val="3"/>
                      <w:position w:val="1"/>
                      <w:sz w:val="21"/>
                      <w:szCs w:val="21"/>
                      <w:highlight w:val="none"/>
                    </w:rPr>
                    <w:t>m</w:t>
                  </w:r>
                  <w:r>
                    <w:rPr>
                      <w:rFonts w:hint="default" w:ascii="Times New Roman" w:hAnsi="Times New Roman" w:eastAsia="宋体" w:cs="Times New Roman"/>
                      <w:color w:val="auto"/>
                      <w:spacing w:val="3"/>
                      <w:position w:val="1"/>
                      <w:sz w:val="21"/>
                      <w:szCs w:val="21"/>
                      <w:highlight w:val="none"/>
                      <w:vertAlign w:val="superscript"/>
                    </w:rPr>
                    <w:t>2</w:t>
                  </w:r>
                </w:p>
              </w:tc>
              <w:tc>
                <w:tcPr>
                  <w:tcW w:w="387" w:type="pct"/>
                  <w:vMerge w:val="continue"/>
                  <w:vAlign w:val="center"/>
                </w:tcPr>
                <w:p w14:paraId="6A68EF58">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p>
              </w:tc>
            </w:tr>
            <w:tr w14:paraId="60B6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continue"/>
                  <w:vAlign w:val="center"/>
                </w:tcPr>
                <w:p w14:paraId="40463475">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p>
              </w:tc>
              <w:tc>
                <w:tcPr>
                  <w:tcW w:w="691" w:type="pct"/>
                  <w:vAlign w:val="center"/>
                </w:tcPr>
                <w:p w14:paraId="41BF3A93">
                  <w:pPr>
                    <w:keepNext w:val="0"/>
                    <w:keepLines w:val="0"/>
                    <w:widowControl/>
                    <w:suppressLineNumbers w:val="0"/>
                    <w:jc w:val="center"/>
                    <w:rPr>
                      <w:rFonts w:hint="default" w:ascii="Times New Roman" w:hAnsi="Times New Roman" w:eastAsia="宋体" w:cs="Times New Roman"/>
                      <w:color w:val="auto"/>
                      <w:spacing w:val="3"/>
                      <w:position w:val="1"/>
                      <w:sz w:val="21"/>
                      <w:szCs w:val="21"/>
                      <w:highlight w:val="none"/>
                      <w:lang w:val="en-US" w:eastAsia="zh-CN"/>
                    </w:rPr>
                  </w:pPr>
                  <w:r>
                    <w:rPr>
                      <w:rFonts w:hint="eastAsia" w:ascii="Times New Roman" w:hAnsi="Times New Roman" w:eastAsia="宋体" w:cs="Times New Roman"/>
                      <w:color w:val="auto"/>
                      <w:spacing w:val="3"/>
                      <w:position w:val="1"/>
                      <w:sz w:val="21"/>
                      <w:szCs w:val="21"/>
                      <w:highlight w:val="none"/>
                      <w:lang w:val="en-US" w:eastAsia="zh-CN"/>
                    </w:rPr>
                    <w:t>危</w:t>
                  </w:r>
                  <w:r>
                    <w:rPr>
                      <w:rFonts w:hint="eastAsia" w:ascii="Times New Roman" w:hAnsi="Times New Roman" w:eastAsia="宋体" w:cs="Times New Roman"/>
                      <w:snapToGrid w:val="0"/>
                      <w:color w:val="auto"/>
                      <w:spacing w:val="3"/>
                      <w:kern w:val="0"/>
                      <w:position w:val="1"/>
                      <w:sz w:val="21"/>
                      <w:szCs w:val="21"/>
                      <w:highlight w:val="none"/>
                      <w:lang w:val="en-US" w:eastAsia="zh-CN" w:bidi="ar-SA"/>
                    </w:rPr>
                    <w:t>险废物</w:t>
                  </w:r>
                  <w:r>
                    <w:rPr>
                      <w:rFonts w:hint="default" w:ascii="Times New Roman" w:hAnsi="Times New Roman" w:eastAsia="宋体" w:cs="Times New Roman"/>
                      <w:snapToGrid w:val="0"/>
                      <w:color w:val="auto"/>
                      <w:spacing w:val="3"/>
                      <w:kern w:val="0"/>
                      <w:position w:val="1"/>
                      <w:sz w:val="21"/>
                      <w:szCs w:val="21"/>
                      <w:highlight w:val="none"/>
                      <w:lang w:val="en-US" w:eastAsia="zh-CN" w:bidi="ar-SA"/>
                    </w:rPr>
                    <w:t>贮存点</w:t>
                  </w:r>
                </w:p>
              </w:tc>
              <w:tc>
                <w:tcPr>
                  <w:tcW w:w="3311" w:type="pct"/>
                  <w:vAlign w:val="center"/>
                </w:tcPr>
                <w:p w14:paraId="3D7A2D50">
                  <w:pPr>
                    <w:pStyle w:val="25"/>
                    <w:pageBreakBefore w:val="0"/>
                    <w:kinsoku/>
                    <w:wordWrap w:val="0"/>
                    <w:overflowPunct/>
                    <w:topLinePunct/>
                    <w:autoSpaceDE/>
                    <w:autoSpaceDN/>
                    <w:bidi w:val="0"/>
                    <w:spacing w:line="269" w:lineRule="exact"/>
                    <w:jc w:val="center"/>
                    <w:rPr>
                      <w:rFonts w:hint="eastAsia" w:ascii="Times New Roman" w:hAnsi="Times New Roman" w:eastAsia="宋体" w:cs="Times New Roman"/>
                      <w:color w:val="auto"/>
                      <w:spacing w:val="3"/>
                      <w:position w:val="1"/>
                      <w:sz w:val="21"/>
                      <w:szCs w:val="21"/>
                      <w:highlight w:val="none"/>
                      <w:lang w:eastAsia="zh-CN"/>
                    </w:rPr>
                  </w:pPr>
                  <w:r>
                    <w:rPr>
                      <w:rFonts w:hint="default" w:ascii="Times New Roman" w:hAnsi="Times New Roman" w:eastAsia="宋体" w:cs="Times New Roman"/>
                      <w:color w:val="auto"/>
                      <w:spacing w:val="3"/>
                      <w:position w:val="1"/>
                      <w:sz w:val="21"/>
                      <w:szCs w:val="21"/>
                      <w:highlight w:val="none"/>
                    </w:rPr>
                    <w:t>生产</w:t>
                  </w:r>
                  <w:r>
                    <w:rPr>
                      <w:rFonts w:hint="default" w:ascii="Times New Roman" w:hAnsi="Times New Roman" w:eastAsia="宋体" w:cs="Times New Roman"/>
                      <w:color w:val="auto"/>
                      <w:spacing w:val="3"/>
                      <w:position w:val="1"/>
                      <w:sz w:val="21"/>
                      <w:szCs w:val="21"/>
                      <w:highlight w:val="none"/>
                      <w:lang w:val="en-US" w:eastAsia="zh-CN"/>
                    </w:rPr>
                    <w:t>车间内分割</w:t>
                  </w:r>
                  <w:r>
                    <w:rPr>
                      <w:rFonts w:hint="eastAsia" w:ascii="Times New Roman" w:hAnsi="Times New Roman" w:eastAsia="宋体" w:cs="Times New Roman"/>
                      <w:color w:val="auto"/>
                      <w:spacing w:val="3"/>
                      <w:position w:val="1"/>
                      <w:sz w:val="21"/>
                      <w:szCs w:val="21"/>
                      <w:highlight w:val="none"/>
                      <w:lang w:val="en-US" w:eastAsia="zh-CN"/>
                    </w:rPr>
                    <w:t>1</w:t>
                  </w:r>
                  <w:r>
                    <w:rPr>
                      <w:rFonts w:hint="default" w:ascii="Times New Roman" w:hAnsi="Times New Roman" w:eastAsia="宋体" w:cs="Times New Roman"/>
                      <w:color w:val="auto"/>
                      <w:spacing w:val="3"/>
                      <w:position w:val="1"/>
                      <w:sz w:val="21"/>
                      <w:szCs w:val="21"/>
                      <w:highlight w:val="none"/>
                      <w:lang w:val="en-US" w:eastAsia="zh-CN"/>
                    </w:rPr>
                    <w:t>0</w:t>
                  </w:r>
                  <w:r>
                    <w:rPr>
                      <w:rFonts w:hint="default" w:ascii="Times New Roman" w:hAnsi="Times New Roman" w:eastAsia="宋体" w:cs="Times New Roman"/>
                      <w:color w:val="auto"/>
                      <w:spacing w:val="3"/>
                      <w:position w:val="1"/>
                      <w:sz w:val="21"/>
                      <w:szCs w:val="21"/>
                      <w:highlight w:val="none"/>
                    </w:rPr>
                    <w:t>m</w:t>
                  </w:r>
                  <w:r>
                    <w:rPr>
                      <w:rFonts w:hint="default" w:ascii="Times New Roman" w:hAnsi="Times New Roman" w:eastAsia="宋体" w:cs="Times New Roman"/>
                      <w:color w:val="auto"/>
                      <w:spacing w:val="3"/>
                      <w:position w:val="1"/>
                      <w:sz w:val="21"/>
                      <w:szCs w:val="21"/>
                      <w:highlight w:val="none"/>
                      <w:vertAlign w:val="superscript"/>
                    </w:rPr>
                    <w:t>2</w:t>
                  </w:r>
                  <w:r>
                    <w:rPr>
                      <w:rFonts w:hint="eastAsia" w:ascii="Times New Roman" w:hAnsi="Times New Roman" w:eastAsia="宋体" w:cs="Times New Roman"/>
                      <w:color w:val="auto"/>
                      <w:spacing w:val="3"/>
                      <w:position w:val="1"/>
                      <w:sz w:val="21"/>
                      <w:szCs w:val="21"/>
                      <w:highlight w:val="none"/>
                      <w:lang w:eastAsia="zh-CN"/>
                    </w:rPr>
                    <w:t>，</w:t>
                  </w:r>
                  <w:r>
                    <w:rPr>
                      <w:rFonts w:hint="default" w:ascii="Times New Roman" w:hAnsi="Times New Roman" w:eastAsia="宋体" w:cs="Times New Roman"/>
                      <w:color w:val="auto"/>
                      <w:spacing w:val="3"/>
                      <w:position w:val="1"/>
                      <w:sz w:val="21"/>
                      <w:szCs w:val="21"/>
                      <w:highlight w:val="none"/>
                    </w:rPr>
                    <w:t>对整个危险废物暂存间地面、事故收集池、围堰进行硬化。针对危险废物暂存间的地面在抗渗混凝土基础上，铺设2mm厚高密度聚乙烯材料，或至少2mm厚的其他人工材料，渗透系数≤10</w:t>
                  </w:r>
                  <w:r>
                    <w:rPr>
                      <w:rFonts w:hint="default" w:ascii="Times New Roman" w:hAnsi="Times New Roman" w:eastAsia="宋体" w:cs="Times New Roman"/>
                      <w:color w:val="auto"/>
                      <w:spacing w:val="3"/>
                      <w:position w:val="1"/>
                      <w:sz w:val="21"/>
                      <w:szCs w:val="21"/>
                      <w:highlight w:val="none"/>
                      <w:vertAlign w:val="superscript"/>
                    </w:rPr>
                    <w:t>-10</w:t>
                  </w:r>
                  <w:r>
                    <w:rPr>
                      <w:rFonts w:hint="default" w:ascii="Times New Roman" w:hAnsi="Times New Roman" w:eastAsia="宋体" w:cs="Times New Roman"/>
                      <w:color w:val="auto"/>
                      <w:spacing w:val="3"/>
                      <w:position w:val="1"/>
                      <w:sz w:val="21"/>
                      <w:szCs w:val="21"/>
                      <w:highlight w:val="none"/>
                    </w:rPr>
                    <w:t>cm/s</w:t>
                  </w:r>
                </w:p>
              </w:tc>
              <w:tc>
                <w:tcPr>
                  <w:tcW w:w="387" w:type="pct"/>
                  <w:vAlign w:val="center"/>
                </w:tcPr>
                <w:p w14:paraId="52AD457A">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r>
                    <w:rPr>
                      <w:rFonts w:hint="eastAsia" w:ascii="Times New Roman" w:hAnsi="Times New Roman" w:cs="Times New Roman"/>
                      <w:color w:val="auto"/>
                      <w:spacing w:val="3"/>
                      <w:position w:val="1"/>
                      <w:sz w:val="21"/>
                      <w:szCs w:val="21"/>
                      <w:highlight w:val="none"/>
                      <w:lang w:val="en-US" w:eastAsia="zh-CN"/>
                    </w:rPr>
                    <w:t>新建</w:t>
                  </w:r>
                </w:p>
              </w:tc>
            </w:tr>
            <w:tr w14:paraId="4CDC4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restart"/>
                  <w:vAlign w:val="center"/>
                </w:tcPr>
                <w:p w14:paraId="1E03C995">
                  <w:pPr>
                    <w:pStyle w:val="25"/>
                    <w:pageBreakBefore w:val="0"/>
                    <w:kinsoku/>
                    <w:wordWrap w:val="0"/>
                    <w:overflowPunct/>
                    <w:topLinePunct/>
                    <w:autoSpaceDE/>
                    <w:autoSpaceDN/>
                    <w:bidi w:val="0"/>
                    <w:spacing w:line="240" w:lineRule="auto"/>
                    <w:ind w:right="0"/>
                    <w:jc w:val="center"/>
                    <w:rPr>
                      <w:rFonts w:hint="default" w:ascii="Times New Roman" w:hAnsi="Times New Roman" w:eastAsia="宋体" w:cs="Times New Roman"/>
                      <w:color w:val="auto"/>
                      <w:spacing w:val="7"/>
                      <w:sz w:val="21"/>
                      <w:szCs w:val="21"/>
                      <w:highlight w:val="none"/>
                    </w:rPr>
                  </w:pPr>
                  <w:r>
                    <w:rPr>
                      <w:rFonts w:hint="default" w:ascii="Times New Roman" w:hAnsi="Times New Roman" w:eastAsia="宋体" w:cs="Times New Roman"/>
                      <w:color w:val="auto"/>
                      <w:spacing w:val="4"/>
                      <w:sz w:val="21"/>
                      <w:szCs w:val="21"/>
                      <w:highlight w:val="none"/>
                    </w:rPr>
                    <w:t>公用工</w:t>
                  </w:r>
                  <w:r>
                    <w:rPr>
                      <w:rFonts w:hint="default" w:ascii="Times New Roman" w:hAnsi="Times New Roman" w:eastAsia="宋体" w:cs="Times New Roman"/>
                      <w:color w:val="auto"/>
                      <w:spacing w:val="1"/>
                      <w:sz w:val="21"/>
                      <w:szCs w:val="21"/>
                      <w:highlight w:val="none"/>
                    </w:rPr>
                    <w:t>程</w:t>
                  </w:r>
                </w:p>
              </w:tc>
              <w:tc>
                <w:tcPr>
                  <w:tcW w:w="691" w:type="pct"/>
                  <w:shd w:val="clear" w:color="auto" w:fill="auto"/>
                  <w:vAlign w:val="center"/>
                </w:tcPr>
                <w:p w14:paraId="42048658">
                  <w:pPr>
                    <w:pStyle w:val="25"/>
                    <w:pageBreakBefore w:val="0"/>
                    <w:kinsoku/>
                    <w:wordWrap w:val="0"/>
                    <w:overflowPunct/>
                    <w:topLinePunct/>
                    <w:autoSpaceDE/>
                    <w:autoSpaceDN/>
                    <w:bidi w:val="0"/>
                    <w:spacing w:line="240" w:lineRule="auto"/>
                    <w:ind w:left="0" w:leftChars="0"/>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4"/>
                      <w:sz w:val="21"/>
                      <w:szCs w:val="21"/>
                      <w:highlight w:val="none"/>
                    </w:rPr>
                    <w:t>供水</w:t>
                  </w:r>
                </w:p>
              </w:tc>
              <w:tc>
                <w:tcPr>
                  <w:tcW w:w="3311" w:type="pct"/>
                  <w:shd w:val="clear" w:color="auto" w:fill="auto"/>
                  <w:vAlign w:val="center"/>
                </w:tcPr>
                <w:p w14:paraId="5B2AC961">
                  <w:pPr>
                    <w:pStyle w:val="25"/>
                    <w:pageBreakBefore w:val="0"/>
                    <w:kinsoku/>
                    <w:wordWrap w:val="0"/>
                    <w:overflowPunct/>
                    <w:topLinePunct/>
                    <w:autoSpaceDE/>
                    <w:autoSpaceDN/>
                    <w:bidi w:val="0"/>
                    <w:spacing w:before="91" w:line="228" w:lineRule="auto"/>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7"/>
                      <w:sz w:val="21"/>
                      <w:szCs w:val="21"/>
                      <w:highlight w:val="none"/>
                    </w:rPr>
                    <w:t>依托</w:t>
                  </w:r>
                  <w:r>
                    <w:rPr>
                      <w:rFonts w:hint="default" w:ascii="Times New Roman" w:hAnsi="Times New Roman" w:eastAsia="宋体" w:cs="Times New Roman"/>
                      <w:color w:val="auto"/>
                      <w:spacing w:val="6"/>
                      <w:sz w:val="21"/>
                      <w:szCs w:val="21"/>
                      <w:highlight w:val="none"/>
                      <w:lang w:val="en-US" w:eastAsia="zh-CN"/>
                    </w:rPr>
                    <w:t>新疆华房盛泰保温材料科技有限公司供水设施</w:t>
                  </w:r>
                </w:p>
              </w:tc>
              <w:tc>
                <w:tcPr>
                  <w:tcW w:w="387" w:type="pct"/>
                  <w:vAlign w:val="center"/>
                </w:tcPr>
                <w:p w14:paraId="1521C1B2">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r>
                    <w:rPr>
                      <w:rFonts w:hint="default" w:ascii="Times New Roman" w:hAnsi="Times New Roman" w:eastAsia="宋体" w:cs="Times New Roman"/>
                      <w:color w:val="auto"/>
                      <w:spacing w:val="7"/>
                      <w:sz w:val="21"/>
                      <w:szCs w:val="21"/>
                      <w:highlight w:val="none"/>
                    </w:rPr>
                    <w:t>依托</w:t>
                  </w:r>
                </w:p>
              </w:tc>
            </w:tr>
            <w:tr w14:paraId="5825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continue"/>
                  <w:vAlign w:val="center"/>
                </w:tcPr>
                <w:p w14:paraId="430E4388">
                  <w:pPr>
                    <w:pStyle w:val="25"/>
                    <w:pageBreakBefore w:val="0"/>
                    <w:kinsoku/>
                    <w:wordWrap w:val="0"/>
                    <w:overflowPunct/>
                    <w:topLinePunct/>
                    <w:autoSpaceDE/>
                    <w:autoSpaceDN/>
                    <w:bidi w:val="0"/>
                    <w:spacing w:line="240" w:lineRule="auto"/>
                    <w:ind w:right="0"/>
                    <w:jc w:val="center"/>
                    <w:rPr>
                      <w:rFonts w:hint="default" w:ascii="Times New Roman" w:hAnsi="Times New Roman" w:eastAsia="宋体" w:cs="Times New Roman"/>
                      <w:color w:val="auto"/>
                      <w:spacing w:val="7"/>
                      <w:sz w:val="21"/>
                      <w:szCs w:val="21"/>
                      <w:highlight w:val="none"/>
                    </w:rPr>
                  </w:pPr>
                </w:p>
              </w:tc>
              <w:tc>
                <w:tcPr>
                  <w:tcW w:w="691" w:type="pct"/>
                  <w:shd w:val="clear" w:color="auto" w:fill="auto"/>
                  <w:vAlign w:val="center"/>
                </w:tcPr>
                <w:p w14:paraId="057BA746">
                  <w:pPr>
                    <w:pStyle w:val="25"/>
                    <w:pageBreakBefore w:val="0"/>
                    <w:kinsoku/>
                    <w:wordWrap w:val="0"/>
                    <w:overflowPunct/>
                    <w:topLinePunct/>
                    <w:autoSpaceDE/>
                    <w:autoSpaceDN/>
                    <w:bidi w:val="0"/>
                    <w:spacing w:line="240" w:lineRule="auto"/>
                    <w:ind w:left="0" w:leftChars="0"/>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4"/>
                      <w:sz w:val="21"/>
                      <w:szCs w:val="21"/>
                      <w:highlight w:val="none"/>
                    </w:rPr>
                    <w:t>排水</w:t>
                  </w:r>
                </w:p>
              </w:tc>
              <w:tc>
                <w:tcPr>
                  <w:tcW w:w="3311" w:type="pct"/>
                  <w:shd w:val="clear" w:color="auto" w:fill="auto"/>
                  <w:vAlign w:val="center"/>
                </w:tcPr>
                <w:p w14:paraId="5E9CEFF9">
                  <w:pPr>
                    <w:pStyle w:val="25"/>
                    <w:pageBreakBefore w:val="0"/>
                    <w:kinsoku/>
                    <w:wordWrap w:val="0"/>
                    <w:overflowPunct/>
                    <w:topLinePunct/>
                    <w:autoSpaceDE/>
                    <w:autoSpaceDN/>
                    <w:bidi w:val="0"/>
                    <w:spacing w:before="26" w:line="228" w:lineRule="auto"/>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eastAsia" w:ascii="Times New Roman" w:hAnsi="Times New Roman" w:cs="Times New Roman"/>
                      <w:snapToGrid w:val="0"/>
                      <w:color w:val="auto"/>
                      <w:spacing w:val="8"/>
                      <w:kern w:val="0"/>
                      <w:sz w:val="21"/>
                      <w:szCs w:val="21"/>
                      <w:highlight w:val="none"/>
                      <w:lang w:val="en-US" w:eastAsia="zh-CN" w:bidi="ar-SA"/>
                    </w:rPr>
                    <w:t>生活污水排入市政污水管网，最终进入玛纳斯工业园区塔河产业园污水处理厂处理</w:t>
                  </w:r>
                </w:p>
              </w:tc>
              <w:tc>
                <w:tcPr>
                  <w:tcW w:w="387" w:type="pct"/>
                  <w:vAlign w:val="center"/>
                </w:tcPr>
                <w:p w14:paraId="228C0BBB">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r>
                    <w:rPr>
                      <w:rFonts w:hint="default" w:ascii="Times New Roman" w:hAnsi="Times New Roman" w:eastAsia="宋体" w:cs="Times New Roman"/>
                      <w:color w:val="auto"/>
                      <w:spacing w:val="7"/>
                      <w:sz w:val="21"/>
                      <w:szCs w:val="21"/>
                      <w:highlight w:val="none"/>
                    </w:rPr>
                    <w:t>依托</w:t>
                  </w:r>
                </w:p>
              </w:tc>
            </w:tr>
            <w:tr w14:paraId="6782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 w:hRule="atLeast"/>
                <w:jc w:val="center"/>
              </w:trPr>
              <w:tc>
                <w:tcPr>
                  <w:tcW w:w="610" w:type="pct"/>
                  <w:vMerge w:val="continue"/>
                  <w:vAlign w:val="center"/>
                </w:tcPr>
                <w:p w14:paraId="398874CB">
                  <w:pPr>
                    <w:pStyle w:val="25"/>
                    <w:pageBreakBefore w:val="0"/>
                    <w:kinsoku/>
                    <w:wordWrap w:val="0"/>
                    <w:overflowPunct/>
                    <w:topLinePunct/>
                    <w:autoSpaceDE/>
                    <w:autoSpaceDN/>
                    <w:bidi w:val="0"/>
                    <w:spacing w:line="240" w:lineRule="auto"/>
                    <w:ind w:right="0"/>
                    <w:jc w:val="center"/>
                    <w:rPr>
                      <w:rFonts w:hint="default" w:ascii="Times New Roman" w:hAnsi="Times New Roman" w:eastAsia="宋体" w:cs="Times New Roman"/>
                      <w:color w:val="auto"/>
                      <w:spacing w:val="7"/>
                      <w:sz w:val="21"/>
                      <w:szCs w:val="21"/>
                      <w:highlight w:val="none"/>
                    </w:rPr>
                  </w:pPr>
                </w:p>
              </w:tc>
              <w:tc>
                <w:tcPr>
                  <w:tcW w:w="691" w:type="pct"/>
                  <w:shd w:val="clear" w:color="auto" w:fill="auto"/>
                  <w:vAlign w:val="center"/>
                </w:tcPr>
                <w:p w14:paraId="1DEFF727">
                  <w:pPr>
                    <w:pStyle w:val="25"/>
                    <w:pageBreakBefore w:val="0"/>
                    <w:kinsoku/>
                    <w:wordWrap w:val="0"/>
                    <w:overflowPunct/>
                    <w:topLinePunct/>
                    <w:autoSpaceDE/>
                    <w:autoSpaceDN/>
                    <w:bidi w:val="0"/>
                    <w:spacing w:line="240" w:lineRule="auto"/>
                    <w:ind w:left="0" w:leftChars="0"/>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4"/>
                      <w:sz w:val="21"/>
                      <w:szCs w:val="21"/>
                      <w:highlight w:val="none"/>
                    </w:rPr>
                    <w:t>供电</w:t>
                  </w:r>
                </w:p>
              </w:tc>
              <w:tc>
                <w:tcPr>
                  <w:tcW w:w="3311" w:type="pct"/>
                  <w:shd w:val="clear" w:color="auto" w:fill="auto"/>
                  <w:vAlign w:val="center"/>
                </w:tcPr>
                <w:p w14:paraId="42D0DEC8">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7"/>
                      <w:sz w:val="21"/>
                      <w:szCs w:val="21"/>
                      <w:highlight w:val="none"/>
                    </w:rPr>
                    <w:t>依托</w:t>
                  </w:r>
                  <w:r>
                    <w:rPr>
                      <w:rFonts w:hint="default" w:ascii="Times New Roman" w:hAnsi="Times New Roman" w:eastAsia="宋体" w:cs="Times New Roman"/>
                      <w:color w:val="auto"/>
                      <w:spacing w:val="6"/>
                      <w:sz w:val="21"/>
                      <w:szCs w:val="21"/>
                      <w:highlight w:val="none"/>
                      <w:lang w:val="en-US" w:eastAsia="zh-CN"/>
                    </w:rPr>
                    <w:t>新疆华房盛泰保温材料科技有限公司供电设施</w:t>
                  </w:r>
                </w:p>
              </w:tc>
              <w:tc>
                <w:tcPr>
                  <w:tcW w:w="387" w:type="pct"/>
                  <w:shd w:val="clear" w:color="auto" w:fill="auto"/>
                  <w:vAlign w:val="center"/>
                </w:tcPr>
                <w:p w14:paraId="07231130">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snapToGrid w:val="0"/>
                      <w:color w:val="auto"/>
                      <w:spacing w:val="3"/>
                      <w:kern w:val="0"/>
                      <w:position w:val="1"/>
                      <w:sz w:val="21"/>
                      <w:szCs w:val="21"/>
                      <w:highlight w:val="none"/>
                      <w:lang w:val="en-US" w:eastAsia="zh-CN" w:bidi="ar-SA"/>
                    </w:rPr>
                  </w:pPr>
                  <w:r>
                    <w:rPr>
                      <w:rFonts w:hint="default" w:ascii="Times New Roman" w:hAnsi="Times New Roman" w:eastAsia="宋体" w:cs="Times New Roman"/>
                      <w:color w:val="auto"/>
                      <w:spacing w:val="7"/>
                      <w:sz w:val="21"/>
                      <w:szCs w:val="21"/>
                      <w:highlight w:val="none"/>
                    </w:rPr>
                    <w:t>依托</w:t>
                  </w:r>
                </w:p>
              </w:tc>
            </w:tr>
            <w:tr w14:paraId="3598F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continue"/>
                  <w:vAlign w:val="center"/>
                </w:tcPr>
                <w:p w14:paraId="02BA65AC">
                  <w:pPr>
                    <w:pStyle w:val="25"/>
                    <w:pageBreakBefore w:val="0"/>
                    <w:kinsoku/>
                    <w:wordWrap w:val="0"/>
                    <w:overflowPunct/>
                    <w:topLinePunct/>
                    <w:autoSpaceDE/>
                    <w:autoSpaceDN/>
                    <w:bidi w:val="0"/>
                    <w:spacing w:line="240" w:lineRule="auto"/>
                    <w:ind w:right="0"/>
                    <w:jc w:val="center"/>
                    <w:rPr>
                      <w:rFonts w:hint="default" w:ascii="Times New Roman" w:hAnsi="Times New Roman" w:eastAsia="宋体" w:cs="Times New Roman"/>
                      <w:color w:val="auto"/>
                      <w:spacing w:val="7"/>
                      <w:sz w:val="21"/>
                      <w:szCs w:val="21"/>
                      <w:highlight w:val="none"/>
                    </w:rPr>
                  </w:pPr>
                </w:p>
              </w:tc>
              <w:tc>
                <w:tcPr>
                  <w:tcW w:w="691" w:type="pct"/>
                  <w:shd w:val="clear" w:color="auto" w:fill="auto"/>
                  <w:vAlign w:val="center"/>
                </w:tcPr>
                <w:p w14:paraId="258E1177">
                  <w:pPr>
                    <w:pStyle w:val="25"/>
                    <w:pageBreakBefore w:val="0"/>
                    <w:kinsoku/>
                    <w:wordWrap w:val="0"/>
                    <w:overflowPunct/>
                    <w:topLinePunct/>
                    <w:autoSpaceDE/>
                    <w:autoSpaceDN/>
                    <w:bidi w:val="0"/>
                    <w:spacing w:line="240" w:lineRule="auto"/>
                    <w:ind w:left="0" w:leftChars="0" w:right="0"/>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4"/>
                      <w:sz w:val="21"/>
                      <w:szCs w:val="21"/>
                      <w:highlight w:val="none"/>
                    </w:rPr>
                    <w:t>供热</w:t>
                  </w:r>
                </w:p>
              </w:tc>
              <w:tc>
                <w:tcPr>
                  <w:tcW w:w="3311" w:type="pct"/>
                  <w:shd w:val="clear" w:color="auto" w:fill="auto"/>
                  <w:vAlign w:val="center"/>
                </w:tcPr>
                <w:p w14:paraId="59D64597">
                  <w:pPr>
                    <w:pStyle w:val="25"/>
                    <w:pageBreakBefore w:val="0"/>
                    <w:kinsoku/>
                    <w:wordWrap w:val="0"/>
                    <w:overflowPunct/>
                    <w:topLinePunct/>
                    <w:autoSpaceDE/>
                    <w:autoSpaceDN/>
                    <w:bidi w:val="0"/>
                    <w:spacing w:line="240" w:lineRule="auto"/>
                    <w:ind w:right="0" w:rightChars="0"/>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5"/>
                      <w:position w:val="1"/>
                      <w:sz w:val="21"/>
                      <w:szCs w:val="21"/>
                      <w:highlight w:val="none"/>
                    </w:rPr>
                    <w:t>冬季不生产。</w:t>
                  </w:r>
                </w:p>
              </w:tc>
              <w:tc>
                <w:tcPr>
                  <w:tcW w:w="387" w:type="pct"/>
                  <w:shd w:val="clear" w:color="auto" w:fill="auto"/>
                  <w:vAlign w:val="center"/>
                </w:tcPr>
                <w:p w14:paraId="38E6104C">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snapToGrid w:val="0"/>
                      <w:color w:val="auto"/>
                      <w:spacing w:val="3"/>
                      <w:kern w:val="0"/>
                      <w:position w:val="1"/>
                      <w:sz w:val="21"/>
                      <w:szCs w:val="21"/>
                      <w:highlight w:val="none"/>
                      <w:lang w:val="en-US" w:eastAsia="zh-CN" w:bidi="ar-SA"/>
                    </w:rPr>
                  </w:pPr>
                  <w:r>
                    <w:rPr>
                      <w:rFonts w:hint="default" w:ascii="Times New Roman" w:hAnsi="Times New Roman" w:eastAsia="宋体" w:cs="Times New Roman"/>
                      <w:color w:val="auto"/>
                      <w:spacing w:val="7"/>
                      <w:sz w:val="21"/>
                      <w:szCs w:val="21"/>
                      <w:highlight w:val="none"/>
                    </w:rPr>
                    <w:t>依托</w:t>
                  </w:r>
                </w:p>
              </w:tc>
            </w:tr>
            <w:tr w14:paraId="2B286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restart"/>
                  <w:vAlign w:val="center"/>
                </w:tcPr>
                <w:p w14:paraId="2B0F8AF4">
                  <w:pPr>
                    <w:pStyle w:val="25"/>
                    <w:pageBreakBefore w:val="0"/>
                    <w:kinsoku/>
                    <w:wordWrap w:val="0"/>
                    <w:overflowPunct/>
                    <w:topLinePunct/>
                    <w:autoSpaceDE/>
                    <w:autoSpaceDN/>
                    <w:bidi w:val="0"/>
                    <w:spacing w:line="240" w:lineRule="auto"/>
                    <w:ind w:right="0"/>
                    <w:jc w:val="center"/>
                    <w:rPr>
                      <w:rFonts w:hint="default" w:ascii="Times New Roman" w:hAnsi="Times New Roman" w:eastAsia="宋体" w:cs="Times New Roman"/>
                      <w:color w:val="auto"/>
                      <w:spacing w:val="7"/>
                      <w:sz w:val="21"/>
                      <w:szCs w:val="21"/>
                      <w:highlight w:val="none"/>
                    </w:rPr>
                  </w:pPr>
                  <w:r>
                    <w:rPr>
                      <w:rFonts w:hint="default" w:ascii="Times New Roman" w:hAnsi="Times New Roman" w:eastAsia="宋体" w:cs="Times New Roman"/>
                      <w:color w:val="auto"/>
                      <w:spacing w:val="6"/>
                      <w:sz w:val="21"/>
                      <w:szCs w:val="21"/>
                      <w:highlight w:val="none"/>
                    </w:rPr>
                    <w:t>环保工</w:t>
                  </w:r>
                  <w:r>
                    <w:rPr>
                      <w:rFonts w:hint="default" w:ascii="Times New Roman" w:hAnsi="Times New Roman" w:eastAsia="宋体" w:cs="Times New Roman"/>
                      <w:color w:val="auto"/>
                      <w:spacing w:val="1"/>
                      <w:sz w:val="21"/>
                      <w:szCs w:val="21"/>
                      <w:highlight w:val="none"/>
                    </w:rPr>
                    <w:t>程</w:t>
                  </w:r>
                </w:p>
              </w:tc>
              <w:tc>
                <w:tcPr>
                  <w:tcW w:w="691" w:type="pct"/>
                  <w:shd w:val="clear" w:color="auto" w:fill="auto"/>
                  <w:vAlign w:val="center"/>
                </w:tcPr>
                <w:p w14:paraId="50C83871">
                  <w:pPr>
                    <w:pStyle w:val="25"/>
                    <w:pageBreakBefore w:val="0"/>
                    <w:kinsoku/>
                    <w:wordWrap w:val="0"/>
                    <w:overflowPunct/>
                    <w:topLinePunct/>
                    <w:autoSpaceDE/>
                    <w:autoSpaceDN/>
                    <w:bidi w:val="0"/>
                    <w:spacing w:line="240" w:lineRule="auto"/>
                    <w:ind w:left="0" w:leftChars="0"/>
                    <w:jc w:val="center"/>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5"/>
                      <w:sz w:val="21"/>
                      <w:szCs w:val="21"/>
                      <w:highlight w:val="none"/>
                    </w:rPr>
                    <w:t>废气</w:t>
                  </w:r>
                </w:p>
              </w:tc>
              <w:tc>
                <w:tcPr>
                  <w:tcW w:w="3311" w:type="pct"/>
                  <w:shd w:val="clear" w:color="auto" w:fill="auto"/>
                  <w:vAlign w:val="center"/>
                </w:tcPr>
                <w:p w14:paraId="594A68DF">
                  <w:pPr>
                    <w:keepNext w:val="0"/>
                    <w:keepLines w:val="0"/>
                    <w:pageBreakBefore w:val="0"/>
                    <w:suppressLineNumbers w:val="0"/>
                    <w:tabs>
                      <w:tab w:val="left" w:pos="2031"/>
                    </w:tabs>
                    <w:kinsoku/>
                    <w:wordWrap w:val="0"/>
                    <w:overflowPunct/>
                    <w:topLinePunct/>
                    <w:autoSpaceDE/>
                    <w:autoSpaceDN/>
                    <w:bidi w:val="0"/>
                    <w:spacing w:before="0" w:beforeAutospacing="0" w:after="0" w:afterAutospacing="0" w:line="240" w:lineRule="auto"/>
                    <w:ind w:right="0" w:rightChars="0"/>
                    <w:rPr>
                      <w:rFonts w:hint="default" w:ascii="Times New Roman" w:hAnsi="Times New Roman" w:eastAsia="宋体" w:cs="Times New Roman"/>
                      <w:snapToGrid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原料装卸，搅拌粉尘收集后，经布袋除尘器处理后通过一根15m高排气筒排放</w:t>
                  </w:r>
                </w:p>
              </w:tc>
              <w:tc>
                <w:tcPr>
                  <w:tcW w:w="387" w:type="pct"/>
                  <w:vAlign w:val="center"/>
                </w:tcPr>
                <w:p w14:paraId="782C6F59">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r>
                    <w:rPr>
                      <w:rFonts w:hint="default" w:ascii="Times New Roman" w:hAnsi="Times New Roman" w:eastAsia="宋体" w:cs="Times New Roman"/>
                      <w:color w:val="auto"/>
                      <w:spacing w:val="3"/>
                      <w:position w:val="1"/>
                      <w:sz w:val="21"/>
                      <w:szCs w:val="21"/>
                      <w:highlight w:val="none"/>
                      <w:lang w:val="en-US" w:eastAsia="zh-CN"/>
                    </w:rPr>
                    <w:t>新建</w:t>
                  </w:r>
                </w:p>
              </w:tc>
            </w:tr>
            <w:tr w14:paraId="652DD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continue"/>
                </w:tcPr>
                <w:p w14:paraId="5FB96A45">
                  <w:pPr>
                    <w:pStyle w:val="25"/>
                    <w:pageBreakBefore w:val="0"/>
                    <w:kinsoku/>
                    <w:wordWrap w:val="0"/>
                    <w:overflowPunct/>
                    <w:topLinePunct/>
                    <w:autoSpaceDE/>
                    <w:autoSpaceDN/>
                    <w:bidi w:val="0"/>
                    <w:spacing w:line="240" w:lineRule="auto"/>
                    <w:ind w:right="0"/>
                    <w:jc w:val="center"/>
                    <w:rPr>
                      <w:rFonts w:hint="default" w:ascii="Times New Roman" w:hAnsi="Times New Roman" w:eastAsia="宋体" w:cs="Times New Roman"/>
                      <w:color w:val="auto"/>
                      <w:spacing w:val="7"/>
                      <w:sz w:val="21"/>
                      <w:szCs w:val="21"/>
                      <w:highlight w:val="none"/>
                    </w:rPr>
                  </w:pPr>
                </w:p>
              </w:tc>
              <w:tc>
                <w:tcPr>
                  <w:tcW w:w="691" w:type="pct"/>
                  <w:vAlign w:val="center"/>
                </w:tcPr>
                <w:p w14:paraId="0CC23F69">
                  <w:pPr>
                    <w:pStyle w:val="25"/>
                    <w:pageBreakBefore w:val="0"/>
                    <w:kinsoku/>
                    <w:wordWrap w:val="0"/>
                    <w:overflowPunct/>
                    <w:topLinePunct/>
                    <w:autoSpaceDE/>
                    <w:autoSpaceDN/>
                    <w:bidi w:val="0"/>
                    <w:spacing w:line="240" w:lineRule="auto"/>
                    <w:ind w:left="0" w:leftChars="0"/>
                    <w:jc w:val="center"/>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spacing w:val="4"/>
                      <w:sz w:val="21"/>
                      <w:szCs w:val="21"/>
                      <w:highlight w:val="none"/>
                      <w:lang w:val="en-US" w:eastAsia="zh-CN"/>
                    </w:rPr>
                    <w:t>废水</w:t>
                  </w:r>
                </w:p>
              </w:tc>
              <w:tc>
                <w:tcPr>
                  <w:tcW w:w="3311" w:type="pct"/>
                  <w:shd w:val="clear" w:color="auto" w:fill="auto"/>
                  <w:vAlign w:val="center"/>
                </w:tcPr>
                <w:p w14:paraId="089FA61C">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本项目无生产废水，</w:t>
                  </w:r>
                  <w:r>
                    <w:rPr>
                      <w:rFonts w:hint="eastAsia" w:ascii="Times New Roman" w:hAnsi="Times New Roman" w:cs="Times New Roman"/>
                      <w:snapToGrid w:val="0"/>
                      <w:color w:val="auto"/>
                      <w:spacing w:val="8"/>
                      <w:kern w:val="0"/>
                      <w:sz w:val="21"/>
                      <w:szCs w:val="21"/>
                      <w:highlight w:val="none"/>
                      <w:lang w:val="en-US" w:eastAsia="zh-CN" w:bidi="ar-SA"/>
                    </w:rPr>
                    <w:t>生活污水排入市政污水管网，最终进入玛纳斯工业园区塔河产业园污水处理厂处理</w:t>
                  </w:r>
                </w:p>
              </w:tc>
              <w:tc>
                <w:tcPr>
                  <w:tcW w:w="387" w:type="pct"/>
                  <w:vAlign w:val="center"/>
                </w:tcPr>
                <w:p w14:paraId="10F5899D">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3"/>
                      <w:position w:val="1"/>
                      <w:sz w:val="21"/>
                      <w:szCs w:val="21"/>
                      <w:highlight w:val="none"/>
                      <w:lang w:val="en-US" w:eastAsia="zh-CN"/>
                    </w:rPr>
                  </w:pPr>
                  <w:r>
                    <w:rPr>
                      <w:rFonts w:hint="default" w:ascii="Times New Roman" w:hAnsi="Times New Roman" w:eastAsia="宋体" w:cs="Times New Roman"/>
                      <w:color w:val="auto"/>
                      <w:spacing w:val="7"/>
                      <w:sz w:val="21"/>
                      <w:szCs w:val="21"/>
                      <w:highlight w:val="none"/>
                    </w:rPr>
                    <w:t>依托</w:t>
                  </w:r>
                </w:p>
              </w:tc>
            </w:tr>
            <w:tr w14:paraId="6134A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continue"/>
                  <w:shd w:val="clear" w:color="auto" w:fill="auto"/>
                  <w:vAlign w:val="center"/>
                </w:tcPr>
                <w:p w14:paraId="11930C63">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p>
              </w:tc>
              <w:tc>
                <w:tcPr>
                  <w:tcW w:w="691" w:type="pct"/>
                  <w:vMerge w:val="restart"/>
                  <w:shd w:val="clear" w:color="auto" w:fill="auto"/>
                  <w:vAlign w:val="center"/>
                </w:tcPr>
                <w:p w14:paraId="4E930C9E">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固体废物</w:t>
                  </w:r>
                </w:p>
              </w:tc>
              <w:tc>
                <w:tcPr>
                  <w:tcW w:w="3311" w:type="pct"/>
                  <w:shd w:val="clear" w:color="auto" w:fill="auto"/>
                  <w:vAlign w:val="center"/>
                </w:tcPr>
                <w:p w14:paraId="2F697AEF">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布袋除尘器收集粉尘回用于生产，废包装袋外售，废塑料桶由厂家回收，废机油暂存于</w:t>
                  </w:r>
                  <w:r>
                    <w:rPr>
                      <w:rFonts w:hint="eastAsia" w:ascii="Times New Roman" w:hAnsi="Times New Roman" w:eastAsia="宋体" w:cs="Times New Roman"/>
                      <w:snapToGrid/>
                      <w:color w:val="auto"/>
                      <w:kern w:val="2"/>
                      <w:sz w:val="21"/>
                      <w:szCs w:val="21"/>
                      <w:highlight w:val="none"/>
                      <w:lang w:val="en-US" w:eastAsia="zh-CN" w:bidi="ar-SA"/>
                    </w:rPr>
                    <w:t>危险废物贮存点</w:t>
                  </w:r>
                  <w:r>
                    <w:rPr>
                      <w:rFonts w:hint="default" w:ascii="Times New Roman" w:hAnsi="Times New Roman" w:eastAsia="宋体" w:cs="Times New Roman"/>
                      <w:snapToGrid/>
                      <w:color w:val="auto"/>
                      <w:kern w:val="2"/>
                      <w:sz w:val="21"/>
                      <w:szCs w:val="21"/>
                      <w:highlight w:val="none"/>
                      <w:lang w:val="en-US" w:eastAsia="zh-CN" w:bidi="ar-SA"/>
                    </w:rPr>
                    <w:t>（10m</w:t>
                  </w:r>
                  <w:r>
                    <w:rPr>
                      <w:rFonts w:hint="default" w:ascii="Times New Roman" w:hAnsi="Times New Roman" w:eastAsia="宋体" w:cs="Times New Roman"/>
                      <w:snapToGrid/>
                      <w:color w:val="auto"/>
                      <w:kern w:val="2"/>
                      <w:sz w:val="21"/>
                      <w:szCs w:val="21"/>
                      <w:highlight w:val="none"/>
                      <w:vertAlign w:val="superscript"/>
                      <w:lang w:val="en-US" w:eastAsia="zh-CN" w:bidi="ar-SA"/>
                    </w:rPr>
                    <w:t>2</w:t>
                  </w:r>
                  <w:r>
                    <w:rPr>
                      <w:rFonts w:hint="default" w:ascii="Times New Roman" w:hAnsi="Times New Roman" w:eastAsia="宋体" w:cs="Times New Roman"/>
                      <w:snapToGrid/>
                      <w:color w:val="auto"/>
                      <w:kern w:val="2"/>
                      <w:sz w:val="21"/>
                      <w:szCs w:val="21"/>
                      <w:highlight w:val="none"/>
                      <w:lang w:val="en-US" w:eastAsia="zh-CN" w:bidi="ar-SA"/>
                    </w:rPr>
                    <w:t>），定期交由有危废处置资质单位处理；</w:t>
                  </w:r>
                </w:p>
              </w:tc>
              <w:tc>
                <w:tcPr>
                  <w:tcW w:w="387" w:type="pct"/>
                  <w:shd w:val="clear" w:color="auto" w:fill="auto"/>
                  <w:vAlign w:val="center"/>
                </w:tcPr>
                <w:p w14:paraId="68CE940E">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新建</w:t>
                  </w:r>
                </w:p>
              </w:tc>
            </w:tr>
            <w:tr w14:paraId="4D647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continue"/>
                  <w:shd w:val="clear" w:color="auto" w:fill="auto"/>
                  <w:vAlign w:val="center"/>
                </w:tcPr>
                <w:p w14:paraId="476B9E88">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p>
              </w:tc>
              <w:tc>
                <w:tcPr>
                  <w:tcW w:w="691" w:type="pct"/>
                  <w:vMerge w:val="continue"/>
                  <w:shd w:val="clear" w:color="auto" w:fill="auto"/>
                  <w:vAlign w:val="center"/>
                </w:tcPr>
                <w:p w14:paraId="44C86D87">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p>
              </w:tc>
              <w:tc>
                <w:tcPr>
                  <w:tcW w:w="3311" w:type="pct"/>
                  <w:shd w:val="clear" w:color="auto" w:fill="auto"/>
                  <w:vAlign w:val="center"/>
                </w:tcPr>
                <w:p w14:paraId="49DB4AB5">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zh-CN"/>
                    </w:rPr>
                    <w:t>生活垃圾</w:t>
                  </w:r>
                  <w:r>
                    <w:rPr>
                      <w:rFonts w:hint="default" w:ascii="Times New Roman" w:hAnsi="Times New Roman" w:eastAsia="宋体" w:cs="Times New Roman"/>
                      <w:color w:val="auto"/>
                      <w:sz w:val="21"/>
                      <w:szCs w:val="21"/>
                      <w:highlight w:val="none"/>
                      <w:lang w:val="en-US" w:eastAsia="zh-CN"/>
                    </w:rPr>
                    <w:t>由厂区现有垃圾箱收集后交由</w:t>
                  </w:r>
                  <w:r>
                    <w:rPr>
                      <w:rFonts w:hint="default" w:ascii="Times New Roman" w:hAnsi="Times New Roman" w:eastAsia="宋体" w:cs="Times New Roman"/>
                      <w:color w:val="auto"/>
                      <w:sz w:val="21"/>
                      <w:szCs w:val="21"/>
                      <w:highlight w:val="none"/>
                      <w:lang w:val="zh-CN"/>
                    </w:rPr>
                    <w:t>环卫部门统一处。</w:t>
                  </w:r>
                </w:p>
              </w:tc>
              <w:tc>
                <w:tcPr>
                  <w:tcW w:w="387" w:type="pct"/>
                </w:tcPr>
                <w:p w14:paraId="105E22BC">
                  <w:pPr>
                    <w:pStyle w:val="25"/>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7"/>
                      <w:sz w:val="21"/>
                      <w:szCs w:val="21"/>
                      <w:highlight w:val="none"/>
                    </w:rPr>
                  </w:pPr>
                  <w:r>
                    <w:rPr>
                      <w:rFonts w:hint="default" w:ascii="Times New Roman" w:hAnsi="Times New Roman" w:eastAsia="宋体" w:cs="Times New Roman"/>
                      <w:color w:val="auto"/>
                      <w:sz w:val="21"/>
                      <w:szCs w:val="21"/>
                      <w:highlight w:val="none"/>
                      <w:lang w:val="en-US" w:eastAsia="zh-CN"/>
                    </w:rPr>
                    <w:t>新建</w:t>
                  </w:r>
                </w:p>
              </w:tc>
            </w:tr>
            <w:tr w14:paraId="4B5F6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continue"/>
                  <w:shd w:val="clear" w:color="auto" w:fill="auto"/>
                  <w:vAlign w:val="center"/>
                </w:tcPr>
                <w:p w14:paraId="0C54BC13">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p>
              </w:tc>
              <w:tc>
                <w:tcPr>
                  <w:tcW w:w="691" w:type="pct"/>
                  <w:shd w:val="clear" w:color="auto" w:fill="auto"/>
                  <w:vAlign w:val="center"/>
                </w:tcPr>
                <w:p w14:paraId="60001140">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噪声治理</w:t>
                  </w:r>
                </w:p>
              </w:tc>
              <w:tc>
                <w:tcPr>
                  <w:tcW w:w="3311" w:type="pct"/>
                  <w:shd w:val="clear" w:color="auto" w:fill="auto"/>
                  <w:vAlign w:val="center"/>
                </w:tcPr>
                <w:p w14:paraId="238DCE2B">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车间采用隔声材料，配置隔声、消声、减振装置；合理安排运输车辆路线和时间等，厂区内减速、禁鸣。</w:t>
                  </w:r>
                </w:p>
              </w:tc>
              <w:tc>
                <w:tcPr>
                  <w:tcW w:w="387" w:type="pct"/>
                  <w:shd w:val="clear" w:color="auto" w:fill="auto"/>
                  <w:vAlign w:val="center"/>
                </w:tcPr>
                <w:p w14:paraId="017D1FD7">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新建</w:t>
                  </w:r>
                </w:p>
              </w:tc>
            </w:tr>
            <w:tr w14:paraId="4CA2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 w:hRule="atLeast"/>
                <w:jc w:val="center"/>
              </w:trPr>
              <w:tc>
                <w:tcPr>
                  <w:tcW w:w="610" w:type="pct"/>
                  <w:vMerge w:val="continue"/>
                  <w:shd w:val="clear" w:color="auto" w:fill="auto"/>
                  <w:vAlign w:val="center"/>
                </w:tcPr>
                <w:p w14:paraId="74314A21">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snapToGrid w:val="0"/>
                      <w:color w:val="auto"/>
                      <w:kern w:val="0"/>
                      <w:sz w:val="21"/>
                      <w:szCs w:val="21"/>
                      <w:highlight w:val="none"/>
                      <w:lang w:val="en-US" w:eastAsia="zh-CN" w:bidi="ar-SA"/>
                    </w:rPr>
                  </w:pPr>
                </w:p>
              </w:tc>
              <w:tc>
                <w:tcPr>
                  <w:tcW w:w="691" w:type="pct"/>
                  <w:shd w:val="clear" w:color="auto" w:fill="auto"/>
                  <w:vAlign w:val="center"/>
                </w:tcPr>
                <w:p w14:paraId="117F2C2A">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7"/>
                      <w:sz w:val="21"/>
                      <w:szCs w:val="21"/>
                      <w:highlight w:val="none"/>
                    </w:rPr>
                    <w:t>环境风险</w:t>
                  </w:r>
                </w:p>
              </w:tc>
              <w:tc>
                <w:tcPr>
                  <w:tcW w:w="3311" w:type="pct"/>
                  <w:shd w:val="clear" w:color="auto" w:fill="auto"/>
                  <w:vAlign w:val="center"/>
                </w:tcPr>
                <w:p w14:paraId="40BA27AC">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snapToGrid/>
                      <w:color w:val="auto"/>
                      <w:kern w:val="2"/>
                      <w:sz w:val="21"/>
                      <w:szCs w:val="21"/>
                      <w:highlight w:val="none"/>
                      <w:lang w:val="en-US" w:eastAsia="zh-CN" w:bidi="ar-SA"/>
                    </w:rPr>
                    <w:t>加强日常监管和设备检修，危废间加强管理，防止泄漏</w:t>
                  </w:r>
                </w:p>
              </w:tc>
              <w:tc>
                <w:tcPr>
                  <w:tcW w:w="387" w:type="pct"/>
                  <w:shd w:val="clear" w:color="auto" w:fill="auto"/>
                  <w:vAlign w:val="center"/>
                </w:tcPr>
                <w:p w14:paraId="52336850">
                  <w:pPr>
                    <w:pStyle w:val="37"/>
                    <w:keepNext w:val="0"/>
                    <w:keepLines w:val="0"/>
                    <w:pageBreakBefore w:val="0"/>
                    <w:suppressLineNumbers w:val="0"/>
                    <w:kinsoku/>
                    <w:wordWrap w:val="0"/>
                    <w:overflowPunct/>
                    <w:topLinePunct/>
                    <w:autoSpaceDE/>
                    <w:autoSpaceDN/>
                    <w:bidi w:val="0"/>
                    <w:spacing w:before="0" w:beforeAutospacing="0" w:after="0" w:afterAutospacing="0"/>
                    <w:ind w:left="0" w:leftChars="0" w:right="0" w:right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新建</w:t>
                  </w:r>
                </w:p>
              </w:tc>
            </w:tr>
          </w:tbl>
          <w:p w14:paraId="786BA7C7">
            <w:pPr>
              <w:pStyle w:val="25"/>
              <w:pageBreakBefore w:val="0"/>
              <w:kinsoku/>
              <w:wordWrap w:val="0"/>
              <w:overflowPunct/>
              <w:topLinePunct/>
              <w:autoSpaceDE/>
              <w:autoSpaceDN/>
              <w:bidi w:val="0"/>
              <w:spacing w:before="145" w:line="228" w:lineRule="auto"/>
              <w:ind w:left="102" w:firstLine="506"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6"/>
                <w:sz w:val="24"/>
                <w:szCs w:val="24"/>
                <w:highlight w:val="none"/>
                <w:lang w:val="en-US" w:eastAsia="zh-CN"/>
              </w:rPr>
              <w:t>4</w:t>
            </w:r>
            <w:r>
              <w:rPr>
                <w:rFonts w:hint="default" w:ascii="Times New Roman" w:hAnsi="Times New Roman" w:eastAsia="宋体" w:cs="Times New Roman"/>
                <w:b/>
                <w:bCs/>
                <w:color w:val="auto"/>
                <w:spacing w:val="6"/>
                <w:sz w:val="24"/>
                <w:szCs w:val="24"/>
                <w:highlight w:val="none"/>
              </w:rPr>
              <w:t>、主要原辅材料及理化性质</w:t>
            </w:r>
          </w:p>
          <w:p w14:paraId="0AEC780D">
            <w:pPr>
              <w:pStyle w:val="25"/>
              <w:pageBreakBefore w:val="0"/>
              <w:kinsoku/>
              <w:wordWrap w:val="0"/>
              <w:overflowPunct/>
              <w:topLinePunct/>
              <w:autoSpaceDE/>
              <w:autoSpaceDN/>
              <w:bidi w:val="0"/>
              <w:spacing w:before="160" w:line="378" w:lineRule="auto"/>
              <w:ind w:left="107" w:right="139" w:firstLine="422"/>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9"/>
                <w:sz w:val="24"/>
                <w:szCs w:val="24"/>
                <w:highlight w:val="none"/>
              </w:rPr>
              <w:t>项目原材料主要为</w:t>
            </w:r>
            <w:r>
              <w:rPr>
                <w:rFonts w:hint="default" w:ascii="Times New Roman" w:hAnsi="Times New Roman" w:eastAsia="宋体" w:cs="Times New Roman"/>
                <w:color w:val="auto"/>
                <w:spacing w:val="10"/>
                <w:sz w:val="24"/>
                <w:szCs w:val="24"/>
                <w:highlight w:val="none"/>
                <w:lang w:eastAsia="zh-CN"/>
              </w:rPr>
              <w:t>机制砂</w:t>
            </w:r>
            <w:r>
              <w:rPr>
                <w:rFonts w:hint="default" w:ascii="Times New Roman" w:hAnsi="Times New Roman" w:eastAsia="宋体" w:cs="Times New Roman"/>
                <w:color w:val="auto"/>
                <w:spacing w:val="10"/>
                <w:sz w:val="24"/>
                <w:szCs w:val="24"/>
                <w:highlight w:val="none"/>
              </w:rPr>
              <w:t>、炉渣、元明粉、三乙醇胺</w:t>
            </w:r>
            <w:r>
              <w:rPr>
                <w:rFonts w:hint="default" w:ascii="Times New Roman" w:hAnsi="Times New Roman" w:eastAsia="宋体" w:cs="Times New Roman"/>
                <w:color w:val="auto"/>
                <w:spacing w:val="9"/>
                <w:sz w:val="24"/>
                <w:szCs w:val="24"/>
                <w:highlight w:val="none"/>
              </w:rPr>
              <w:t>等，</w:t>
            </w:r>
            <w:r>
              <w:rPr>
                <w:rFonts w:hint="default" w:ascii="Times New Roman" w:hAnsi="Times New Roman" w:eastAsia="宋体" w:cs="Times New Roman"/>
                <w:color w:val="auto"/>
                <w:spacing w:val="10"/>
                <w:sz w:val="24"/>
                <w:szCs w:val="24"/>
                <w:highlight w:val="none"/>
              </w:rPr>
              <w:t>本项目主要原辅材料及能源消耗情况见表2-</w:t>
            </w:r>
            <w:r>
              <w:rPr>
                <w:rFonts w:hint="default" w:ascii="Times New Roman" w:hAnsi="Times New Roman" w:eastAsia="宋体" w:cs="Times New Roman"/>
                <w:color w:val="auto"/>
                <w:spacing w:val="10"/>
                <w:sz w:val="24"/>
                <w:szCs w:val="24"/>
                <w:highlight w:val="none"/>
                <w:lang w:val="en-US" w:eastAsia="zh-CN"/>
              </w:rPr>
              <w:t>2</w:t>
            </w:r>
            <w:r>
              <w:rPr>
                <w:rFonts w:hint="default" w:ascii="Times New Roman" w:hAnsi="Times New Roman" w:eastAsia="宋体" w:cs="Times New Roman"/>
                <w:color w:val="auto"/>
                <w:spacing w:val="10"/>
                <w:sz w:val="24"/>
                <w:szCs w:val="24"/>
                <w:highlight w:val="none"/>
              </w:rPr>
              <w:t>。</w:t>
            </w:r>
          </w:p>
          <w:p w14:paraId="525D527D">
            <w:pPr>
              <w:pStyle w:val="39"/>
              <w:keepNext w:val="0"/>
              <w:keepLines w:val="0"/>
              <w:pageBreakBefore w:val="0"/>
              <w:suppressLineNumbers w:val="0"/>
              <w:kinsoku/>
              <w:wordWrap w:val="0"/>
              <w:overflowPunct/>
              <w:topLinePunct/>
              <w:autoSpaceDE/>
              <w:autoSpaceDN/>
              <w:bidi w:val="0"/>
              <w:spacing w:before="0" w:beforeAutospacing="0" w:after="0" w:afterAutospacing="0" w:line="240" w:lineRule="auto"/>
              <w:ind w:left="0" w:right="0" w:firstLine="0" w:firstLineChars="0"/>
              <w:jc w:val="center"/>
              <w:rPr>
                <w:rFonts w:hint="default" w:ascii="Times New Roman" w:hAnsi="Times New Roman" w:eastAsia="宋体" w:cs="Times New Roman"/>
                <w:b/>
                <w:bCs/>
                <w:snapToGrid w:val="0"/>
                <w:color w:val="auto"/>
                <w:kern w:val="0"/>
                <w:sz w:val="21"/>
                <w:szCs w:val="21"/>
                <w:highlight w:val="none"/>
                <w:lang w:val="en-US" w:eastAsia="zh-CN" w:bidi="ar-SA"/>
              </w:rPr>
            </w:pPr>
            <w:r>
              <w:rPr>
                <w:rFonts w:hint="default" w:ascii="Times New Roman" w:hAnsi="Times New Roman" w:eastAsia="宋体" w:cs="Times New Roman"/>
                <w:b/>
                <w:bCs/>
                <w:snapToGrid w:val="0"/>
                <w:color w:val="auto"/>
                <w:kern w:val="0"/>
                <w:sz w:val="21"/>
                <w:szCs w:val="21"/>
                <w:highlight w:val="none"/>
                <w:lang w:val="en-US" w:eastAsia="zh-CN" w:bidi="ar-SA"/>
              </w:rPr>
              <w:t>表2-2原辅材料一览表</w:t>
            </w:r>
          </w:p>
          <w:tbl>
            <w:tblPr>
              <w:tblStyle w:val="18"/>
              <w:tblW w:w="49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1"/>
              <w:gridCol w:w="1212"/>
              <w:gridCol w:w="1164"/>
              <w:gridCol w:w="1242"/>
              <w:gridCol w:w="1208"/>
              <w:gridCol w:w="943"/>
              <w:gridCol w:w="2133"/>
            </w:tblGrid>
            <w:tr w14:paraId="59715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3" w:type="pct"/>
                  <w:tcBorders>
                    <w:tl2br w:val="nil"/>
                    <w:tr2bl w:val="nil"/>
                  </w:tcBorders>
                  <w:shd w:val="clear" w:color="auto" w:fill="FFFFFF"/>
                  <w:noWrap/>
                  <w:vAlign w:val="center"/>
                </w:tcPr>
                <w:p w14:paraId="78F0009F">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序号</w:t>
                  </w:r>
                </w:p>
              </w:tc>
              <w:tc>
                <w:tcPr>
                  <w:tcW w:w="712" w:type="pct"/>
                  <w:tcBorders>
                    <w:tl2br w:val="nil"/>
                    <w:tr2bl w:val="nil"/>
                  </w:tcBorders>
                  <w:shd w:val="clear" w:color="auto" w:fill="FFFFFF"/>
                  <w:noWrap/>
                  <w:vAlign w:val="center"/>
                </w:tcPr>
                <w:p w14:paraId="302147F0">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物料名称</w:t>
                  </w:r>
                </w:p>
              </w:tc>
              <w:tc>
                <w:tcPr>
                  <w:tcW w:w="684" w:type="pct"/>
                  <w:tcBorders>
                    <w:tl2br w:val="nil"/>
                    <w:tr2bl w:val="nil"/>
                  </w:tcBorders>
                  <w:shd w:val="clear" w:color="auto" w:fill="FFFFFF"/>
                  <w:noWrap/>
                  <w:vAlign w:val="center"/>
                </w:tcPr>
                <w:p w14:paraId="6879FE63">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包装规格</w:t>
                  </w:r>
                </w:p>
              </w:tc>
              <w:tc>
                <w:tcPr>
                  <w:tcW w:w="730" w:type="pct"/>
                  <w:tcBorders>
                    <w:tl2br w:val="nil"/>
                    <w:tr2bl w:val="nil"/>
                  </w:tcBorders>
                  <w:shd w:val="clear" w:color="auto" w:fill="FFFFFF"/>
                  <w:noWrap/>
                  <w:vAlign w:val="center"/>
                </w:tcPr>
                <w:p w14:paraId="5F437922">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全厂全年量（t）</w:t>
                  </w:r>
                </w:p>
              </w:tc>
              <w:tc>
                <w:tcPr>
                  <w:tcW w:w="710" w:type="pct"/>
                  <w:tcBorders>
                    <w:tl2br w:val="nil"/>
                    <w:tr2bl w:val="nil"/>
                  </w:tcBorders>
                  <w:shd w:val="clear" w:color="auto" w:fill="FFFFFF"/>
                  <w:noWrap w:val="0"/>
                  <w:vAlign w:val="center"/>
                </w:tcPr>
                <w:p w14:paraId="5B8AFAED">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最大存储量（t）</w:t>
                  </w:r>
                </w:p>
              </w:tc>
              <w:tc>
                <w:tcPr>
                  <w:tcW w:w="554" w:type="pct"/>
                  <w:tcBorders>
                    <w:tl2br w:val="nil"/>
                    <w:tr2bl w:val="nil"/>
                  </w:tcBorders>
                  <w:shd w:val="clear" w:color="auto" w:fill="FFFFFF"/>
                  <w:noWrap/>
                  <w:vAlign w:val="center"/>
                </w:tcPr>
                <w:p w14:paraId="758B6802">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性状</w:t>
                  </w:r>
                </w:p>
              </w:tc>
              <w:tc>
                <w:tcPr>
                  <w:tcW w:w="1253" w:type="pct"/>
                  <w:tcBorders>
                    <w:tl2br w:val="nil"/>
                    <w:tr2bl w:val="nil"/>
                  </w:tcBorders>
                  <w:shd w:val="clear" w:color="auto" w:fill="FFFFFF"/>
                  <w:noWrap/>
                  <w:vAlign w:val="center"/>
                </w:tcPr>
                <w:p w14:paraId="275F0D92">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存放区域</w:t>
                  </w:r>
                </w:p>
              </w:tc>
            </w:tr>
            <w:tr w14:paraId="71936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3" w:type="pct"/>
                  <w:tcBorders>
                    <w:tl2br w:val="nil"/>
                    <w:tr2bl w:val="nil"/>
                  </w:tcBorders>
                  <w:shd w:val="clear" w:color="000000" w:fill="FFFFFF"/>
                  <w:noWrap/>
                  <w:vAlign w:val="center"/>
                </w:tcPr>
                <w:p w14:paraId="74F6CDD0">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1</w:t>
                  </w:r>
                </w:p>
              </w:tc>
              <w:tc>
                <w:tcPr>
                  <w:tcW w:w="712" w:type="pct"/>
                  <w:tcBorders>
                    <w:tl2br w:val="nil"/>
                    <w:tr2bl w:val="nil"/>
                  </w:tcBorders>
                  <w:shd w:val="clear" w:color="000000" w:fill="FFFFFF"/>
                  <w:noWrap/>
                  <w:vAlign w:val="center"/>
                </w:tcPr>
                <w:p w14:paraId="4DB3217F">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机制砂</w:t>
                  </w:r>
                </w:p>
              </w:tc>
              <w:tc>
                <w:tcPr>
                  <w:tcW w:w="684" w:type="pct"/>
                  <w:tcBorders>
                    <w:tl2br w:val="nil"/>
                    <w:tr2bl w:val="nil"/>
                  </w:tcBorders>
                  <w:shd w:val="clear" w:color="000000" w:fill="FFFFFF"/>
                  <w:noWrap w:val="0"/>
                  <w:vAlign w:val="center"/>
                </w:tcPr>
                <w:p w14:paraId="209097AD">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散装</w:t>
                  </w:r>
                </w:p>
              </w:tc>
              <w:tc>
                <w:tcPr>
                  <w:tcW w:w="730" w:type="pct"/>
                  <w:tcBorders>
                    <w:tl2br w:val="nil"/>
                    <w:tr2bl w:val="nil"/>
                  </w:tcBorders>
                  <w:shd w:val="clear" w:color="auto" w:fill="FFFFFF"/>
                  <w:noWrap/>
                  <w:vAlign w:val="center"/>
                </w:tcPr>
                <w:p w14:paraId="47560E9F">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41000</w:t>
                  </w:r>
                </w:p>
              </w:tc>
              <w:tc>
                <w:tcPr>
                  <w:tcW w:w="710" w:type="pct"/>
                  <w:tcBorders>
                    <w:tl2br w:val="nil"/>
                    <w:tr2bl w:val="nil"/>
                  </w:tcBorders>
                  <w:noWrap/>
                  <w:vAlign w:val="center"/>
                </w:tcPr>
                <w:p w14:paraId="2B021291">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1000</w:t>
                  </w:r>
                </w:p>
              </w:tc>
              <w:tc>
                <w:tcPr>
                  <w:tcW w:w="554" w:type="pct"/>
                  <w:tcBorders>
                    <w:tl2br w:val="nil"/>
                    <w:tr2bl w:val="nil"/>
                  </w:tcBorders>
                  <w:noWrap/>
                  <w:vAlign w:val="center"/>
                </w:tcPr>
                <w:p w14:paraId="725BA63C">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固体</w:t>
                  </w:r>
                </w:p>
              </w:tc>
              <w:tc>
                <w:tcPr>
                  <w:tcW w:w="1253" w:type="pct"/>
                  <w:vMerge w:val="restart"/>
                  <w:tcBorders>
                    <w:tl2br w:val="nil"/>
                    <w:tr2bl w:val="nil"/>
                  </w:tcBorders>
                  <w:noWrap w:val="0"/>
                  <w:vAlign w:val="center"/>
                </w:tcPr>
                <w:p w14:paraId="2BB23153">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原材料堆放区</w:t>
                  </w:r>
                </w:p>
              </w:tc>
            </w:tr>
            <w:tr w14:paraId="661B7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353" w:type="pct"/>
                  <w:tcBorders>
                    <w:tl2br w:val="nil"/>
                    <w:tr2bl w:val="nil"/>
                  </w:tcBorders>
                  <w:shd w:val="clear" w:color="000000" w:fill="FFFFFF"/>
                  <w:noWrap/>
                  <w:vAlign w:val="center"/>
                </w:tcPr>
                <w:p w14:paraId="679E0153">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2</w:t>
                  </w:r>
                </w:p>
              </w:tc>
              <w:tc>
                <w:tcPr>
                  <w:tcW w:w="712" w:type="pct"/>
                  <w:tcBorders>
                    <w:tl2br w:val="nil"/>
                    <w:tr2bl w:val="nil"/>
                  </w:tcBorders>
                  <w:shd w:val="clear" w:color="000000" w:fill="FFFFFF"/>
                  <w:noWrap/>
                  <w:vAlign w:val="center"/>
                </w:tcPr>
                <w:p w14:paraId="539FAA24">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炉渣</w:t>
                  </w:r>
                </w:p>
              </w:tc>
              <w:tc>
                <w:tcPr>
                  <w:tcW w:w="684" w:type="pct"/>
                  <w:tcBorders>
                    <w:tl2br w:val="nil"/>
                    <w:tr2bl w:val="nil"/>
                  </w:tcBorders>
                  <w:shd w:val="clear" w:color="000000" w:fill="FFFFFF"/>
                  <w:noWrap/>
                  <w:vAlign w:val="center"/>
                </w:tcPr>
                <w:p w14:paraId="21CE5700">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散装</w:t>
                  </w:r>
                </w:p>
              </w:tc>
              <w:tc>
                <w:tcPr>
                  <w:tcW w:w="730" w:type="pct"/>
                  <w:tcBorders>
                    <w:tl2br w:val="nil"/>
                    <w:tr2bl w:val="nil"/>
                  </w:tcBorders>
                  <w:shd w:val="clear" w:color="auto" w:fill="FFFFFF"/>
                  <w:noWrap/>
                  <w:vAlign w:val="center"/>
                </w:tcPr>
                <w:p w14:paraId="3DEEC7A4">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50000</w:t>
                  </w:r>
                </w:p>
              </w:tc>
              <w:tc>
                <w:tcPr>
                  <w:tcW w:w="710" w:type="pct"/>
                  <w:tcBorders>
                    <w:tl2br w:val="nil"/>
                    <w:tr2bl w:val="nil"/>
                  </w:tcBorders>
                  <w:noWrap/>
                  <w:vAlign w:val="center"/>
                </w:tcPr>
                <w:p w14:paraId="137C6C9F">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1000</w:t>
                  </w:r>
                </w:p>
              </w:tc>
              <w:tc>
                <w:tcPr>
                  <w:tcW w:w="554" w:type="pct"/>
                  <w:tcBorders>
                    <w:tl2br w:val="nil"/>
                    <w:tr2bl w:val="nil"/>
                  </w:tcBorders>
                  <w:noWrap/>
                  <w:vAlign w:val="center"/>
                </w:tcPr>
                <w:p w14:paraId="4D7051EA">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固体</w:t>
                  </w:r>
                </w:p>
              </w:tc>
              <w:tc>
                <w:tcPr>
                  <w:tcW w:w="1253" w:type="pct"/>
                  <w:vMerge w:val="continue"/>
                  <w:tcBorders>
                    <w:tl2br w:val="nil"/>
                    <w:tr2bl w:val="nil"/>
                  </w:tcBorders>
                  <w:noWrap w:val="0"/>
                  <w:vAlign w:val="center"/>
                </w:tcPr>
                <w:p w14:paraId="6CDD9D88">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p>
              </w:tc>
            </w:tr>
            <w:tr w14:paraId="7BB4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3" w:type="pct"/>
                  <w:tcBorders>
                    <w:tl2br w:val="nil"/>
                    <w:tr2bl w:val="nil"/>
                  </w:tcBorders>
                  <w:shd w:val="clear" w:color="000000" w:fill="FFFFFF"/>
                  <w:noWrap/>
                  <w:vAlign w:val="center"/>
                </w:tcPr>
                <w:p w14:paraId="322D9D48">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3</w:t>
                  </w:r>
                </w:p>
              </w:tc>
              <w:tc>
                <w:tcPr>
                  <w:tcW w:w="712" w:type="pct"/>
                  <w:tcBorders>
                    <w:tl2br w:val="nil"/>
                    <w:tr2bl w:val="nil"/>
                  </w:tcBorders>
                  <w:shd w:val="clear" w:color="000000" w:fill="FFFFFF"/>
                  <w:noWrap/>
                  <w:vAlign w:val="center"/>
                </w:tcPr>
                <w:p w14:paraId="2A5C4214">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元明粉</w:t>
                  </w:r>
                </w:p>
              </w:tc>
              <w:tc>
                <w:tcPr>
                  <w:tcW w:w="684" w:type="pct"/>
                  <w:tcBorders>
                    <w:tl2br w:val="nil"/>
                    <w:tr2bl w:val="nil"/>
                  </w:tcBorders>
                  <w:shd w:val="clear" w:color="000000" w:fill="FFFFFF"/>
                  <w:noWrap/>
                  <w:vAlign w:val="center"/>
                </w:tcPr>
                <w:p w14:paraId="54032838">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吨包</w:t>
                  </w:r>
                </w:p>
              </w:tc>
              <w:tc>
                <w:tcPr>
                  <w:tcW w:w="730" w:type="pct"/>
                  <w:tcBorders>
                    <w:tl2br w:val="nil"/>
                    <w:tr2bl w:val="nil"/>
                  </w:tcBorders>
                  <w:shd w:val="clear" w:color="auto" w:fill="FFFFFF"/>
                  <w:noWrap/>
                  <w:vAlign w:val="center"/>
                </w:tcPr>
                <w:p w14:paraId="349BE219">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5000</w:t>
                  </w:r>
                </w:p>
              </w:tc>
              <w:tc>
                <w:tcPr>
                  <w:tcW w:w="710" w:type="pct"/>
                  <w:tcBorders>
                    <w:tl2br w:val="nil"/>
                    <w:tr2bl w:val="nil"/>
                  </w:tcBorders>
                  <w:noWrap/>
                  <w:vAlign w:val="center"/>
                </w:tcPr>
                <w:p w14:paraId="0BB06EF2">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60</w:t>
                  </w:r>
                </w:p>
              </w:tc>
              <w:tc>
                <w:tcPr>
                  <w:tcW w:w="554" w:type="pct"/>
                  <w:tcBorders>
                    <w:tl2br w:val="nil"/>
                    <w:tr2bl w:val="nil"/>
                  </w:tcBorders>
                  <w:noWrap/>
                  <w:vAlign w:val="center"/>
                </w:tcPr>
                <w:p w14:paraId="54193F64">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固体</w:t>
                  </w:r>
                </w:p>
              </w:tc>
              <w:tc>
                <w:tcPr>
                  <w:tcW w:w="1253" w:type="pct"/>
                  <w:vMerge w:val="continue"/>
                  <w:tcBorders>
                    <w:tl2br w:val="nil"/>
                    <w:tr2bl w:val="nil"/>
                  </w:tcBorders>
                  <w:noWrap w:val="0"/>
                  <w:vAlign w:val="center"/>
                </w:tcPr>
                <w:p w14:paraId="74CEA0CE">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p>
              </w:tc>
            </w:tr>
            <w:tr w14:paraId="23BA1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353" w:type="pct"/>
                  <w:tcBorders>
                    <w:tl2br w:val="nil"/>
                    <w:tr2bl w:val="nil"/>
                  </w:tcBorders>
                  <w:shd w:val="clear" w:color="000000" w:fill="FFFFFF"/>
                  <w:noWrap/>
                  <w:vAlign w:val="center"/>
                </w:tcPr>
                <w:p w14:paraId="74B93FA2">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4</w:t>
                  </w:r>
                </w:p>
              </w:tc>
              <w:tc>
                <w:tcPr>
                  <w:tcW w:w="712" w:type="pct"/>
                  <w:tcBorders>
                    <w:tl2br w:val="nil"/>
                    <w:tr2bl w:val="nil"/>
                  </w:tcBorders>
                  <w:shd w:val="clear" w:color="000000" w:fill="FFFFFF"/>
                  <w:noWrap/>
                  <w:vAlign w:val="center"/>
                </w:tcPr>
                <w:p w14:paraId="65F35E41">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三乙醇胺</w:t>
                  </w:r>
                </w:p>
              </w:tc>
              <w:tc>
                <w:tcPr>
                  <w:tcW w:w="684" w:type="pct"/>
                  <w:tcBorders>
                    <w:tl2br w:val="nil"/>
                    <w:tr2bl w:val="nil"/>
                  </w:tcBorders>
                  <w:shd w:val="clear" w:color="000000" w:fill="FFFFFF"/>
                  <w:noWrap/>
                  <w:vAlign w:val="center"/>
                </w:tcPr>
                <w:p w14:paraId="18852014">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罐装</w:t>
                  </w:r>
                </w:p>
              </w:tc>
              <w:tc>
                <w:tcPr>
                  <w:tcW w:w="730" w:type="pct"/>
                  <w:tcBorders>
                    <w:tl2br w:val="nil"/>
                    <w:tr2bl w:val="nil"/>
                  </w:tcBorders>
                  <w:shd w:val="clear" w:color="auto" w:fill="FFFFFF"/>
                  <w:noWrap/>
                  <w:vAlign w:val="center"/>
                </w:tcPr>
                <w:p w14:paraId="583CF1FB">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4000</w:t>
                  </w:r>
                </w:p>
              </w:tc>
              <w:tc>
                <w:tcPr>
                  <w:tcW w:w="710" w:type="pct"/>
                  <w:tcBorders>
                    <w:tl2br w:val="nil"/>
                    <w:tr2bl w:val="nil"/>
                  </w:tcBorders>
                  <w:noWrap/>
                  <w:vAlign w:val="center"/>
                </w:tcPr>
                <w:p w14:paraId="281799AD">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80</w:t>
                  </w:r>
                </w:p>
              </w:tc>
              <w:tc>
                <w:tcPr>
                  <w:tcW w:w="554" w:type="pct"/>
                  <w:tcBorders>
                    <w:tl2br w:val="nil"/>
                    <w:tr2bl w:val="nil"/>
                  </w:tcBorders>
                  <w:noWrap/>
                  <w:vAlign w:val="center"/>
                </w:tcPr>
                <w:p w14:paraId="16189CE4">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液体</w:t>
                  </w:r>
                </w:p>
              </w:tc>
              <w:tc>
                <w:tcPr>
                  <w:tcW w:w="1253" w:type="pct"/>
                  <w:tcBorders>
                    <w:tl2br w:val="nil"/>
                    <w:tr2bl w:val="nil"/>
                  </w:tcBorders>
                  <w:noWrap w:val="0"/>
                  <w:vAlign w:val="center"/>
                </w:tcPr>
                <w:p w14:paraId="6DE60034">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三乙醇胺罐区</w:t>
                  </w:r>
                </w:p>
              </w:tc>
            </w:tr>
          </w:tbl>
          <w:p w14:paraId="1928DB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510" w:firstLineChars="200"/>
              <w:jc w:val="both"/>
              <w:textAlignment w:val="baseline"/>
              <w:rPr>
                <w:rFonts w:hint="default" w:ascii="Times New Roman" w:hAnsi="Times New Roman" w:eastAsia="宋体" w:cs="Times New Roman"/>
                <w:b w:val="0"/>
                <w:bCs w:val="0"/>
                <w:snapToGrid w:val="0"/>
                <w:color w:val="auto"/>
                <w:spacing w:val="7"/>
                <w:kern w:val="0"/>
                <w:sz w:val="24"/>
                <w:szCs w:val="24"/>
                <w:highlight w:val="none"/>
                <w:lang w:val="en-US" w:eastAsia="en-US" w:bidi="ar-SA"/>
              </w:rPr>
            </w:pPr>
            <w:r>
              <w:rPr>
                <w:rFonts w:hint="default" w:ascii="Times New Roman" w:hAnsi="Times New Roman" w:eastAsia="宋体" w:cs="Times New Roman"/>
                <w:b/>
                <w:bCs/>
                <w:snapToGrid w:val="0"/>
                <w:color w:val="auto"/>
                <w:spacing w:val="7"/>
                <w:kern w:val="0"/>
                <w:sz w:val="24"/>
                <w:szCs w:val="24"/>
                <w:highlight w:val="none"/>
                <w:lang w:val="en-US" w:eastAsia="en-US" w:bidi="ar-SA"/>
              </w:rPr>
              <w:t>元</w:t>
            </w:r>
            <w:r>
              <w:rPr>
                <w:rFonts w:hint="default" w:ascii="Times New Roman" w:hAnsi="Times New Roman" w:eastAsia="宋体" w:cs="Times New Roman"/>
                <w:b/>
                <w:bCs/>
                <w:snapToGrid w:val="0"/>
                <w:color w:val="auto"/>
                <w:spacing w:val="7"/>
                <w:kern w:val="0"/>
                <w:sz w:val="24"/>
                <w:szCs w:val="24"/>
                <w:highlight w:val="none"/>
                <w:lang w:val="en-US" w:eastAsia="zh-CN" w:bidi="ar-SA"/>
              </w:rPr>
              <w:t>明粉理化性质：</w:t>
            </w:r>
            <w:r>
              <w:rPr>
                <w:rFonts w:hint="default" w:ascii="Times New Roman" w:hAnsi="Times New Roman" w:eastAsia="宋体" w:cs="Times New Roman"/>
                <w:b w:val="0"/>
                <w:bCs w:val="0"/>
                <w:snapToGrid w:val="0"/>
                <w:color w:val="auto"/>
                <w:spacing w:val="7"/>
                <w:kern w:val="0"/>
                <w:sz w:val="24"/>
                <w:szCs w:val="24"/>
                <w:highlight w:val="none"/>
                <w:lang w:val="en-US" w:eastAsia="zh-CN" w:bidi="ar-SA"/>
              </w:rPr>
              <w:t>化学名称无水硫酸钠，分子式Na</w:t>
            </w:r>
            <w:r>
              <w:rPr>
                <w:rFonts w:hint="default" w:ascii="Times New Roman" w:hAnsi="Times New Roman" w:eastAsia="宋体" w:cs="Times New Roman"/>
                <w:b w:val="0"/>
                <w:bCs w:val="0"/>
                <w:snapToGrid w:val="0"/>
                <w:color w:val="auto"/>
                <w:spacing w:val="7"/>
                <w:kern w:val="0"/>
                <w:sz w:val="24"/>
                <w:szCs w:val="24"/>
                <w:highlight w:val="none"/>
                <w:vertAlign w:val="subscript"/>
                <w:lang w:val="en-US" w:eastAsia="zh-CN" w:bidi="ar-SA"/>
              </w:rPr>
              <w:t>2</w:t>
            </w:r>
            <w:r>
              <w:rPr>
                <w:rFonts w:hint="default" w:ascii="Times New Roman" w:hAnsi="Times New Roman" w:eastAsia="宋体" w:cs="Times New Roman"/>
                <w:b w:val="0"/>
                <w:bCs w:val="0"/>
                <w:snapToGrid w:val="0"/>
                <w:color w:val="auto"/>
                <w:spacing w:val="7"/>
                <w:kern w:val="0"/>
                <w:sz w:val="24"/>
                <w:szCs w:val="24"/>
                <w:highlight w:val="none"/>
                <w:lang w:val="en-US" w:eastAsia="zh-CN" w:bidi="ar-SA"/>
              </w:rPr>
              <w:t>SO</w:t>
            </w:r>
            <w:r>
              <w:rPr>
                <w:rFonts w:hint="default" w:ascii="Times New Roman" w:hAnsi="Times New Roman" w:eastAsia="宋体" w:cs="Times New Roman"/>
                <w:b w:val="0"/>
                <w:bCs w:val="0"/>
                <w:snapToGrid w:val="0"/>
                <w:color w:val="auto"/>
                <w:spacing w:val="7"/>
                <w:kern w:val="0"/>
                <w:sz w:val="24"/>
                <w:szCs w:val="24"/>
                <w:highlight w:val="none"/>
                <w:vertAlign w:val="subscript"/>
                <w:lang w:val="en-US" w:eastAsia="zh-CN" w:bidi="ar-SA"/>
              </w:rPr>
              <w:t>4</w:t>
            </w:r>
            <w:r>
              <w:rPr>
                <w:rFonts w:hint="default" w:ascii="Times New Roman" w:hAnsi="Times New Roman" w:eastAsia="宋体" w:cs="Times New Roman"/>
                <w:b w:val="0"/>
                <w:bCs w:val="0"/>
                <w:snapToGrid w:val="0"/>
                <w:color w:val="auto"/>
                <w:spacing w:val="7"/>
                <w:kern w:val="0"/>
                <w:sz w:val="24"/>
                <w:szCs w:val="24"/>
                <w:highlight w:val="none"/>
                <w:vertAlign w:val="baseline"/>
                <w:lang w:val="en-US" w:eastAsia="zh-CN" w:bidi="ar-SA"/>
              </w:rPr>
              <w:t>，</w:t>
            </w:r>
            <w:r>
              <w:rPr>
                <w:rFonts w:hint="default" w:ascii="Times New Roman" w:hAnsi="Times New Roman" w:eastAsia="宋体" w:cs="Times New Roman"/>
                <w:b w:val="0"/>
                <w:bCs w:val="0"/>
                <w:snapToGrid w:val="0"/>
                <w:color w:val="auto"/>
                <w:spacing w:val="7"/>
                <w:kern w:val="0"/>
                <w:sz w:val="24"/>
                <w:szCs w:val="24"/>
                <w:highlight w:val="none"/>
                <w:lang w:val="en-US" w:eastAsia="zh-CN" w:bidi="ar-SA"/>
              </w:rPr>
              <w:t>是一种常见的化学物质，其化学性质相对稳定，不易与其他物质发生反应。易溶于水、吸湿性、无毒、中性PH值。</w:t>
            </w:r>
            <w:r>
              <w:rPr>
                <w:rFonts w:hint="default" w:ascii="Times New Roman" w:hAnsi="Times New Roman" w:eastAsia="宋体" w:cs="Times New Roman"/>
                <w:b w:val="0"/>
                <w:bCs w:val="0"/>
                <w:snapToGrid w:val="0"/>
                <w:color w:val="auto"/>
                <w:spacing w:val="7"/>
                <w:kern w:val="0"/>
                <w:sz w:val="24"/>
                <w:szCs w:val="24"/>
                <w:highlight w:val="none"/>
                <w:lang w:val="en-US" w:eastAsia="en-US" w:bidi="ar-SA"/>
              </w:rPr>
              <w:t>其溶液多为中性，溶于甘油而不溶于乙醇。无机化合物，高纯度、颗粒细的无水物称为元明粉。元明粉，白色、无臭、有苦味的结晶或粉末，有吸湿性。外形为无色、透明、大的结晶或颗粒性小结晶。硫酸钠暴露于空气中易吸水，生成十水合硫酸钠，又名芒硝，偏碱性。主要用于制造水玻璃、玻璃、瓷釉、纸浆、致冷混合剂、洗涤剂、干燥剂、染料稀释剂、分析化学试剂、医药品、饲料等。在241℃时硫酸钠会转变成六方型结晶。在有机合成实验室硫酸钠是一种为常用的后处理干燥剂。上游原料包括硫酸，烧碱等。</w:t>
            </w:r>
          </w:p>
          <w:p w14:paraId="791F63D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spacing w:before="0" w:beforeAutospacing="0" w:after="0" w:afterAutospacing="0" w:line="360" w:lineRule="auto"/>
              <w:ind w:left="0" w:right="0" w:firstLine="510" w:firstLineChars="200"/>
              <w:jc w:val="both"/>
              <w:rPr>
                <w:rFonts w:hint="default" w:ascii="Times New Roman" w:hAnsi="Times New Roman" w:eastAsia="宋体" w:cs="Times New Roman"/>
                <w:b w:val="0"/>
                <w:bCs w:val="0"/>
                <w:snapToGrid w:val="0"/>
                <w:color w:val="auto"/>
                <w:spacing w:val="7"/>
                <w:kern w:val="0"/>
                <w:sz w:val="24"/>
                <w:szCs w:val="24"/>
                <w:highlight w:val="none"/>
                <w:lang w:val="en-US" w:eastAsia="zh-CN" w:bidi="ar-SA"/>
              </w:rPr>
            </w:pPr>
            <w:r>
              <w:rPr>
                <w:rFonts w:hint="default" w:ascii="Times New Roman" w:hAnsi="Times New Roman" w:eastAsia="宋体" w:cs="Times New Roman"/>
                <w:b/>
                <w:bCs/>
                <w:snapToGrid w:val="0"/>
                <w:color w:val="auto"/>
                <w:spacing w:val="7"/>
                <w:kern w:val="0"/>
                <w:sz w:val="24"/>
                <w:szCs w:val="24"/>
                <w:highlight w:val="none"/>
                <w:lang w:val="en-US" w:eastAsia="zh-CN" w:bidi="ar-SA"/>
              </w:rPr>
              <w:t>三乙醇胺理化性质：</w:t>
            </w:r>
            <w:r>
              <w:rPr>
                <w:rFonts w:hint="default" w:ascii="Times New Roman" w:hAnsi="Times New Roman" w:eastAsia="宋体" w:cs="Times New Roman"/>
                <w:b w:val="0"/>
                <w:bCs w:val="0"/>
                <w:snapToGrid w:val="0"/>
                <w:color w:val="auto"/>
                <w:spacing w:val="7"/>
                <w:kern w:val="0"/>
                <w:sz w:val="24"/>
                <w:szCs w:val="24"/>
                <w:highlight w:val="none"/>
                <w:lang w:val="en-US" w:eastAsia="en-US" w:bidi="ar-SA"/>
              </w:rPr>
              <w:t>三乙醇胺的化学式为C</w:t>
            </w:r>
            <w:r>
              <w:rPr>
                <w:rFonts w:hint="default" w:ascii="Times New Roman" w:hAnsi="Times New Roman" w:eastAsia="宋体" w:cs="Times New Roman"/>
                <w:b w:val="0"/>
                <w:bCs w:val="0"/>
                <w:snapToGrid w:val="0"/>
                <w:color w:val="auto"/>
                <w:spacing w:val="7"/>
                <w:kern w:val="0"/>
                <w:sz w:val="24"/>
                <w:szCs w:val="24"/>
                <w:highlight w:val="none"/>
                <w:vertAlign w:val="subscript"/>
                <w:lang w:val="en-US" w:eastAsia="en-US" w:bidi="ar-SA"/>
              </w:rPr>
              <w:t>6</w:t>
            </w:r>
            <w:r>
              <w:rPr>
                <w:rFonts w:hint="default" w:ascii="Times New Roman" w:hAnsi="Times New Roman" w:eastAsia="宋体" w:cs="Times New Roman"/>
                <w:b w:val="0"/>
                <w:bCs w:val="0"/>
                <w:snapToGrid w:val="0"/>
                <w:color w:val="auto"/>
                <w:spacing w:val="7"/>
                <w:kern w:val="0"/>
                <w:sz w:val="24"/>
                <w:szCs w:val="24"/>
                <w:highlight w:val="none"/>
                <w:lang w:val="en-US" w:eastAsia="en-US" w:bidi="ar-SA"/>
              </w:rPr>
              <w:t>H</w:t>
            </w:r>
            <w:r>
              <w:rPr>
                <w:rFonts w:hint="default" w:ascii="Times New Roman" w:hAnsi="Times New Roman" w:eastAsia="宋体" w:cs="Times New Roman"/>
                <w:b w:val="0"/>
                <w:bCs w:val="0"/>
                <w:snapToGrid w:val="0"/>
                <w:color w:val="auto"/>
                <w:spacing w:val="7"/>
                <w:kern w:val="0"/>
                <w:sz w:val="24"/>
                <w:szCs w:val="24"/>
                <w:highlight w:val="none"/>
                <w:vertAlign w:val="subscript"/>
                <w:lang w:val="en-US" w:eastAsia="en-US" w:bidi="ar-SA"/>
              </w:rPr>
              <w:t>15</w:t>
            </w:r>
            <w:r>
              <w:rPr>
                <w:rFonts w:hint="default" w:ascii="Times New Roman" w:hAnsi="Times New Roman" w:eastAsia="宋体" w:cs="Times New Roman"/>
                <w:b w:val="0"/>
                <w:bCs w:val="0"/>
                <w:snapToGrid w:val="0"/>
                <w:color w:val="auto"/>
                <w:spacing w:val="7"/>
                <w:kern w:val="0"/>
                <w:sz w:val="24"/>
                <w:szCs w:val="24"/>
                <w:highlight w:val="none"/>
                <w:lang w:val="en-US" w:eastAsia="en-US" w:bidi="ar-SA"/>
              </w:rPr>
              <w:t>NO</w:t>
            </w:r>
            <w:r>
              <w:rPr>
                <w:rFonts w:hint="default" w:ascii="Times New Roman" w:hAnsi="Times New Roman" w:eastAsia="宋体" w:cs="Times New Roman"/>
                <w:b w:val="0"/>
                <w:bCs w:val="0"/>
                <w:snapToGrid w:val="0"/>
                <w:color w:val="auto"/>
                <w:spacing w:val="7"/>
                <w:kern w:val="0"/>
                <w:sz w:val="24"/>
                <w:szCs w:val="24"/>
                <w:highlight w:val="none"/>
                <w:vertAlign w:val="subscript"/>
                <w:lang w:val="en-US" w:eastAsia="en-US" w:bidi="ar-SA"/>
              </w:rPr>
              <w:t>3</w:t>
            </w:r>
            <w:r>
              <w:rPr>
                <w:rFonts w:hint="default" w:ascii="Times New Roman" w:hAnsi="Times New Roman" w:eastAsia="宋体" w:cs="Times New Roman"/>
                <w:b w:val="0"/>
                <w:bCs w:val="0"/>
                <w:snapToGrid w:val="0"/>
                <w:color w:val="auto"/>
                <w:spacing w:val="7"/>
                <w:kern w:val="0"/>
                <w:sz w:val="24"/>
                <w:szCs w:val="24"/>
                <w:highlight w:val="none"/>
                <w:lang w:val="en-US" w:eastAsia="en-US" w:bidi="ar-SA"/>
              </w:rPr>
              <w:t>，可燃。低毒。常温下为无色、粘稠液体，稍有氨味，易溶于水和多种有机溶剂。在空气中稳定，受热分解时会产生有毒气体。它具有良好的水溶性，这使得它在各种化学反应和工业过程中成为一种重要的溶剂和中介体。三乙醇胺是一种弱碱，具有碱性性质，可以接受质子（H+）并生成水。在化学反应中，三乙醇胺的氮原子上的孤对电子可以参与质子化反应，表现出碱性特征。三乙醇胺具有多种化学反应性，例如与酸反应生成盐和水，与酯发生转酯化反应等。这些反应性质为三乙醇胺在合成表面活性剂、药物和其他化学品中的应用提供了基础。三乙醇胺还具有中性化性质，可以与酸反应，中和酸性物质。因此，它常被用作缓冲剂，用于调节酸碱平衡，保持溶液的稳定性。</w:t>
            </w:r>
          </w:p>
          <w:p w14:paraId="0C0E302D">
            <w:pPr>
              <w:keepNext w:val="0"/>
              <w:keepLines w:val="0"/>
              <w:pageBreakBefore w:val="0"/>
              <w:numPr>
                <w:ilvl w:val="0"/>
                <w:numId w:val="0"/>
              </w:numPr>
              <w:suppressLineNumbers w:val="0"/>
              <w:kinsoku/>
              <w:wordWrap w:val="0"/>
              <w:overflowPunct/>
              <w:topLinePunct/>
              <w:autoSpaceDE/>
              <w:autoSpaceDN/>
              <w:bidi w:val="0"/>
              <w:adjustRightInd w:val="0"/>
              <w:snapToGrid w:val="0"/>
              <w:spacing w:before="0" w:beforeAutospacing="0" w:after="0" w:afterAutospacing="0" w:line="360" w:lineRule="auto"/>
              <w:ind w:left="0" w:right="0" w:firstLine="482" w:firstLineChars="20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5、产品方案</w:t>
            </w:r>
          </w:p>
          <w:p w14:paraId="6DD8AB6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表2-3主要产品一览表</w:t>
            </w:r>
          </w:p>
          <w:tbl>
            <w:tblPr>
              <w:tblStyle w:val="18"/>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8"/>
              <w:gridCol w:w="2128"/>
              <w:gridCol w:w="2130"/>
              <w:gridCol w:w="2130"/>
            </w:tblGrid>
            <w:tr w14:paraId="7B5FD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249" w:type="pct"/>
                  <w:tcBorders>
                    <w:tl2br w:val="nil"/>
                    <w:tr2bl w:val="nil"/>
                  </w:tcBorders>
                  <w:noWrap w:val="0"/>
                  <w:vAlign w:val="center"/>
                </w:tcPr>
                <w:p w14:paraId="16EE712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zh-CN" w:eastAsia="zh-CN"/>
                    </w:rPr>
                  </w:pPr>
                  <w:r>
                    <w:rPr>
                      <w:rFonts w:hint="default" w:ascii="Times New Roman" w:hAnsi="Times New Roman" w:eastAsia="宋体" w:cs="Times New Roman"/>
                      <w:b w:val="0"/>
                      <w:bCs w:val="0"/>
                      <w:color w:val="auto"/>
                      <w:sz w:val="21"/>
                      <w:szCs w:val="21"/>
                      <w:highlight w:val="none"/>
                      <w:lang w:val="en-US" w:eastAsia="zh-CN"/>
                    </w:rPr>
                    <w:t>主要产品</w:t>
                  </w:r>
                </w:p>
              </w:tc>
              <w:tc>
                <w:tcPr>
                  <w:tcW w:w="1249" w:type="pct"/>
                  <w:tcBorders>
                    <w:tl2br w:val="nil"/>
                    <w:tr2bl w:val="nil"/>
                  </w:tcBorders>
                  <w:noWrap w:val="0"/>
                  <w:vAlign w:val="center"/>
                </w:tcPr>
                <w:p w14:paraId="772F174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zh-CN" w:eastAsia="zh-CN"/>
                    </w:rPr>
                  </w:pPr>
                  <w:r>
                    <w:rPr>
                      <w:rFonts w:hint="default" w:ascii="Times New Roman" w:hAnsi="Times New Roman" w:eastAsia="宋体" w:cs="Times New Roman"/>
                      <w:b w:val="0"/>
                      <w:bCs w:val="0"/>
                      <w:color w:val="auto"/>
                      <w:sz w:val="21"/>
                      <w:szCs w:val="21"/>
                      <w:highlight w:val="none"/>
                      <w:lang w:val="en-US" w:eastAsia="zh-CN"/>
                    </w:rPr>
                    <w:t>年生产规模</w:t>
                  </w:r>
                </w:p>
              </w:tc>
              <w:tc>
                <w:tcPr>
                  <w:tcW w:w="1250" w:type="pct"/>
                  <w:tcBorders>
                    <w:tl2br w:val="nil"/>
                    <w:tr2bl w:val="nil"/>
                  </w:tcBorders>
                  <w:noWrap w:val="0"/>
                  <w:vAlign w:val="center"/>
                </w:tcPr>
                <w:p w14:paraId="652A154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包装</w:t>
                  </w:r>
                </w:p>
              </w:tc>
              <w:tc>
                <w:tcPr>
                  <w:tcW w:w="1250" w:type="pct"/>
                  <w:tcBorders>
                    <w:tl2br w:val="nil"/>
                    <w:tr2bl w:val="nil"/>
                  </w:tcBorders>
                  <w:noWrap w:val="0"/>
                  <w:vAlign w:val="center"/>
                </w:tcPr>
                <w:p w14:paraId="47E9C35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备注</w:t>
                  </w:r>
                </w:p>
              </w:tc>
            </w:tr>
            <w:tr w14:paraId="5E36E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1249" w:type="pct"/>
                  <w:tcBorders>
                    <w:tl2br w:val="nil"/>
                    <w:tr2bl w:val="nil"/>
                  </w:tcBorders>
                  <w:noWrap w:val="0"/>
                  <w:vAlign w:val="center"/>
                </w:tcPr>
                <w:p w14:paraId="11F0B07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zh-CN" w:eastAsia="zh-CN"/>
                    </w:rPr>
                  </w:pPr>
                  <w:r>
                    <w:rPr>
                      <w:rFonts w:hint="default" w:ascii="Times New Roman" w:hAnsi="Times New Roman" w:eastAsia="宋体" w:cs="Times New Roman"/>
                      <w:b w:val="0"/>
                      <w:bCs w:val="0"/>
                      <w:color w:val="auto"/>
                      <w:sz w:val="21"/>
                      <w:szCs w:val="21"/>
                      <w:highlight w:val="none"/>
                      <w:lang w:val="en-US" w:eastAsia="zh-CN"/>
                    </w:rPr>
                    <w:t>矿化料</w:t>
                  </w:r>
                </w:p>
              </w:tc>
              <w:tc>
                <w:tcPr>
                  <w:tcW w:w="1249" w:type="pct"/>
                  <w:tcBorders>
                    <w:tl2br w:val="nil"/>
                    <w:tr2bl w:val="nil"/>
                  </w:tcBorders>
                  <w:noWrap w:val="0"/>
                  <w:vAlign w:val="center"/>
                </w:tcPr>
                <w:p w14:paraId="0DF3754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zh-CN" w:eastAsia="zh-CN"/>
                    </w:rPr>
                  </w:pPr>
                  <w:r>
                    <w:rPr>
                      <w:rFonts w:hint="default" w:ascii="Times New Roman" w:hAnsi="Times New Roman" w:eastAsia="宋体" w:cs="Times New Roman"/>
                      <w:b w:val="0"/>
                      <w:bCs w:val="0"/>
                      <w:color w:val="auto"/>
                      <w:sz w:val="21"/>
                      <w:szCs w:val="21"/>
                      <w:highlight w:val="none"/>
                      <w:lang w:val="en-US" w:eastAsia="zh-CN"/>
                    </w:rPr>
                    <w:t>100000t</w:t>
                  </w:r>
                </w:p>
              </w:tc>
              <w:tc>
                <w:tcPr>
                  <w:tcW w:w="1250" w:type="pct"/>
                  <w:tcBorders>
                    <w:tl2br w:val="nil"/>
                    <w:tr2bl w:val="nil"/>
                  </w:tcBorders>
                  <w:noWrap w:val="0"/>
                  <w:vAlign w:val="center"/>
                </w:tcPr>
                <w:p w14:paraId="06290C5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c>
                <w:tcPr>
                  <w:tcW w:w="1250" w:type="pct"/>
                  <w:tcBorders>
                    <w:tl2br w:val="nil"/>
                    <w:tr2bl w:val="nil"/>
                  </w:tcBorders>
                  <w:noWrap w:val="0"/>
                  <w:vAlign w:val="center"/>
                </w:tcPr>
                <w:p w14:paraId="27A641C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外售水泥厂</w:t>
                  </w:r>
                </w:p>
              </w:tc>
            </w:tr>
          </w:tbl>
          <w:p w14:paraId="43ECD26C">
            <w:pPr>
              <w:keepNext w:val="0"/>
              <w:keepLines w:val="0"/>
              <w:pageBreakBefore w:val="0"/>
              <w:numPr>
                <w:ilvl w:val="0"/>
                <w:numId w:val="0"/>
              </w:numPr>
              <w:suppressLineNumbers w:val="0"/>
              <w:kinsoku/>
              <w:wordWrap w:val="0"/>
              <w:overflowPunct/>
              <w:topLinePunct/>
              <w:autoSpaceDE/>
              <w:autoSpaceDN/>
              <w:bidi w:val="0"/>
              <w:adjustRightInd w:val="0"/>
              <w:snapToGrid w:val="0"/>
              <w:spacing w:before="0" w:beforeAutospacing="0" w:after="0" w:afterAutospacing="0" w:line="360" w:lineRule="auto"/>
              <w:ind w:left="0" w:right="0"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6、</w:t>
            </w:r>
            <w:r>
              <w:rPr>
                <w:rFonts w:hint="default" w:ascii="Times New Roman" w:hAnsi="Times New Roman" w:eastAsia="宋体" w:cs="Times New Roman"/>
                <w:b/>
                <w:bCs/>
                <w:color w:val="auto"/>
                <w:sz w:val="24"/>
                <w:szCs w:val="24"/>
                <w:highlight w:val="none"/>
              </w:rPr>
              <w:t>主要生产设备</w:t>
            </w:r>
          </w:p>
          <w:p w14:paraId="1CB116FE">
            <w:pPr>
              <w:keepNext w:val="0"/>
              <w:keepLines w:val="0"/>
              <w:pageBreakBefore w:val="0"/>
              <w:suppressLineNumbers w:val="0"/>
              <w:kinsoku/>
              <w:wordWrap w:val="0"/>
              <w:overflowPunct/>
              <w:topLinePunct/>
              <w:autoSpaceDE/>
              <w:autoSpaceDN/>
              <w:bidi w:val="0"/>
              <w:spacing w:before="0" w:beforeAutospacing="0" w:after="0" w:afterAutospacing="0" w:line="360" w:lineRule="auto"/>
              <w:ind w:left="0" w:right="0" w:firstLine="508" w:firstLineChars="200"/>
              <w:jc w:val="left"/>
              <w:rPr>
                <w:rFonts w:hint="default" w:ascii="Times New Roman" w:hAnsi="Times New Roman" w:eastAsia="宋体" w:cs="Times New Roman"/>
                <w:b w:val="0"/>
                <w:bCs w:val="0"/>
                <w:snapToGrid w:val="0"/>
                <w:color w:val="auto"/>
                <w:spacing w:val="7"/>
                <w:kern w:val="0"/>
                <w:sz w:val="24"/>
                <w:szCs w:val="24"/>
                <w:highlight w:val="none"/>
                <w:lang w:val="en-US" w:eastAsia="zh-CN" w:bidi="ar-SA"/>
              </w:rPr>
            </w:pPr>
            <w:r>
              <w:rPr>
                <w:rFonts w:hint="default" w:ascii="Times New Roman" w:hAnsi="Times New Roman" w:eastAsia="宋体" w:cs="Times New Roman"/>
                <w:b w:val="0"/>
                <w:bCs w:val="0"/>
                <w:snapToGrid w:val="0"/>
                <w:color w:val="auto"/>
                <w:spacing w:val="7"/>
                <w:kern w:val="0"/>
                <w:sz w:val="24"/>
                <w:szCs w:val="24"/>
                <w:highlight w:val="none"/>
                <w:lang w:val="en-US" w:eastAsia="zh-CN" w:bidi="ar-SA"/>
              </w:rPr>
              <w:t>根据企业提供的资料，本项目主要生产单元、主要工艺、主要生产设施情况见表2-4。</w:t>
            </w:r>
          </w:p>
          <w:p w14:paraId="0409E0C1">
            <w:pPr>
              <w:pStyle w:val="39"/>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表2-4项目主要生产单元、主要工艺、主要生产设施情况一览表</w:t>
            </w:r>
          </w:p>
          <w:tbl>
            <w:tblPr>
              <w:tblStyle w:val="18"/>
              <w:tblW w:w="8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0"/>
              <w:gridCol w:w="1137"/>
              <w:gridCol w:w="2490"/>
              <w:gridCol w:w="1884"/>
              <w:gridCol w:w="651"/>
              <w:gridCol w:w="594"/>
            </w:tblGrid>
            <w:tr w14:paraId="5AFB9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24" w:type="pct"/>
                  <w:tcBorders>
                    <w:tl2br w:val="nil"/>
                    <w:tr2bl w:val="nil"/>
                  </w:tcBorders>
                  <w:noWrap w:val="0"/>
                  <w:vAlign w:val="center"/>
                </w:tcPr>
                <w:p w14:paraId="260008D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主要生产单元</w:t>
                  </w:r>
                </w:p>
              </w:tc>
              <w:tc>
                <w:tcPr>
                  <w:tcW w:w="669" w:type="pct"/>
                  <w:tcBorders>
                    <w:tl2br w:val="nil"/>
                    <w:tr2bl w:val="nil"/>
                  </w:tcBorders>
                  <w:noWrap w:val="0"/>
                  <w:vAlign w:val="center"/>
                </w:tcPr>
                <w:p w14:paraId="4406D3D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主要工艺</w:t>
                  </w:r>
                </w:p>
              </w:tc>
              <w:tc>
                <w:tcPr>
                  <w:tcW w:w="1465" w:type="pct"/>
                  <w:tcBorders>
                    <w:tl2br w:val="nil"/>
                    <w:tr2bl w:val="nil"/>
                  </w:tcBorders>
                  <w:noWrap w:val="0"/>
                  <w:vAlign w:val="center"/>
                </w:tcPr>
                <w:p w14:paraId="05C23E5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设施名称</w:t>
                  </w:r>
                </w:p>
              </w:tc>
              <w:tc>
                <w:tcPr>
                  <w:tcW w:w="1108" w:type="pct"/>
                  <w:tcBorders>
                    <w:tl2br w:val="nil"/>
                    <w:tr2bl w:val="nil"/>
                  </w:tcBorders>
                  <w:noWrap w:val="0"/>
                  <w:vAlign w:val="center"/>
                </w:tcPr>
                <w:p w14:paraId="032AA4A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设施型号</w:t>
                  </w:r>
                </w:p>
              </w:tc>
              <w:tc>
                <w:tcPr>
                  <w:tcW w:w="383" w:type="pct"/>
                  <w:tcBorders>
                    <w:tl2br w:val="nil"/>
                    <w:tr2bl w:val="nil"/>
                  </w:tcBorders>
                  <w:noWrap w:val="0"/>
                  <w:vAlign w:val="center"/>
                </w:tcPr>
                <w:p w14:paraId="109DACA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单位</w:t>
                  </w:r>
                </w:p>
              </w:tc>
              <w:tc>
                <w:tcPr>
                  <w:tcW w:w="349" w:type="pct"/>
                  <w:tcBorders>
                    <w:tl2br w:val="nil"/>
                    <w:tr2bl w:val="nil"/>
                  </w:tcBorders>
                  <w:noWrap w:val="0"/>
                  <w:vAlign w:val="center"/>
                </w:tcPr>
                <w:p w14:paraId="2643B69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数量</w:t>
                  </w:r>
                </w:p>
              </w:tc>
            </w:tr>
            <w:tr w14:paraId="51D45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024" w:type="pct"/>
                  <w:vMerge w:val="restart"/>
                  <w:tcBorders>
                    <w:tl2br w:val="nil"/>
                    <w:tr2bl w:val="nil"/>
                  </w:tcBorders>
                  <w:noWrap w:val="0"/>
                  <w:vAlign w:val="center"/>
                </w:tcPr>
                <w:p w14:paraId="15410CE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产品生产</w:t>
                  </w:r>
                </w:p>
              </w:tc>
              <w:tc>
                <w:tcPr>
                  <w:tcW w:w="669" w:type="pct"/>
                  <w:tcBorders>
                    <w:tl2br w:val="nil"/>
                    <w:tr2bl w:val="nil"/>
                  </w:tcBorders>
                  <w:noWrap w:val="0"/>
                  <w:vAlign w:val="center"/>
                </w:tcPr>
                <w:p w14:paraId="2CA1D54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上料</w:t>
                  </w:r>
                </w:p>
              </w:tc>
              <w:tc>
                <w:tcPr>
                  <w:tcW w:w="1465" w:type="pct"/>
                  <w:tcBorders>
                    <w:tl2br w:val="nil"/>
                    <w:tr2bl w:val="nil"/>
                  </w:tcBorders>
                  <w:noWrap w:val="0"/>
                  <w:vAlign w:val="top"/>
                </w:tcPr>
                <w:p w14:paraId="501311D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铲车</w:t>
                  </w:r>
                </w:p>
              </w:tc>
              <w:tc>
                <w:tcPr>
                  <w:tcW w:w="1108" w:type="pct"/>
                  <w:tcBorders>
                    <w:tl2br w:val="nil"/>
                    <w:tr2bl w:val="nil"/>
                  </w:tcBorders>
                  <w:noWrap w:val="0"/>
                  <w:vAlign w:val="top"/>
                </w:tcPr>
                <w:p w14:paraId="0A36839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CLG856HZTNL</w:t>
                  </w:r>
                </w:p>
              </w:tc>
              <w:tc>
                <w:tcPr>
                  <w:tcW w:w="383" w:type="pct"/>
                  <w:tcBorders>
                    <w:tl2br w:val="nil"/>
                    <w:tr2bl w:val="nil"/>
                  </w:tcBorders>
                  <w:noWrap w:val="0"/>
                  <w:vAlign w:val="top"/>
                </w:tcPr>
                <w:p w14:paraId="6125BAA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台</w:t>
                  </w:r>
                </w:p>
              </w:tc>
              <w:tc>
                <w:tcPr>
                  <w:tcW w:w="349" w:type="pct"/>
                  <w:tcBorders>
                    <w:tl2br w:val="nil"/>
                    <w:tr2bl w:val="nil"/>
                  </w:tcBorders>
                  <w:noWrap w:val="0"/>
                  <w:vAlign w:val="top"/>
                </w:tcPr>
                <w:p w14:paraId="0981396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w:t>
                  </w:r>
                </w:p>
              </w:tc>
            </w:tr>
            <w:tr w14:paraId="35BF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024" w:type="pct"/>
                  <w:vMerge w:val="continue"/>
                  <w:tcBorders>
                    <w:tl2br w:val="nil"/>
                    <w:tr2bl w:val="nil"/>
                  </w:tcBorders>
                  <w:noWrap w:val="0"/>
                  <w:vAlign w:val="center"/>
                </w:tcPr>
                <w:p w14:paraId="733914A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69" w:type="pct"/>
                  <w:tcBorders>
                    <w:tl2br w:val="nil"/>
                    <w:tr2bl w:val="nil"/>
                  </w:tcBorders>
                  <w:noWrap w:val="0"/>
                  <w:vAlign w:val="center"/>
                </w:tcPr>
                <w:p w14:paraId="1449201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计量</w:t>
                  </w:r>
                </w:p>
              </w:tc>
              <w:tc>
                <w:tcPr>
                  <w:tcW w:w="1465" w:type="pct"/>
                  <w:tcBorders>
                    <w:tl2br w:val="nil"/>
                    <w:tr2bl w:val="nil"/>
                  </w:tcBorders>
                  <w:noWrap w:val="0"/>
                  <w:vAlign w:val="top"/>
                </w:tcPr>
                <w:p w14:paraId="265377F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石粉</w:t>
                  </w:r>
                  <w:r>
                    <w:rPr>
                      <w:rFonts w:hint="default" w:ascii="Times New Roman" w:hAnsi="Times New Roman" w:eastAsia="宋体" w:cs="Times New Roman"/>
                      <w:b w:val="0"/>
                      <w:bCs w:val="0"/>
                      <w:color w:val="auto"/>
                      <w:sz w:val="21"/>
                      <w:szCs w:val="21"/>
                      <w:highlight w:val="none"/>
                      <w:lang w:val="en-US" w:eastAsia="zh-CN"/>
                    </w:rPr>
                    <w:t>皮带秤</w:t>
                  </w:r>
                  <w:r>
                    <w:rPr>
                      <w:rFonts w:hint="eastAsia" w:ascii="Times New Roman" w:hAnsi="Times New Roman" w:eastAsia="宋体" w:cs="Times New Roman"/>
                      <w:b w:val="0"/>
                      <w:bCs w:val="0"/>
                      <w:color w:val="auto"/>
                      <w:sz w:val="21"/>
                      <w:szCs w:val="21"/>
                      <w:highlight w:val="none"/>
                      <w:lang w:val="en-US" w:eastAsia="zh-CN"/>
                    </w:rPr>
                    <w:t>电机</w:t>
                  </w:r>
                </w:p>
              </w:tc>
              <w:tc>
                <w:tcPr>
                  <w:tcW w:w="1108" w:type="pct"/>
                  <w:tcBorders>
                    <w:tl2br w:val="nil"/>
                    <w:tr2bl w:val="nil"/>
                  </w:tcBorders>
                  <w:noWrap w:val="0"/>
                  <w:vAlign w:val="top"/>
                </w:tcPr>
                <w:p w14:paraId="3BEA8B1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SBD75</w:t>
                  </w:r>
                  <w:r>
                    <w:rPr>
                      <w:rFonts w:hint="eastAsia" w:ascii="Times New Roman" w:hAnsi="Times New Roman" w:eastAsia="宋体" w:cs="Times New Roman"/>
                      <w:b w:val="0"/>
                      <w:bCs w:val="0"/>
                      <w:color w:val="auto"/>
                      <w:sz w:val="21"/>
                      <w:szCs w:val="21"/>
                      <w:highlight w:val="none"/>
                      <w:lang w:val="en-US" w:eastAsia="zh-CN"/>
                    </w:rPr>
                    <w:t>（150t/h）</w:t>
                  </w:r>
                </w:p>
              </w:tc>
              <w:tc>
                <w:tcPr>
                  <w:tcW w:w="383" w:type="pct"/>
                  <w:tcBorders>
                    <w:tl2br w:val="nil"/>
                    <w:tr2bl w:val="nil"/>
                  </w:tcBorders>
                  <w:noWrap w:val="0"/>
                  <w:vAlign w:val="top"/>
                </w:tcPr>
                <w:p w14:paraId="353AF89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台</w:t>
                  </w:r>
                </w:p>
              </w:tc>
              <w:tc>
                <w:tcPr>
                  <w:tcW w:w="349" w:type="pct"/>
                  <w:tcBorders>
                    <w:tl2br w:val="nil"/>
                    <w:tr2bl w:val="nil"/>
                  </w:tcBorders>
                  <w:noWrap w:val="0"/>
                  <w:vAlign w:val="top"/>
                </w:tcPr>
                <w:p w14:paraId="16F5BE5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w:t>
                  </w:r>
                </w:p>
              </w:tc>
            </w:tr>
            <w:tr w14:paraId="0821D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024" w:type="pct"/>
                  <w:vMerge w:val="continue"/>
                  <w:tcBorders>
                    <w:tl2br w:val="nil"/>
                    <w:tr2bl w:val="nil"/>
                  </w:tcBorders>
                  <w:noWrap w:val="0"/>
                  <w:vAlign w:val="center"/>
                </w:tcPr>
                <w:p w14:paraId="59791C5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69" w:type="pct"/>
                  <w:tcBorders>
                    <w:tl2br w:val="nil"/>
                    <w:tr2bl w:val="nil"/>
                  </w:tcBorders>
                  <w:noWrap w:val="0"/>
                  <w:vAlign w:val="center"/>
                </w:tcPr>
                <w:p w14:paraId="61B0A93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计量</w:t>
                  </w:r>
                </w:p>
              </w:tc>
              <w:tc>
                <w:tcPr>
                  <w:tcW w:w="1465" w:type="pct"/>
                  <w:tcBorders>
                    <w:tl2br w:val="nil"/>
                    <w:tr2bl w:val="nil"/>
                  </w:tcBorders>
                  <w:noWrap w:val="0"/>
                  <w:vAlign w:val="top"/>
                </w:tcPr>
                <w:p w14:paraId="3876FE5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工业盐皮带秤电机</w:t>
                  </w:r>
                </w:p>
              </w:tc>
              <w:tc>
                <w:tcPr>
                  <w:tcW w:w="1108" w:type="pct"/>
                  <w:tcBorders>
                    <w:tl2br w:val="nil"/>
                    <w:tr2bl w:val="nil"/>
                  </w:tcBorders>
                  <w:noWrap w:val="0"/>
                  <w:vAlign w:val="top"/>
                </w:tcPr>
                <w:p w14:paraId="3C4B797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SBD75</w:t>
                  </w:r>
                  <w:r>
                    <w:rPr>
                      <w:rFonts w:hint="eastAsia" w:ascii="Times New Roman" w:hAnsi="Times New Roman" w:eastAsia="宋体" w:cs="Times New Roman"/>
                      <w:b w:val="0"/>
                      <w:bCs w:val="0"/>
                      <w:color w:val="auto"/>
                      <w:sz w:val="21"/>
                      <w:szCs w:val="21"/>
                      <w:highlight w:val="none"/>
                      <w:lang w:val="en-US" w:eastAsia="zh-CN"/>
                    </w:rPr>
                    <w:t>（10t/h）</w:t>
                  </w:r>
                </w:p>
              </w:tc>
              <w:tc>
                <w:tcPr>
                  <w:tcW w:w="383" w:type="pct"/>
                  <w:tcBorders>
                    <w:tl2br w:val="nil"/>
                    <w:tr2bl w:val="nil"/>
                  </w:tcBorders>
                  <w:noWrap w:val="0"/>
                  <w:vAlign w:val="top"/>
                </w:tcPr>
                <w:p w14:paraId="01349B1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台</w:t>
                  </w:r>
                </w:p>
              </w:tc>
              <w:tc>
                <w:tcPr>
                  <w:tcW w:w="349" w:type="pct"/>
                  <w:tcBorders>
                    <w:tl2br w:val="nil"/>
                    <w:tr2bl w:val="nil"/>
                  </w:tcBorders>
                  <w:noWrap w:val="0"/>
                  <w:vAlign w:val="top"/>
                </w:tcPr>
                <w:p w14:paraId="3B8516C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w:t>
                  </w:r>
                </w:p>
              </w:tc>
            </w:tr>
            <w:tr w14:paraId="13C72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024" w:type="pct"/>
                  <w:vMerge w:val="continue"/>
                  <w:tcBorders>
                    <w:tl2br w:val="nil"/>
                    <w:tr2bl w:val="nil"/>
                  </w:tcBorders>
                  <w:noWrap w:val="0"/>
                  <w:vAlign w:val="center"/>
                </w:tcPr>
                <w:p w14:paraId="34B75A7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69" w:type="pct"/>
                  <w:tcBorders>
                    <w:tl2br w:val="nil"/>
                    <w:tr2bl w:val="nil"/>
                  </w:tcBorders>
                  <w:noWrap w:val="0"/>
                  <w:vAlign w:val="center"/>
                </w:tcPr>
                <w:p w14:paraId="006B445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混合</w:t>
                  </w:r>
                </w:p>
              </w:tc>
              <w:tc>
                <w:tcPr>
                  <w:tcW w:w="1465" w:type="pct"/>
                  <w:tcBorders>
                    <w:tl2br w:val="nil"/>
                    <w:tr2bl w:val="nil"/>
                  </w:tcBorders>
                  <w:noWrap w:val="0"/>
                  <w:vAlign w:val="top"/>
                </w:tcPr>
                <w:p w14:paraId="2243D4B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输送</w:t>
                  </w:r>
                  <w:r>
                    <w:rPr>
                      <w:rFonts w:hint="eastAsia" w:ascii="Times New Roman" w:hAnsi="Times New Roman" w:eastAsia="宋体" w:cs="Times New Roman"/>
                      <w:b w:val="0"/>
                      <w:bCs w:val="0"/>
                      <w:color w:val="auto"/>
                      <w:sz w:val="21"/>
                      <w:szCs w:val="21"/>
                      <w:highlight w:val="none"/>
                      <w:lang w:val="en-US" w:eastAsia="zh-CN"/>
                    </w:rPr>
                    <w:t>皮</w:t>
                  </w:r>
                  <w:r>
                    <w:rPr>
                      <w:rFonts w:hint="default" w:ascii="Times New Roman" w:hAnsi="Times New Roman" w:eastAsia="宋体" w:cs="Times New Roman"/>
                      <w:b w:val="0"/>
                      <w:bCs w:val="0"/>
                      <w:color w:val="auto"/>
                      <w:sz w:val="21"/>
                      <w:szCs w:val="21"/>
                      <w:highlight w:val="none"/>
                      <w:lang w:val="en-US" w:eastAsia="zh-CN"/>
                    </w:rPr>
                    <w:t>带</w:t>
                  </w:r>
                  <w:r>
                    <w:rPr>
                      <w:rFonts w:hint="eastAsia" w:ascii="Times New Roman" w:hAnsi="Times New Roman" w:eastAsia="宋体" w:cs="Times New Roman"/>
                      <w:b w:val="0"/>
                      <w:bCs w:val="0"/>
                      <w:color w:val="auto"/>
                      <w:sz w:val="21"/>
                      <w:szCs w:val="21"/>
                      <w:highlight w:val="none"/>
                      <w:lang w:val="en-US" w:eastAsia="zh-CN"/>
                    </w:rPr>
                    <w:t>电机</w:t>
                  </w:r>
                </w:p>
              </w:tc>
              <w:tc>
                <w:tcPr>
                  <w:tcW w:w="1108" w:type="pct"/>
                  <w:tcBorders>
                    <w:tl2br w:val="nil"/>
                    <w:tr2bl w:val="nil"/>
                  </w:tcBorders>
                  <w:noWrap w:val="0"/>
                  <w:vAlign w:val="top"/>
                </w:tcPr>
                <w:p w14:paraId="352E1C5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TDY75</w:t>
                  </w:r>
                  <w:r>
                    <w:rPr>
                      <w:rFonts w:hint="eastAsia" w:ascii="Times New Roman" w:hAnsi="Times New Roman" w:eastAsia="宋体" w:cs="Times New Roman"/>
                      <w:b w:val="0"/>
                      <w:bCs w:val="0"/>
                      <w:color w:val="auto"/>
                      <w:sz w:val="21"/>
                      <w:szCs w:val="21"/>
                      <w:highlight w:val="none"/>
                      <w:lang w:val="en-US" w:eastAsia="zh-CN"/>
                    </w:rPr>
                    <w:t>（150t/h）</w:t>
                  </w:r>
                </w:p>
              </w:tc>
              <w:tc>
                <w:tcPr>
                  <w:tcW w:w="383" w:type="pct"/>
                  <w:tcBorders>
                    <w:tl2br w:val="nil"/>
                    <w:tr2bl w:val="nil"/>
                  </w:tcBorders>
                  <w:noWrap w:val="0"/>
                  <w:vAlign w:val="top"/>
                </w:tcPr>
                <w:p w14:paraId="4DF5C2F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条</w:t>
                  </w:r>
                </w:p>
              </w:tc>
              <w:tc>
                <w:tcPr>
                  <w:tcW w:w="349" w:type="pct"/>
                  <w:tcBorders>
                    <w:tl2br w:val="nil"/>
                    <w:tr2bl w:val="nil"/>
                  </w:tcBorders>
                  <w:noWrap w:val="0"/>
                  <w:vAlign w:val="top"/>
                </w:tcPr>
                <w:p w14:paraId="25D6776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2</w:t>
                  </w:r>
                </w:p>
              </w:tc>
            </w:tr>
            <w:tr w14:paraId="4BBC2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024" w:type="pct"/>
                  <w:tcBorders>
                    <w:tl2br w:val="nil"/>
                    <w:tr2bl w:val="nil"/>
                  </w:tcBorders>
                  <w:noWrap w:val="0"/>
                  <w:vAlign w:val="center"/>
                </w:tcPr>
                <w:p w14:paraId="4BAFCE7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除尘</w:t>
                  </w:r>
                </w:p>
              </w:tc>
              <w:tc>
                <w:tcPr>
                  <w:tcW w:w="669" w:type="pct"/>
                  <w:tcBorders>
                    <w:tl2br w:val="nil"/>
                    <w:tr2bl w:val="nil"/>
                  </w:tcBorders>
                  <w:noWrap w:val="0"/>
                  <w:vAlign w:val="center"/>
                </w:tcPr>
                <w:p w14:paraId="7C5DA61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除尘</w:t>
                  </w:r>
                </w:p>
              </w:tc>
              <w:tc>
                <w:tcPr>
                  <w:tcW w:w="1465" w:type="pct"/>
                  <w:tcBorders>
                    <w:tl2br w:val="nil"/>
                    <w:tr2bl w:val="nil"/>
                  </w:tcBorders>
                  <w:noWrap w:val="0"/>
                  <w:vAlign w:val="top"/>
                </w:tcPr>
                <w:p w14:paraId="61120E0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布袋除尘器</w:t>
                  </w:r>
                </w:p>
              </w:tc>
              <w:tc>
                <w:tcPr>
                  <w:tcW w:w="1108" w:type="pct"/>
                  <w:tcBorders>
                    <w:tl2br w:val="nil"/>
                    <w:tr2bl w:val="nil"/>
                  </w:tcBorders>
                  <w:noWrap w:val="0"/>
                  <w:vAlign w:val="top"/>
                </w:tcPr>
                <w:p w14:paraId="414010C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w:t>
                  </w:r>
                </w:p>
              </w:tc>
              <w:tc>
                <w:tcPr>
                  <w:tcW w:w="383" w:type="pct"/>
                  <w:tcBorders>
                    <w:tl2br w:val="nil"/>
                    <w:tr2bl w:val="nil"/>
                  </w:tcBorders>
                  <w:noWrap w:val="0"/>
                  <w:vAlign w:val="top"/>
                </w:tcPr>
                <w:p w14:paraId="1A5F57F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套</w:t>
                  </w:r>
                </w:p>
              </w:tc>
              <w:tc>
                <w:tcPr>
                  <w:tcW w:w="349" w:type="pct"/>
                  <w:tcBorders>
                    <w:tl2br w:val="nil"/>
                    <w:tr2bl w:val="nil"/>
                  </w:tcBorders>
                  <w:noWrap w:val="0"/>
                  <w:vAlign w:val="top"/>
                </w:tcPr>
                <w:p w14:paraId="4884583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w:t>
                  </w:r>
                </w:p>
              </w:tc>
            </w:tr>
          </w:tbl>
          <w:p w14:paraId="6D3F617D">
            <w:pPr>
              <w:pStyle w:val="25"/>
              <w:pageBreakBefore w:val="0"/>
              <w:kinsoku/>
              <w:wordWrap w:val="0"/>
              <w:overflowPunct/>
              <w:topLinePunct/>
              <w:autoSpaceDE/>
              <w:autoSpaceDN/>
              <w:bidi w:val="0"/>
              <w:spacing w:line="360" w:lineRule="auto"/>
              <w:ind w:left="0" w:firstLine="49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2"/>
                <w:sz w:val="24"/>
                <w:szCs w:val="24"/>
                <w:highlight w:val="none"/>
                <w:lang w:val="en-US" w:eastAsia="zh-CN"/>
              </w:rPr>
              <w:t>7</w:t>
            </w:r>
            <w:r>
              <w:rPr>
                <w:rFonts w:hint="default" w:ascii="Times New Roman" w:hAnsi="Times New Roman" w:eastAsia="宋体" w:cs="Times New Roman"/>
                <w:b/>
                <w:bCs/>
                <w:color w:val="auto"/>
                <w:spacing w:val="2"/>
                <w:sz w:val="24"/>
                <w:szCs w:val="24"/>
                <w:highlight w:val="none"/>
              </w:rPr>
              <w:t>、公用工程</w:t>
            </w:r>
          </w:p>
          <w:p w14:paraId="2E72D1DF">
            <w:pPr>
              <w:pStyle w:val="25"/>
              <w:pageBreakBefore w:val="0"/>
              <w:kinsoku/>
              <w:wordWrap w:val="0"/>
              <w:overflowPunct/>
              <w:topLinePunct/>
              <w:autoSpaceDE/>
              <w:autoSpaceDN/>
              <w:bidi w:val="0"/>
              <w:spacing w:line="360" w:lineRule="auto"/>
              <w:ind w:left="0" w:right="0" w:firstLine="50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5"/>
                <w:position w:val="1"/>
                <w:sz w:val="24"/>
                <w:szCs w:val="24"/>
                <w:highlight w:val="none"/>
              </w:rPr>
              <w:t>（1）给水</w:t>
            </w:r>
          </w:p>
          <w:p w14:paraId="263137F7">
            <w:pPr>
              <w:pStyle w:val="25"/>
              <w:pageBreakBefore w:val="0"/>
              <w:kinsoku/>
              <w:wordWrap w:val="0"/>
              <w:overflowPunct/>
              <w:topLinePunct/>
              <w:autoSpaceDE/>
              <w:autoSpaceDN/>
              <w:bidi w:val="0"/>
              <w:spacing w:line="360" w:lineRule="auto"/>
              <w:ind w:left="0" w:right="0" w:firstLine="516" w:firstLineChars="200"/>
              <w:jc w:val="both"/>
              <w:rPr>
                <w:rFonts w:hint="default" w:ascii="Times New Roman" w:hAnsi="Times New Roman" w:eastAsia="宋体" w:cs="Times New Roman"/>
                <w:color w:val="auto"/>
                <w:spacing w:val="9"/>
                <w:sz w:val="24"/>
                <w:szCs w:val="24"/>
                <w:highlight w:val="none"/>
              </w:rPr>
            </w:pPr>
            <w:r>
              <w:rPr>
                <w:rFonts w:hint="default" w:ascii="Times New Roman" w:hAnsi="Times New Roman" w:eastAsia="宋体" w:cs="Times New Roman"/>
                <w:color w:val="auto"/>
                <w:spacing w:val="9"/>
                <w:sz w:val="24"/>
                <w:szCs w:val="24"/>
                <w:highlight w:val="none"/>
              </w:rPr>
              <w:t>项目用水由</w:t>
            </w:r>
            <w:r>
              <w:rPr>
                <w:rFonts w:hint="default" w:ascii="Times New Roman" w:hAnsi="Times New Roman" w:eastAsia="宋体" w:cs="Times New Roman"/>
                <w:color w:val="auto"/>
                <w:spacing w:val="9"/>
                <w:sz w:val="24"/>
                <w:szCs w:val="24"/>
                <w:highlight w:val="none"/>
                <w:lang w:val="en-US" w:eastAsia="zh-CN"/>
              </w:rPr>
              <w:t>园区</w:t>
            </w:r>
            <w:r>
              <w:rPr>
                <w:rFonts w:hint="default" w:ascii="Times New Roman" w:hAnsi="Times New Roman" w:eastAsia="宋体" w:cs="Times New Roman"/>
                <w:color w:val="auto"/>
                <w:spacing w:val="9"/>
                <w:sz w:val="24"/>
                <w:szCs w:val="24"/>
                <w:highlight w:val="none"/>
              </w:rPr>
              <w:t>供水管网供给，水质、水量均能满足项目用水要求。</w:t>
            </w:r>
            <w:r>
              <w:rPr>
                <w:rFonts w:hint="default" w:ascii="Times New Roman" w:hAnsi="Times New Roman" w:eastAsia="宋体" w:cs="Times New Roman"/>
                <w:color w:val="auto"/>
                <w:spacing w:val="9"/>
                <w:sz w:val="24"/>
                <w:szCs w:val="24"/>
                <w:highlight w:val="none"/>
                <w:lang w:val="en-US" w:eastAsia="zh-CN"/>
              </w:rPr>
              <w:t>项目只有生活用水，生产不用水，</w:t>
            </w:r>
            <w:r>
              <w:rPr>
                <w:rFonts w:hint="default" w:ascii="Times New Roman" w:hAnsi="Times New Roman" w:eastAsia="宋体" w:cs="Times New Roman"/>
                <w:color w:val="auto"/>
                <w:spacing w:val="9"/>
                <w:sz w:val="24"/>
                <w:szCs w:val="24"/>
                <w:highlight w:val="none"/>
              </w:rPr>
              <w:t>根据《新疆维吾尔自治区生活用水定额》，</w:t>
            </w:r>
            <w:r>
              <w:rPr>
                <w:rFonts w:hint="default" w:ascii="Times New Roman" w:hAnsi="Times New Roman" w:eastAsia="宋体" w:cs="Times New Roman"/>
                <w:color w:val="auto"/>
                <w:spacing w:val="9"/>
                <w:sz w:val="24"/>
                <w:szCs w:val="24"/>
                <w:highlight w:val="none"/>
                <w:lang w:val="en-US" w:eastAsia="zh-CN"/>
              </w:rPr>
              <w:t>项目新增</w:t>
            </w:r>
            <w:r>
              <w:rPr>
                <w:rFonts w:hint="default" w:ascii="Times New Roman" w:hAnsi="Times New Roman" w:eastAsia="宋体" w:cs="Times New Roman"/>
                <w:color w:val="auto"/>
                <w:spacing w:val="9"/>
                <w:sz w:val="24"/>
                <w:szCs w:val="24"/>
                <w:highlight w:val="none"/>
              </w:rPr>
              <w:t>员工生活用水按</w:t>
            </w:r>
            <w:r>
              <w:rPr>
                <w:rFonts w:hint="default" w:ascii="Times New Roman" w:hAnsi="Times New Roman" w:eastAsia="宋体" w:cs="Times New Roman"/>
                <w:color w:val="auto"/>
                <w:spacing w:val="9"/>
                <w:sz w:val="24"/>
                <w:szCs w:val="24"/>
                <w:highlight w:val="none"/>
                <w:lang w:val="en-US" w:eastAsia="zh-CN"/>
              </w:rPr>
              <w:t>10</w:t>
            </w:r>
            <w:r>
              <w:rPr>
                <w:rFonts w:hint="default" w:ascii="Times New Roman" w:hAnsi="Times New Roman" w:eastAsia="宋体" w:cs="Times New Roman"/>
                <w:color w:val="auto"/>
                <w:spacing w:val="9"/>
                <w:sz w:val="24"/>
                <w:szCs w:val="24"/>
                <w:highlight w:val="none"/>
              </w:rPr>
              <w:t>0L/人·d，项目共</w:t>
            </w:r>
            <w:r>
              <w:rPr>
                <w:rFonts w:hint="default" w:ascii="Times New Roman" w:hAnsi="Times New Roman" w:eastAsia="宋体" w:cs="Times New Roman"/>
                <w:color w:val="auto"/>
                <w:spacing w:val="9"/>
                <w:sz w:val="24"/>
                <w:szCs w:val="24"/>
                <w:highlight w:val="none"/>
                <w:lang w:eastAsia="zh-CN"/>
              </w:rPr>
              <w:t>有员工</w:t>
            </w:r>
            <w:r>
              <w:rPr>
                <w:rFonts w:hint="default" w:ascii="Times New Roman" w:hAnsi="Times New Roman" w:eastAsia="宋体" w:cs="Times New Roman"/>
                <w:color w:val="auto"/>
                <w:spacing w:val="9"/>
                <w:sz w:val="24"/>
                <w:szCs w:val="24"/>
                <w:highlight w:val="none"/>
                <w:lang w:val="en-US" w:eastAsia="zh-CN"/>
              </w:rPr>
              <w:t>8</w:t>
            </w:r>
            <w:r>
              <w:rPr>
                <w:rFonts w:hint="default" w:ascii="Times New Roman" w:hAnsi="Times New Roman" w:eastAsia="宋体" w:cs="Times New Roman"/>
                <w:color w:val="auto"/>
                <w:spacing w:val="9"/>
                <w:sz w:val="24"/>
                <w:szCs w:val="24"/>
                <w:highlight w:val="none"/>
              </w:rPr>
              <w:t>人，年工作210天，则项目生活用水量为</w:t>
            </w:r>
            <w:r>
              <w:rPr>
                <w:rFonts w:hint="default" w:ascii="Times New Roman" w:hAnsi="Times New Roman" w:eastAsia="宋体" w:cs="Times New Roman"/>
                <w:color w:val="auto"/>
                <w:spacing w:val="9"/>
                <w:sz w:val="24"/>
                <w:szCs w:val="24"/>
                <w:highlight w:val="none"/>
                <w:lang w:val="en-US" w:eastAsia="zh-CN"/>
              </w:rPr>
              <w:t>0.8</w:t>
            </w:r>
            <w:r>
              <w:rPr>
                <w:rFonts w:hint="default" w:ascii="Times New Roman" w:hAnsi="Times New Roman" w:eastAsia="宋体" w:cs="Times New Roman"/>
                <w:color w:val="auto"/>
                <w:spacing w:val="9"/>
                <w:sz w:val="24"/>
                <w:szCs w:val="24"/>
                <w:highlight w:val="none"/>
              </w:rPr>
              <w:t>m</w:t>
            </w:r>
            <w:r>
              <w:rPr>
                <w:rFonts w:hint="default" w:ascii="Times New Roman" w:hAnsi="Times New Roman" w:eastAsia="宋体" w:cs="Times New Roman"/>
                <w:color w:val="auto"/>
                <w:spacing w:val="9"/>
                <w:sz w:val="24"/>
                <w:szCs w:val="24"/>
                <w:highlight w:val="none"/>
                <w:vertAlign w:val="superscript"/>
                <w:lang w:val="en-US" w:eastAsia="zh-CN"/>
              </w:rPr>
              <w:t>3</w:t>
            </w:r>
            <w:r>
              <w:rPr>
                <w:rFonts w:hint="default" w:ascii="Times New Roman" w:hAnsi="Times New Roman" w:eastAsia="宋体" w:cs="Times New Roman"/>
                <w:color w:val="auto"/>
                <w:spacing w:val="9"/>
                <w:sz w:val="24"/>
                <w:szCs w:val="24"/>
                <w:highlight w:val="none"/>
              </w:rPr>
              <w:t>/d（168m</w:t>
            </w:r>
            <w:r>
              <w:rPr>
                <w:rFonts w:hint="default" w:ascii="Times New Roman" w:hAnsi="Times New Roman" w:eastAsia="宋体" w:cs="Times New Roman"/>
                <w:color w:val="auto"/>
                <w:spacing w:val="9"/>
                <w:sz w:val="24"/>
                <w:szCs w:val="24"/>
                <w:highlight w:val="none"/>
                <w:vertAlign w:val="superscript"/>
                <w:lang w:val="en-US" w:eastAsia="zh-CN"/>
              </w:rPr>
              <w:t>3</w:t>
            </w:r>
            <w:r>
              <w:rPr>
                <w:rFonts w:hint="default" w:ascii="Times New Roman" w:hAnsi="Times New Roman" w:eastAsia="宋体" w:cs="Times New Roman"/>
                <w:color w:val="auto"/>
                <w:spacing w:val="9"/>
                <w:sz w:val="24"/>
                <w:szCs w:val="24"/>
                <w:highlight w:val="none"/>
              </w:rPr>
              <w:t>/a）。</w:t>
            </w:r>
          </w:p>
          <w:p w14:paraId="07F26B6B">
            <w:pPr>
              <w:pStyle w:val="25"/>
              <w:pageBreakBefore w:val="0"/>
              <w:kinsoku/>
              <w:wordWrap w:val="0"/>
              <w:overflowPunct/>
              <w:topLinePunct/>
              <w:autoSpaceDE/>
              <w:autoSpaceDN/>
              <w:bidi w:val="0"/>
              <w:spacing w:line="360" w:lineRule="auto"/>
              <w:ind w:left="0" w:right="0" w:firstLine="500" w:firstLineChars="200"/>
              <w:rPr>
                <w:rFonts w:hint="default" w:ascii="Times New Roman" w:hAnsi="Times New Roman" w:eastAsia="宋体" w:cs="Times New Roman"/>
                <w:color w:val="auto"/>
                <w:spacing w:val="5"/>
                <w:position w:val="1"/>
                <w:sz w:val="24"/>
                <w:szCs w:val="24"/>
                <w:highlight w:val="none"/>
                <w:lang w:val="en-US" w:eastAsia="zh-CN"/>
              </w:rPr>
            </w:pPr>
            <w:r>
              <w:rPr>
                <w:rFonts w:hint="default" w:ascii="Times New Roman" w:hAnsi="Times New Roman" w:eastAsia="宋体" w:cs="Times New Roman"/>
                <w:color w:val="auto"/>
                <w:spacing w:val="5"/>
                <w:position w:val="1"/>
                <w:sz w:val="24"/>
                <w:szCs w:val="24"/>
                <w:highlight w:val="none"/>
                <w:lang w:eastAsia="zh-CN"/>
              </w:rPr>
              <w:t>（</w:t>
            </w:r>
            <w:r>
              <w:rPr>
                <w:rFonts w:hint="default" w:ascii="Times New Roman" w:hAnsi="Times New Roman" w:eastAsia="宋体" w:cs="Times New Roman"/>
                <w:color w:val="auto"/>
                <w:spacing w:val="5"/>
                <w:position w:val="1"/>
                <w:sz w:val="24"/>
                <w:szCs w:val="24"/>
                <w:highlight w:val="none"/>
                <w:lang w:val="en-US" w:eastAsia="zh-CN"/>
              </w:rPr>
              <w:t>2</w:t>
            </w:r>
            <w:r>
              <w:rPr>
                <w:rFonts w:hint="default" w:ascii="Times New Roman" w:hAnsi="Times New Roman" w:eastAsia="宋体" w:cs="Times New Roman"/>
                <w:color w:val="auto"/>
                <w:spacing w:val="5"/>
                <w:position w:val="1"/>
                <w:sz w:val="24"/>
                <w:szCs w:val="24"/>
                <w:highlight w:val="none"/>
                <w:lang w:eastAsia="zh-CN"/>
              </w:rPr>
              <w:t>）</w:t>
            </w:r>
            <w:r>
              <w:rPr>
                <w:rFonts w:hint="default" w:ascii="Times New Roman" w:hAnsi="Times New Roman" w:eastAsia="宋体" w:cs="Times New Roman"/>
                <w:color w:val="auto"/>
                <w:spacing w:val="5"/>
                <w:position w:val="1"/>
                <w:sz w:val="24"/>
                <w:szCs w:val="24"/>
                <w:highlight w:val="none"/>
                <w:lang w:val="en-US" w:eastAsia="zh-CN"/>
              </w:rPr>
              <w:t>排水</w:t>
            </w:r>
          </w:p>
          <w:p w14:paraId="11332DDE">
            <w:pPr>
              <w:pStyle w:val="25"/>
              <w:pageBreakBefore w:val="0"/>
              <w:kinsoku/>
              <w:wordWrap w:val="0"/>
              <w:overflowPunct/>
              <w:topLinePunct/>
              <w:autoSpaceDE/>
              <w:autoSpaceDN/>
              <w:bidi w:val="0"/>
              <w:spacing w:line="360" w:lineRule="auto"/>
              <w:ind w:left="0" w:right="0" w:firstLine="516" w:firstLineChars="20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pacing w:val="9"/>
                <w:sz w:val="24"/>
                <w:szCs w:val="24"/>
                <w:highlight w:val="none"/>
              </w:rPr>
              <w:t>项目生活用水量</w:t>
            </w:r>
            <w:r>
              <w:rPr>
                <w:rFonts w:hint="default" w:ascii="Times New Roman" w:hAnsi="Times New Roman" w:eastAsia="宋体" w:cs="Times New Roman"/>
                <w:color w:val="auto"/>
                <w:spacing w:val="9"/>
                <w:sz w:val="24"/>
                <w:szCs w:val="24"/>
                <w:highlight w:val="none"/>
                <w:lang w:val="en-US" w:eastAsia="zh-CN"/>
              </w:rPr>
              <w:t>0.8</w:t>
            </w:r>
            <w:r>
              <w:rPr>
                <w:rFonts w:hint="default" w:ascii="Times New Roman" w:hAnsi="Times New Roman" w:eastAsia="宋体" w:cs="Times New Roman"/>
                <w:color w:val="auto"/>
                <w:spacing w:val="9"/>
                <w:sz w:val="24"/>
                <w:szCs w:val="24"/>
                <w:highlight w:val="none"/>
              </w:rPr>
              <w:t>m</w:t>
            </w:r>
            <w:r>
              <w:rPr>
                <w:rFonts w:hint="default" w:ascii="Times New Roman" w:hAnsi="Times New Roman" w:eastAsia="宋体" w:cs="Times New Roman"/>
                <w:color w:val="auto"/>
                <w:spacing w:val="9"/>
                <w:sz w:val="24"/>
                <w:szCs w:val="24"/>
                <w:highlight w:val="none"/>
                <w:vertAlign w:val="superscript"/>
                <w:lang w:val="en-US" w:eastAsia="zh-CN"/>
              </w:rPr>
              <w:t>3</w:t>
            </w:r>
            <w:r>
              <w:rPr>
                <w:rFonts w:hint="default" w:ascii="Times New Roman" w:hAnsi="Times New Roman" w:eastAsia="宋体" w:cs="Times New Roman"/>
                <w:color w:val="auto"/>
                <w:spacing w:val="9"/>
                <w:sz w:val="24"/>
                <w:szCs w:val="24"/>
                <w:highlight w:val="none"/>
              </w:rPr>
              <w:t>/d（168m</w:t>
            </w:r>
            <w:r>
              <w:rPr>
                <w:rFonts w:hint="default" w:ascii="Times New Roman" w:hAnsi="Times New Roman" w:eastAsia="宋体" w:cs="Times New Roman"/>
                <w:color w:val="auto"/>
                <w:spacing w:val="9"/>
                <w:sz w:val="24"/>
                <w:szCs w:val="24"/>
                <w:highlight w:val="none"/>
                <w:vertAlign w:val="superscript"/>
                <w:lang w:val="en-US" w:eastAsia="zh-CN"/>
              </w:rPr>
              <w:t>3</w:t>
            </w:r>
            <w:r>
              <w:rPr>
                <w:rFonts w:hint="default" w:ascii="Times New Roman" w:hAnsi="Times New Roman" w:eastAsia="宋体" w:cs="Times New Roman"/>
                <w:color w:val="auto"/>
                <w:spacing w:val="9"/>
                <w:sz w:val="24"/>
                <w:szCs w:val="24"/>
                <w:highlight w:val="none"/>
              </w:rPr>
              <w:t>/a）。</w:t>
            </w:r>
            <w:r>
              <w:rPr>
                <w:rFonts w:hint="default" w:ascii="Times New Roman" w:hAnsi="Times New Roman" w:eastAsia="宋体" w:cs="Times New Roman"/>
                <w:color w:val="auto"/>
                <w:sz w:val="24"/>
                <w:szCs w:val="24"/>
                <w:highlight w:val="none"/>
                <w:lang w:eastAsia="zh-CN"/>
              </w:rPr>
              <w:t>排水系数取0.</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eastAsia="zh-CN"/>
              </w:rPr>
              <w:t>，则</w:t>
            </w:r>
            <w:r>
              <w:rPr>
                <w:rFonts w:hint="default" w:ascii="Times New Roman" w:hAnsi="Times New Roman" w:eastAsia="宋体" w:cs="Times New Roman"/>
                <w:color w:val="auto"/>
                <w:spacing w:val="9"/>
                <w:sz w:val="24"/>
                <w:szCs w:val="24"/>
                <w:highlight w:val="none"/>
              </w:rPr>
              <w:t>生活</w:t>
            </w:r>
            <w:r>
              <w:rPr>
                <w:rFonts w:hint="default" w:ascii="Times New Roman" w:hAnsi="Times New Roman" w:eastAsia="宋体" w:cs="Times New Roman"/>
                <w:color w:val="auto"/>
                <w:spacing w:val="12"/>
                <w:sz w:val="24"/>
                <w:szCs w:val="24"/>
                <w:highlight w:val="none"/>
              </w:rPr>
              <w:t>污</w:t>
            </w:r>
            <w:r>
              <w:rPr>
                <w:rFonts w:hint="default" w:ascii="Times New Roman" w:hAnsi="Times New Roman" w:eastAsia="宋体" w:cs="Times New Roman"/>
                <w:color w:val="auto"/>
                <w:sz w:val="24"/>
                <w:szCs w:val="24"/>
                <w:highlight w:val="none"/>
                <w:lang w:eastAsia="zh-CN"/>
              </w:rPr>
              <w:t>水量</w:t>
            </w:r>
            <w:r>
              <w:rPr>
                <w:rFonts w:hint="default" w:ascii="Times New Roman" w:hAnsi="Times New Roman" w:eastAsia="宋体" w:cs="Times New Roman"/>
                <w:color w:val="auto"/>
                <w:sz w:val="24"/>
                <w:szCs w:val="24"/>
                <w:highlight w:val="none"/>
                <w:lang w:val="en-US" w:eastAsia="zh-CN"/>
              </w:rPr>
              <w:t>0.64</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/d</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134.4t/a</w:t>
            </w:r>
            <w:r>
              <w:rPr>
                <w:rFonts w:hint="default" w:ascii="Times New Roman" w:hAnsi="Times New Roman" w:eastAsia="宋体" w:cs="Times New Roman"/>
                <w:color w:val="auto"/>
                <w:sz w:val="24"/>
                <w:szCs w:val="24"/>
                <w:highlight w:val="none"/>
                <w:lang w:eastAsia="zh-CN"/>
              </w:rPr>
              <w:t>）。</w:t>
            </w:r>
          </w:p>
          <w:p w14:paraId="6D4F433B">
            <w:pPr>
              <w:pStyle w:val="25"/>
              <w:pageBreakBefore w:val="0"/>
              <w:kinsoku/>
              <w:wordWrap w:val="0"/>
              <w:overflowPunct/>
              <w:topLinePunct/>
              <w:autoSpaceDE/>
              <w:autoSpaceDN/>
              <w:bidi w:val="0"/>
              <w:spacing w:line="240" w:lineRule="auto"/>
              <w:ind w:left="0" w:right="0"/>
              <w:jc w:val="center"/>
              <w:rPr>
                <w:rFonts w:hint="default" w:ascii="Times New Roman" w:hAnsi="Times New Roman" w:eastAsia="宋体" w:cs="Times New Roman"/>
                <w:color w:val="auto"/>
                <w:spacing w:val="5"/>
                <w:position w:val="1"/>
                <w:sz w:val="24"/>
                <w:szCs w:val="24"/>
                <w:highlight w:val="none"/>
              </w:rPr>
            </w:pPr>
            <w:r>
              <w:rPr>
                <w:sz w:val="24"/>
              </w:rPr>
              <mc:AlternateContent>
                <mc:Choice Requires="wps">
                  <w:drawing>
                    <wp:anchor distT="0" distB="0" distL="114300" distR="114300" simplePos="0" relativeHeight="251659264" behindDoc="0" locked="0" layoutInCell="1" allowOverlap="1">
                      <wp:simplePos x="0" y="0"/>
                      <wp:positionH relativeFrom="column">
                        <wp:posOffset>2835910</wp:posOffset>
                      </wp:positionH>
                      <wp:positionV relativeFrom="paragraph">
                        <wp:posOffset>258445</wp:posOffset>
                      </wp:positionV>
                      <wp:extent cx="469900" cy="284480"/>
                      <wp:effectExtent l="0" t="0" r="6350" b="1270"/>
                      <wp:wrapNone/>
                      <wp:docPr id="1" name="文本框 1"/>
                      <wp:cNvGraphicFramePr/>
                      <a:graphic xmlns:a="http://schemas.openxmlformats.org/drawingml/2006/main">
                        <a:graphicData uri="http://schemas.microsoft.com/office/word/2010/wordprocessingShape">
                          <wps:wsp>
                            <wps:cNvSpPr txBox="1"/>
                            <wps:spPr>
                              <a:xfrm>
                                <a:off x="4364355" y="1205230"/>
                                <a:ext cx="469900" cy="284480"/>
                              </a:xfrm>
                              <a:prstGeom prst="rect">
                                <a:avLst/>
                              </a:prstGeom>
                              <a:solidFill>
                                <a:schemeClr val="bg1"/>
                              </a:solidFill>
                              <a:ln w="6350">
                                <a:noFill/>
                              </a:ln>
                            </wps:spPr>
                            <wps:style>
                              <a:lnRef idx="0">
                                <a:schemeClr val="accent1"/>
                              </a:lnRef>
                              <a:fillRef idx="0">
                                <a:schemeClr val="accent1"/>
                              </a:fillRef>
                              <a:effectRef idx="0">
                                <a:schemeClr val="accent1"/>
                              </a:effectRef>
                              <a:fontRef idx="minor">
                                <a:schemeClr val="dk1"/>
                              </a:fontRef>
                            </wps:style>
                            <wps:txbx>
                              <w:txbxContent>
                                <w:p w14:paraId="40A43673">
                                  <w:pPr>
                                    <w:rPr>
                                      <w:rFonts w:hint="eastAsia" w:eastAsia="宋体"/>
                                      <w:sz w:val="18"/>
                                      <w:szCs w:val="18"/>
                                      <w:lang w:val="en-US" w:eastAsia="zh-CN"/>
                                    </w:rPr>
                                  </w:pPr>
                                  <w:r>
                                    <w:rPr>
                                      <w:rFonts w:hint="eastAsia" w:eastAsia="宋体"/>
                                      <w:sz w:val="18"/>
                                      <w:szCs w:val="18"/>
                                      <w:lang w:val="en-US" w:eastAsia="zh-CN"/>
                                    </w:rPr>
                                    <w:t>33.6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3.3pt;margin-top:20.35pt;height:22.4pt;width:37pt;z-index:251659264;mso-width-relative:page;mso-height-relative:page;" fillcolor="#FFFFFF [3212]" filled="t" stroked="f" coordsize="21600,21600" o:gfxdata="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EcpOETUAAAA&#10;CQEAAA8AAAAAAAAAAQAgAAAAIgAAAGRycy9kb3ducmV2LnhtbFBLAQIUABQAAAAIAIdO4kDnNzJF&#10;WgIAAJoEAAAOAAAAAAAAAAEAIAAAACMBAABkcnMvZTJvRG9jLnhtbFBLBQYAAAAABgAGAFkBAADv&#10;BQAAAAA=&#10;">
                      <v:fill on="t" focussize="0,0"/>
                      <v:stroke on="f" weight="0.5pt"/>
                      <v:imagedata o:title=""/>
                      <o:lock v:ext="edit" aspectratio="f"/>
                      <v:textbox>
                        <w:txbxContent>
                          <w:p w14:paraId="40A43673">
                            <w:pPr>
                              <w:rPr>
                                <w:rFonts w:hint="eastAsia" w:eastAsia="宋体"/>
                                <w:sz w:val="18"/>
                                <w:szCs w:val="18"/>
                                <w:lang w:val="en-US" w:eastAsia="zh-CN"/>
                              </w:rPr>
                            </w:pPr>
                            <w:r>
                              <w:rPr>
                                <w:rFonts w:hint="eastAsia" w:eastAsia="宋体"/>
                                <w:sz w:val="18"/>
                                <w:szCs w:val="18"/>
                                <w:lang w:val="en-US" w:eastAsia="zh-CN"/>
                              </w:rPr>
                              <w:t>33.6</w:t>
                            </w:r>
                          </w:p>
                        </w:txbxContent>
                      </v:textbox>
                    </v:shape>
                  </w:pict>
                </mc:Fallback>
              </mc:AlternateContent>
            </w:r>
            <w:r>
              <w:rPr>
                <w:rFonts w:hint="default" w:ascii="Times New Roman" w:hAnsi="Times New Roman" w:eastAsia="宋体" w:cs="Times New Roman"/>
                <w:color w:val="auto"/>
                <w:spacing w:val="5"/>
                <w:position w:val="1"/>
                <w:sz w:val="24"/>
                <w:szCs w:val="24"/>
                <w:highlight w:val="none"/>
              </w:rPr>
              <w:drawing>
                <wp:inline distT="0" distB="0" distL="114300" distR="114300">
                  <wp:extent cx="4146550" cy="1289050"/>
                  <wp:effectExtent l="0" t="0" r="0" b="0"/>
                  <wp:docPr id="46" name="ECB019B1-382A-4266-B25C-5B523AA43C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ECB019B1-382A-4266-B25C-5B523AA43C14-1"/>
                          <pic:cNvPicPr>
                            <a:picLocks noChangeAspect="1"/>
                          </pic:cNvPicPr>
                        </pic:nvPicPr>
                        <pic:blipFill>
                          <a:blip r:embed="rId21"/>
                          <a:stretch>
                            <a:fillRect/>
                          </a:stretch>
                        </pic:blipFill>
                        <pic:spPr>
                          <a:xfrm>
                            <a:off x="0" y="0"/>
                            <a:ext cx="4146550" cy="1289050"/>
                          </a:xfrm>
                          <a:prstGeom prst="rect">
                            <a:avLst/>
                          </a:prstGeom>
                        </pic:spPr>
                      </pic:pic>
                    </a:graphicData>
                  </a:graphic>
                </wp:inline>
              </w:drawing>
            </w:r>
          </w:p>
          <w:p w14:paraId="179F35DB">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3"/>
                <w:sz w:val="24"/>
                <w:szCs w:val="24"/>
                <w:highlight w:val="none"/>
              </w:rPr>
              <w:t>图2-</w:t>
            </w:r>
            <w:r>
              <w:rPr>
                <w:rFonts w:hint="default" w:ascii="Times New Roman" w:hAnsi="Times New Roman" w:eastAsia="宋体" w:cs="Times New Roman"/>
                <w:b/>
                <w:bCs/>
                <w:color w:val="auto"/>
                <w:spacing w:val="3"/>
                <w:sz w:val="24"/>
                <w:szCs w:val="24"/>
                <w:highlight w:val="none"/>
                <w:lang w:val="en-US" w:eastAsia="zh-CN"/>
              </w:rPr>
              <w:t>3</w:t>
            </w:r>
            <w:r>
              <w:rPr>
                <w:rFonts w:hint="default" w:ascii="Times New Roman" w:hAnsi="Times New Roman" w:eastAsia="宋体" w:cs="Times New Roman"/>
                <w:b/>
                <w:bCs/>
                <w:color w:val="auto"/>
                <w:spacing w:val="3"/>
                <w:sz w:val="24"/>
                <w:szCs w:val="24"/>
                <w:highlight w:val="none"/>
              </w:rPr>
              <w:t>项目水平衡图</w:t>
            </w:r>
            <w:r>
              <w:rPr>
                <w:rFonts w:hint="eastAsia" w:ascii="Times New Roman" w:hAnsi="Times New Roman" w:cs="Times New Roman"/>
                <w:b/>
                <w:bCs/>
                <w:color w:val="auto"/>
                <w:spacing w:val="3"/>
                <w:sz w:val="24"/>
                <w:szCs w:val="24"/>
                <w:highlight w:val="none"/>
                <w:lang w:val="en-US" w:eastAsia="zh-CN"/>
              </w:rPr>
              <w:t xml:space="preserve">  </w:t>
            </w:r>
            <w:r>
              <w:rPr>
                <w:rFonts w:hint="default" w:ascii="Times New Roman" w:hAnsi="Times New Roman" w:eastAsia="宋体" w:cs="Times New Roman"/>
                <w:b/>
                <w:bCs/>
                <w:color w:val="auto"/>
                <w:spacing w:val="3"/>
                <w:sz w:val="24"/>
                <w:szCs w:val="24"/>
                <w:highlight w:val="none"/>
              </w:rPr>
              <w:t>单位：m</w:t>
            </w:r>
            <w:r>
              <w:rPr>
                <w:rFonts w:hint="default" w:ascii="Times New Roman" w:hAnsi="Times New Roman" w:eastAsia="宋体" w:cs="Times New Roman"/>
                <w:b/>
                <w:bCs/>
                <w:color w:val="auto"/>
                <w:spacing w:val="3"/>
                <w:position w:val="6"/>
                <w:sz w:val="24"/>
                <w:szCs w:val="24"/>
                <w:highlight w:val="none"/>
                <w:vertAlign w:val="subscript"/>
              </w:rPr>
              <w:t>3</w:t>
            </w:r>
            <w:r>
              <w:rPr>
                <w:rFonts w:hint="default" w:ascii="Times New Roman" w:hAnsi="Times New Roman" w:eastAsia="宋体" w:cs="Times New Roman"/>
                <w:b/>
                <w:bCs/>
                <w:color w:val="auto"/>
                <w:spacing w:val="3"/>
                <w:sz w:val="24"/>
                <w:szCs w:val="24"/>
                <w:highlight w:val="none"/>
              </w:rPr>
              <w:t>/a</w:t>
            </w:r>
          </w:p>
          <w:p w14:paraId="01523BB1">
            <w:pPr>
              <w:pStyle w:val="25"/>
              <w:pageBreakBefore w:val="0"/>
              <w:kinsoku/>
              <w:wordWrap w:val="0"/>
              <w:overflowPunct/>
              <w:topLinePunct/>
              <w:autoSpaceDE/>
              <w:autoSpaceDN/>
              <w:bidi w:val="0"/>
              <w:spacing w:line="360" w:lineRule="auto"/>
              <w:ind w:left="0" w:right="0" w:firstLine="50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5"/>
                <w:position w:val="1"/>
                <w:sz w:val="24"/>
                <w:szCs w:val="24"/>
                <w:highlight w:val="none"/>
              </w:rPr>
              <w:t>（3）供暖</w:t>
            </w:r>
          </w:p>
          <w:p w14:paraId="4DDACC43">
            <w:pPr>
              <w:pStyle w:val="25"/>
              <w:pageBreakBefore w:val="0"/>
              <w:kinsoku/>
              <w:wordWrap w:val="0"/>
              <w:overflowPunct/>
              <w:topLinePunct/>
              <w:autoSpaceDE/>
              <w:autoSpaceDN/>
              <w:bidi w:val="0"/>
              <w:spacing w:line="360" w:lineRule="auto"/>
              <w:ind w:left="0" w:right="0" w:firstLine="504"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6"/>
                <w:position w:val="1"/>
                <w:sz w:val="24"/>
                <w:szCs w:val="24"/>
                <w:highlight w:val="none"/>
              </w:rPr>
              <w:t>本项目冬季不生产。</w:t>
            </w:r>
          </w:p>
          <w:p w14:paraId="702AE233">
            <w:pPr>
              <w:pStyle w:val="25"/>
              <w:pageBreakBefore w:val="0"/>
              <w:kinsoku/>
              <w:wordWrap w:val="0"/>
              <w:overflowPunct/>
              <w:topLinePunct/>
              <w:autoSpaceDE/>
              <w:autoSpaceDN/>
              <w:bidi w:val="0"/>
              <w:spacing w:line="360" w:lineRule="auto"/>
              <w:ind w:left="0" w:right="0" w:firstLine="50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5"/>
                <w:sz w:val="24"/>
                <w:szCs w:val="24"/>
                <w:highlight w:val="none"/>
              </w:rPr>
              <w:t>（</w:t>
            </w:r>
            <w:r>
              <w:rPr>
                <w:rFonts w:hint="default" w:ascii="Times New Roman" w:hAnsi="Times New Roman" w:eastAsia="宋体" w:cs="Times New Roman"/>
                <w:color w:val="auto"/>
                <w:spacing w:val="5"/>
                <w:sz w:val="24"/>
                <w:szCs w:val="24"/>
                <w:highlight w:val="none"/>
                <w:lang w:val="en-US" w:eastAsia="zh-CN"/>
              </w:rPr>
              <w:t>4</w:t>
            </w:r>
            <w:r>
              <w:rPr>
                <w:rFonts w:hint="default" w:ascii="Times New Roman" w:hAnsi="Times New Roman" w:eastAsia="宋体" w:cs="Times New Roman"/>
                <w:color w:val="auto"/>
                <w:spacing w:val="5"/>
                <w:sz w:val="24"/>
                <w:szCs w:val="24"/>
                <w:highlight w:val="none"/>
              </w:rPr>
              <w:t>）供电</w:t>
            </w:r>
          </w:p>
          <w:p w14:paraId="10E05F83">
            <w:pPr>
              <w:pStyle w:val="25"/>
              <w:pageBreakBefore w:val="0"/>
              <w:kinsoku/>
              <w:wordWrap w:val="0"/>
              <w:overflowPunct/>
              <w:topLinePunct/>
              <w:autoSpaceDE/>
              <w:autoSpaceDN/>
              <w:bidi w:val="0"/>
              <w:spacing w:line="360" w:lineRule="auto"/>
              <w:ind w:left="0" w:right="0" w:firstLine="512" w:firstLineChars="200"/>
              <w:rPr>
                <w:rFonts w:hint="default" w:ascii="Times New Roman" w:hAnsi="Times New Roman" w:eastAsia="宋体" w:cs="Times New Roman"/>
                <w:color w:val="auto"/>
                <w:spacing w:val="8"/>
                <w:sz w:val="24"/>
                <w:szCs w:val="24"/>
                <w:highlight w:val="none"/>
              </w:rPr>
            </w:pPr>
            <w:r>
              <w:rPr>
                <w:rFonts w:hint="default" w:ascii="Times New Roman" w:hAnsi="Times New Roman" w:eastAsia="宋体" w:cs="Times New Roman"/>
                <w:color w:val="auto"/>
                <w:spacing w:val="8"/>
                <w:sz w:val="24"/>
                <w:szCs w:val="24"/>
                <w:highlight w:val="none"/>
              </w:rPr>
              <w:t>本次用电</w:t>
            </w:r>
            <w:r>
              <w:rPr>
                <w:rFonts w:hint="default" w:ascii="Times New Roman" w:hAnsi="Times New Roman" w:eastAsia="宋体" w:cs="Times New Roman"/>
                <w:color w:val="auto"/>
                <w:spacing w:val="7"/>
                <w:sz w:val="24"/>
                <w:szCs w:val="24"/>
                <w:highlight w:val="none"/>
              </w:rPr>
              <w:t>依托</w:t>
            </w:r>
            <w:r>
              <w:rPr>
                <w:rFonts w:hint="default" w:ascii="Times New Roman" w:hAnsi="Times New Roman" w:eastAsia="宋体" w:cs="Times New Roman"/>
                <w:color w:val="auto"/>
                <w:spacing w:val="6"/>
                <w:sz w:val="24"/>
                <w:szCs w:val="24"/>
                <w:highlight w:val="none"/>
                <w:lang w:val="en-US" w:eastAsia="zh-CN"/>
              </w:rPr>
              <w:t>新疆华房盛泰保温材料科技有限公司供电设施</w:t>
            </w:r>
          </w:p>
          <w:p w14:paraId="32728F6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Times New Roman" w:hAnsi="Times New Roman" w:eastAsia="宋体" w:cs="Times New Roman"/>
                <w:b/>
                <w:bCs w:val="0"/>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8、物料平衡</w:t>
            </w:r>
          </w:p>
          <w:p w14:paraId="062F5699">
            <w:pPr>
              <w:pStyle w:val="11"/>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napToGrid w:val="0"/>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rPr>
              <w:t>表2-</w:t>
            </w:r>
            <w:r>
              <w:rPr>
                <w:rFonts w:hint="eastAsia" w:ascii="Times New Roman" w:hAnsi="Times New Roman" w:eastAsia="宋体" w:cs="Times New Roman"/>
                <w:b/>
                <w:bCs/>
                <w:color w:val="auto"/>
                <w:sz w:val="21"/>
                <w:szCs w:val="21"/>
                <w:highlight w:val="none"/>
                <w:lang w:val="en-US" w:eastAsia="zh-CN"/>
              </w:rPr>
              <w:t>5</w:t>
            </w:r>
            <w:r>
              <w:rPr>
                <w:rFonts w:hint="default" w:ascii="Times New Roman" w:hAnsi="Times New Roman" w:eastAsia="宋体" w:cs="Times New Roman"/>
                <w:b/>
                <w:bCs/>
                <w:color w:val="auto"/>
                <w:sz w:val="21"/>
                <w:szCs w:val="21"/>
                <w:highlight w:val="none"/>
                <w:lang w:val="en-US" w:eastAsia="zh-CN"/>
              </w:rPr>
              <w:t xml:space="preserve">   项目</w:t>
            </w:r>
            <w:r>
              <w:rPr>
                <w:rFonts w:hint="eastAsia" w:ascii="Times New Roman" w:hAnsi="Times New Roman" w:eastAsia="宋体" w:cs="Times New Roman"/>
                <w:b/>
                <w:bCs/>
                <w:color w:val="auto"/>
                <w:sz w:val="21"/>
                <w:szCs w:val="21"/>
                <w:highlight w:val="none"/>
                <w:lang w:val="en-US" w:eastAsia="zh-CN"/>
              </w:rPr>
              <w:t>物料平衡</w:t>
            </w:r>
            <w:r>
              <w:rPr>
                <w:rFonts w:hint="default" w:ascii="Times New Roman" w:hAnsi="Times New Roman" w:eastAsia="宋体" w:cs="Times New Roman"/>
                <w:b/>
                <w:bCs/>
                <w:color w:val="auto"/>
                <w:sz w:val="21"/>
                <w:szCs w:val="21"/>
                <w:highlight w:val="none"/>
              </w:rPr>
              <w:t>表</w:t>
            </w:r>
          </w:p>
          <w:tbl>
            <w:tblPr>
              <w:tblStyle w:val="19"/>
              <w:tblW w:w="8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0"/>
              <w:gridCol w:w="2030"/>
              <w:gridCol w:w="2030"/>
              <w:gridCol w:w="2030"/>
            </w:tblGrid>
            <w:tr w14:paraId="1E82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60" w:type="dxa"/>
                  <w:gridSpan w:val="2"/>
                  <w:noWrap w:val="0"/>
                  <w:vAlign w:val="top"/>
                </w:tcPr>
                <w:p w14:paraId="5C04379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物料投入</w:t>
                  </w:r>
                </w:p>
              </w:tc>
              <w:tc>
                <w:tcPr>
                  <w:tcW w:w="4060" w:type="dxa"/>
                  <w:gridSpan w:val="2"/>
                  <w:noWrap w:val="0"/>
                  <w:vAlign w:val="top"/>
                </w:tcPr>
                <w:p w14:paraId="1414B55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物料产出</w:t>
                  </w:r>
                </w:p>
              </w:tc>
            </w:tr>
            <w:tr w14:paraId="5FBC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0" w:type="dxa"/>
                  <w:noWrap w:val="0"/>
                  <w:vAlign w:val="center"/>
                </w:tcPr>
                <w:p w14:paraId="4D930238">
                  <w:pPr>
                    <w:keepNext w:val="0"/>
                    <w:pageBreakBefore w:val="0"/>
                    <w:widowControl w:val="0"/>
                    <w:kinsoku/>
                    <w:wordWrap/>
                    <w:overflowPunct/>
                    <w:topLinePunct w:val="0"/>
                    <w:autoSpaceDE/>
                    <w:autoSpaceDN/>
                    <w:bidi w:val="0"/>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名称</w:t>
                  </w:r>
                </w:p>
              </w:tc>
              <w:tc>
                <w:tcPr>
                  <w:tcW w:w="2030" w:type="dxa"/>
                  <w:noWrap w:val="0"/>
                  <w:vAlign w:val="center"/>
                </w:tcPr>
                <w:p w14:paraId="66E10550">
                  <w:pPr>
                    <w:keepNext w:val="0"/>
                    <w:pageBreakBefore w:val="0"/>
                    <w:widowControl w:val="0"/>
                    <w:kinsoku/>
                    <w:wordWrap/>
                    <w:overflowPunct/>
                    <w:topLinePunct w:val="0"/>
                    <w:autoSpaceDE/>
                    <w:autoSpaceDN/>
                    <w:bidi w:val="0"/>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数量（t/a）</w:t>
                  </w:r>
                </w:p>
              </w:tc>
              <w:tc>
                <w:tcPr>
                  <w:tcW w:w="2030" w:type="dxa"/>
                  <w:noWrap w:val="0"/>
                  <w:vAlign w:val="center"/>
                </w:tcPr>
                <w:p w14:paraId="68FF3B91">
                  <w:pPr>
                    <w:keepNext w:val="0"/>
                    <w:pageBreakBefore w:val="0"/>
                    <w:widowControl w:val="0"/>
                    <w:kinsoku/>
                    <w:wordWrap/>
                    <w:overflowPunct/>
                    <w:topLinePunct w:val="0"/>
                    <w:autoSpaceDE/>
                    <w:autoSpaceDN/>
                    <w:bidi w:val="0"/>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名称</w:t>
                  </w:r>
                </w:p>
              </w:tc>
              <w:tc>
                <w:tcPr>
                  <w:tcW w:w="2030" w:type="dxa"/>
                  <w:noWrap w:val="0"/>
                  <w:vAlign w:val="center"/>
                </w:tcPr>
                <w:p w14:paraId="14F3827F">
                  <w:pPr>
                    <w:keepNext w:val="0"/>
                    <w:pageBreakBefore w:val="0"/>
                    <w:widowControl w:val="0"/>
                    <w:kinsoku/>
                    <w:wordWrap/>
                    <w:overflowPunct/>
                    <w:topLinePunct w:val="0"/>
                    <w:autoSpaceDE/>
                    <w:autoSpaceDN/>
                    <w:bidi w:val="0"/>
                    <w:jc w:val="center"/>
                    <w:textAlignment w:val="auto"/>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数量（t/a）</w:t>
                  </w:r>
                </w:p>
              </w:tc>
            </w:tr>
            <w:tr w14:paraId="26821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0" w:type="dxa"/>
                  <w:shd w:val="clear" w:color="000000" w:fill="FFFFFF"/>
                  <w:noWrap w:val="0"/>
                  <w:vAlign w:val="center"/>
                </w:tcPr>
                <w:p w14:paraId="585EEAF5">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eastAsia"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机制砂</w:t>
                  </w:r>
                </w:p>
              </w:tc>
              <w:tc>
                <w:tcPr>
                  <w:tcW w:w="2030" w:type="dxa"/>
                  <w:shd w:val="clear" w:color="auto" w:fill="FFFFFF"/>
                  <w:noWrap w:val="0"/>
                  <w:vAlign w:val="center"/>
                </w:tcPr>
                <w:p w14:paraId="4B81409C">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41000</w:t>
                  </w:r>
                </w:p>
              </w:tc>
              <w:tc>
                <w:tcPr>
                  <w:tcW w:w="2030" w:type="dxa"/>
                  <w:noWrap w:val="0"/>
                  <w:vAlign w:val="top"/>
                </w:tcPr>
                <w:p w14:paraId="3D5B853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矿化料</w:t>
                  </w:r>
                </w:p>
              </w:tc>
              <w:tc>
                <w:tcPr>
                  <w:tcW w:w="2030" w:type="dxa"/>
                  <w:noWrap w:val="0"/>
                  <w:vAlign w:val="top"/>
                </w:tcPr>
                <w:p w14:paraId="520A6CE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100000</w:t>
                  </w:r>
                </w:p>
              </w:tc>
            </w:tr>
            <w:tr w14:paraId="46D34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0" w:type="dxa"/>
                  <w:shd w:val="clear" w:color="000000" w:fill="FFFFFF"/>
                  <w:noWrap w:val="0"/>
                  <w:vAlign w:val="center"/>
                </w:tcPr>
                <w:p w14:paraId="765D985A">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eastAsia"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炉渣</w:t>
                  </w:r>
                </w:p>
              </w:tc>
              <w:tc>
                <w:tcPr>
                  <w:tcW w:w="2030" w:type="dxa"/>
                  <w:shd w:val="clear" w:color="auto" w:fill="FFFFFF"/>
                  <w:noWrap w:val="0"/>
                  <w:vAlign w:val="center"/>
                </w:tcPr>
                <w:p w14:paraId="39EDB4D2">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50000</w:t>
                  </w:r>
                </w:p>
              </w:tc>
              <w:tc>
                <w:tcPr>
                  <w:tcW w:w="2030" w:type="dxa"/>
                  <w:noWrap w:val="0"/>
                  <w:vAlign w:val="top"/>
                </w:tcPr>
                <w:p w14:paraId="1EF7259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无组织排放的粉尘</w:t>
                  </w:r>
                </w:p>
              </w:tc>
              <w:tc>
                <w:tcPr>
                  <w:tcW w:w="2030" w:type="dxa"/>
                  <w:noWrap w:val="0"/>
                  <w:vAlign w:val="top"/>
                </w:tcPr>
                <w:p w14:paraId="24ECF12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fldChar w:fldCharType="begin"/>
                  </w:r>
                  <w:r>
                    <w:rPr>
                      <w:rFonts w:hint="eastAsia" w:ascii="Times New Roman" w:hAnsi="Times New Roman" w:eastAsia="宋体" w:cs="Times New Roman"/>
                      <w:color w:val="auto"/>
                      <w:sz w:val="21"/>
                      <w:szCs w:val="21"/>
                      <w:highlight w:val="none"/>
                      <w:lang w:val="en-US" w:eastAsia="zh-CN"/>
                    </w:rPr>
                    <w:instrText xml:space="preserve"> = sum(D7:D8) \* MERGEFORMAT </w:instrText>
                  </w:r>
                  <w:r>
                    <w:rPr>
                      <w:rFonts w:hint="eastAsia" w:ascii="Times New Roman" w:hAnsi="Times New Roman" w:eastAsia="宋体" w:cs="Times New Roman"/>
                      <w:color w:val="auto"/>
                      <w:sz w:val="21"/>
                      <w:szCs w:val="21"/>
                      <w:highlight w:val="none"/>
                      <w:lang w:val="en-US" w:eastAsia="zh-CN"/>
                    </w:rPr>
                    <w:fldChar w:fldCharType="separate"/>
                  </w:r>
                  <w:r>
                    <w:rPr>
                      <w:rFonts w:hint="eastAsia" w:ascii="Times New Roman" w:hAnsi="Times New Roman" w:eastAsia="宋体" w:cs="Times New Roman"/>
                      <w:color w:val="auto"/>
                      <w:sz w:val="21"/>
                      <w:szCs w:val="21"/>
                      <w:highlight w:val="none"/>
                      <w:lang w:val="en-US" w:eastAsia="zh-CN"/>
                    </w:rPr>
                    <w:t>0.098</w:t>
                  </w:r>
                  <w:r>
                    <w:rPr>
                      <w:rFonts w:hint="eastAsia" w:ascii="Times New Roman" w:hAnsi="Times New Roman" w:eastAsia="宋体" w:cs="Times New Roman"/>
                      <w:color w:val="auto"/>
                      <w:sz w:val="21"/>
                      <w:szCs w:val="21"/>
                      <w:highlight w:val="none"/>
                      <w:lang w:val="en-US" w:eastAsia="zh-CN"/>
                    </w:rPr>
                    <w:fldChar w:fldCharType="end"/>
                  </w:r>
                </w:p>
              </w:tc>
            </w:tr>
            <w:tr w14:paraId="2037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0" w:type="dxa"/>
                  <w:shd w:val="clear" w:color="000000" w:fill="FFFFFF"/>
                  <w:noWrap w:val="0"/>
                  <w:vAlign w:val="center"/>
                </w:tcPr>
                <w:p w14:paraId="4FA85A50">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eastAsia"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元明粉</w:t>
                  </w:r>
                </w:p>
              </w:tc>
              <w:tc>
                <w:tcPr>
                  <w:tcW w:w="2030" w:type="dxa"/>
                  <w:shd w:val="clear" w:color="auto" w:fill="FFFFFF"/>
                  <w:noWrap w:val="0"/>
                  <w:vAlign w:val="center"/>
                </w:tcPr>
                <w:p w14:paraId="6627D644">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5000</w:t>
                  </w:r>
                </w:p>
              </w:tc>
              <w:tc>
                <w:tcPr>
                  <w:tcW w:w="2030" w:type="dxa"/>
                  <w:noWrap w:val="0"/>
                  <w:vAlign w:val="top"/>
                </w:tcPr>
                <w:p w14:paraId="02EF727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除尘器收尘</w:t>
                  </w:r>
                </w:p>
              </w:tc>
              <w:tc>
                <w:tcPr>
                  <w:tcW w:w="2030" w:type="dxa"/>
                  <w:noWrap w:val="0"/>
                  <w:vAlign w:val="top"/>
                </w:tcPr>
                <w:p w14:paraId="52F839E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3.033‬</w:t>
                  </w:r>
                </w:p>
              </w:tc>
            </w:tr>
            <w:tr w14:paraId="7CC3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0" w:type="dxa"/>
                  <w:shd w:val="clear" w:color="000000" w:fill="FFFFFF"/>
                  <w:noWrap w:val="0"/>
                  <w:vAlign w:val="center"/>
                </w:tcPr>
                <w:p w14:paraId="2BC10AEF">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eastAsia"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三乙醇胺</w:t>
                  </w:r>
                </w:p>
              </w:tc>
              <w:tc>
                <w:tcPr>
                  <w:tcW w:w="2030" w:type="dxa"/>
                  <w:shd w:val="clear" w:color="auto" w:fill="FFFFFF"/>
                  <w:noWrap w:val="0"/>
                  <w:vAlign w:val="center"/>
                </w:tcPr>
                <w:p w14:paraId="7AC5F8FC">
                  <w:pPr>
                    <w:keepNext w:val="0"/>
                    <w:keepLines w:val="0"/>
                    <w:pageBreakBefore w:val="0"/>
                    <w:widowControl/>
                    <w:suppressLineNumbers w:val="0"/>
                    <w:kinsoku/>
                    <w:wordWrap w:val="0"/>
                    <w:overflowPunct/>
                    <w:topLinePunct/>
                    <w:autoSpaceDE/>
                    <w:autoSpaceDN/>
                    <w:bidi w:val="0"/>
                    <w:spacing w:line="240" w:lineRule="auto"/>
                    <w:jc w:val="center"/>
                    <w:textAlignment w:val="bottom"/>
                    <w:rPr>
                      <w:rFonts w:hint="default" w:ascii="Times New Roman" w:hAnsi="Times New Roman" w:eastAsia="宋体" w:cs="Times New Roman"/>
                      <w:b w:val="0"/>
                      <w:bCs w:val="0"/>
                      <w:snapToGrid w:val="0"/>
                      <w:color w:val="auto"/>
                      <w:kern w:val="0"/>
                      <w:sz w:val="21"/>
                      <w:szCs w:val="21"/>
                      <w:highlight w:val="none"/>
                      <w:lang w:val="en-US" w:eastAsia="zh-CN" w:bidi="ar-SA"/>
                    </w:rPr>
                  </w:pPr>
                  <w:r>
                    <w:rPr>
                      <w:rFonts w:hint="default" w:ascii="Times New Roman" w:hAnsi="Times New Roman" w:eastAsia="宋体" w:cs="Times New Roman"/>
                      <w:b w:val="0"/>
                      <w:bCs w:val="0"/>
                      <w:snapToGrid w:val="0"/>
                      <w:color w:val="auto"/>
                      <w:kern w:val="0"/>
                      <w:sz w:val="21"/>
                      <w:szCs w:val="21"/>
                      <w:highlight w:val="none"/>
                      <w:lang w:val="en-US" w:eastAsia="zh-CN" w:bidi="ar-SA"/>
                    </w:rPr>
                    <w:t>4000</w:t>
                  </w:r>
                  <w:r>
                    <w:rPr>
                      <w:rFonts w:hint="eastAsia" w:ascii="Times New Roman" w:hAnsi="Times New Roman" w:eastAsia="宋体" w:cs="Times New Roman"/>
                      <w:b w:val="0"/>
                      <w:bCs w:val="0"/>
                      <w:snapToGrid w:val="0"/>
                      <w:color w:val="auto"/>
                      <w:kern w:val="0"/>
                      <w:sz w:val="21"/>
                      <w:szCs w:val="21"/>
                      <w:highlight w:val="none"/>
                      <w:lang w:val="en-US" w:eastAsia="zh-CN" w:bidi="ar-SA"/>
                    </w:rPr>
                    <w:t>.098</w:t>
                  </w:r>
                </w:p>
              </w:tc>
              <w:tc>
                <w:tcPr>
                  <w:tcW w:w="2030" w:type="dxa"/>
                  <w:noWrap w:val="0"/>
                  <w:vAlign w:val="top"/>
                </w:tcPr>
                <w:p w14:paraId="4BA5CD0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c>
                <w:tcPr>
                  <w:tcW w:w="2030" w:type="dxa"/>
                  <w:noWrap w:val="0"/>
                  <w:vAlign w:val="top"/>
                </w:tcPr>
                <w:p w14:paraId="73C9FED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p>
              </w:tc>
            </w:tr>
            <w:tr w14:paraId="652F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0" w:type="dxa"/>
                  <w:shd w:val="clear" w:color="auto" w:fill="auto"/>
                  <w:noWrap w:val="0"/>
                  <w:vAlign w:val="top"/>
                </w:tcPr>
                <w:p w14:paraId="617390F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除尘器收尘</w:t>
                  </w:r>
                </w:p>
              </w:tc>
              <w:tc>
                <w:tcPr>
                  <w:tcW w:w="2030" w:type="dxa"/>
                  <w:shd w:val="clear" w:color="auto" w:fill="auto"/>
                  <w:noWrap w:val="0"/>
                  <w:vAlign w:val="top"/>
                </w:tcPr>
                <w:p w14:paraId="4F573A3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3.033‬</w:t>
                  </w:r>
                </w:p>
              </w:tc>
              <w:tc>
                <w:tcPr>
                  <w:tcW w:w="2030" w:type="dxa"/>
                  <w:noWrap w:val="0"/>
                  <w:vAlign w:val="top"/>
                </w:tcPr>
                <w:p w14:paraId="008F779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2030" w:type="dxa"/>
                  <w:noWrap w:val="0"/>
                  <w:vAlign w:val="top"/>
                </w:tcPr>
                <w:p w14:paraId="49292D2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r>
            <w:tr w14:paraId="5A4AB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30" w:type="dxa"/>
                  <w:noWrap w:val="0"/>
                  <w:vAlign w:val="center"/>
                </w:tcPr>
                <w:p w14:paraId="7625633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总计</w:t>
                  </w:r>
                </w:p>
              </w:tc>
              <w:tc>
                <w:tcPr>
                  <w:tcW w:w="2030" w:type="dxa"/>
                  <w:noWrap w:val="0"/>
                  <w:vAlign w:val="center"/>
                </w:tcPr>
                <w:p w14:paraId="468EB9F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fldChar w:fldCharType="begin"/>
                  </w:r>
                  <w:r>
                    <w:rPr>
                      <w:rFonts w:hint="default" w:ascii="Times New Roman" w:hAnsi="Times New Roman" w:eastAsia="宋体" w:cs="Times New Roman"/>
                      <w:bCs/>
                      <w:color w:val="auto"/>
                      <w:kern w:val="2"/>
                      <w:sz w:val="21"/>
                      <w:szCs w:val="21"/>
                      <w:highlight w:val="none"/>
                      <w:lang w:val="en-US" w:eastAsia="zh-CN" w:bidi="ar-SA"/>
                    </w:rPr>
                    <w:instrText xml:space="preserve"> = sum(B3:B7) \* MERGEFORMAT </w:instrText>
                  </w:r>
                  <w:r>
                    <w:rPr>
                      <w:rFonts w:hint="default" w:ascii="Times New Roman" w:hAnsi="Times New Roman" w:eastAsia="宋体" w:cs="Times New Roman"/>
                      <w:bCs/>
                      <w:color w:val="auto"/>
                      <w:kern w:val="2"/>
                      <w:sz w:val="21"/>
                      <w:szCs w:val="21"/>
                      <w:highlight w:val="none"/>
                      <w:lang w:val="en-US" w:eastAsia="zh-CN" w:bidi="ar-SA"/>
                    </w:rPr>
                    <w:fldChar w:fldCharType="separate"/>
                  </w:r>
                  <w:r>
                    <w:rPr>
                      <w:rFonts w:hint="default" w:ascii="Times New Roman" w:hAnsi="Times New Roman" w:eastAsia="宋体" w:cs="Times New Roman"/>
                      <w:bCs/>
                      <w:color w:val="auto"/>
                      <w:kern w:val="2"/>
                      <w:sz w:val="21"/>
                      <w:szCs w:val="21"/>
                      <w:highlight w:val="none"/>
                      <w:lang w:val="en-US" w:eastAsia="zh-CN" w:bidi="ar-SA"/>
                    </w:rPr>
                    <w:t>100003.131</w:t>
                  </w:r>
                  <w:r>
                    <w:rPr>
                      <w:rFonts w:hint="default" w:ascii="Times New Roman" w:hAnsi="Times New Roman" w:eastAsia="宋体" w:cs="Times New Roman"/>
                      <w:bCs/>
                      <w:color w:val="auto"/>
                      <w:kern w:val="2"/>
                      <w:sz w:val="21"/>
                      <w:szCs w:val="21"/>
                      <w:highlight w:val="none"/>
                      <w:lang w:val="en-US" w:eastAsia="zh-CN" w:bidi="ar-SA"/>
                    </w:rPr>
                    <w:fldChar w:fldCharType="end"/>
                  </w:r>
                </w:p>
              </w:tc>
              <w:tc>
                <w:tcPr>
                  <w:tcW w:w="2030" w:type="dxa"/>
                  <w:noWrap w:val="0"/>
                  <w:vAlign w:val="top"/>
                </w:tcPr>
                <w:p w14:paraId="500C4CB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2030" w:type="dxa"/>
                  <w:noWrap w:val="0"/>
                  <w:vAlign w:val="top"/>
                </w:tcPr>
                <w:p w14:paraId="743ECC6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fldChar w:fldCharType="begin"/>
                  </w:r>
                  <w:r>
                    <w:rPr>
                      <w:rFonts w:hint="eastAsia" w:ascii="Times New Roman" w:hAnsi="Times New Roman" w:eastAsia="宋体" w:cs="Times New Roman"/>
                      <w:color w:val="auto"/>
                      <w:sz w:val="21"/>
                      <w:szCs w:val="21"/>
                      <w:highlight w:val="none"/>
                      <w:lang w:val="en-US" w:eastAsia="zh-CN"/>
                    </w:rPr>
                    <w:instrText xml:space="preserve"> = sum(D3:D7) \* MERGEFORMAT </w:instrText>
                  </w:r>
                  <w:r>
                    <w:rPr>
                      <w:rFonts w:hint="eastAsia" w:ascii="Times New Roman" w:hAnsi="Times New Roman" w:eastAsia="宋体" w:cs="Times New Roman"/>
                      <w:color w:val="auto"/>
                      <w:sz w:val="21"/>
                      <w:szCs w:val="21"/>
                      <w:highlight w:val="none"/>
                      <w:lang w:val="en-US" w:eastAsia="zh-CN"/>
                    </w:rPr>
                    <w:fldChar w:fldCharType="separate"/>
                  </w:r>
                  <w:r>
                    <w:rPr>
                      <w:rFonts w:hint="eastAsia" w:ascii="Times New Roman" w:hAnsi="Times New Roman" w:eastAsia="宋体" w:cs="Times New Roman"/>
                      <w:color w:val="auto"/>
                      <w:sz w:val="21"/>
                      <w:szCs w:val="21"/>
                      <w:highlight w:val="none"/>
                      <w:lang w:val="en-US" w:eastAsia="zh-CN"/>
                    </w:rPr>
                    <w:t>100003.131</w:t>
                  </w:r>
                  <w:r>
                    <w:rPr>
                      <w:rFonts w:hint="eastAsia" w:ascii="Times New Roman" w:hAnsi="Times New Roman" w:eastAsia="宋体" w:cs="Times New Roman"/>
                      <w:color w:val="auto"/>
                      <w:sz w:val="21"/>
                      <w:szCs w:val="21"/>
                      <w:highlight w:val="none"/>
                      <w:lang w:val="en-US" w:eastAsia="zh-CN"/>
                    </w:rPr>
                    <w:fldChar w:fldCharType="end"/>
                  </w:r>
                </w:p>
              </w:tc>
            </w:tr>
          </w:tbl>
          <w:p w14:paraId="680354CA">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360" w:lineRule="auto"/>
              <w:ind w:right="0" w:firstLine="482" w:firstLineChars="200"/>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9</w:t>
            </w:r>
            <w:r>
              <w:rPr>
                <w:rFonts w:hint="default" w:ascii="Times New Roman" w:hAnsi="Times New Roman" w:eastAsia="宋体" w:cs="Times New Roman"/>
                <w:b/>
                <w:bCs/>
                <w:color w:val="auto"/>
                <w:sz w:val="24"/>
                <w:szCs w:val="24"/>
                <w:highlight w:val="none"/>
                <w:lang w:val="en-US" w:eastAsia="zh-CN"/>
              </w:rPr>
              <w:t>、</w:t>
            </w:r>
            <w:r>
              <w:rPr>
                <w:rFonts w:hint="default" w:ascii="Times New Roman" w:hAnsi="Times New Roman" w:eastAsia="宋体" w:cs="Times New Roman"/>
                <w:b/>
                <w:bCs/>
                <w:color w:val="auto"/>
                <w:sz w:val="24"/>
                <w:szCs w:val="24"/>
                <w:highlight w:val="none"/>
              </w:rPr>
              <w:t>项目平面布置</w:t>
            </w:r>
          </w:p>
          <w:p w14:paraId="7F3759BE">
            <w:pPr>
              <w:pageBreakBefore w:val="0"/>
              <w:kinsoku/>
              <w:wordWrap w:val="0"/>
              <w:overflowPunct/>
              <w:topLinePunct/>
              <w:autoSpaceDE/>
              <w:autoSpaceDN/>
              <w:bidi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本项目位于</w:t>
            </w:r>
            <w:r>
              <w:rPr>
                <w:rFonts w:hint="default" w:ascii="Times New Roman" w:hAnsi="Times New Roman" w:eastAsia="宋体" w:cs="Times New Roman"/>
                <w:color w:val="auto"/>
                <w:spacing w:val="6"/>
                <w:sz w:val="24"/>
                <w:szCs w:val="24"/>
                <w:highlight w:val="none"/>
              </w:rPr>
              <w:t>玛纳斯县</w:t>
            </w:r>
            <w:r>
              <w:rPr>
                <w:rFonts w:hint="default" w:ascii="Times New Roman" w:hAnsi="Times New Roman" w:eastAsia="宋体" w:cs="Times New Roman"/>
                <w:color w:val="auto"/>
                <w:spacing w:val="6"/>
                <w:sz w:val="24"/>
                <w:szCs w:val="24"/>
                <w:highlight w:val="none"/>
                <w:lang w:val="en-US" w:eastAsia="zh-CN"/>
              </w:rPr>
              <w:t>塔河工业园区新疆华房盛泰保温材料科技有限公司8#生产厂房，车间内分为原料堆放区，生产区和产品堆放区</w:t>
            </w:r>
            <w:r>
              <w:rPr>
                <w:rFonts w:hint="default" w:ascii="Times New Roman" w:hAnsi="Times New Roman" w:eastAsia="宋体" w:cs="Times New Roman"/>
                <w:color w:val="auto"/>
                <w:sz w:val="24"/>
                <w:szCs w:val="24"/>
                <w:highlight w:val="none"/>
                <w:lang w:val="en-US" w:eastAsia="zh-CN"/>
              </w:rPr>
              <w:t>。厂区平面布置图2-4。</w:t>
            </w:r>
          </w:p>
          <w:p w14:paraId="712BC064">
            <w:pPr>
              <w:pageBreakBefore w:val="0"/>
              <w:kinsoku/>
              <w:wordWrap w:val="0"/>
              <w:overflowPunct/>
              <w:topLinePunct/>
              <w:autoSpaceDE/>
              <w:autoSpaceDN/>
              <w:bidi w:val="0"/>
              <w:spacing w:line="14" w:lineRule="auto"/>
              <w:rPr>
                <w:rFonts w:hint="default" w:ascii="Times New Roman" w:hAnsi="Times New Roman" w:eastAsia="宋体" w:cs="Times New Roman"/>
                <w:color w:val="auto"/>
                <w:sz w:val="24"/>
                <w:szCs w:val="24"/>
                <w:highlight w:val="none"/>
              </w:rPr>
            </w:pPr>
            <w:bookmarkStart w:id="5" w:name="_GoBack"/>
            <w:bookmarkEnd w:id="5"/>
          </w:p>
        </w:tc>
      </w:tr>
      <w:tr w14:paraId="7D119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6" w:hRule="atLeast"/>
        </w:trPr>
        <w:tc>
          <w:tcPr>
            <w:tcW w:w="317" w:type="pct"/>
            <w:tcBorders>
              <w:top w:val="single" w:color="auto" w:sz="4" w:space="0"/>
              <w:left w:val="single" w:color="000000" w:sz="6" w:space="0"/>
              <w:bottom w:val="single" w:color="auto" w:sz="4" w:space="0"/>
            </w:tcBorders>
            <w:vAlign w:val="center"/>
          </w:tcPr>
          <w:p w14:paraId="471DC977">
            <w:pPr>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pacing w:val="6"/>
                <w:sz w:val="24"/>
                <w:szCs w:val="24"/>
                <w:highlight w:val="none"/>
              </w:rPr>
            </w:pPr>
            <w:r>
              <w:rPr>
                <w:rFonts w:hint="default" w:ascii="Times New Roman" w:hAnsi="Times New Roman" w:eastAsia="宋体" w:cs="Times New Roman"/>
                <w:color w:val="auto"/>
                <w:sz w:val="24"/>
                <w:szCs w:val="24"/>
                <w:highlight w:val="none"/>
              </w:rPr>
              <w:t>工艺流程与产排污环节</w:t>
            </w:r>
          </w:p>
        </w:tc>
        <w:tc>
          <w:tcPr>
            <w:tcW w:w="4682" w:type="pct"/>
            <w:tcBorders>
              <w:top w:val="single" w:color="auto" w:sz="4" w:space="0"/>
              <w:bottom w:val="single" w:color="auto" w:sz="4" w:space="0"/>
              <w:right w:val="single" w:color="000000" w:sz="6" w:space="0"/>
            </w:tcBorders>
            <w:vAlign w:val="top"/>
          </w:tcPr>
          <w:p w14:paraId="69B09DAF">
            <w:pPr>
              <w:pStyle w:val="25"/>
              <w:pageBreakBefore w:val="0"/>
              <w:shd w:val="clear"/>
              <w:kinsoku/>
              <w:wordWrap w:val="0"/>
              <w:overflowPunct/>
              <w:topLinePunct/>
              <w:autoSpaceDE/>
              <w:autoSpaceDN/>
              <w:bidi w:val="0"/>
              <w:spacing w:before="159" w:line="360" w:lineRule="auto"/>
              <w:ind w:left="112" w:firstLine="494"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3"/>
                <w:sz w:val="24"/>
                <w:szCs w:val="24"/>
                <w:highlight w:val="none"/>
              </w:rPr>
              <w:t>1、施工期</w:t>
            </w:r>
          </w:p>
          <w:p w14:paraId="4577FA5E">
            <w:pPr>
              <w:pStyle w:val="25"/>
              <w:pageBreakBefore w:val="0"/>
              <w:kinsoku/>
              <w:wordWrap w:val="0"/>
              <w:overflowPunct/>
              <w:topLinePunct/>
              <w:autoSpaceDE/>
              <w:autoSpaceDN/>
              <w:bidi w:val="0"/>
              <w:spacing w:before="25" w:line="360" w:lineRule="auto"/>
              <w:ind w:left="112" w:firstLine="494"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3"/>
                <w:sz w:val="24"/>
                <w:szCs w:val="24"/>
                <w:highlight w:val="none"/>
              </w:rPr>
              <w:t>1.1</w:t>
            </w:r>
            <w:r>
              <w:rPr>
                <w:rFonts w:hint="default" w:ascii="Times New Roman" w:hAnsi="Times New Roman" w:eastAsia="宋体" w:cs="Times New Roman"/>
                <w:b/>
                <w:bCs/>
                <w:color w:val="auto"/>
                <w:spacing w:val="3"/>
                <w:sz w:val="24"/>
                <w:szCs w:val="24"/>
                <w:highlight w:val="none"/>
                <w:lang w:eastAsia="zh-CN"/>
              </w:rPr>
              <w:t>、</w:t>
            </w:r>
            <w:r>
              <w:rPr>
                <w:rFonts w:hint="default" w:ascii="Times New Roman" w:hAnsi="Times New Roman" w:eastAsia="宋体" w:cs="Times New Roman"/>
                <w:b/>
                <w:bCs/>
                <w:color w:val="auto"/>
                <w:spacing w:val="3"/>
                <w:sz w:val="24"/>
                <w:szCs w:val="24"/>
                <w:highlight w:val="none"/>
              </w:rPr>
              <w:t>工艺流程分析</w:t>
            </w:r>
          </w:p>
          <w:p w14:paraId="2A9F1F17">
            <w:pPr>
              <w:pStyle w:val="25"/>
              <w:pageBreakBefore w:val="0"/>
              <w:kinsoku/>
              <w:wordWrap w:val="0"/>
              <w:overflowPunct/>
              <w:topLinePunct/>
              <w:autoSpaceDE/>
              <w:autoSpaceDN/>
              <w:bidi w:val="0"/>
              <w:spacing w:line="360" w:lineRule="auto"/>
              <w:ind w:left="0" w:right="0"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w:t>
            </w:r>
            <w:r>
              <w:rPr>
                <w:rFonts w:hint="eastAsia" w:ascii="Times New Roman" w:hAnsi="Times New Roman" w:cs="Times New Roman"/>
                <w:color w:val="auto"/>
                <w:sz w:val="24"/>
                <w:szCs w:val="24"/>
                <w:highlight w:val="none"/>
                <w:lang w:val="en-US" w:eastAsia="zh-CN"/>
              </w:rPr>
              <w:t>租赁</w:t>
            </w:r>
            <w:r>
              <w:rPr>
                <w:rFonts w:hint="default" w:ascii="Times New Roman" w:hAnsi="Times New Roman" w:eastAsia="宋体" w:cs="Times New Roman"/>
                <w:color w:val="auto"/>
                <w:sz w:val="24"/>
                <w:szCs w:val="24"/>
                <w:highlight w:val="none"/>
              </w:rPr>
              <w:t>现有厂房，无其他土建工程，仅安</w:t>
            </w:r>
            <w:r>
              <w:rPr>
                <w:rFonts w:hint="default" w:ascii="Times New Roman" w:hAnsi="Times New Roman" w:eastAsia="宋体" w:cs="Times New Roman"/>
                <w:color w:val="auto"/>
                <w:spacing w:val="1"/>
                <w:sz w:val="24"/>
                <w:szCs w:val="24"/>
                <w:highlight w:val="none"/>
              </w:rPr>
              <w:t>装生产设备。施工期工艺流程及各阶段主要污</w:t>
            </w:r>
            <w:r>
              <w:rPr>
                <w:rFonts w:hint="default" w:ascii="Times New Roman" w:hAnsi="Times New Roman" w:eastAsia="宋体" w:cs="Times New Roman"/>
                <w:color w:val="auto"/>
                <w:sz w:val="24"/>
                <w:szCs w:val="24"/>
                <w:highlight w:val="none"/>
              </w:rPr>
              <w:t>染物产生情况见图2-</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w:t>
            </w:r>
          </w:p>
          <w:p w14:paraId="38394D6F">
            <w:pPr>
              <w:pageBreakBefore w:val="0"/>
              <w:kinsoku/>
              <w:wordWrap w:val="0"/>
              <w:overflowPunct/>
              <w:topLinePunct/>
              <w:autoSpaceDE/>
              <w:autoSpaceDN/>
              <w:bidi w:val="0"/>
              <w:spacing w:line="287"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
                <w:sz w:val="24"/>
                <w:szCs w:val="24"/>
                <w:highlight w:val="none"/>
              </w:rPr>
              <w:drawing>
                <wp:inline distT="0" distB="0" distL="114300" distR="114300">
                  <wp:extent cx="2904490" cy="1189990"/>
                  <wp:effectExtent l="9525" t="9525" r="19685" b="19685"/>
                  <wp:docPr id="14" name="图片 14" descr="8c030f3d-bc5f-4024-8bae-6a7ef5b06c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8c030f3d-bc5f-4024-8bae-6a7ef5b06c91"/>
                          <pic:cNvPicPr>
                            <a:picLocks noChangeAspect="1"/>
                          </pic:cNvPicPr>
                        </pic:nvPicPr>
                        <pic:blipFill>
                          <a:blip r:embed="rId22"/>
                          <a:stretch>
                            <a:fillRect/>
                          </a:stretch>
                        </pic:blipFill>
                        <pic:spPr>
                          <a:xfrm>
                            <a:off x="0" y="0"/>
                            <a:ext cx="2904490" cy="1189990"/>
                          </a:xfrm>
                          <a:prstGeom prst="rect">
                            <a:avLst/>
                          </a:prstGeom>
                          <a:ln>
                            <a:solidFill>
                              <a:schemeClr val="bg1">
                                <a:lumMod val="65000"/>
                              </a:schemeClr>
                            </a:solidFill>
                          </a:ln>
                        </pic:spPr>
                      </pic:pic>
                    </a:graphicData>
                  </a:graphic>
                </wp:inline>
              </w:drawing>
            </w:r>
          </w:p>
          <w:p w14:paraId="3252C9D0">
            <w:pPr>
              <w:pStyle w:val="25"/>
              <w:pageBreakBefore w:val="0"/>
              <w:kinsoku/>
              <w:wordWrap w:val="0"/>
              <w:overflowPunct/>
              <w:topLinePunct/>
              <w:autoSpaceDE/>
              <w:autoSpaceDN/>
              <w:bidi w:val="0"/>
              <w:spacing w:before="78" w:line="219"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2"/>
                <w:sz w:val="24"/>
                <w:szCs w:val="24"/>
                <w:highlight w:val="none"/>
              </w:rPr>
              <w:t>图2-</w:t>
            </w:r>
            <w:r>
              <w:rPr>
                <w:rFonts w:hint="default" w:ascii="Times New Roman" w:hAnsi="Times New Roman" w:eastAsia="宋体" w:cs="Times New Roman"/>
                <w:b/>
                <w:bCs/>
                <w:color w:val="auto"/>
                <w:spacing w:val="-2"/>
                <w:sz w:val="24"/>
                <w:szCs w:val="24"/>
                <w:highlight w:val="none"/>
                <w:lang w:val="en-US" w:eastAsia="zh-CN"/>
              </w:rPr>
              <w:t>5</w:t>
            </w:r>
            <w:r>
              <w:rPr>
                <w:rFonts w:hint="default" w:ascii="Times New Roman" w:hAnsi="Times New Roman" w:eastAsia="宋体" w:cs="Times New Roman"/>
                <w:b/>
                <w:bCs/>
                <w:color w:val="auto"/>
                <w:spacing w:val="-2"/>
                <w:sz w:val="24"/>
                <w:szCs w:val="24"/>
                <w:highlight w:val="none"/>
              </w:rPr>
              <w:t>施工期工艺流程及产污环节图</w:t>
            </w:r>
          </w:p>
          <w:p w14:paraId="72F29393">
            <w:pPr>
              <w:pStyle w:val="25"/>
              <w:pageBreakBefore w:val="0"/>
              <w:kinsoku/>
              <w:wordWrap w:val="0"/>
              <w:overflowPunct/>
              <w:topLinePunct/>
              <w:autoSpaceDE/>
              <w:autoSpaceDN/>
              <w:bidi w:val="0"/>
              <w:spacing w:before="156" w:line="219" w:lineRule="auto"/>
              <w:ind w:firstLine="474"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2"/>
                <w:sz w:val="24"/>
                <w:szCs w:val="24"/>
                <w:highlight w:val="none"/>
              </w:rPr>
              <w:t>1.2施工期产污环节</w:t>
            </w:r>
          </w:p>
          <w:p w14:paraId="57DB0B32">
            <w:pPr>
              <w:pStyle w:val="25"/>
              <w:pageBreakBefore w:val="0"/>
              <w:kinsoku/>
              <w:wordWrap w:val="0"/>
              <w:overflowPunct/>
              <w:topLinePunct/>
              <w:autoSpaceDE/>
              <w:autoSpaceDN/>
              <w:bidi w:val="0"/>
              <w:spacing w:before="247" w:line="400" w:lineRule="auto"/>
              <w:ind w:left="120" w:right="180" w:firstLine="49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项目施工期对周围环境的影响主要为设备运输、安装过程中产生的施工废气、施工废水、施工噪声、施工固废等。</w:t>
            </w:r>
          </w:p>
          <w:p w14:paraId="4572730D">
            <w:pPr>
              <w:pStyle w:val="25"/>
              <w:pageBreakBefore w:val="0"/>
              <w:kinsoku/>
              <w:wordWrap w:val="0"/>
              <w:overflowPunct/>
              <w:topLinePunct/>
              <w:autoSpaceDE/>
              <w:autoSpaceDN/>
              <w:bidi w:val="0"/>
              <w:spacing w:before="160" w:line="360" w:lineRule="auto"/>
              <w:ind w:left="112" w:firstLine="49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2"/>
                <w:sz w:val="24"/>
                <w:szCs w:val="24"/>
                <w:highlight w:val="none"/>
                <w:lang w:val="en-US" w:eastAsia="zh-CN"/>
              </w:rPr>
              <w:t>2、</w:t>
            </w:r>
            <w:r>
              <w:rPr>
                <w:rFonts w:hint="default" w:ascii="Times New Roman" w:hAnsi="Times New Roman" w:eastAsia="宋体" w:cs="Times New Roman"/>
                <w:b/>
                <w:bCs/>
                <w:color w:val="auto"/>
                <w:spacing w:val="2"/>
                <w:sz w:val="24"/>
                <w:szCs w:val="24"/>
                <w:highlight w:val="none"/>
              </w:rPr>
              <w:t>运营期</w:t>
            </w:r>
          </w:p>
          <w:p w14:paraId="29DE99D0">
            <w:pPr>
              <w:pStyle w:val="25"/>
              <w:pageBreakBefore w:val="0"/>
              <w:kinsoku/>
              <w:wordWrap w:val="0"/>
              <w:overflowPunct/>
              <w:topLinePunct/>
              <w:autoSpaceDE/>
              <w:autoSpaceDN/>
              <w:bidi w:val="0"/>
              <w:spacing w:line="360" w:lineRule="auto"/>
              <w:ind w:right="0" w:firstLine="494" w:firstLineChars="200"/>
              <w:rPr>
                <w:rFonts w:hint="default" w:ascii="Times New Roman" w:hAnsi="Times New Roman" w:eastAsia="宋体" w:cs="Times New Roman"/>
                <w:color w:val="auto"/>
                <w:spacing w:val="10"/>
                <w:sz w:val="24"/>
                <w:szCs w:val="24"/>
                <w:highlight w:val="none"/>
                <w:lang w:val="en-US" w:eastAsia="zh-CN"/>
              </w:rPr>
            </w:pPr>
            <w:r>
              <w:rPr>
                <w:rFonts w:hint="default" w:ascii="Times New Roman" w:hAnsi="Times New Roman" w:eastAsia="宋体" w:cs="Times New Roman"/>
                <w:b/>
                <w:bCs/>
                <w:color w:val="auto"/>
                <w:spacing w:val="3"/>
                <w:sz w:val="24"/>
                <w:szCs w:val="24"/>
                <w:highlight w:val="none"/>
                <w:lang w:val="en-US" w:eastAsia="zh-CN"/>
              </w:rPr>
              <w:t>2.1、</w:t>
            </w:r>
            <w:r>
              <w:rPr>
                <w:rFonts w:hint="default" w:ascii="Times New Roman" w:hAnsi="Times New Roman" w:eastAsia="宋体" w:cs="Times New Roman"/>
                <w:b/>
                <w:bCs/>
                <w:color w:val="auto"/>
                <w:spacing w:val="3"/>
                <w:sz w:val="24"/>
                <w:szCs w:val="24"/>
                <w:highlight w:val="none"/>
              </w:rPr>
              <w:t>工艺流程分析</w:t>
            </w:r>
          </w:p>
          <w:p w14:paraId="2F19AB25">
            <w:pPr>
              <w:pStyle w:val="25"/>
              <w:pageBreakBefore w:val="0"/>
              <w:kinsoku/>
              <w:wordWrap w:val="0"/>
              <w:overflowPunct/>
              <w:topLinePunct/>
              <w:autoSpaceDE/>
              <w:autoSpaceDN/>
              <w:bidi w:val="0"/>
              <w:spacing w:line="360" w:lineRule="auto"/>
              <w:ind w:left="0" w:right="0" w:firstLine="520" w:firstLineChars="200"/>
              <w:jc w:val="both"/>
              <w:rPr>
                <w:rFonts w:hint="default" w:ascii="Times New Roman" w:hAnsi="Times New Roman" w:eastAsia="宋体" w:cs="Times New Roman"/>
                <w:color w:val="auto"/>
                <w:spacing w:val="9"/>
                <w:sz w:val="24"/>
                <w:szCs w:val="24"/>
                <w:highlight w:val="none"/>
              </w:rPr>
            </w:pPr>
            <w:r>
              <w:rPr>
                <w:rFonts w:hint="default" w:ascii="Times New Roman" w:hAnsi="Times New Roman" w:eastAsia="宋体" w:cs="Times New Roman"/>
                <w:color w:val="auto"/>
                <w:spacing w:val="10"/>
                <w:sz w:val="24"/>
                <w:szCs w:val="24"/>
                <w:highlight w:val="none"/>
              </w:rPr>
              <w:t>本项目工艺流程</w:t>
            </w:r>
            <w:r>
              <w:rPr>
                <w:rFonts w:hint="eastAsia" w:ascii="Times New Roman" w:hAnsi="Times New Roman" w:eastAsia="宋体" w:cs="Times New Roman"/>
                <w:color w:val="auto"/>
                <w:spacing w:val="10"/>
                <w:sz w:val="24"/>
                <w:szCs w:val="24"/>
                <w:highlight w:val="none"/>
                <w:lang w:val="en-US" w:eastAsia="zh-CN"/>
              </w:rPr>
              <w:t>包括</w:t>
            </w:r>
            <w:r>
              <w:rPr>
                <w:rFonts w:hint="default" w:ascii="Times New Roman" w:hAnsi="Times New Roman" w:eastAsia="宋体" w:cs="Times New Roman"/>
                <w:color w:val="auto"/>
                <w:spacing w:val="10"/>
                <w:sz w:val="24"/>
                <w:szCs w:val="24"/>
                <w:highlight w:val="none"/>
                <w:lang w:val="en-US" w:eastAsia="zh-CN"/>
              </w:rPr>
              <w:t>计量</w:t>
            </w:r>
            <w:r>
              <w:rPr>
                <w:rFonts w:hint="default" w:ascii="Times New Roman" w:hAnsi="Times New Roman" w:eastAsia="宋体" w:cs="Times New Roman"/>
                <w:color w:val="auto"/>
                <w:spacing w:val="10"/>
                <w:sz w:val="24"/>
                <w:szCs w:val="24"/>
                <w:highlight w:val="none"/>
              </w:rPr>
              <w:t>、搅拌等工序。整个过程主要产生废气、噪声、固废等，项目运营期生产工艺流程及产污节点见图2</w:t>
            </w:r>
            <w:r>
              <w:rPr>
                <w:rFonts w:hint="default" w:ascii="Times New Roman" w:hAnsi="Times New Roman" w:eastAsia="宋体" w:cs="Times New Roman"/>
                <w:color w:val="auto"/>
                <w:spacing w:val="9"/>
                <w:sz w:val="24"/>
                <w:szCs w:val="24"/>
                <w:highlight w:val="none"/>
              </w:rPr>
              <w:t>-</w:t>
            </w:r>
            <w:r>
              <w:rPr>
                <w:rFonts w:hint="default" w:ascii="Times New Roman" w:hAnsi="Times New Roman" w:eastAsia="宋体" w:cs="Times New Roman"/>
                <w:color w:val="auto"/>
                <w:spacing w:val="9"/>
                <w:sz w:val="24"/>
                <w:szCs w:val="24"/>
                <w:highlight w:val="none"/>
                <w:lang w:val="en-US" w:eastAsia="zh-CN"/>
              </w:rPr>
              <w:t>6</w:t>
            </w:r>
            <w:r>
              <w:rPr>
                <w:rFonts w:hint="default" w:ascii="Times New Roman" w:hAnsi="Times New Roman" w:eastAsia="宋体" w:cs="Times New Roman"/>
                <w:color w:val="auto"/>
                <w:spacing w:val="9"/>
                <w:sz w:val="24"/>
                <w:szCs w:val="24"/>
                <w:highlight w:val="none"/>
              </w:rPr>
              <w:t>。</w:t>
            </w:r>
          </w:p>
          <w:p w14:paraId="5F2E4D8A">
            <w:pPr>
              <w:pStyle w:val="25"/>
              <w:pageBreakBefore w:val="0"/>
              <w:kinsoku/>
              <w:wordWrap w:val="0"/>
              <w:overflowPunct/>
              <w:topLinePunct/>
              <w:autoSpaceDE/>
              <w:autoSpaceDN/>
              <w:bidi w:val="0"/>
              <w:spacing w:line="240" w:lineRule="auto"/>
              <w:ind w:left="0" w:right="0" w:firstLine="0" w:firstLineChars="0"/>
              <w:jc w:val="center"/>
              <w:rPr>
                <w:rFonts w:hint="eastAsia" w:ascii="Times New Roman" w:hAnsi="Times New Roman" w:eastAsia="宋体" w:cs="Times New Roman"/>
                <w:color w:val="auto"/>
                <w:spacing w:val="9"/>
                <w:sz w:val="24"/>
                <w:szCs w:val="24"/>
                <w:highlight w:val="none"/>
                <w:lang w:eastAsia="zh-CN"/>
              </w:rPr>
            </w:pPr>
            <w:r>
              <w:rPr>
                <w:rFonts w:hint="eastAsia" w:ascii="Times New Roman" w:hAnsi="Times New Roman" w:eastAsia="宋体" w:cs="Times New Roman"/>
                <w:color w:val="auto"/>
                <w:spacing w:val="9"/>
                <w:sz w:val="24"/>
                <w:szCs w:val="24"/>
                <w:highlight w:val="none"/>
                <w:lang w:eastAsia="zh-CN"/>
              </w:rPr>
              <w:drawing>
                <wp:inline distT="0" distB="0" distL="114300" distR="114300">
                  <wp:extent cx="5054600" cy="1992630"/>
                  <wp:effectExtent l="0" t="0" r="12700" b="7620"/>
                  <wp:docPr id="22" name="图片 22" descr="b74d3cf6-07ac-4ca8-92cd-2f84ea5c68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b74d3cf6-07ac-4ca8-92cd-2f84ea5c683c"/>
                          <pic:cNvPicPr>
                            <a:picLocks noChangeAspect="1"/>
                          </pic:cNvPicPr>
                        </pic:nvPicPr>
                        <pic:blipFill>
                          <a:blip r:embed="rId23"/>
                          <a:stretch>
                            <a:fillRect/>
                          </a:stretch>
                        </pic:blipFill>
                        <pic:spPr>
                          <a:xfrm>
                            <a:off x="0" y="0"/>
                            <a:ext cx="5054600" cy="1992630"/>
                          </a:xfrm>
                          <a:prstGeom prst="rect">
                            <a:avLst/>
                          </a:prstGeom>
                        </pic:spPr>
                      </pic:pic>
                    </a:graphicData>
                  </a:graphic>
                </wp:inline>
              </w:drawing>
            </w:r>
          </w:p>
          <w:p w14:paraId="7168D9EC">
            <w:pPr>
              <w:pageBreakBefore w:val="0"/>
              <w:kinsoku/>
              <w:wordWrap w:val="0"/>
              <w:overflowPunct/>
              <w:topLinePunct/>
              <w:autoSpaceDE/>
              <w:autoSpaceDN/>
              <w:bidi w:val="0"/>
              <w:spacing w:line="240" w:lineRule="auto"/>
              <w:jc w:val="center"/>
              <w:rPr>
                <w:rFonts w:hint="default" w:ascii="Times New Roman" w:hAnsi="Times New Roman" w:eastAsia="宋体" w:cs="Times New Roman"/>
                <w:b/>
                <w:bCs/>
                <w:color w:val="auto"/>
                <w:spacing w:val="5"/>
                <w:sz w:val="24"/>
                <w:szCs w:val="24"/>
                <w:highlight w:val="none"/>
              </w:rPr>
            </w:pPr>
            <w:r>
              <w:rPr>
                <w:rFonts w:hint="default" w:ascii="Times New Roman" w:hAnsi="Times New Roman" w:eastAsia="宋体" w:cs="Times New Roman"/>
                <w:b/>
                <w:bCs/>
                <w:color w:val="auto"/>
                <w:spacing w:val="5"/>
                <w:sz w:val="24"/>
                <w:szCs w:val="24"/>
                <w:highlight w:val="none"/>
              </w:rPr>
              <w:t>图2-</w:t>
            </w:r>
            <w:r>
              <w:rPr>
                <w:rFonts w:hint="default" w:ascii="Times New Roman" w:hAnsi="Times New Roman" w:eastAsia="宋体" w:cs="Times New Roman"/>
                <w:b/>
                <w:bCs/>
                <w:color w:val="auto"/>
                <w:spacing w:val="5"/>
                <w:sz w:val="24"/>
                <w:szCs w:val="24"/>
                <w:highlight w:val="none"/>
                <w:lang w:val="en-US" w:eastAsia="zh-CN"/>
              </w:rPr>
              <w:t>6</w:t>
            </w:r>
            <w:r>
              <w:rPr>
                <w:rFonts w:hint="default" w:ascii="Times New Roman" w:hAnsi="Times New Roman" w:eastAsia="宋体" w:cs="Times New Roman"/>
                <w:b/>
                <w:bCs/>
                <w:color w:val="auto"/>
                <w:spacing w:val="5"/>
                <w:sz w:val="24"/>
                <w:szCs w:val="24"/>
                <w:highlight w:val="none"/>
              </w:rPr>
              <w:t>工艺流程及产污节点图</w:t>
            </w:r>
          </w:p>
          <w:p w14:paraId="202596D6">
            <w:pPr>
              <w:keepNext w:val="0"/>
              <w:keepLines w:val="0"/>
              <w:pageBreakBefore w:val="0"/>
              <w:widowControl/>
              <w:kinsoku/>
              <w:wordWrap w:val="0"/>
              <w:overflowPunct/>
              <w:topLinePunct/>
              <w:autoSpaceDE/>
              <w:autoSpaceDN/>
              <w:bidi w:val="0"/>
              <w:adjustRightInd w:val="0"/>
              <w:snapToGrid w:val="0"/>
              <w:spacing w:line="360" w:lineRule="auto"/>
              <w:ind w:firstLine="502" w:firstLineChars="200"/>
              <w:textAlignment w:val="baseline"/>
              <w:rPr>
                <w:rFonts w:hint="default" w:ascii="Times New Roman" w:hAnsi="Times New Roman" w:eastAsia="宋体" w:cs="Times New Roman"/>
                <w:b/>
                <w:bCs/>
                <w:color w:val="auto"/>
                <w:spacing w:val="5"/>
                <w:sz w:val="24"/>
                <w:szCs w:val="24"/>
                <w:highlight w:val="none"/>
              </w:rPr>
            </w:pPr>
            <w:r>
              <w:rPr>
                <w:rFonts w:hint="default" w:ascii="Times New Roman" w:hAnsi="Times New Roman" w:eastAsia="宋体" w:cs="Times New Roman"/>
                <w:b/>
                <w:bCs/>
                <w:color w:val="auto"/>
                <w:spacing w:val="5"/>
                <w:sz w:val="24"/>
                <w:szCs w:val="24"/>
                <w:highlight w:val="none"/>
              </w:rPr>
              <w:t>工艺流程简述：</w:t>
            </w:r>
          </w:p>
          <w:p w14:paraId="562FD7F6">
            <w:pPr>
              <w:pStyle w:val="25"/>
              <w:keepNext w:val="0"/>
              <w:keepLines w:val="0"/>
              <w:pageBreakBefore w:val="0"/>
              <w:widowControl/>
              <w:kinsoku/>
              <w:wordWrap w:val="0"/>
              <w:overflowPunct/>
              <w:topLinePunct/>
              <w:autoSpaceDE/>
              <w:autoSpaceDN/>
              <w:bidi w:val="0"/>
              <w:adjustRightInd w:val="0"/>
              <w:snapToGrid w:val="0"/>
              <w:spacing w:beforeAutospacing="0" w:line="360" w:lineRule="auto"/>
              <w:ind w:left="0" w:right="0" w:firstLine="520" w:firstLineChars="200"/>
              <w:jc w:val="both"/>
              <w:textAlignment w:val="baseline"/>
              <w:rPr>
                <w:rFonts w:hint="default" w:ascii="Times New Roman" w:hAnsi="Times New Roman" w:eastAsia="宋体" w:cs="Times New Roman"/>
                <w:color w:val="auto"/>
                <w:spacing w:val="10"/>
                <w:sz w:val="24"/>
                <w:szCs w:val="24"/>
                <w:highlight w:val="none"/>
              </w:rPr>
            </w:pPr>
            <w:r>
              <w:rPr>
                <w:rFonts w:hint="default" w:ascii="Times New Roman" w:hAnsi="Times New Roman" w:eastAsia="宋体" w:cs="Times New Roman"/>
                <w:color w:val="auto"/>
                <w:spacing w:val="10"/>
                <w:sz w:val="24"/>
                <w:szCs w:val="24"/>
                <w:highlight w:val="none"/>
              </w:rPr>
              <w:t>(1)原料运输:</w:t>
            </w:r>
            <w:r>
              <w:rPr>
                <w:rFonts w:hint="default" w:ascii="Times New Roman" w:hAnsi="Times New Roman" w:eastAsia="宋体" w:cs="Times New Roman"/>
                <w:color w:val="auto"/>
                <w:spacing w:val="10"/>
                <w:sz w:val="24"/>
                <w:szCs w:val="24"/>
                <w:highlight w:val="none"/>
                <w:lang w:val="en-US" w:eastAsia="zh-CN"/>
              </w:rPr>
              <w:t>机制砂</w:t>
            </w:r>
            <w:r>
              <w:rPr>
                <w:rFonts w:hint="default" w:ascii="Times New Roman" w:hAnsi="Times New Roman" w:eastAsia="宋体" w:cs="Times New Roman"/>
                <w:color w:val="auto"/>
                <w:spacing w:val="10"/>
                <w:sz w:val="24"/>
                <w:szCs w:val="24"/>
                <w:highlight w:val="none"/>
              </w:rPr>
              <w:t>、炉渣、元明粉、三乙醇胺均由销售方运输至本项目区，不在本项目评价范围内。</w:t>
            </w:r>
          </w:p>
          <w:p w14:paraId="3F276E4C">
            <w:pPr>
              <w:pStyle w:val="25"/>
              <w:keepNext w:val="0"/>
              <w:keepLines w:val="0"/>
              <w:pageBreakBefore w:val="0"/>
              <w:widowControl/>
              <w:kinsoku/>
              <w:wordWrap w:val="0"/>
              <w:overflowPunct/>
              <w:topLinePunct/>
              <w:autoSpaceDE/>
              <w:autoSpaceDN/>
              <w:bidi w:val="0"/>
              <w:adjustRightInd w:val="0"/>
              <w:snapToGrid w:val="0"/>
              <w:spacing w:beforeAutospacing="0" w:line="360" w:lineRule="auto"/>
              <w:ind w:left="0" w:right="0" w:firstLine="520" w:firstLineChars="200"/>
              <w:jc w:val="both"/>
              <w:textAlignment w:val="baseline"/>
              <w:rPr>
                <w:rFonts w:hint="default" w:ascii="Times New Roman" w:hAnsi="Times New Roman" w:eastAsia="宋体" w:cs="Times New Roman"/>
                <w:color w:val="auto"/>
                <w:spacing w:val="10"/>
                <w:sz w:val="24"/>
                <w:szCs w:val="24"/>
                <w:highlight w:val="none"/>
              </w:rPr>
            </w:pPr>
            <w:r>
              <w:rPr>
                <w:rFonts w:hint="default" w:ascii="Times New Roman" w:hAnsi="Times New Roman" w:eastAsia="宋体" w:cs="Times New Roman"/>
                <w:color w:val="auto"/>
                <w:spacing w:val="10"/>
                <w:sz w:val="24"/>
                <w:szCs w:val="24"/>
                <w:highlight w:val="none"/>
              </w:rPr>
              <w:t>(</w:t>
            </w:r>
            <w:r>
              <w:rPr>
                <w:rFonts w:hint="default" w:ascii="Times New Roman" w:hAnsi="Times New Roman" w:eastAsia="宋体" w:cs="Times New Roman"/>
                <w:color w:val="auto"/>
                <w:spacing w:val="10"/>
                <w:sz w:val="24"/>
                <w:szCs w:val="24"/>
                <w:highlight w:val="none"/>
                <w:lang w:val="en-US" w:eastAsia="zh-CN"/>
              </w:rPr>
              <w:t>2</w:t>
            </w:r>
            <w:r>
              <w:rPr>
                <w:rFonts w:hint="default" w:ascii="Times New Roman" w:hAnsi="Times New Roman" w:eastAsia="宋体" w:cs="Times New Roman"/>
                <w:color w:val="auto"/>
                <w:spacing w:val="10"/>
                <w:sz w:val="24"/>
                <w:szCs w:val="24"/>
                <w:highlight w:val="none"/>
              </w:rPr>
              <w:t>)卸料</w:t>
            </w:r>
            <w:r>
              <w:rPr>
                <w:rFonts w:hint="default" w:ascii="Times New Roman" w:hAnsi="Times New Roman" w:eastAsia="宋体"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lang w:val="en-US" w:eastAsia="zh-CN"/>
              </w:rPr>
              <w:t>本</w:t>
            </w:r>
            <w:r>
              <w:rPr>
                <w:rFonts w:hint="default" w:ascii="Times New Roman" w:hAnsi="Times New Roman" w:eastAsia="宋体" w:cs="Times New Roman"/>
                <w:color w:val="auto"/>
                <w:spacing w:val="10"/>
                <w:sz w:val="24"/>
                <w:szCs w:val="24"/>
                <w:highlight w:val="none"/>
              </w:rPr>
              <w:t>项目原料</w:t>
            </w:r>
            <w:r>
              <w:rPr>
                <w:rFonts w:hint="default" w:ascii="Times New Roman" w:hAnsi="Times New Roman" w:eastAsia="宋体" w:cs="Times New Roman"/>
                <w:color w:val="auto"/>
                <w:spacing w:val="10"/>
                <w:sz w:val="24"/>
                <w:szCs w:val="24"/>
                <w:highlight w:val="none"/>
                <w:lang w:val="en-US" w:eastAsia="zh-CN"/>
              </w:rPr>
              <w:t>机制砂</w:t>
            </w:r>
            <w:r>
              <w:rPr>
                <w:rFonts w:hint="default" w:ascii="Times New Roman" w:hAnsi="Times New Roman" w:eastAsia="宋体" w:cs="Times New Roman"/>
                <w:color w:val="auto"/>
                <w:spacing w:val="10"/>
                <w:sz w:val="24"/>
                <w:szCs w:val="24"/>
                <w:highlight w:val="none"/>
              </w:rPr>
              <w:t>、炉渣、元明粉、三乙醇胺由汽车运输至</w:t>
            </w:r>
            <w:r>
              <w:rPr>
                <w:rFonts w:hint="default" w:ascii="Times New Roman" w:hAnsi="Times New Roman" w:eastAsia="宋体" w:cs="Times New Roman"/>
                <w:color w:val="auto"/>
                <w:spacing w:val="10"/>
                <w:sz w:val="24"/>
                <w:szCs w:val="24"/>
                <w:highlight w:val="none"/>
                <w:lang w:val="en-US" w:eastAsia="zh-CN"/>
              </w:rPr>
              <w:t>车间</w:t>
            </w:r>
            <w:r>
              <w:rPr>
                <w:rFonts w:hint="default" w:ascii="Times New Roman" w:hAnsi="Times New Roman" w:eastAsia="宋体"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元明粉</w:t>
            </w:r>
            <w:r>
              <w:rPr>
                <w:rFonts w:hint="default" w:ascii="Times New Roman" w:hAnsi="Times New Roman" w:eastAsia="宋体" w:cs="Times New Roman"/>
                <w:color w:val="auto"/>
                <w:spacing w:val="10"/>
                <w:sz w:val="24"/>
                <w:szCs w:val="24"/>
                <w:highlight w:val="none"/>
                <w:lang w:val="en-US" w:eastAsia="zh-CN"/>
              </w:rPr>
              <w:t>为吨袋包装</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color w:val="auto"/>
                <w:spacing w:val="10"/>
                <w:sz w:val="24"/>
                <w:szCs w:val="24"/>
                <w:highlight w:val="none"/>
                <w:lang w:val="en-US" w:eastAsia="zh-CN"/>
              </w:rPr>
              <w:t>为罐装，</w:t>
            </w:r>
            <w:r>
              <w:rPr>
                <w:rFonts w:hint="default" w:ascii="Times New Roman" w:hAnsi="Times New Roman" w:eastAsia="宋体" w:cs="Times New Roman"/>
                <w:color w:val="auto"/>
                <w:spacing w:val="10"/>
                <w:sz w:val="24"/>
                <w:szCs w:val="24"/>
                <w:highlight w:val="none"/>
              </w:rPr>
              <w:t>运输及装卸过程基本不产生粉尘。</w:t>
            </w:r>
            <w:r>
              <w:rPr>
                <w:rFonts w:hint="default" w:ascii="Times New Roman" w:hAnsi="Times New Roman" w:eastAsia="宋体" w:cs="Times New Roman"/>
                <w:color w:val="auto"/>
                <w:spacing w:val="10"/>
                <w:sz w:val="24"/>
                <w:szCs w:val="24"/>
                <w:highlight w:val="none"/>
                <w:lang w:val="en-US" w:eastAsia="zh-CN"/>
              </w:rPr>
              <w:t>机制砂</w:t>
            </w:r>
            <w:r>
              <w:rPr>
                <w:rFonts w:hint="default" w:ascii="Times New Roman" w:hAnsi="Times New Roman" w:eastAsia="宋体" w:cs="Times New Roman"/>
                <w:color w:val="auto"/>
                <w:spacing w:val="10"/>
                <w:sz w:val="24"/>
                <w:szCs w:val="24"/>
                <w:highlight w:val="none"/>
              </w:rPr>
              <w:t>、炉渣</w:t>
            </w:r>
            <w:r>
              <w:rPr>
                <w:rFonts w:hint="default" w:ascii="Times New Roman" w:hAnsi="Times New Roman" w:eastAsia="宋体" w:cs="Times New Roman"/>
                <w:color w:val="auto"/>
                <w:spacing w:val="10"/>
                <w:sz w:val="24"/>
                <w:szCs w:val="24"/>
                <w:highlight w:val="none"/>
                <w:lang w:val="en-US" w:eastAsia="zh-CN"/>
              </w:rPr>
              <w:t>直接堆放在车间，</w:t>
            </w:r>
            <w:r>
              <w:rPr>
                <w:rFonts w:hint="default" w:ascii="Times New Roman" w:hAnsi="Times New Roman" w:eastAsia="宋体" w:cs="Times New Roman"/>
                <w:color w:val="auto"/>
                <w:spacing w:val="10"/>
                <w:sz w:val="24"/>
                <w:szCs w:val="24"/>
                <w:highlight w:val="none"/>
              </w:rPr>
              <w:t>运输及装卸过程</w:t>
            </w:r>
            <w:r>
              <w:rPr>
                <w:rFonts w:hint="default" w:ascii="Times New Roman" w:hAnsi="Times New Roman" w:eastAsia="宋体" w:cs="Times New Roman"/>
                <w:color w:val="auto"/>
                <w:spacing w:val="10"/>
                <w:sz w:val="24"/>
                <w:szCs w:val="24"/>
                <w:highlight w:val="none"/>
                <w:lang w:val="en-US" w:eastAsia="zh-CN"/>
              </w:rPr>
              <w:t>会</w:t>
            </w:r>
            <w:r>
              <w:rPr>
                <w:rFonts w:hint="default" w:ascii="Times New Roman" w:hAnsi="Times New Roman" w:eastAsia="宋体" w:cs="Times New Roman"/>
                <w:color w:val="auto"/>
                <w:spacing w:val="10"/>
                <w:sz w:val="24"/>
                <w:szCs w:val="24"/>
                <w:highlight w:val="none"/>
              </w:rPr>
              <w:t>产生粉尘。</w:t>
            </w:r>
          </w:p>
          <w:p w14:paraId="4A6AD8D6">
            <w:pPr>
              <w:pStyle w:val="25"/>
              <w:keepNext w:val="0"/>
              <w:keepLines w:val="0"/>
              <w:pageBreakBefore w:val="0"/>
              <w:widowControl/>
              <w:kinsoku/>
              <w:wordWrap w:val="0"/>
              <w:overflowPunct/>
              <w:topLinePunct/>
              <w:autoSpaceDE/>
              <w:autoSpaceDN/>
              <w:bidi w:val="0"/>
              <w:adjustRightInd w:val="0"/>
              <w:snapToGrid w:val="0"/>
              <w:spacing w:beforeAutospacing="0" w:line="360" w:lineRule="auto"/>
              <w:ind w:left="0" w:right="0" w:firstLine="520" w:firstLineChars="200"/>
              <w:jc w:val="both"/>
              <w:textAlignment w:val="baseline"/>
              <w:rPr>
                <w:rFonts w:hint="default" w:ascii="Times New Roman" w:hAnsi="Times New Roman" w:eastAsia="宋体" w:cs="Times New Roman"/>
                <w:color w:val="auto"/>
                <w:spacing w:val="10"/>
                <w:sz w:val="24"/>
                <w:szCs w:val="24"/>
                <w:highlight w:val="none"/>
                <w:lang w:val="en-US"/>
              </w:rPr>
            </w:pPr>
            <w:r>
              <w:rPr>
                <w:rFonts w:hint="default" w:ascii="Times New Roman" w:hAnsi="Times New Roman" w:eastAsia="宋体" w:cs="Times New Roman"/>
                <w:color w:val="auto"/>
                <w:spacing w:val="10"/>
                <w:sz w:val="24"/>
                <w:szCs w:val="24"/>
                <w:highlight w:val="none"/>
              </w:rPr>
              <w:t>(</w:t>
            </w:r>
            <w:r>
              <w:rPr>
                <w:rFonts w:hint="default" w:ascii="Times New Roman" w:hAnsi="Times New Roman" w:eastAsia="宋体" w:cs="Times New Roman"/>
                <w:color w:val="auto"/>
                <w:spacing w:val="10"/>
                <w:sz w:val="24"/>
                <w:szCs w:val="24"/>
                <w:highlight w:val="none"/>
                <w:lang w:val="en-US" w:eastAsia="zh-CN"/>
              </w:rPr>
              <w:t>3</w:t>
            </w:r>
            <w:r>
              <w:rPr>
                <w:rFonts w:hint="default" w:ascii="Times New Roman" w:hAnsi="Times New Roman" w:eastAsia="宋体" w:cs="Times New Roman"/>
                <w:color w:val="auto"/>
                <w:spacing w:val="10"/>
                <w:sz w:val="24"/>
                <w:szCs w:val="24"/>
                <w:highlight w:val="none"/>
              </w:rPr>
              <w:t>)上料</w:t>
            </w:r>
            <w:r>
              <w:rPr>
                <w:rFonts w:hint="default" w:ascii="Times New Roman" w:hAnsi="Times New Roman" w:eastAsia="宋体" w:cs="Times New Roman"/>
                <w:color w:val="auto"/>
                <w:spacing w:val="10"/>
                <w:sz w:val="24"/>
                <w:szCs w:val="24"/>
                <w:highlight w:val="none"/>
                <w:lang w:val="en-US" w:eastAsia="zh-CN"/>
              </w:rPr>
              <w:t>混合</w:t>
            </w:r>
            <w:r>
              <w:rPr>
                <w:rFonts w:hint="default" w:ascii="Times New Roman" w:hAnsi="Times New Roman" w:eastAsia="宋体" w:cs="Times New Roman"/>
                <w:color w:val="auto"/>
                <w:spacing w:val="10"/>
                <w:sz w:val="24"/>
                <w:szCs w:val="24"/>
                <w:highlight w:val="none"/>
              </w:rPr>
              <w:t>:由</w:t>
            </w:r>
            <w:r>
              <w:rPr>
                <w:rFonts w:hint="eastAsia" w:ascii="Times New Roman" w:hAnsi="Times New Roman" w:cs="Times New Roman"/>
                <w:color w:val="auto"/>
                <w:spacing w:val="10"/>
                <w:sz w:val="24"/>
                <w:szCs w:val="24"/>
                <w:highlight w:val="none"/>
                <w:lang w:val="en-US" w:eastAsia="zh-CN"/>
              </w:rPr>
              <w:t>铲车</w:t>
            </w:r>
            <w:r>
              <w:rPr>
                <w:rFonts w:hint="default" w:ascii="Times New Roman" w:hAnsi="Times New Roman" w:eastAsia="宋体" w:cs="Times New Roman"/>
                <w:color w:val="auto"/>
                <w:spacing w:val="10"/>
                <w:sz w:val="24"/>
                <w:szCs w:val="24"/>
                <w:highlight w:val="none"/>
              </w:rPr>
              <w:t>将</w:t>
            </w:r>
            <w:r>
              <w:rPr>
                <w:rFonts w:hint="default" w:ascii="Times New Roman" w:hAnsi="Times New Roman" w:eastAsia="宋体" w:cs="Times New Roman"/>
                <w:color w:val="auto"/>
                <w:spacing w:val="10"/>
                <w:sz w:val="24"/>
                <w:szCs w:val="24"/>
                <w:highlight w:val="none"/>
                <w:lang w:val="en-US" w:eastAsia="zh-CN"/>
              </w:rPr>
              <w:t>机制砂</w:t>
            </w:r>
            <w:r>
              <w:rPr>
                <w:rFonts w:hint="default" w:ascii="Times New Roman" w:hAnsi="Times New Roman" w:eastAsia="宋体" w:cs="Times New Roman"/>
                <w:color w:val="auto"/>
                <w:spacing w:val="10"/>
                <w:sz w:val="24"/>
                <w:szCs w:val="24"/>
                <w:highlight w:val="none"/>
              </w:rPr>
              <w:t>、炉渣</w:t>
            </w:r>
            <w:r>
              <w:rPr>
                <w:rFonts w:hint="default" w:ascii="Times New Roman" w:hAnsi="Times New Roman" w:eastAsia="宋体"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元明粉</w:t>
            </w:r>
            <w:r>
              <w:rPr>
                <w:rFonts w:hint="default" w:ascii="Times New Roman" w:hAnsi="Times New Roman" w:eastAsia="宋体" w:cs="Times New Roman"/>
                <w:color w:val="auto"/>
                <w:spacing w:val="10"/>
                <w:sz w:val="24"/>
                <w:szCs w:val="24"/>
                <w:highlight w:val="none"/>
                <w:lang w:val="en-US" w:eastAsia="zh-CN"/>
              </w:rPr>
              <w:t>倒入料斗</w:t>
            </w:r>
            <w:r>
              <w:rPr>
                <w:rFonts w:hint="default" w:ascii="Times New Roman" w:hAnsi="Times New Roman" w:eastAsia="宋体" w:cs="Times New Roman"/>
                <w:color w:val="auto"/>
                <w:spacing w:val="10"/>
                <w:sz w:val="24"/>
                <w:szCs w:val="24"/>
                <w:highlight w:val="none"/>
              </w:rPr>
              <w:t>，料斗下装皮带秤</w:t>
            </w:r>
            <w:r>
              <w:rPr>
                <w:rFonts w:hint="eastAsia" w:ascii="Times New Roman" w:hAnsi="Times New Roman"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经计量后的物料</w:t>
            </w:r>
            <w:r>
              <w:rPr>
                <w:rFonts w:hint="eastAsia" w:ascii="Times New Roman" w:hAnsi="Times New Roman" w:cs="Times New Roman"/>
                <w:color w:val="auto"/>
                <w:spacing w:val="10"/>
                <w:sz w:val="24"/>
                <w:szCs w:val="24"/>
                <w:highlight w:val="none"/>
                <w:lang w:val="en-US" w:eastAsia="zh-CN"/>
              </w:rPr>
              <w:t>进入</w:t>
            </w:r>
            <w:r>
              <w:rPr>
                <w:rFonts w:hint="default" w:ascii="Times New Roman" w:hAnsi="Times New Roman" w:eastAsia="宋体" w:cs="Times New Roman"/>
                <w:color w:val="auto"/>
                <w:spacing w:val="10"/>
                <w:sz w:val="24"/>
                <w:szCs w:val="24"/>
                <w:highlight w:val="none"/>
              </w:rPr>
              <w:t>输送</w:t>
            </w:r>
            <w:r>
              <w:rPr>
                <w:rFonts w:hint="default" w:ascii="Times New Roman" w:hAnsi="Times New Roman" w:eastAsia="宋体" w:cs="Times New Roman"/>
                <w:color w:val="auto"/>
                <w:spacing w:val="10"/>
                <w:sz w:val="24"/>
                <w:szCs w:val="24"/>
                <w:highlight w:val="none"/>
                <w:lang w:val="en-US" w:eastAsia="zh-CN"/>
              </w:rPr>
              <w:t>带</w:t>
            </w:r>
            <w:r>
              <w:rPr>
                <w:rFonts w:hint="eastAsia" w:ascii="Times New Roman" w:hAnsi="Times New Roman" w:cs="Times New Roman"/>
                <w:color w:val="auto"/>
                <w:spacing w:val="10"/>
                <w:sz w:val="24"/>
                <w:szCs w:val="24"/>
                <w:highlight w:val="none"/>
                <w:lang w:val="en-US" w:eastAsia="zh-CN"/>
              </w:rPr>
              <w:t>。</w:t>
            </w:r>
            <w:r>
              <w:rPr>
                <w:rFonts w:hint="default" w:ascii="Times New Roman" w:hAnsi="Times New Roman" w:eastAsia="宋体" w:cs="Times New Roman"/>
                <w:color w:val="auto"/>
                <w:spacing w:val="10"/>
                <w:sz w:val="24"/>
                <w:szCs w:val="24"/>
                <w:highlight w:val="none"/>
              </w:rPr>
              <w:t>输送带上</w:t>
            </w:r>
            <w:r>
              <w:rPr>
                <w:rFonts w:hint="default" w:ascii="Times New Roman" w:hAnsi="Times New Roman" w:eastAsia="宋体" w:cs="Times New Roman"/>
                <w:color w:val="auto"/>
                <w:spacing w:val="10"/>
                <w:sz w:val="24"/>
                <w:szCs w:val="24"/>
                <w:highlight w:val="none"/>
                <w:lang w:val="en-US" w:eastAsia="zh-CN"/>
              </w:rPr>
              <w:t>方</w:t>
            </w:r>
            <w:r>
              <w:rPr>
                <w:rFonts w:hint="default" w:ascii="Times New Roman" w:hAnsi="Times New Roman" w:eastAsia="宋体" w:cs="Times New Roman"/>
                <w:color w:val="auto"/>
                <w:spacing w:val="10"/>
                <w:sz w:val="24"/>
                <w:szCs w:val="24"/>
                <w:highlight w:val="none"/>
              </w:rPr>
              <w:t>安装有</w:t>
            </w:r>
            <w:r>
              <w:rPr>
                <w:rFonts w:hint="default" w:ascii="Times New Roman" w:hAnsi="Times New Roman" w:eastAsia="宋体" w:cs="Times New Roman"/>
                <w:color w:val="auto"/>
                <w:spacing w:val="10"/>
                <w:sz w:val="24"/>
                <w:szCs w:val="24"/>
                <w:highlight w:val="none"/>
                <w:lang w:val="en-US" w:eastAsia="zh-CN"/>
              </w:rPr>
              <w:t>喷洒</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color w:val="auto"/>
                <w:spacing w:val="10"/>
                <w:sz w:val="24"/>
                <w:szCs w:val="24"/>
                <w:highlight w:val="none"/>
                <w:lang w:val="en-US" w:eastAsia="zh-CN"/>
              </w:rPr>
              <w:t>的管道</w:t>
            </w:r>
            <w:r>
              <w:rPr>
                <w:rFonts w:hint="default" w:ascii="Times New Roman" w:hAnsi="Times New Roman" w:eastAsia="宋体" w:cs="Times New Roman"/>
                <w:color w:val="auto"/>
                <w:spacing w:val="10"/>
                <w:sz w:val="24"/>
                <w:szCs w:val="24"/>
                <w:highlight w:val="none"/>
              </w:rPr>
              <w:t>，</w:t>
            </w:r>
            <w:r>
              <w:rPr>
                <w:rFonts w:hint="eastAsia" w:ascii="Times New Roman" w:hAnsi="Times New Roman" w:cs="Times New Roman"/>
                <w:color w:val="auto"/>
                <w:spacing w:val="10"/>
                <w:sz w:val="24"/>
                <w:szCs w:val="24"/>
                <w:highlight w:val="none"/>
                <w:lang w:val="en-US" w:eastAsia="zh-CN"/>
              </w:rPr>
              <w:t>在常压状态下向</w:t>
            </w:r>
            <w:r>
              <w:rPr>
                <w:rFonts w:hint="default" w:ascii="Times New Roman" w:hAnsi="Times New Roman" w:eastAsia="宋体" w:cs="Times New Roman"/>
                <w:color w:val="auto"/>
                <w:spacing w:val="10"/>
                <w:sz w:val="24"/>
                <w:szCs w:val="24"/>
                <w:highlight w:val="none"/>
              </w:rPr>
              <w:t>输送</w:t>
            </w:r>
            <w:r>
              <w:rPr>
                <w:rFonts w:hint="default" w:ascii="Times New Roman" w:hAnsi="Times New Roman" w:eastAsia="宋体" w:cs="Times New Roman"/>
                <w:color w:val="auto"/>
                <w:spacing w:val="10"/>
                <w:sz w:val="24"/>
                <w:szCs w:val="24"/>
                <w:highlight w:val="none"/>
                <w:lang w:val="en-US" w:eastAsia="zh-CN"/>
              </w:rPr>
              <w:t>带</w:t>
            </w:r>
            <w:r>
              <w:rPr>
                <w:rFonts w:hint="eastAsia" w:ascii="Times New Roman" w:hAnsi="Times New Roman" w:cs="Times New Roman"/>
                <w:color w:val="auto"/>
                <w:spacing w:val="10"/>
                <w:sz w:val="24"/>
                <w:szCs w:val="24"/>
                <w:highlight w:val="none"/>
                <w:lang w:val="en-US" w:eastAsia="zh-CN"/>
              </w:rPr>
              <w:t>中的物料</w:t>
            </w:r>
            <w:r>
              <w:rPr>
                <w:rFonts w:hint="default" w:ascii="Times New Roman" w:hAnsi="Times New Roman" w:eastAsia="宋体" w:cs="Times New Roman"/>
                <w:color w:val="auto"/>
                <w:spacing w:val="10"/>
                <w:sz w:val="24"/>
                <w:szCs w:val="24"/>
                <w:highlight w:val="none"/>
                <w:lang w:val="en-US" w:eastAsia="zh-CN"/>
              </w:rPr>
              <w:t>喷洒</w:t>
            </w:r>
            <w:r>
              <w:rPr>
                <w:rFonts w:hint="default" w:ascii="Times New Roman" w:hAnsi="Times New Roman" w:eastAsia="宋体" w:cs="Times New Roman"/>
                <w:color w:val="auto"/>
                <w:spacing w:val="10"/>
                <w:sz w:val="24"/>
                <w:szCs w:val="24"/>
                <w:highlight w:val="none"/>
              </w:rPr>
              <w:t>三乙醇胺</w:t>
            </w:r>
            <w:r>
              <w:rPr>
                <w:rFonts w:hint="eastAsia" w:ascii="Times New Roman" w:hAnsi="Times New Roman"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lang w:val="en-US" w:eastAsia="zh-CN"/>
              </w:rPr>
              <w:t>机制砂</w:t>
            </w:r>
            <w:r>
              <w:rPr>
                <w:rFonts w:hint="default" w:ascii="Times New Roman" w:hAnsi="Times New Roman" w:eastAsia="宋体" w:cs="Times New Roman"/>
                <w:color w:val="auto"/>
                <w:spacing w:val="10"/>
                <w:sz w:val="24"/>
                <w:szCs w:val="24"/>
                <w:highlight w:val="none"/>
              </w:rPr>
              <w:t>、炉渣</w:t>
            </w:r>
            <w:r>
              <w:rPr>
                <w:rFonts w:hint="default" w:ascii="Times New Roman" w:hAnsi="Times New Roman" w:eastAsia="宋体"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元明粉</w:t>
            </w:r>
            <w:r>
              <w:rPr>
                <w:rFonts w:hint="eastAsia" w:ascii="Times New Roman" w:hAnsi="Times New Roman"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三乙醇胺</w:t>
            </w:r>
            <w:r>
              <w:rPr>
                <w:rFonts w:hint="eastAsia" w:ascii="Times New Roman" w:hAnsi="Times New Roman" w:cs="Times New Roman"/>
                <w:color w:val="auto"/>
                <w:spacing w:val="10"/>
                <w:sz w:val="24"/>
                <w:szCs w:val="24"/>
                <w:highlight w:val="none"/>
                <w:lang w:val="en-US" w:eastAsia="zh-CN"/>
              </w:rPr>
              <w:t>的配料比例为4.1</w:t>
            </w:r>
            <w:r>
              <w:rPr>
                <w:rFonts w:hint="eastAsia" w:ascii="微软雅黑" w:hAnsi="微软雅黑" w:eastAsia="微软雅黑" w:cs="微软雅黑"/>
                <w:color w:val="auto"/>
                <w:spacing w:val="10"/>
                <w:sz w:val="24"/>
                <w:szCs w:val="24"/>
                <w:highlight w:val="none"/>
                <w:lang w:val="en-US" w:eastAsia="zh-CN"/>
              </w:rPr>
              <w:t>：</w:t>
            </w:r>
            <w:r>
              <w:rPr>
                <w:rFonts w:hint="eastAsia" w:ascii="Times New Roman" w:hAnsi="Times New Roman" w:cs="Times New Roman"/>
                <w:color w:val="auto"/>
                <w:spacing w:val="10"/>
                <w:sz w:val="24"/>
                <w:szCs w:val="24"/>
                <w:highlight w:val="none"/>
                <w:lang w:val="en-US" w:eastAsia="zh-CN"/>
              </w:rPr>
              <w:t>5</w:t>
            </w:r>
            <w:r>
              <w:rPr>
                <w:rFonts w:hint="eastAsia" w:ascii="微软雅黑" w:hAnsi="微软雅黑" w:eastAsia="微软雅黑" w:cs="微软雅黑"/>
                <w:color w:val="auto"/>
                <w:spacing w:val="10"/>
                <w:sz w:val="24"/>
                <w:szCs w:val="24"/>
                <w:highlight w:val="none"/>
                <w:lang w:val="en-US" w:eastAsia="zh-CN"/>
              </w:rPr>
              <w:t>：</w:t>
            </w:r>
            <w:r>
              <w:rPr>
                <w:rFonts w:hint="eastAsia" w:ascii="Times New Roman" w:hAnsi="Times New Roman" w:cs="Times New Roman"/>
                <w:color w:val="auto"/>
                <w:spacing w:val="10"/>
                <w:sz w:val="24"/>
                <w:szCs w:val="24"/>
                <w:highlight w:val="none"/>
                <w:lang w:val="en-US" w:eastAsia="zh-CN"/>
              </w:rPr>
              <w:t>0.5</w:t>
            </w:r>
            <w:r>
              <w:rPr>
                <w:rFonts w:hint="eastAsia" w:ascii="微软雅黑" w:hAnsi="微软雅黑" w:eastAsia="微软雅黑" w:cs="微软雅黑"/>
                <w:color w:val="auto"/>
                <w:spacing w:val="10"/>
                <w:sz w:val="24"/>
                <w:szCs w:val="24"/>
                <w:highlight w:val="none"/>
                <w:lang w:val="en-US" w:eastAsia="zh-CN"/>
              </w:rPr>
              <w:t>：</w:t>
            </w:r>
            <w:r>
              <w:rPr>
                <w:rFonts w:hint="eastAsia" w:ascii="Times New Roman" w:hAnsi="Times New Roman" w:cs="Times New Roman"/>
                <w:color w:val="auto"/>
                <w:spacing w:val="10"/>
                <w:sz w:val="24"/>
                <w:szCs w:val="24"/>
                <w:highlight w:val="none"/>
                <w:lang w:val="en-US" w:eastAsia="zh-CN"/>
              </w:rPr>
              <w:t>0.4。</w:t>
            </w:r>
            <w:r>
              <w:rPr>
                <w:rFonts w:hint="default" w:ascii="Times New Roman" w:hAnsi="Times New Roman" w:eastAsia="宋体" w:cs="Times New Roman"/>
                <w:color w:val="auto"/>
                <w:spacing w:val="10"/>
                <w:sz w:val="24"/>
                <w:szCs w:val="24"/>
                <w:highlight w:val="none"/>
              </w:rPr>
              <w:t>输送带为</w:t>
            </w:r>
            <w:r>
              <w:rPr>
                <w:rFonts w:hint="default" w:ascii="Times New Roman" w:hAnsi="Times New Roman" w:eastAsia="宋体" w:cs="Times New Roman"/>
                <w:color w:val="auto"/>
                <w:spacing w:val="10"/>
                <w:sz w:val="24"/>
                <w:szCs w:val="24"/>
                <w:highlight w:val="none"/>
                <w:lang w:val="en-US" w:eastAsia="zh-CN"/>
              </w:rPr>
              <w:t>三段有落差的</w:t>
            </w:r>
            <w:r>
              <w:rPr>
                <w:rFonts w:hint="default" w:ascii="Times New Roman" w:hAnsi="Times New Roman" w:eastAsia="宋体" w:cs="Times New Roman"/>
                <w:color w:val="auto"/>
                <w:spacing w:val="7"/>
                <w:sz w:val="24"/>
                <w:szCs w:val="24"/>
                <w:highlight w:val="none"/>
              </w:rPr>
              <w:t>封</w:t>
            </w:r>
            <w:r>
              <w:rPr>
                <w:rFonts w:hint="default" w:ascii="Times New Roman" w:hAnsi="Times New Roman" w:eastAsia="宋体" w:cs="Times New Roman"/>
                <w:color w:val="auto"/>
                <w:spacing w:val="10"/>
                <w:sz w:val="24"/>
                <w:szCs w:val="24"/>
                <w:highlight w:val="none"/>
              </w:rPr>
              <w:t>闭式大倾角输送带，输送带</w:t>
            </w:r>
            <w:r>
              <w:rPr>
                <w:rFonts w:hint="default" w:ascii="Times New Roman" w:hAnsi="Times New Roman" w:eastAsia="宋体" w:cs="Times New Roman"/>
                <w:color w:val="auto"/>
                <w:spacing w:val="10"/>
                <w:sz w:val="24"/>
                <w:szCs w:val="24"/>
                <w:highlight w:val="none"/>
                <w:lang w:val="en-US" w:eastAsia="zh-CN"/>
              </w:rPr>
              <w:t>上安装了角铁柱子</w:t>
            </w:r>
            <w:r>
              <w:rPr>
                <w:rFonts w:hint="eastAsia" w:ascii="Times New Roman" w:hAnsi="Times New Roman" w:cs="Times New Roman"/>
                <w:color w:val="auto"/>
                <w:spacing w:val="10"/>
                <w:sz w:val="24"/>
                <w:szCs w:val="24"/>
                <w:highlight w:val="none"/>
                <w:lang w:val="en-US" w:eastAsia="zh-CN"/>
              </w:rPr>
              <w:t>等均化设施</w:t>
            </w:r>
            <w:r>
              <w:rPr>
                <w:rFonts w:hint="default" w:ascii="Times New Roman" w:hAnsi="Times New Roman" w:eastAsia="宋体" w:cs="Times New Roman"/>
                <w:color w:val="auto"/>
                <w:spacing w:val="10"/>
                <w:sz w:val="24"/>
                <w:szCs w:val="24"/>
                <w:highlight w:val="none"/>
                <w:lang w:val="en-US" w:eastAsia="zh-CN"/>
              </w:rPr>
              <w:t>，起到混合物料的作用</w:t>
            </w:r>
            <w:r>
              <w:rPr>
                <w:rFonts w:hint="eastAsia" w:ascii="Times New Roman" w:hAnsi="Times New Roman" w:cs="Times New Roman"/>
                <w:color w:val="auto"/>
                <w:spacing w:val="10"/>
                <w:sz w:val="24"/>
                <w:szCs w:val="24"/>
                <w:highlight w:val="none"/>
                <w:lang w:val="en-US" w:eastAsia="zh-CN"/>
              </w:rPr>
              <w:t>。</w:t>
            </w:r>
            <w:r>
              <w:rPr>
                <w:rFonts w:hint="default" w:ascii="Times New Roman" w:hAnsi="Times New Roman" w:eastAsia="宋体" w:cs="Times New Roman"/>
                <w:color w:val="auto"/>
                <w:spacing w:val="10"/>
                <w:sz w:val="24"/>
                <w:szCs w:val="24"/>
                <w:highlight w:val="none"/>
                <w:lang w:val="en-US" w:eastAsia="zh-CN"/>
              </w:rPr>
              <w:t>物料经三段有落差的</w:t>
            </w:r>
            <w:r>
              <w:rPr>
                <w:rFonts w:hint="default" w:ascii="Times New Roman" w:hAnsi="Times New Roman" w:eastAsia="宋体" w:cs="Times New Roman"/>
                <w:color w:val="auto"/>
                <w:spacing w:val="10"/>
                <w:sz w:val="24"/>
                <w:szCs w:val="24"/>
                <w:highlight w:val="none"/>
              </w:rPr>
              <w:t>输送</w:t>
            </w:r>
            <w:r>
              <w:rPr>
                <w:rFonts w:hint="default" w:ascii="Times New Roman" w:hAnsi="Times New Roman" w:eastAsia="宋体" w:cs="Times New Roman"/>
                <w:color w:val="auto"/>
                <w:spacing w:val="10"/>
                <w:sz w:val="24"/>
                <w:szCs w:val="24"/>
                <w:highlight w:val="none"/>
                <w:lang w:val="en-US" w:eastAsia="zh-CN"/>
              </w:rPr>
              <w:t>带混合后即为产品。</w:t>
            </w:r>
            <w:r>
              <w:rPr>
                <w:rFonts w:hint="default" w:ascii="Times New Roman" w:hAnsi="Times New Roman" w:eastAsia="宋体" w:cs="Times New Roman"/>
                <w:color w:val="auto"/>
                <w:spacing w:val="10"/>
                <w:sz w:val="24"/>
                <w:szCs w:val="24"/>
                <w:highlight w:val="none"/>
              </w:rPr>
              <w:t>上料</w:t>
            </w:r>
            <w:r>
              <w:rPr>
                <w:rFonts w:hint="default" w:ascii="Times New Roman" w:hAnsi="Times New Roman" w:eastAsia="宋体" w:cs="Times New Roman"/>
                <w:color w:val="auto"/>
                <w:spacing w:val="10"/>
                <w:sz w:val="24"/>
                <w:szCs w:val="24"/>
                <w:highlight w:val="none"/>
                <w:lang w:val="en-US" w:eastAsia="zh-CN"/>
              </w:rPr>
              <w:t>混合过程产生粉尘和恶臭气体。</w:t>
            </w:r>
          </w:p>
          <w:p w14:paraId="29D77ABB">
            <w:pPr>
              <w:pStyle w:val="9"/>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firstLine="494" w:firstLineChars="200"/>
              <w:textAlignment w:val="baseline"/>
              <w:rPr>
                <w:rFonts w:hint="default" w:ascii="Times New Roman" w:hAnsi="Times New Roman" w:eastAsia="宋体" w:cs="Times New Roman"/>
                <w:b/>
                <w:bCs/>
                <w:snapToGrid w:val="0"/>
                <w:color w:val="auto"/>
                <w:spacing w:val="3"/>
                <w:kern w:val="0"/>
                <w:sz w:val="24"/>
                <w:szCs w:val="24"/>
                <w:highlight w:val="none"/>
                <w:lang w:val="en-US" w:eastAsia="zh-CN" w:bidi="ar-SA"/>
              </w:rPr>
            </w:pPr>
            <w:r>
              <w:rPr>
                <w:rFonts w:hint="default" w:ascii="Times New Roman" w:hAnsi="Times New Roman" w:eastAsia="宋体" w:cs="Times New Roman"/>
                <w:b/>
                <w:bCs/>
                <w:snapToGrid w:val="0"/>
                <w:color w:val="auto"/>
                <w:spacing w:val="3"/>
                <w:kern w:val="0"/>
                <w:sz w:val="24"/>
                <w:szCs w:val="24"/>
                <w:highlight w:val="none"/>
                <w:lang w:val="en-US" w:eastAsia="zh-CN" w:bidi="ar-SA"/>
              </w:rPr>
              <w:t>2.2、产排污环节</w:t>
            </w:r>
          </w:p>
          <w:p w14:paraId="6FAB3D3A">
            <w:pPr>
              <w:pStyle w:val="40"/>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both"/>
              <w:textAlignment w:val="baseline"/>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项目污染物种类、来源、排放方式见表2-6。</w:t>
            </w:r>
          </w:p>
          <w:p w14:paraId="548B0581">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表2-</w:t>
            </w:r>
            <w:r>
              <w:rPr>
                <w:rFonts w:hint="default" w:ascii="Times New Roman" w:hAnsi="Times New Roman" w:eastAsia="宋体" w:cs="Times New Roman"/>
                <w:b/>
                <w:bCs/>
                <w:color w:val="auto"/>
                <w:sz w:val="21"/>
                <w:szCs w:val="21"/>
                <w:highlight w:val="none"/>
                <w:lang w:val="en-US" w:eastAsia="zh-CN"/>
              </w:rPr>
              <w:t>6项目</w:t>
            </w:r>
            <w:r>
              <w:rPr>
                <w:rFonts w:hint="default" w:ascii="Times New Roman" w:hAnsi="Times New Roman" w:eastAsia="宋体" w:cs="Times New Roman"/>
                <w:b/>
                <w:bCs/>
                <w:color w:val="auto"/>
                <w:sz w:val="21"/>
                <w:szCs w:val="21"/>
                <w:highlight w:val="none"/>
              </w:rPr>
              <w:t>产</w:t>
            </w:r>
            <w:r>
              <w:rPr>
                <w:rFonts w:hint="default" w:ascii="Times New Roman" w:hAnsi="Times New Roman" w:eastAsia="宋体" w:cs="Times New Roman"/>
                <w:b/>
                <w:bCs/>
                <w:color w:val="auto"/>
                <w:sz w:val="21"/>
                <w:szCs w:val="21"/>
                <w:highlight w:val="none"/>
                <w:lang w:val="en-US" w:eastAsia="zh-CN"/>
              </w:rPr>
              <w:t>排</w:t>
            </w:r>
            <w:r>
              <w:rPr>
                <w:rFonts w:hint="default" w:ascii="Times New Roman" w:hAnsi="Times New Roman" w:eastAsia="宋体" w:cs="Times New Roman"/>
                <w:b/>
                <w:bCs/>
                <w:color w:val="auto"/>
                <w:sz w:val="21"/>
                <w:szCs w:val="21"/>
                <w:highlight w:val="none"/>
              </w:rPr>
              <w:t>污环节表</w:t>
            </w:r>
          </w:p>
          <w:tbl>
            <w:tblPr>
              <w:tblStyle w:val="18"/>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5"/>
              <w:gridCol w:w="1337"/>
              <w:gridCol w:w="1315"/>
              <w:gridCol w:w="1843"/>
              <w:gridCol w:w="2309"/>
            </w:tblGrid>
            <w:tr w14:paraId="15F0F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959" w:type="pct"/>
                  <w:tcBorders>
                    <w:tl2br w:val="nil"/>
                    <w:tr2bl w:val="nil"/>
                  </w:tcBorders>
                  <w:noWrap w:val="0"/>
                  <w:vAlign w:val="center"/>
                </w:tcPr>
                <w:p w14:paraId="1C304AE0">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产污类型</w:t>
                  </w:r>
                </w:p>
              </w:tc>
              <w:tc>
                <w:tcPr>
                  <w:tcW w:w="794" w:type="pct"/>
                  <w:tcBorders>
                    <w:tl2br w:val="nil"/>
                    <w:tr2bl w:val="nil"/>
                  </w:tcBorders>
                  <w:noWrap w:val="0"/>
                  <w:vAlign w:val="center"/>
                </w:tcPr>
                <w:p w14:paraId="4C85F7FD">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rPr>
                    <w:t>产</w:t>
                  </w:r>
                  <w:r>
                    <w:rPr>
                      <w:rFonts w:hint="default" w:ascii="Times New Roman" w:hAnsi="Times New Roman" w:eastAsia="宋体" w:cs="Times New Roman"/>
                      <w:b w:val="0"/>
                      <w:bCs w:val="0"/>
                      <w:color w:val="auto"/>
                      <w:sz w:val="21"/>
                      <w:szCs w:val="21"/>
                      <w:highlight w:val="none"/>
                      <w:lang w:val="en-US" w:eastAsia="zh-CN"/>
                    </w:rPr>
                    <w:t>排</w:t>
                  </w:r>
                  <w:r>
                    <w:rPr>
                      <w:rFonts w:hint="default" w:ascii="Times New Roman" w:hAnsi="Times New Roman" w:eastAsia="宋体" w:cs="Times New Roman"/>
                      <w:b w:val="0"/>
                      <w:bCs w:val="0"/>
                      <w:color w:val="auto"/>
                      <w:sz w:val="21"/>
                      <w:szCs w:val="21"/>
                      <w:highlight w:val="none"/>
                    </w:rPr>
                    <w:t>污环节</w:t>
                  </w:r>
                </w:p>
              </w:tc>
              <w:tc>
                <w:tcPr>
                  <w:tcW w:w="781" w:type="pct"/>
                  <w:tcBorders>
                    <w:tl2br w:val="nil"/>
                    <w:tr2bl w:val="nil"/>
                  </w:tcBorders>
                  <w:noWrap w:val="0"/>
                  <w:vAlign w:val="center"/>
                </w:tcPr>
                <w:p w14:paraId="6447773C">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val="en-US" w:eastAsia="zh-CN"/>
                    </w:rPr>
                    <w:t>污染物名称</w:t>
                  </w:r>
                </w:p>
              </w:tc>
              <w:tc>
                <w:tcPr>
                  <w:tcW w:w="1094" w:type="pct"/>
                  <w:tcBorders>
                    <w:tl2br w:val="nil"/>
                    <w:tr2bl w:val="nil"/>
                  </w:tcBorders>
                  <w:noWrap w:val="0"/>
                  <w:vAlign w:val="center"/>
                </w:tcPr>
                <w:p w14:paraId="46AD4188">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主要污染因子</w:t>
                  </w:r>
                </w:p>
              </w:tc>
              <w:tc>
                <w:tcPr>
                  <w:tcW w:w="1371" w:type="pct"/>
                  <w:tcBorders>
                    <w:tl2br w:val="nil"/>
                    <w:tr2bl w:val="nil"/>
                  </w:tcBorders>
                  <w:noWrap w:val="0"/>
                  <w:vAlign w:val="center"/>
                </w:tcPr>
                <w:p w14:paraId="4BE4ACDD">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备注</w:t>
                  </w:r>
                </w:p>
              </w:tc>
            </w:tr>
            <w:tr w14:paraId="53F75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959" w:type="pct"/>
                  <w:vMerge w:val="restart"/>
                  <w:tcBorders>
                    <w:tl2br w:val="nil"/>
                    <w:tr2bl w:val="nil"/>
                  </w:tcBorders>
                  <w:noWrap w:val="0"/>
                  <w:vAlign w:val="center"/>
                </w:tcPr>
                <w:p w14:paraId="5630C00C">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废气</w:t>
                  </w:r>
                </w:p>
              </w:tc>
              <w:tc>
                <w:tcPr>
                  <w:tcW w:w="794" w:type="pct"/>
                  <w:tcBorders>
                    <w:tl2br w:val="nil"/>
                    <w:tr2bl w:val="nil"/>
                  </w:tcBorders>
                  <w:noWrap w:val="0"/>
                  <w:vAlign w:val="center"/>
                </w:tcPr>
                <w:p w14:paraId="30FCE22D">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卸料</w:t>
                  </w:r>
                </w:p>
              </w:tc>
              <w:tc>
                <w:tcPr>
                  <w:tcW w:w="781" w:type="pct"/>
                  <w:tcBorders>
                    <w:tl2br w:val="nil"/>
                    <w:tr2bl w:val="nil"/>
                  </w:tcBorders>
                  <w:noWrap w:val="0"/>
                  <w:vAlign w:val="center"/>
                </w:tcPr>
                <w:p w14:paraId="7DF29075">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粉尘</w:t>
                  </w:r>
                </w:p>
              </w:tc>
              <w:tc>
                <w:tcPr>
                  <w:tcW w:w="1094" w:type="pct"/>
                  <w:tcBorders>
                    <w:tl2br w:val="nil"/>
                    <w:tr2bl w:val="nil"/>
                  </w:tcBorders>
                  <w:noWrap w:val="0"/>
                  <w:vAlign w:val="center"/>
                </w:tcPr>
                <w:p w14:paraId="368D7DFD">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颗粒物</w:t>
                  </w:r>
                </w:p>
              </w:tc>
              <w:tc>
                <w:tcPr>
                  <w:tcW w:w="1371" w:type="pct"/>
                  <w:tcBorders>
                    <w:tl2br w:val="nil"/>
                    <w:tr2bl w:val="nil"/>
                  </w:tcBorders>
                  <w:noWrap w:val="0"/>
                  <w:vAlign w:val="center"/>
                </w:tcPr>
                <w:p w14:paraId="053F6EAA">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r>
            <w:tr w14:paraId="1A2CA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59" w:type="pct"/>
                  <w:vMerge w:val="continue"/>
                  <w:tcBorders>
                    <w:tl2br w:val="nil"/>
                    <w:tr2bl w:val="nil"/>
                  </w:tcBorders>
                  <w:noWrap w:val="0"/>
                  <w:vAlign w:val="center"/>
                </w:tcPr>
                <w:p w14:paraId="02379A8B">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p>
              </w:tc>
              <w:tc>
                <w:tcPr>
                  <w:tcW w:w="794" w:type="pct"/>
                  <w:tcBorders>
                    <w:tl2br w:val="nil"/>
                    <w:tr2bl w:val="nil"/>
                  </w:tcBorders>
                  <w:noWrap w:val="0"/>
                  <w:vAlign w:val="center"/>
                </w:tcPr>
                <w:p w14:paraId="29133157">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上料</w:t>
                  </w:r>
                  <w:r>
                    <w:rPr>
                      <w:rFonts w:hint="default" w:ascii="Times New Roman" w:hAnsi="Times New Roman" w:eastAsia="宋体" w:cs="Times New Roman"/>
                      <w:b w:val="0"/>
                      <w:bCs w:val="0"/>
                      <w:color w:val="auto"/>
                      <w:sz w:val="21"/>
                      <w:szCs w:val="21"/>
                      <w:highlight w:val="none"/>
                      <w:lang w:val="en-US" w:eastAsia="zh-CN"/>
                    </w:rPr>
                    <w:t>混合</w:t>
                  </w:r>
                </w:p>
              </w:tc>
              <w:tc>
                <w:tcPr>
                  <w:tcW w:w="781" w:type="pct"/>
                  <w:tcBorders>
                    <w:tl2br w:val="nil"/>
                    <w:tr2bl w:val="nil"/>
                  </w:tcBorders>
                  <w:shd w:val="clear" w:color="auto" w:fill="auto"/>
                  <w:noWrap w:val="0"/>
                  <w:vAlign w:val="center"/>
                </w:tcPr>
                <w:p w14:paraId="7C5AC3E1">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粉尘</w:t>
                  </w:r>
                </w:p>
              </w:tc>
              <w:tc>
                <w:tcPr>
                  <w:tcW w:w="1094" w:type="pct"/>
                  <w:tcBorders>
                    <w:tl2br w:val="nil"/>
                    <w:tr2bl w:val="nil"/>
                  </w:tcBorders>
                  <w:shd w:val="clear" w:color="auto" w:fill="auto"/>
                  <w:noWrap w:val="0"/>
                  <w:vAlign w:val="center"/>
                </w:tcPr>
                <w:p w14:paraId="58CD2CB5">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颗粒物、</w:t>
                  </w: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p>
              </w:tc>
              <w:tc>
                <w:tcPr>
                  <w:tcW w:w="1371" w:type="pct"/>
                  <w:tcBorders>
                    <w:tl2br w:val="nil"/>
                    <w:tr2bl w:val="nil"/>
                  </w:tcBorders>
                  <w:noWrap w:val="0"/>
                  <w:vAlign w:val="center"/>
                </w:tcPr>
                <w:p w14:paraId="2DB05295">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袋式除尘后经一根15m高排气筒排放</w:t>
                  </w:r>
                </w:p>
              </w:tc>
            </w:tr>
            <w:tr w14:paraId="6216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59" w:type="pct"/>
                  <w:tcBorders>
                    <w:tl2br w:val="nil"/>
                    <w:tr2bl w:val="nil"/>
                  </w:tcBorders>
                  <w:noWrap w:val="0"/>
                  <w:vAlign w:val="center"/>
                </w:tcPr>
                <w:p w14:paraId="688A0AB6">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废水</w:t>
                  </w:r>
                </w:p>
              </w:tc>
              <w:tc>
                <w:tcPr>
                  <w:tcW w:w="794" w:type="pct"/>
                  <w:tcBorders>
                    <w:tl2br w:val="nil"/>
                    <w:tr2bl w:val="nil"/>
                  </w:tcBorders>
                  <w:noWrap w:val="0"/>
                  <w:vAlign w:val="center"/>
                </w:tcPr>
                <w:p w14:paraId="525FE170">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职工生活</w:t>
                  </w:r>
                </w:p>
              </w:tc>
              <w:tc>
                <w:tcPr>
                  <w:tcW w:w="781" w:type="pct"/>
                  <w:tcBorders>
                    <w:tl2br w:val="nil"/>
                    <w:tr2bl w:val="nil"/>
                  </w:tcBorders>
                  <w:shd w:val="clear" w:color="auto" w:fill="auto"/>
                  <w:noWrap w:val="0"/>
                  <w:vAlign w:val="center"/>
                </w:tcPr>
                <w:p w14:paraId="34B21064">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rPr>
                  </w:pPr>
                  <w:r>
                    <w:rPr>
                      <w:rFonts w:hint="eastAsia" w:ascii="Times New Roman" w:hAnsi="Times New Roman" w:eastAsia="宋体" w:cs="Times New Roman"/>
                      <w:b w:val="0"/>
                      <w:bCs w:val="0"/>
                      <w:color w:val="auto"/>
                      <w:sz w:val="21"/>
                      <w:szCs w:val="21"/>
                      <w:highlight w:val="none"/>
                      <w:lang w:val="en-US" w:eastAsia="zh-CN"/>
                    </w:rPr>
                    <w:t>生活污水</w:t>
                  </w:r>
                </w:p>
              </w:tc>
              <w:tc>
                <w:tcPr>
                  <w:tcW w:w="1094" w:type="pct"/>
                  <w:tcBorders>
                    <w:tl2br w:val="nil"/>
                    <w:tr2bl w:val="nil"/>
                  </w:tcBorders>
                  <w:shd w:val="clear" w:color="auto" w:fill="auto"/>
                  <w:noWrap w:val="0"/>
                  <w:vAlign w:val="center"/>
                </w:tcPr>
                <w:p w14:paraId="2C277A4B">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CODcr</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BOD</w:t>
                  </w:r>
                  <w:r>
                    <w:rPr>
                      <w:rFonts w:hint="default" w:ascii="Times New Roman" w:hAnsi="Times New Roman" w:eastAsia="宋体" w:cs="Times New Roman"/>
                      <w:b w:val="0"/>
                      <w:bCs w:val="0"/>
                      <w:color w:val="auto"/>
                      <w:sz w:val="21"/>
                      <w:szCs w:val="21"/>
                      <w:highlight w:val="none"/>
                      <w:vertAlign w:val="subscript"/>
                      <w:lang w:val="en-US" w:eastAsia="zh-CN"/>
                    </w:rPr>
                    <w:t>5</w:t>
                  </w:r>
                  <w:r>
                    <w:rPr>
                      <w:rFonts w:hint="eastAsia" w:ascii="Times New Roman" w:hAnsi="Times New Roman" w:eastAsia="宋体" w:cs="Times New Roman"/>
                      <w:b w:val="0"/>
                      <w:bCs w:val="0"/>
                      <w:color w:val="auto"/>
                      <w:sz w:val="21"/>
                      <w:szCs w:val="21"/>
                      <w:highlight w:val="none"/>
                      <w:vertAlign w:val="subscript"/>
                      <w:lang w:val="en-US" w:eastAsia="zh-CN"/>
                    </w:rPr>
                    <w:t>、</w:t>
                  </w:r>
                </w:p>
                <w:p w14:paraId="6C1AE5B5">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both"/>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lang w:val="en-US" w:eastAsia="zh-CN"/>
                    </w:rPr>
                    <w:t>-N</w:t>
                  </w:r>
                  <w:r>
                    <w:rPr>
                      <w:rFonts w:hint="eastAsia"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SS</w:t>
                  </w:r>
                </w:p>
              </w:tc>
              <w:tc>
                <w:tcPr>
                  <w:tcW w:w="1371" w:type="pct"/>
                  <w:tcBorders>
                    <w:tl2br w:val="nil"/>
                    <w:tr2bl w:val="nil"/>
                  </w:tcBorders>
                  <w:noWrap w:val="0"/>
                  <w:vAlign w:val="center"/>
                </w:tcPr>
                <w:p w14:paraId="46CAE631">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排入市政污水管网</w:t>
                  </w:r>
                </w:p>
              </w:tc>
            </w:tr>
            <w:tr w14:paraId="585D3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59" w:type="pct"/>
                  <w:tcBorders>
                    <w:tl2br w:val="nil"/>
                    <w:tr2bl w:val="nil"/>
                  </w:tcBorders>
                  <w:noWrap w:val="0"/>
                  <w:vAlign w:val="center"/>
                </w:tcPr>
                <w:p w14:paraId="58AB4B68">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生活垃圾</w:t>
                  </w:r>
                </w:p>
              </w:tc>
              <w:tc>
                <w:tcPr>
                  <w:tcW w:w="794" w:type="pct"/>
                  <w:tcBorders>
                    <w:tl2br w:val="nil"/>
                    <w:tr2bl w:val="nil"/>
                  </w:tcBorders>
                  <w:shd w:val="clear" w:color="auto" w:fill="auto"/>
                  <w:noWrap w:val="0"/>
                  <w:vAlign w:val="center"/>
                </w:tcPr>
                <w:p w14:paraId="7251B0DB">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办公生活</w:t>
                  </w:r>
                </w:p>
              </w:tc>
              <w:tc>
                <w:tcPr>
                  <w:tcW w:w="781" w:type="pct"/>
                  <w:tcBorders>
                    <w:tl2br w:val="nil"/>
                    <w:tr2bl w:val="nil"/>
                  </w:tcBorders>
                  <w:shd w:val="clear" w:color="auto" w:fill="auto"/>
                  <w:noWrap w:val="0"/>
                  <w:vAlign w:val="center"/>
                </w:tcPr>
                <w:p w14:paraId="15C8CF57">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生活垃圾</w:t>
                  </w:r>
                </w:p>
              </w:tc>
              <w:tc>
                <w:tcPr>
                  <w:tcW w:w="1094" w:type="pct"/>
                  <w:tcBorders>
                    <w:tl2br w:val="nil"/>
                    <w:tr2bl w:val="nil"/>
                  </w:tcBorders>
                  <w:noWrap w:val="0"/>
                  <w:vAlign w:val="center"/>
                </w:tcPr>
                <w:p w14:paraId="21484FA2">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生活垃圾</w:t>
                  </w:r>
                </w:p>
              </w:tc>
              <w:tc>
                <w:tcPr>
                  <w:tcW w:w="1371" w:type="pct"/>
                  <w:tcBorders>
                    <w:tl2br w:val="nil"/>
                    <w:tr2bl w:val="nil"/>
                  </w:tcBorders>
                  <w:noWrap w:val="0"/>
                  <w:vAlign w:val="center"/>
                </w:tcPr>
                <w:p w14:paraId="5873372F">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收集后交由</w:t>
                  </w:r>
                  <w:r>
                    <w:rPr>
                      <w:rFonts w:hint="default" w:ascii="Times New Roman" w:hAnsi="Times New Roman" w:eastAsia="宋体" w:cs="Times New Roman"/>
                      <w:b w:val="0"/>
                      <w:bCs w:val="0"/>
                      <w:color w:val="auto"/>
                      <w:sz w:val="21"/>
                      <w:szCs w:val="21"/>
                      <w:highlight w:val="none"/>
                      <w:lang w:val="zh-CN"/>
                    </w:rPr>
                    <w:t>环卫部门统一处理</w:t>
                  </w:r>
                </w:p>
              </w:tc>
            </w:tr>
            <w:tr w14:paraId="6CF0F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959" w:type="pct"/>
                  <w:tcBorders>
                    <w:tl2br w:val="nil"/>
                    <w:tr2bl w:val="nil"/>
                  </w:tcBorders>
                  <w:noWrap w:val="0"/>
                  <w:vAlign w:val="center"/>
                </w:tcPr>
                <w:p w14:paraId="47DDAB76">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一般工业固废</w:t>
                  </w:r>
                </w:p>
              </w:tc>
              <w:tc>
                <w:tcPr>
                  <w:tcW w:w="794" w:type="pct"/>
                  <w:tcBorders>
                    <w:tl2br w:val="nil"/>
                    <w:tr2bl w:val="nil"/>
                  </w:tcBorders>
                  <w:shd w:val="clear" w:color="auto" w:fill="auto"/>
                  <w:noWrap w:val="0"/>
                  <w:vAlign w:val="center"/>
                </w:tcPr>
                <w:p w14:paraId="0A202643">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废气处理</w:t>
                  </w:r>
                </w:p>
              </w:tc>
              <w:tc>
                <w:tcPr>
                  <w:tcW w:w="781" w:type="pct"/>
                  <w:tcBorders>
                    <w:tl2br w:val="nil"/>
                    <w:tr2bl w:val="nil"/>
                  </w:tcBorders>
                  <w:shd w:val="clear" w:color="auto" w:fill="auto"/>
                  <w:noWrap w:val="0"/>
                  <w:vAlign w:val="center"/>
                </w:tcPr>
                <w:p w14:paraId="2C9E723F">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收集粉尘</w:t>
                  </w:r>
                </w:p>
              </w:tc>
              <w:tc>
                <w:tcPr>
                  <w:tcW w:w="1094" w:type="pct"/>
                  <w:tcBorders>
                    <w:tl2br w:val="nil"/>
                    <w:tr2bl w:val="nil"/>
                  </w:tcBorders>
                  <w:noWrap w:val="0"/>
                  <w:vAlign w:val="center"/>
                </w:tcPr>
                <w:p w14:paraId="4F6AB4C1">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TSP</w:t>
                  </w:r>
                </w:p>
              </w:tc>
              <w:tc>
                <w:tcPr>
                  <w:tcW w:w="1371" w:type="pct"/>
                  <w:tcBorders>
                    <w:tl2br w:val="nil"/>
                    <w:tr2bl w:val="nil"/>
                  </w:tcBorders>
                  <w:noWrap w:val="0"/>
                  <w:vAlign w:val="center"/>
                </w:tcPr>
                <w:p w14:paraId="707B98FD">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回用于生产产</w:t>
                  </w:r>
                </w:p>
              </w:tc>
            </w:tr>
            <w:tr w14:paraId="5F087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959" w:type="pct"/>
                  <w:tcBorders>
                    <w:tl2br w:val="nil"/>
                    <w:tr2bl w:val="nil"/>
                  </w:tcBorders>
                  <w:noWrap w:val="0"/>
                  <w:vAlign w:val="center"/>
                </w:tcPr>
                <w:p w14:paraId="6AF88A6B">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危险废物</w:t>
                  </w:r>
                </w:p>
              </w:tc>
              <w:tc>
                <w:tcPr>
                  <w:tcW w:w="794" w:type="pct"/>
                  <w:tcBorders>
                    <w:tl2br w:val="nil"/>
                    <w:tr2bl w:val="nil"/>
                  </w:tcBorders>
                  <w:shd w:val="clear" w:color="auto" w:fill="auto"/>
                  <w:noWrap w:val="0"/>
                  <w:vAlign w:val="center"/>
                </w:tcPr>
                <w:p w14:paraId="3FAF9EBA">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color w:val="auto"/>
                      <w:kern w:val="0"/>
                      <w:sz w:val="21"/>
                      <w:szCs w:val="21"/>
                      <w:highlight w:val="none"/>
                      <w:lang w:bidi="ar"/>
                    </w:rPr>
                    <w:t>设备维护</w:t>
                  </w:r>
                </w:p>
              </w:tc>
              <w:tc>
                <w:tcPr>
                  <w:tcW w:w="781" w:type="pct"/>
                  <w:tcBorders>
                    <w:tl2br w:val="nil"/>
                    <w:tr2bl w:val="nil"/>
                  </w:tcBorders>
                  <w:shd w:val="clear" w:color="auto" w:fill="auto"/>
                  <w:noWrap w:val="0"/>
                  <w:vAlign w:val="center"/>
                </w:tcPr>
                <w:p w14:paraId="627B0707">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color w:val="auto"/>
                      <w:kern w:val="0"/>
                      <w:sz w:val="21"/>
                      <w:szCs w:val="21"/>
                      <w:highlight w:val="none"/>
                      <w:lang w:bidi="ar"/>
                    </w:rPr>
                    <w:t>废机油</w:t>
                  </w:r>
                </w:p>
              </w:tc>
              <w:tc>
                <w:tcPr>
                  <w:tcW w:w="1094" w:type="pct"/>
                  <w:tcBorders>
                    <w:tl2br w:val="nil"/>
                    <w:tr2bl w:val="nil"/>
                  </w:tcBorders>
                  <w:noWrap w:val="0"/>
                  <w:vAlign w:val="center"/>
                </w:tcPr>
                <w:p w14:paraId="3239D2BD">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color w:val="auto"/>
                      <w:kern w:val="0"/>
                      <w:sz w:val="21"/>
                      <w:szCs w:val="21"/>
                      <w:highlight w:val="none"/>
                      <w:lang w:bidi="ar"/>
                    </w:rPr>
                    <w:t>废机油</w:t>
                  </w:r>
                </w:p>
              </w:tc>
              <w:tc>
                <w:tcPr>
                  <w:tcW w:w="1371" w:type="pct"/>
                  <w:tcBorders>
                    <w:tl2br w:val="nil"/>
                    <w:tr2bl w:val="nil"/>
                  </w:tcBorders>
                  <w:noWrap w:val="0"/>
                  <w:vAlign w:val="center"/>
                </w:tcPr>
                <w:p w14:paraId="4051E169">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snapToGrid w:val="0"/>
                      <w:color w:val="auto"/>
                      <w:kern w:val="0"/>
                      <w:sz w:val="21"/>
                      <w:szCs w:val="21"/>
                      <w:highlight w:val="none"/>
                      <w:lang w:val="en-US" w:eastAsia="zh-CN" w:bidi="ar-SA"/>
                    </w:rPr>
                    <w:t>定期交由有危废处置资质单位处理</w:t>
                  </w:r>
                </w:p>
              </w:tc>
            </w:tr>
            <w:tr w14:paraId="2D6A5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959" w:type="pct"/>
                  <w:tcBorders>
                    <w:tl2br w:val="nil"/>
                    <w:tr2bl w:val="nil"/>
                  </w:tcBorders>
                  <w:noWrap w:val="0"/>
                  <w:vAlign w:val="center"/>
                </w:tcPr>
                <w:p w14:paraId="5DD9FB88">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噪声</w:t>
                  </w:r>
                </w:p>
              </w:tc>
              <w:tc>
                <w:tcPr>
                  <w:tcW w:w="794" w:type="pct"/>
                  <w:tcBorders>
                    <w:tl2br w:val="nil"/>
                    <w:tr2bl w:val="nil"/>
                  </w:tcBorders>
                  <w:noWrap w:val="0"/>
                  <w:vAlign w:val="center"/>
                </w:tcPr>
                <w:p w14:paraId="002896B8">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生产设备</w:t>
                  </w:r>
                </w:p>
              </w:tc>
              <w:tc>
                <w:tcPr>
                  <w:tcW w:w="781" w:type="pct"/>
                  <w:tcBorders>
                    <w:tl2br w:val="nil"/>
                    <w:tr2bl w:val="nil"/>
                  </w:tcBorders>
                  <w:noWrap w:val="0"/>
                  <w:vAlign w:val="center"/>
                </w:tcPr>
                <w:p w14:paraId="32F76CFA">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设备噪声</w:t>
                  </w:r>
                </w:p>
              </w:tc>
              <w:tc>
                <w:tcPr>
                  <w:tcW w:w="1094" w:type="pct"/>
                  <w:tcBorders>
                    <w:tl2br w:val="nil"/>
                    <w:tr2bl w:val="nil"/>
                  </w:tcBorders>
                  <w:noWrap w:val="0"/>
                  <w:vAlign w:val="center"/>
                </w:tcPr>
                <w:p w14:paraId="169615EF">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等效连续A声级</w:t>
                  </w:r>
                </w:p>
              </w:tc>
              <w:tc>
                <w:tcPr>
                  <w:tcW w:w="1371" w:type="pct"/>
                  <w:tcBorders>
                    <w:tl2br w:val="nil"/>
                    <w:tr2bl w:val="nil"/>
                  </w:tcBorders>
                  <w:noWrap w:val="0"/>
                  <w:vAlign w:val="center"/>
                </w:tcPr>
                <w:p w14:paraId="36997EB2">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r>
          </w:tbl>
          <w:p w14:paraId="200BA0BC">
            <w:pPr>
              <w:pageBreakBefore w:val="0"/>
              <w:kinsoku/>
              <w:wordWrap w:val="0"/>
              <w:overflowPunct/>
              <w:topLinePunct/>
              <w:autoSpaceDE/>
              <w:autoSpaceDN/>
              <w:bidi w:val="0"/>
              <w:spacing w:line="240" w:lineRule="auto"/>
              <w:rPr>
                <w:rFonts w:hint="default" w:ascii="Times New Roman" w:hAnsi="Times New Roman" w:eastAsia="宋体" w:cs="Times New Roman"/>
                <w:b/>
                <w:bCs/>
                <w:color w:val="auto"/>
                <w:spacing w:val="5"/>
                <w:sz w:val="24"/>
                <w:szCs w:val="24"/>
                <w:highlight w:val="none"/>
              </w:rPr>
            </w:pPr>
          </w:p>
        </w:tc>
      </w:tr>
      <w:tr w14:paraId="52521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7" w:type="pct"/>
            <w:tcBorders>
              <w:top w:val="single" w:color="auto" w:sz="4" w:space="0"/>
              <w:left w:val="single" w:color="000000" w:sz="6" w:space="0"/>
              <w:bottom w:val="single" w:color="000000" w:sz="6" w:space="0"/>
            </w:tcBorders>
            <w:vAlign w:val="center"/>
          </w:tcPr>
          <w:p w14:paraId="328EAAA1">
            <w:pPr>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2"/>
                <w:sz w:val="24"/>
                <w:szCs w:val="24"/>
                <w:highlight w:val="none"/>
              </w:rPr>
              <w:t>与项目有关的原有环境污染问题</w:t>
            </w:r>
          </w:p>
        </w:tc>
        <w:tc>
          <w:tcPr>
            <w:tcW w:w="4682" w:type="pct"/>
            <w:tcBorders>
              <w:top w:val="single" w:color="auto" w:sz="4" w:space="0"/>
              <w:bottom w:val="single" w:color="000000" w:sz="6" w:space="0"/>
              <w:right w:val="single" w:color="000000" w:sz="6" w:space="0"/>
            </w:tcBorders>
            <w:vAlign w:val="center"/>
          </w:tcPr>
          <w:p w14:paraId="26969B95">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70"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3"/>
                <w:sz w:val="24"/>
                <w:szCs w:val="24"/>
                <w:highlight w:val="none"/>
              </w:rPr>
              <w:t>1</w:t>
            </w:r>
            <w:r>
              <w:rPr>
                <w:rFonts w:hint="default" w:ascii="Times New Roman" w:hAnsi="Times New Roman" w:eastAsia="宋体" w:cs="Times New Roman"/>
                <w:b/>
                <w:bCs/>
                <w:color w:val="auto"/>
                <w:spacing w:val="-3"/>
                <w:sz w:val="24"/>
                <w:szCs w:val="24"/>
                <w:highlight w:val="none"/>
                <w:lang w:eastAsia="zh-CN"/>
              </w:rPr>
              <w:t>、</w:t>
            </w:r>
            <w:r>
              <w:rPr>
                <w:rFonts w:hint="default" w:ascii="Times New Roman" w:hAnsi="Times New Roman" w:eastAsia="宋体" w:cs="Times New Roman"/>
                <w:b/>
                <w:bCs/>
                <w:color w:val="auto"/>
                <w:spacing w:val="-3"/>
                <w:sz w:val="24"/>
                <w:szCs w:val="24"/>
                <w:highlight w:val="none"/>
              </w:rPr>
              <w:t>厂区现有工程情况</w:t>
            </w:r>
          </w:p>
          <w:p w14:paraId="462CB151">
            <w:pPr>
              <w:pStyle w:val="47"/>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rPr>
                <w:rFonts w:hint="default" w:ascii="Times New Roman" w:hAnsi="Times New Roman" w:eastAsia="宋体" w:cs="Times New Roman"/>
                <w:b w:val="0"/>
                <w:bCs/>
                <w:snapToGrid w:val="0"/>
                <w:color w:val="auto"/>
                <w:kern w:val="0"/>
                <w:sz w:val="24"/>
                <w:szCs w:val="24"/>
                <w:highlight w:val="none"/>
                <w:lang w:val="en-US" w:eastAsia="zh-CN" w:bidi="ar"/>
              </w:rPr>
            </w:pPr>
            <w:r>
              <w:rPr>
                <w:rFonts w:hint="default" w:ascii="Times New Roman" w:hAnsi="Times New Roman" w:eastAsia="宋体" w:cs="Times New Roman"/>
                <w:b w:val="0"/>
                <w:bCs/>
                <w:snapToGrid w:val="0"/>
                <w:color w:val="auto"/>
                <w:kern w:val="0"/>
                <w:sz w:val="24"/>
                <w:szCs w:val="24"/>
                <w:highlight w:val="none"/>
                <w:lang w:val="en-US" w:eastAsia="zh-CN" w:bidi="ar"/>
              </w:rPr>
              <w:t>本项目租赁玛纳斯县塔河工业园区新疆华房盛泰保温材料科技有限公司8#生产厂房，新疆华房盛泰保温材料科技有限公司已停产。</w:t>
            </w:r>
          </w:p>
          <w:p w14:paraId="528D4945">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66"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4"/>
                <w:sz w:val="24"/>
                <w:szCs w:val="24"/>
                <w:highlight w:val="none"/>
              </w:rPr>
              <w:t>2</w:t>
            </w:r>
            <w:r>
              <w:rPr>
                <w:rFonts w:hint="default" w:ascii="Times New Roman" w:hAnsi="Times New Roman" w:eastAsia="宋体" w:cs="Times New Roman"/>
                <w:b/>
                <w:bCs/>
                <w:color w:val="auto"/>
                <w:spacing w:val="-4"/>
                <w:sz w:val="24"/>
                <w:szCs w:val="24"/>
                <w:highlight w:val="none"/>
                <w:lang w:eastAsia="zh-CN"/>
              </w:rPr>
              <w:t>、</w:t>
            </w:r>
            <w:r>
              <w:rPr>
                <w:rFonts w:hint="default" w:ascii="Times New Roman" w:hAnsi="Times New Roman" w:eastAsia="宋体" w:cs="Times New Roman"/>
                <w:b/>
                <w:bCs/>
                <w:color w:val="auto"/>
                <w:spacing w:val="-4"/>
                <w:sz w:val="24"/>
                <w:szCs w:val="24"/>
                <w:highlight w:val="none"/>
              </w:rPr>
              <w:t>现有工程环保手续履行情况</w:t>
            </w:r>
          </w:p>
          <w:p w14:paraId="5A1FD086">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0" w:firstLine="480" w:firstLineChars="200"/>
              <w:jc w:val="both"/>
              <w:textAlignment w:val="baseline"/>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2014年1月取得</w:t>
            </w:r>
            <w:r>
              <w:rPr>
                <w:rFonts w:hint="default" w:ascii="Times New Roman" w:hAnsi="Times New Roman" w:eastAsia="宋体" w:cs="Times New Roman"/>
                <w:b w:val="0"/>
                <w:bCs/>
                <w:color w:val="auto"/>
                <w:kern w:val="0"/>
                <w:sz w:val="24"/>
                <w:szCs w:val="24"/>
                <w:highlight w:val="none"/>
                <w:lang w:val="en-US" w:eastAsia="zh-CN" w:bidi="ar"/>
              </w:rPr>
              <w:t>《</w:t>
            </w:r>
            <w:r>
              <w:rPr>
                <w:rFonts w:hint="default" w:ascii="Times New Roman" w:hAnsi="Times New Roman" w:eastAsia="宋体" w:cs="Times New Roman"/>
                <w:color w:val="auto"/>
                <w:kern w:val="2"/>
                <w:sz w:val="24"/>
                <w:szCs w:val="24"/>
                <w:highlight w:val="none"/>
                <w:lang w:val="en-US" w:eastAsia="zh-CN" w:bidi="ar-SA"/>
              </w:rPr>
              <w:t>关于新疆华房盛泰保温材料科技有限公司年产1000万平方米改性酚醛泡沫防火保温一体化板建设项目环境影响报告表的批复</w:t>
            </w:r>
            <w:r>
              <w:rPr>
                <w:rFonts w:hint="default" w:ascii="Times New Roman" w:hAnsi="Times New Roman" w:eastAsia="宋体" w:cs="Times New Roman"/>
                <w:b w:val="0"/>
                <w:bCs/>
                <w:color w:val="auto"/>
                <w:kern w:val="0"/>
                <w:sz w:val="24"/>
                <w:szCs w:val="24"/>
                <w:highlight w:val="none"/>
                <w:lang w:val="en-US" w:eastAsia="zh-CN" w:bidi="ar"/>
              </w:rPr>
              <w:t>》昌州环评(2014)13号。</w:t>
            </w:r>
          </w:p>
          <w:p w14:paraId="68FEFAB9">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0" w:firstLine="480" w:firstLineChars="200"/>
              <w:jc w:val="both"/>
              <w:textAlignment w:val="baseline"/>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2014年1月取得《关于新疆华房盛泰保温材料科技有限公司年产1000万平方米改性酚醛泡沫防火保温一体板建设项目竣工环境保护验收意见》玛环验(2017)4号</w:t>
            </w:r>
          </w:p>
          <w:p w14:paraId="6853E65A">
            <w:pPr>
              <w:pStyle w:val="25"/>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textAlignment w:val="baseline"/>
              <w:rPr>
                <w:rFonts w:hint="default" w:ascii="Times New Roman" w:hAnsi="Times New Roman" w:eastAsia="宋体" w:cs="Times New Roman"/>
                <w:b/>
                <w:bCs/>
                <w:snapToGrid w:val="0"/>
                <w:color w:val="auto"/>
                <w:kern w:val="2"/>
                <w:sz w:val="24"/>
                <w:szCs w:val="24"/>
                <w:highlight w:val="none"/>
                <w:lang w:val="en-US" w:eastAsia="zh-CN" w:bidi="ar-SA"/>
              </w:rPr>
            </w:pPr>
            <w:r>
              <w:rPr>
                <w:rFonts w:hint="default" w:ascii="Times New Roman" w:hAnsi="Times New Roman" w:eastAsia="宋体" w:cs="Times New Roman"/>
                <w:b/>
                <w:bCs/>
                <w:snapToGrid w:val="0"/>
                <w:color w:val="auto"/>
                <w:kern w:val="2"/>
                <w:sz w:val="24"/>
                <w:szCs w:val="24"/>
                <w:highlight w:val="none"/>
                <w:lang w:val="en-US" w:eastAsia="zh-CN" w:bidi="ar-SA"/>
              </w:rPr>
              <w:t>3.与本项目有关的主要环境问题</w:t>
            </w:r>
          </w:p>
          <w:p w14:paraId="19501FFF">
            <w:pPr>
              <w:pStyle w:val="7"/>
              <w:ind w:firstLine="480" w:firstLineChars="200"/>
              <w:rPr>
                <w:rFonts w:hint="default" w:ascii="Times New Roman" w:hAnsi="Times New Roman" w:eastAsia="宋体" w:cs="Times New Roman"/>
                <w:b/>
                <w:bCs/>
                <w:color w:val="auto"/>
                <w:spacing w:val="5"/>
                <w:sz w:val="24"/>
                <w:szCs w:val="24"/>
                <w:highlight w:val="none"/>
              </w:rPr>
            </w:pPr>
            <w:r>
              <w:rPr>
                <w:rFonts w:hint="eastAsia" w:ascii="Times New Roman" w:hAnsi="Times New Roman" w:eastAsia="宋体" w:cs="Times New Roman"/>
                <w:snapToGrid w:val="0"/>
                <w:color w:val="auto"/>
                <w:kern w:val="2"/>
                <w:sz w:val="24"/>
                <w:szCs w:val="24"/>
                <w:highlight w:val="none"/>
                <w:lang w:val="en-US" w:eastAsia="zh-CN" w:bidi="ar-SA"/>
              </w:rPr>
              <w:t>经</w:t>
            </w:r>
            <w:r>
              <w:rPr>
                <w:rFonts w:hint="default" w:ascii="Times New Roman" w:hAnsi="Times New Roman" w:eastAsia="宋体" w:cs="Times New Roman"/>
                <w:snapToGrid w:val="0"/>
                <w:color w:val="auto"/>
                <w:kern w:val="2"/>
                <w:sz w:val="24"/>
                <w:szCs w:val="24"/>
                <w:highlight w:val="none"/>
                <w:lang w:val="en-US" w:eastAsia="zh-CN" w:bidi="ar-SA"/>
              </w:rPr>
              <w:t>现场踏勘，未发现环境问题</w:t>
            </w:r>
          </w:p>
        </w:tc>
      </w:tr>
    </w:tbl>
    <w:p w14:paraId="5EE33AD8">
      <w:pPr>
        <w:pageBreakBefore w:val="0"/>
        <w:kinsoku/>
        <w:wordWrap w:val="0"/>
        <w:overflowPunct/>
        <w:topLinePunct/>
        <w:autoSpaceDE/>
        <w:autoSpaceDN/>
        <w:bidi w:val="0"/>
        <w:rPr>
          <w:rFonts w:hint="default" w:ascii="Times New Roman" w:hAnsi="Times New Roman" w:eastAsia="黑体" w:cs="Times New Roman"/>
          <w:color w:val="auto"/>
          <w:spacing w:val="-1"/>
          <w:sz w:val="30"/>
          <w:szCs w:val="30"/>
          <w:highlight w:val="none"/>
        </w:rPr>
      </w:pPr>
      <w:r>
        <w:rPr>
          <w:rFonts w:hint="default" w:ascii="Times New Roman" w:hAnsi="Times New Roman" w:eastAsia="黑体" w:cs="Times New Roman"/>
          <w:color w:val="auto"/>
          <w:spacing w:val="-1"/>
          <w:sz w:val="30"/>
          <w:szCs w:val="30"/>
          <w:highlight w:val="none"/>
        </w:rPr>
        <w:br w:type="page"/>
      </w:r>
    </w:p>
    <w:p w14:paraId="466A763D">
      <w:pPr>
        <w:pageBreakBefore w:val="0"/>
        <w:kinsoku/>
        <w:wordWrap w:val="0"/>
        <w:overflowPunct/>
        <w:topLinePunct/>
        <w:autoSpaceDE/>
        <w:autoSpaceDN/>
        <w:bidi w:val="0"/>
        <w:spacing w:before="98" w:line="222" w:lineRule="auto"/>
        <w:ind w:left="1256"/>
        <w:outlineLvl w:val="1"/>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pacing w:val="-1"/>
          <w:sz w:val="30"/>
          <w:szCs w:val="30"/>
          <w:highlight w:val="none"/>
        </w:rPr>
        <w:t>三、区域环境质量现状、环境保护目标及评价标准</w:t>
      </w:r>
    </w:p>
    <w:tbl>
      <w:tblPr>
        <w:tblStyle w:val="24"/>
        <w:tblW w:w="516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5"/>
        <w:gridCol w:w="8594"/>
      </w:tblGrid>
      <w:tr w14:paraId="60EB7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 w:hRule="atLeast"/>
        </w:trPr>
        <w:tc>
          <w:tcPr>
            <w:tcW w:w="288" w:type="pct"/>
            <w:tcBorders>
              <w:top w:val="single" w:color="000000" w:sz="6" w:space="0"/>
              <w:left w:val="single" w:color="000000" w:sz="6" w:space="0"/>
              <w:bottom w:val="single" w:color="auto" w:sz="4" w:space="0"/>
            </w:tcBorders>
            <w:vAlign w:val="center"/>
          </w:tcPr>
          <w:p w14:paraId="7ADBF936">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3"/>
                <w:sz w:val="24"/>
                <w:szCs w:val="24"/>
                <w:highlight w:val="none"/>
              </w:rPr>
              <w:t>区域</w:t>
            </w:r>
            <w:r>
              <w:rPr>
                <w:rFonts w:hint="default" w:ascii="Times New Roman" w:hAnsi="Times New Roman" w:cs="Times New Roman"/>
                <w:color w:val="auto"/>
                <w:spacing w:val="4"/>
                <w:sz w:val="24"/>
                <w:szCs w:val="24"/>
                <w:highlight w:val="none"/>
              </w:rPr>
              <w:t>环境质量现状</w:t>
            </w:r>
          </w:p>
        </w:tc>
        <w:tc>
          <w:tcPr>
            <w:tcW w:w="4711" w:type="pct"/>
            <w:tcBorders>
              <w:top w:val="single" w:color="000000" w:sz="6" w:space="0"/>
              <w:bottom w:val="single" w:color="auto" w:sz="4" w:space="0"/>
              <w:right w:val="single" w:color="000000" w:sz="6" w:space="0"/>
            </w:tcBorders>
            <w:vAlign w:val="top"/>
          </w:tcPr>
          <w:p w14:paraId="5256BA75">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96" w:firstLineChars="200"/>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4"/>
                <w:sz w:val="24"/>
                <w:szCs w:val="24"/>
                <w:highlight w:val="none"/>
              </w:rPr>
              <w:t>1</w:t>
            </w:r>
            <w:r>
              <w:rPr>
                <w:rFonts w:hint="default" w:ascii="Times New Roman" w:hAnsi="Times New Roman" w:cs="Times New Roman"/>
                <w:b/>
                <w:bCs/>
                <w:color w:val="auto"/>
                <w:spacing w:val="4"/>
                <w:sz w:val="24"/>
                <w:szCs w:val="24"/>
                <w:highlight w:val="none"/>
              </w:rPr>
              <w:t>、环境空气质量现状</w:t>
            </w:r>
          </w:p>
          <w:p w14:paraId="5A7DF36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4" w:firstLineChars="200"/>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6"/>
                <w:sz w:val="24"/>
                <w:szCs w:val="24"/>
                <w:highlight w:val="none"/>
              </w:rPr>
              <w:t>1.1</w:t>
            </w:r>
            <w:r>
              <w:rPr>
                <w:rFonts w:hint="default" w:ascii="Times New Roman" w:hAnsi="Times New Roman" w:cs="Times New Roman"/>
                <w:b/>
                <w:bCs/>
                <w:color w:val="auto"/>
                <w:spacing w:val="6"/>
                <w:sz w:val="24"/>
                <w:szCs w:val="24"/>
                <w:highlight w:val="none"/>
              </w:rPr>
              <w:t>大气环境现状调查与评价</w:t>
            </w:r>
          </w:p>
          <w:p w14:paraId="339A570E">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8" w:firstLineChars="200"/>
              <w:jc w:val="both"/>
              <w:textAlignment w:val="baseline"/>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pacing w:val="7"/>
                <w:sz w:val="24"/>
                <w:szCs w:val="24"/>
                <w:highlight w:val="none"/>
              </w:rPr>
              <w:t>（</w:t>
            </w:r>
            <w:r>
              <w:rPr>
                <w:rFonts w:hint="default" w:ascii="Times New Roman" w:hAnsi="Times New Roman" w:eastAsia="Times New Roman" w:cs="Times New Roman"/>
                <w:b w:val="0"/>
                <w:bCs w:val="0"/>
                <w:color w:val="auto"/>
                <w:spacing w:val="7"/>
                <w:sz w:val="24"/>
                <w:szCs w:val="24"/>
                <w:highlight w:val="none"/>
              </w:rPr>
              <w:t>1</w:t>
            </w:r>
            <w:r>
              <w:rPr>
                <w:rFonts w:hint="default" w:ascii="Times New Roman" w:hAnsi="Times New Roman" w:cs="Times New Roman"/>
                <w:b w:val="0"/>
                <w:bCs w:val="0"/>
                <w:color w:val="auto"/>
                <w:spacing w:val="7"/>
                <w:sz w:val="24"/>
                <w:szCs w:val="24"/>
                <w:highlight w:val="none"/>
              </w:rPr>
              <w:t>）基本污染物环境质量现状评价</w:t>
            </w:r>
          </w:p>
          <w:p w14:paraId="677BAA19">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7"/>
                <w:sz w:val="24"/>
                <w:szCs w:val="24"/>
                <w:highlight w:val="none"/>
              </w:rPr>
              <w:t>①数据来源</w:t>
            </w:r>
          </w:p>
          <w:p w14:paraId="3FE62FD6">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2"/>
                <w:sz w:val="24"/>
                <w:szCs w:val="24"/>
                <w:highlight w:val="none"/>
              </w:rPr>
              <w:t>根据《建设项目环境影响报告表编制技术指南（污染影响类</w:t>
            </w:r>
            <w:r>
              <w:rPr>
                <w:rFonts w:hint="default" w:ascii="Times New Roman" w:hAnsi="Times New Roman" w:cs="Times New Roman"/>
                <w:color w:val="auto"/>
                <w:spacing w:val="2"/>
                <w:sz w:val="24"/>
                <w:szCs w:val="24"/>
                <w:highlight w:val="none"/>
              </w:rPr>
              <w:t>）（</w:t>
            </w:r>
            <w:r>
              <w:rPr>
                <w:rFonts w:hint="default" w:ascii="Times New Roman" w:hAnsi="Times New Roman" w:cs="Times New Roman"/>
                <w:color w:val="auto"/>
                <w:spacing w:val="12"/>
                <w:sz w:val="24"/>
                <w:szCs w:val="24"/>
                <w:highlight w:val="none"/>
              </w:rPr>
              <w:t>试行）》对环境质</w:t>
            </w:r>
            <w:r>
              <w:rPr>
                <w:rFonts w:hint="default" w:ascii="Times New Roman" w:hAnsi="Times New Roman" w:cs="Times New Roman"/>
                <w:color w:val="auto"/>
                <w:spacing w:val="9"/>
                <w:sz w:val="24"/>
                <w:szCs w:val="24"/>
                <w:highlight w:val="none"/>
              </w:rPr>
              <w:t>量现状数据的要求，本次评价选取昌吉州</w:t>
            </w:r>
            <w:r>
              <w:rPr>
                <w:rFonts w:hint="default" w:ascii="Times New Roman" w:hAnsi="Times New Roman" w:eastAsia="Times New Roman" w:cs="Times New Roman"/>
                <w:color w:val="auto"/>
                <w:spacing w:val="9"/>
                <w:sz w:val="24"/>
                <w:szCs w:val="24"/>
                <w:highlight w:val="none"/>
              </w:rPr>
              <w:t>202</w:t>
            </w:r>
            <w:r>
              <w:rPr>
                <w:rFonts w:hint="eastAsia" w:ascii="Times New Roman" w:hAnsi="Times New Roman" w:eastAsia="宋体" w:cs="Times New Roman"/>
                <w:color w:val="auto"/>
                <w:spacing w:val="9"/>
                <w:sz w:val="24"/>
                <w:szCs w:val="24"/>
                <w:highlight w:val="none"/>
                <w:lang w:val="en-US" w:eastAsia="zh-CN"/>
              </w:rPr>
              <w:t>4</w:t>
            </w:r>
            <w:r>
              <w:rPr>
                <w:rFonts w:hint="default" w:ascii="Times New Roman" w:hAnsi="Times New Roman" w:cs="Times New Roman"/>
                <w:color w:val="auto"/>
                <w:spacing w:val="9"/>
                <w:sz w:val="24"/>
                <w:szCs w:val="24"/>
                <w:highlight w:val="none"/>
              </w:rPr>
              <w:t>年的空气质量监测数据作为本项目环境空</w:t>
            </w:r>
            <w:r>
              <w:rPr>
                <w:rFonts w:hint="default" w:ascii="Times New Roman" w:hAnsi="Times New Roman" w:cs="Times New Roman"/>
                <w:color w:val="auto"/>
                <w:spacing w:val="4"/>
                <w:sz w:val="24"/>
                <w:szCs w:val="24"/>
                <w:highlight w:val="none"/>
              </w:rPr>
              <w:t>气现状评价基本污染物</w:t>
            </w:r>
            <w:r>
              <w:rPr>
                <w:rFonts w:hint="default" w:ascii="Times New Roman" w:hAnsi="Times New Roman" w:eastAsia="Times New Roman" w:cs="Times New Roman"/>
                <w:color w:val="auto"/>
                <w:sz w:val="24"/>
                <w:szCs w:val="24"/>
                <w:highlight w:val="none"/>
              </w:rPr>
              <w:t>SO</w:t>
            </w:r>
            <w:r>
              <w:rPr>
                <w:rFonts w:hint="default" w:ascii="Times New Roman" w:hAnsi="Times New Roman" w:eastAsia="Times New Roman" w:cs="Times New Roman"/>
                <w:color w:val="auto"/>
                <w:spacing w:val="4"/>
                <w:position w:val="-1"/>
                <w:sz w:val="24"/>
                <w:szCs w:val="24"/>
                <w:highlight w:val="none"/>
                <w:vertAlign w:val="subscript"/>
              </w:rPr>
              <w:t>2</w:t>
            </w:r>
            <w:r>
              <w:rPr>
                <w:rFonts w:hint="default" w:ascii="Times New Roman" w:hAnsi="Times New Roman" w:cs="Times New Roman"/>
                <w:color w:val="auto"/>
                <w:spacing w:val="4"/>
                <w:sz w:val="24"/>
                <w:szCs w:val="24"/>
                <w:highlight w:val="none"/>
              </w:rPr>
              <w:t>、</w:t>
            </w:r>
            <w:r>
              <w:rPr>
                <w:rFonts w:hint="default" w:ascii="Times New Roman" w:hAnsi="Times New Roman" w:eastAsia="Times New Roman" w:cs="Times New Roman"/>
                <w:color w:val="auto"/>
                <w:sz w:val="24"/>
                <w:szCs w:val="24"/>
                <w:highlight w:val="none"/>
              </w:rPr>
              <w:t>NO</w:t>
            </w:r>
            <w:r>
              <w:rPr>
                <w:rFonts w:hint="default" w:ascii="Times New Roman" w:hAnsi="Times New Roman" w:eastAsia="Times New Roman" w:cs="Times New Roman"/>
                <w:color w:val="auto"/>
                <w:spacing w:val="4"/>
                <w:position w:val="-1"/>
                <w:sz w:val="24"/>
                <w:szCs w:val="24"/>
                <w:highlight w:val="none"/>
                <w:vertAlign w:val="subscript"/>
              </w:rPr>
              <w:t>2</w:t>
            </w:r>
            <w:r>
              <w:rPr>
                <w:rFonts w:hint="default" w:ascii="Times New Roman" w:hAnsi="Times New Roman" w:cs="Times New Roman"/>
                <w:color w:val="auto"/>
                <w:spacing w:val="4"/>
                <w:sz w:val="24"/>
                <w:szCs w:val="24"/>
                <w:highlight w:val="none"/>
              </w:rPr>
              <w:t>、</w:t>
            </w:r>
            <w:r>
              <w:rPr>
                <w:rFonts w:hint="default" w:ascii="Times New Roman" w:hAnsi="Times New Roman" w:eastAsia="Times New Roman" w:cs="Times New Roman"/>
                <w:color w:val="auto"/>
                <w:sz w:val="24"/>
                <w:szCs w:val="24"/>
                <w:highlight w:val="none"/>
              </w:rPr>
              <w:t>PM</w:t>
            </w:r>
            <w:r>
              <w:rPr>
                <w:rFonts w:hint="default" w:ascii="Times New Roman" w:hAnsi="Times New Roman" w:eastAsia="Times New Roman" w:cs="Times New Roman"/>
                <w:color w:val="auto"/>
                <w:spacing w:val="4"/>
                <w:position w:val="-1"/>
                <w:sz w:val="24"/>
                <w:szCs w:val="24"/>
                <w:highlight w:val="none"/>
                <w:vertAlign w:val="subscript"/>
              </w:rPr>
              <w:t>10</w:t>
            </w:r>
            <w:r>
              <w:rPr>
                <w:rFonts w:hint="default" w:ascii="Times New Roman" w:hAnsi="Times New Roman" w:cs="Times New Roman"/>
                <w:color w:val="auto"/>
                <w:spacing w:val="4"/>
                <w:sz w:val="24"/>
                <w:szCs w:val="24"/>
                <w:highlight w:val="none"/>
              </w:rPr>
              <w:t>、</w:t>
            </w:r>
            <w:r>
              <w:rPr>
                <w:rFonts w:hint="default" w:ascii="Times New Roman" w:hAnsi="Times New Roman" w:eastAsia="Times New Roman" w:cs="Times New Roman"/>
                <w:color w:val="auto"/>
                <w:sz w:val="24"/>
                <w:szCs w:val="24"/>
                <w:highlight w:val="none"/>
              </w:rPr>
              <w:t>PM</w:t>
            </w:r>
            <w:r>
              <w:rPr>
                <w:rFonts w:hint="default" w:ascii="Times New Roman" w:hAnsi="Times New Roman" w:eastAsia="Times New Roman" w:cs="Times New Roman"/>
                <w:color w:val="auto"/>
                <w:spacing w:val="4"/>
                <w:position w:val="-1"/>
                <w:sz w:val="24"/>
                <w:szCs w:val="24"/>
                <w:highlight w:val="none"/>
                <w:vertAlign w:val="subscript"/>
              </w:rPr>
              <w:t>2.5</w:t>
            </w:r>
            <w:r>
              <w:rPr>
                <w:rFonts w:hint="default" w:ascii="Times New Roman" w:hAnsi="Times New Roman" w:cs="Times New Roman"/>
                <w:color w:val="auto"/>
                <w:spacing w:val="4"/>
                <w:sz w:val="24"/>
                <w:szCs w:val="24"/>
                <w:highlight w:val="none"/>
              </w:rPr>
              <w:t>、</w:t>
            </w:r>
            <w:r>
              <w:rPr>
                <w:rFonts w:hint="default" w:ascii="Times New Roman" w:hAnsi="Times New Roman" w:eastAsia="Times New Roman" w:cs="Times New Roman"/>
                <w:color w:val="auto"/>
                <w:sz w:val="24"/>
                <w:szCs w:val="24"/>
                <w:highlight w:val="none"/>
              </w:rPr>
              <w:t>CO</w:t>
            </w:r>
            <w:r>
              <w:rPr>
                <w:rFonts w:hint="default" w:ascii="Times New Roman" w:hAnsi="Times New Roman" w:cs="Times New Roman"/>
                <w:color w:val="auto"/>
                <w:spacing w:val="4"/>
                <w:sz w:val="24"/>
                <w:szCs w:val="24"/>
                <w:highlight w:val="none"/>
              </w:rPr>
              <w:t>和</w:t>
            </w:r>
            <w:r>
              <w:rPr>
                <w:rFonts w:hint="default" w:ascii="Times New Roman" w:hAnsi="Times New Roman" w:eastAsia="Times New Roman" w:cs="Times New Roman"/>
                <w:color w:val="auto"/>
                <w:spacing w:val="4"/>
                <w:sz w:val="24"/>
                <w:szCs w:val="24"/>
                <w:highlight w:val="none"/>
              </w:rPr>
              <w:t>O</w:t>
            </w:r>
            <w:r>
              <w:rPr>
                <w:rFonts w:hint="default" w:ascii="Times New Roman" w:hAnsi="Times New Roman" w:eastAsia="Times New Roman" w:cs="Times New Roman"/>
                <w:color w:val="auto"/>
                <w:spacing w:val="4"/>
                <w:position w:val="-1"/>
                <w:sz w:val="24"/>
                <w:szCs w:val="24"/>
                <w:highlight w:val="none"/>
                <w:vertAlign w:val="subscript"/>
              </w:rPr>
              <w:t>3</w:t>
            </w:r>
            <w:r>
              <w:rPr>
                <w:rFonts w:hint="default" w:ascii="Times New Roman" w:hAnsi="Times New Roman" w:cs="Times New Roman"/>
                <w:color w:val="auto"/>
                <w:spacing w:val="4"/>
                <w:sz w:val="24"/>
                <w:szCs w:val="24"/>
                <w:highlight w:val="none"/>
              </w:rPr>
              <w:t>的数据来源。</w:t>
            </w:r>
          </w:p>
          <w:p w14:paraId="046C5F94">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8"/>
                <w:sz w:val="24"/>
                <w:szCs w:val="24"/>
                <w:highlight w:val="none"/>
              </w:rPr>
              <w:t>②评价标准</w:t>
            </w:r>
          </w:p>
          <w:p w14:paraId="174AEAEC">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40"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5"/>
                <w:sz w:val="24"/>
                <w:szCs w:val="24"/>
                <w:highlight w:val="none"/>
              </w:rPr>
              <w:t>基本污染物</w:t>
            </w:r>
            <w:r>
              <w:rPr>
                <w:rFonts w:hint="default" w:ascii="Times New Roman" w:hAnsi="Times New Roman" w:eastAsia="Times New Roman" w:cs="Times New Roman"/>
                <w:color w:val="auto"/>
                <w:sz w:val="24"/>
                <w:szCs w:val="24"/>
                <w:highlight w:val="none"/>
              </w:rPr>
              <w:t>SO</w:t>
            </w:r>
            <w:r>
              <w:rPr>
                <w:rFonts w:hint="default" w:ascii="Times New Roman" w:hAnsi="Times New Roman" w:eastAsia="Times New Roman" w:cs="Times New Roman"/>
                <w:color w:val="auto"/>
                <w:spacing w:val="15"/>
                <w:position w:val="-1"/>
                <w:sz w:val="24"/>
                <w:szCs w:val="24"/>
                <w:highlight w:val="none"/>
                <w:vertAlign w:val="subscript"/>
              </w:rPr>
              <w:t>2</w:t>
            </w:r>
            <w:r>
              <w:rPr>
                <w:rFonts w:hint="default" w:ascii="Times New Roman" w:hAnsi="Times New Roman" w:cs="Times New Roman"/>
                <w:color w:val="auto"/>
                <w:spacing w:val="15"/>
                <w:sz w:val="24"/>
                <w:szCs w:val="24"/>
                <w:highlight w:val="none"/>
              </w:rPr>
              <w:t>、</w:t>
            </w:r>
            <w:r>
              <w:rPr>
                <w:rFonts w:hint="default" w:ascii="Times New Roman" w:hAnsi="Times New Roman" w:eastAsia="Times New Roman" w:cs="Times New Roman"/>
                <w:color w:val="auto"/>
                <w:sz w:val="24"/>
                <w:szCs w:val="24"/>
                <w:highlight w:val="none"/>
              </w:rPr>
              <w:t>NO</w:t>
            </w:r>
            <w:r>
              <w:rPr>
                <w:rFonts w:hint="default" w:ascii="Times New Roman" w:hAnsi="Times New Roman" w:eastAsia="Times New Roman" w:cs="Times New Roman"/>
                <w:color w:val="auto"/>
                <w:spacing w:val="15"/>
                <w:position w:val="-1"/>
                <w:sz w:val="24"/>
                <w:szCs w:val="24"/>
                <w:highlight w:val="none"/>
                <w:vertAlign w:val="subscript"/>
              </w:rPr>
              <w:t>2</w:t>
            </w:r>
            <w:r>
              <w:rPr>
                <w:rFonts w:hint="default" w:ascii="Times New Roman" w:hAnsi="Times New Roman" w:cs="Times New Roman"/>
                <w:color w:val="auto"/>
                <w:spacing w:val="15"/>
                <w:sz w:val="24"/>
                <w:szCs w:val="24"/>
                <w:highlight w:val="none"/>
              </w:rPr>
              <w:t>、</w:t>
            </w:r>
            <w:r>
              <w:rPr>
                <w:rFonts w:hint="default" w:ascii="Times New Roman" w:hAnsi="Times New Roman" w:eastAsia="Times New Roman" w:cs="Times New Roman"/>
                <w:color w:val="auto"/>
                <w:sz w:val="24"/>
                <w:szCs w:val="24"/>
                <w:highlight w:val="none"/>
              </w:rPr>
              <w:t>PM</w:t>
            </w:r>
            <w:r>
              <w:rPr>
                <w:rFonts w:hint="default" w:ascii="Times New Roman" w:hAnsi="Times New Roman" w:eastAsia="Times New Roman" w:cs="Times New Roman"/>
                <w:color w:val="auto"/>
                <w:spacing w:val="15"/>
                <w:position w:val="-1"/>
                <w:sz w:val="24"/>
                <w:szCs w:val="24"/>
                <w:highlight w:val="none"/>
                <w:vertAlign w:val="subscript"/>
              </w:rPr>
              <w:t>10</w:t>
            </w:r>
            <w:r>
              <w:rPr>
                <w:rFonts w:hint="default" w:ascii="Times New Roman" w:hAnsi="Times New Roman" w:cs="Times New Roman"/>
                <w:color w:val="auto"/>
                <w:spacing w:val="15"/>
                <w:sz w:val="24"/>
                <w:szCs w:val="24"/>
                <w:highlight w:val="none"/>
              </w:rPr>
              <w:t>、</w:t>
            </w:r>
            <w:r>
              <w:rPr>
                <w:rFonts w:hint="default" w:ascii="Times New Roman" w:hAnsi="Times New Roman" w:eastAsia="Times New Roman" w:cs="Times New Roman"/>
                <w:color w:val="auto"/>
                <w:sz w:val="24"/>
                <w:szCs w:val="24"/>
                <w:highlight w:val="none"/>
              </w:rPr>
              <w:t>PM</w:t>
            </w:r>
            <w:r>
              <w:rPr>
                <w:rFonts w:hint="default" w:ascii="Times New Roman" w:hAnsi="Times New Roman" w:eastAsia="Times New Roman" w:cs="Times New Roman"/>
                <w:color w:val="auto"/>
                <w:spacing w:val="15"/>
                <w:position w:val="-1"/>
                <w:sz w:val="24"/>
                <w:szCs w:val="24"/>
                <w:highlight w:val="none"/>
                <w:vertAlign w:val="subscript"/>
              </w:rPr>
              <w:t>2.5</w:t>
            </w:r>
            <w:r>
              <w:rPr>
                <w:rFonts w:hint="default" w:ascii="Times New Roman" w:hAnsi="Times New Roman" w:cs="Times New Roman"/>
                <w:color w:val="auto"/>
                <w:spacing w:val="15"/>
                <w:sz w:val="24"/>
                <w:szCs w:val="24"/>
                <w:highlight w:val="none"/>
              </w:rPr>
              <w:t>、</w:t>
            </w:r>
            <w:r>
              <w:rPr>
                <w:rFonts w:hint="default" w:ascii="Times New Roman" w:hAnsi="Times New Roman" w:eastAsia="Times New Roman" w:cs="Times New Roman"/>
                <w:color w:val="auto"/>
                <w:sz w:val="24"/>
                <w:szCs w:val="24"/>
                <w:highlight w:val="none"/>
              </w:rPr>
              <w:t>CO</w:t>
            </w:r>
            <w:r>
              <w:rPr>
                <w:rFonts w:hint="default" w:ascii="Times New Roman" w:hAnsi="Times New Roman" w:cs="Times New Roman"/>
                <w:color w:val="auto"/>
                <w:spacing w:val="15"/>
                <w:sz w:val="24"/>
                <w:szCs w:val="24"/>
                <w:highlight w:val="none"/>
              </w:rPr>
              <w:t>和</w:t>
            </w:r>
            <w:r>
              <w:rPr>
                <w:rFonts w:hint="default" w:ascii="Times New Roman" w:hAnsi="Times New Roman" w:eastAsia="Times New Roman" w:cs="Times New Roman"/>
                <w:color w:val="auto"/>
                <w:spacing w:val="15"/>
                <w:sz w:val="24"/>
                <w:szCs w:val="24"/>
                <w:highlight w:val="none"/>
              </w:rPr>
              <w:t>O</w:t>
            </w:r>
            <w:r>
              <w:rPr>
                <w:rFonts w:hint="default" w:ascii="Times New Roman" w:hAnsi="Times New Roman" w:eastAsia="Times New Roman" w:cs="Times New Roman"/>
                <w:color w:val="auto"/>
                <w:spacing w:val="15"/>
                <w:position w:val="-1"/>
                <w:sz w:val="24"/>
                <w:szCs w:val="24"/>
                <w:highlight w:val="none"/>
                <w:vertAlign w:val="subscript"/>
              </w:rPr>
              <w:t>3</w:t>
            </w:r>
            <w:r>
              <w:rPr>
                <w:rFonts w:hint="default" w:ascii="Times New Roman" w:hAnsi="Times New Roman" w:cs="Times New Roman"/>
                <w:color w:val="auto"/>
                <w:spacing w:val="15"/>
                <w:sz w:val="24"/>
                <w:szCs w:val="24"/>
                <w:highlight w:val="none"/>
              </w:rPr>
              <w:t>执行《环境空气质量标准》</w:t>
            </w:r>
            <w:r>
              <w:rPr>
                <w:rFonts w:hint="default" w:ascii="Times New Roman" w:hAnsi="Times New Roman" w:cs="Times New Roman"/>
                <w:color w:val="auto"/>
                <w:spacing w:val="6"/>
                <w:sz w:val="24"/>
                <w:szCs w:val="24"/>
                <w:highlight w:val="none"/>
              </w:rPr>
              <w:t>（</w:t>
            </w:r>
            <w:r>
              <w:rPr>
                <w:rFonts w:hint="default" w:ascii="Times New Roman" w:hAnsi="Times New Roman" w:eastAsia="Times New Roman" w:cs="Times New Roman"/>
                <w:color w:val="auto"/>
                <w:sz w:val="24"/>
                <w:szCs w:val="24"/>
                <w:highlight w:val="none"/>
              </w:rPr>
              <w:t>GB</w:t>
            </w:r>
            <w:r>
              <w:rPr>
                <w:rFonts w:hint="default" w:ascii="Times New Roman" w:hAnsi="Times New Roman" w:eastAsia="Times New Roman" w:cs="Times New Roman"/>
                <w:color w:val="auto"/>
                <w:spacing w:val="6"/>
                <w:sz w:val="24"/>
                <w:szCs w:val="24"/>
                <w:highlight w:val="none"/>
              </w:rPr>
              <w:t>3095-2012</w:t>
            </w:r>
            <w:r>
              <w:rPr>
                <w:rFonts w:hint="default" w:ascii="Times New Roman" w:hAnsi="Times New Roman" w:cs="Times New Roman"/>
                <w:color w:val="auto"/>
                <w:spacing w:val="6"/>
                <w:sz w:val="24"/>
                <w:szCs w:val="24"/>
                <w:highlight w:val="none"/>
              </w:rPr>
              <w:t>）中的二级标准。</w:t>
            </w:r>
          </w:p>
          <w:p w14:paraId="5E2DFC05">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8"/>
                <w:sz w:val="24"/>
                <w:szCs w:val="24"/>
                <w:highlight w:val="none"/>
              </w:rPr>
              <w:t>③评价方法</w:t>
            </w:r>
          </w:p>
          <w:p w14:paraId="2E65C3FC">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7"/>
                <w:sz w:val="24"/>
                <w:szCs w:val="24"/>
                <w:highlight w:val="none"/>
              </w:rPr>
              <w:t>采用</w:t>
            </w:r>
            <w:r>
              <w:rPr>
                <w:rFonts w:hint="eastAsia" w:ascii="Times New Roman" w:hAnsi="Times New Roman" w:cs="Times New Roman"/>
                <w:color w:val="auto"/>
                <w:spacing w:val="7"/>
                <w:sz w:val="24"/>
                <w:szCs w:val="24"/>
                <w:highlight w:val="none"/>
                <w:lang w:val="en-US" w:eastAsia="zh-CN"/>
              </w:rPr>
              <w:t>对</w:t>
            </w:r>
            <w:r>
              <w:rPr>
                <w:rFonts w:hint="default" w:ascii="Times New Roman" w:hAnsi="Times New Roman" w:cs="Times New Roman"/>
                <w:color w:val="auto"/>
                <w:spacing w:val="7"/>
                <w:sz w:val="24"/>
                <w:szCs w:val="24"/>
                <w:highlight w:val="none"/>
              </w:rPr>
              <w:t>标法：</w:t>
            </w:r>
          </w:p>
          <w:p w14:paraId="0D147D12">
            <w:pPr>
              <w:keepNext w:val="0"/>
              <w:keepLines w:val="0"/>
              <w:pageBreakBefore w:val="0"/>
              <w:widowControl/>
              <w:kinsoku/>
              <w:wordWrap w:val="0"/>
              <w:overflowPunct/>
              <w:topLinePunct/>
              <w:autoSpaceDE/>
              <w:autoSpaceDN/>
              <w:bidi w:val="0"/>
              <w:adjustRightInd w:val="0"/>
              <w:snapToGrid w:val="0"/>
              <w:spacing w:line="360" w:lineRule="auto"/>
              <w:ind w:left="0" w:right="0" w:firstLine="480" w:firstLineChars="200"/>
              <w:jc w:val="center"/>
              <w:textAlignment w:val="baseline"/>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position w:val="2"/>
                <w:sz w:val="24"/>
                <w:szCs w:val="24"/>
                <w:highlight w:val="none"/>
              </w:rPr>
              <w:t>Pi</w:t>
            </w:r>
            <w:r>
              <w:rPr>
                <w:rFonts w:hint="default" w:ascii="Times New Roman" w:hAnsi="Times New Roman" w:eastAsia="Times New Roman" w:cs="Times New Roman"/>
                <w:color w:val="auto"/>
                <w:spacing w:val="6"/>
                <w:position w:val="2"/>
                <w:sz w:val="24"/>
                <w:szCs w:val="24"/>
                <w:highlight w:val="none"/>
              </w:rPr>
              <w:t>=</w:t>
            </w:r>
            <w:r>
              <w:rPr>
                <w:rFonts w:hint="default" w:ascii="Times New Roman" w:hAnsi="Times New Roman" w:eastAsia="Times New Roman" w:cs="Times New Roman"/>
                <w:color w:val="auto"/>
                <w:position w:val="2"/>
                <w:sz w:val="24"/>
                <w:szCs w:val="24"/>
                <w:highlight w:val="none"/>
              </w:rPr>
              <w:t>C</w:t>
            </w:r>
            <w:r>
              <w:rPr>
                <w:rFonts w:hint="default" w:ascii="Times New Roman" w:hAnsi="Times New Roman" w:eastAsia="Times New Roman" w:cs="Times New Roman"/>
                <w:color w:val="auto"/>
                <w:position w:val="1"/>
                <w:sz w:val="24"/>
                <w:szCs w:val="24"/>
                <w:highlight w:val="none"/>
              </w:rPr>
              <w:t>i</w:t>
            </w:r>
            <w:r>
              <w:rPr>
                <w:rFonts w:hint="default" w:ascii="Times New Roman" w:hAnsi="Times New Roman" w:eastAsia="Times New Roman" w:cs="Times New Roman"/>
                <w:color w:val="auto"/>
                <w:spacing w:val="6"/>
                <w:position w:val="2"/>
                <w:sz w:val="24"/>
                <w:szCs w:val="24"/>
                <w:highlight w:val="none"/>
              </w:rPr>
              <w:t>/C</w:t>
            </w:r>
            <w:r>
              <w:rPr>
                <w:rFonts w:hint="default" w:ascii="Times New Roman" w:hAnsi="Times New Roman" w:eastAsia="Times New Roman" w:cs="Times New Roman"/>
                <w:color w:val="auto"/>
                <w:spacing w:val="6"/>
                <w:position w:val="2"/>
                <w:sz w:val="24"/>
                <w:szCs w:val="24"/>
                <w:highlight w:val="none"/>
                <w:vertAlign w:val="subscript"/>
              </w:rPr>
              <w:t>0i</w:t>
            </w:r>
            <w:r>
              <w:rPr>
                <w:rFonts w:hint="default" w:ascii="Times New Roman" w:hAnsi="Times New Roman" w:eastAsia="Times New Roman" w:cs="Times New Roman"/>
                <w:color w:val="auto"/>
                <w:spacing w:val="6"/>
                <w:position w:val="2"/>
                <w:sz w:val="24"/>
                <w:szCs w:val="24"/>
                <w:highlight w:val="none"/>
              </w:rPr>
              <w:t>×100%</w:t>
            </w:r>
          </w:p>
          <w:p w14:paraId="6FA05063">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0"/>
                <w:position w:val="1"/>
                <w:sz w:val="24"/>
                <w:szCs w:val="24"/>
                <w:highlight w:val="none"/>
              </w:rPr>
              <w:t>其中：</w:t>
            </w:r>
            <w:r>
              <w:rPr>
                <w:rFonts w:hint="default" w:ascii="Times New Roman" w:hAnsi="Times New Roman" w:eastAsia="Times New Roman" w:cs="Times New Roman"/>
                <w:color w:val="auto"/>
                <w:position w:val="1"/>
                <w:sz w:val="24"/>
                <w:szCs w:val="24"/>
                <w:highlight w:val="none"/>
              </w:rPr>
              <w:t>Pi</w:t>
            </w:r>
            <w:r>
              <w:rPr>
                <w:rFonts w:hint="default" w:ascii="Times New Roman" w:hAnsi="Times New Roman" w:eastAsia="Times New Roman" w:cs="Times New Roman"/>
                <w:color w:val="auto"/>
                <w:spacing w:val="10"/>
                <w:position w:val="1"/>
                <w:sz w:val="24"/>
                <w:szCs w:val="24"/>
                <w:highlight w:val="none"/>
              </w:rPr>
              <w:t>——</w:t>
            </w:r>
            <w:r>
              <w:rPr>
                <w:rFonts w:hint="default" w:ascii="Times New Roman" w:hAnsi="Times New Roman" w:cs="Times New Roman"/>
                <w:color w:val="auto"/>
                <w:spacing w:val="10"/>
                <w:position w:val="1"/>
                <w:sz w:val="24"/>
                <w:szCs w:val="24"/>
                <w:highlight w:val="none"/>
              </w:rPr>
              <w:t>污染物</w:t>
            </w:r>
            <w:r>
              <w:rPr>
                <w:rFonts w:hint="default" w:ascii="Times New Roman" w:hAnsi="Times New Roman" w:eastAsia="Times New Roman" w:cs="Times New Roman"/>
                <w:color w:val="auto"/>
                <w:spacing w:val="10"/>
                <w:position w:val="1"/>
                <w:sz w:val="24"/>
                <w:szCs w:val="24"/>
                <w:highlight w:val="none"/>
              </w:rPr>
              <w:t>i</w:t>
            </w:r>
            <w:r>
              <w:rPr>
                <w:rFonts w:hint="default" w:ascii="Times New Roman" w:hAnsi="Times New Roman" w:cs="Times New Roman"/>
                <w:color w:val="auto"/>
                <w:spacing w:val="10"/>
                <w:position w:val="1"/>
                <w:sz w:val="24"/>
                <w:szCs w:val="24"/>
                <w:highlight w:val="none"/>
              </w:rPr>
              <w:t>的最大地面空气质量浓度占标率，</w:t>
            </w:r>
            <w:r>
              <w:rPr>
                <w:rFonts w:hint="default" w:ascii="Times New Roman" w:hAnsi="Times New Roman" w:eastAsia="Times New Roman" w:cs="Times New Roman"/>
                <w:color w:val="auto"/>
                <w:spacing w:val="10"/>
                <w:position w:val="1"/>
                <w:sz w:val="24"/>
                <w:szCs w:val="24"/>
                <w:highlight w:val="none"/>
              </w:rPr>
              <w:t>%</w:t>
            </w:r>
            <w:r>
              <w:rPr>
                <w:rFonts w:hint="default" w:ascii="Times New Roman" w:hAnsi="Times New Roman" w:cs="Times New Roman"/>
                <w:color w:val="auto"/>
                <w:spacing w:val="10"/>
                <w:position w:val="1"/>
                <w:sz w:val="24"/>
                <w:szCs w:val="24"/>
                <w:highlight w:val="none"/>
              </w:rPr>
              <w:t>；</w:t>
            </w:r>
          </w:p>
          <w:p w14:paraId="428842CC">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80"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Ci</w:t>
            </w:r>
            <w:r>
              <w:rPr>
                <w:rFonts w:hint="default" w:ascii="Times New Roman" w:hAnsi="Times New Roman" w:eastAsia="Times New Roman" w:cs="Times New Roman"/>
                <w:color w:val="auto"/>
                <w:spacing w:val="5"/>
                <w:sz w:val="24"/>
                <w:szCs w:val="24"/>
                <w:highlight w:val="none"/>
              </w:rPr>
              <w:t>——</w:t>
            </w:r>
            <w:r>
              <w:rPr>
                <w:rFonts w:hint="default" w:ascii="Times New Roman" w:hAnsi="Times New Roman" w:cs="Times New Roman"/>
                <w:color w:val="auto"/>
                <w:spacing w:val="5"/>
                <w:sz w:val="24"/>
                <w:szCs w:val="24"/>
                <w:highlight w:val="none"/>
              </w:rPr>
              <w:t>常规污染物</w:t>
            </w:r>
            <w:r>
              <w:rPr>
                <w:rFonts w:hint="default" w:ascii="Times New Roman" w:hAnsi="Times New Roman" w:eastAsia="Times New Roman" w:cs="Times New Roman"/>
                <w:color w:val="auto"/>
                <w:spacing w:val="5"/>
                <w:sz w:val="24"/>
                <w:szCs w:val="24"/>
                <w:highlight w:val="none"/>
              </w:rPr>
              <w:t>i</w:t>
            </w:r>
            <w:r>
              <w:rPr>
                <w:rFonts w:hint="default" w:ascii="Times New Roman" w:hAnsi="Times New Roman" w:cs="Times New Roman"/>
                <w:color w:val="auto"/>
                <w:spacing w:val="5"/>
                <w:sz w:val="24"/>
                <w:szCs w:val="24"/>
                <w:highlight w:val="none"/>
              </w:rPr>
              <w:t>的年评价浓度（</w:t>
            </w:r>
            <w:r>
              <w:rPr>
                <w:rFonts w:hint="default" w:ascii="Times New Roman" w:hAnsi="Times New Roman" w:eastAsia="Times New Roman" w:cs="Times New Roman"/>
                <w:color w:val="auto"/>
                <w:sz w:val="24"/>
                <w:szCs w:val="24"/>
                <w:highlight w:val="none"/>
              </w:rPr>
              <w:t>SO</w:t>
            </w:r>
            <w:r>
              <w:rPr>
                <w:rFonts w:hint="default" w:ascii="Times New Roman" w:hAnsi="Times New Roman" w:eastAsia="Times New Roman" w:cs="Times New Roman"/>
                <w:color w:val="auto"/>
                <w:spacing w:val="5"/>
                <w:position w:val="-1"/>
                <w:sz w:val="24"/>
                <w:szCs w:val="24"/>
                <w:highlight w:val="none"/>
                <w:vertAlign w:val="subscript"/>
              </w:rPr>
              <w:t>2</w:t>
            </w:r>
            <w:r>
              <w:rPr>
                <w:rFonts w:hint="default" w:ascii="Times New Roman" w:hAnsi="Times New Roman" w:cs="Times New Roman"/>
                <w:color w:val="auto"/>
                <w:spacing w:val="5"/>
                <w:sz w:val="24"/>
                <w:szCs w:val="24"/>
                <w:highlight w:val="none"/>
              </w:rPr>
              <w:t>、</w:t>
            </w:r>
            <w:r>
              <w:rPr>
                <w:rFonts w:hint="default" w:ascii="Times New Roman" w:hAnsi="Times New Roman" w:eastAsia="Times New Roman" w:cs="Times New Roman"/>
                <w:color w:val="auto"/>
                <w:sz w:val="24"/>
                <w:szCs w:val="24"/>
                <w:highlight w:val="none"/>
              </w:rPr>
              <w:t>NO</w:t>
            </w:r>
            <w:r>
              <w:rPr>
                <w:rFonts w:hint="default" w:ascii="Times New Roman" w:hAnsi="Times New Roman" w:eastAsia="Times New Roman" w:cs="Times New Roman"/>
                <w:color w:val="auto"/>
                <w:spacing w:val="5"/>
                <w:position w:val="-1"/>
                <w:sz w:val="24"/>
                <w:szCs w:val="24"/>
                <w:highlight w:val="none"/>
                <w:vertAlign w:val="subscript"/>
              </w:rPr>
              <w:t>2</w:t>
            </w:r>
            <w:r>
              <w:rPr>
                <w:rFonts w:hint="default" w:ascii="Times New Roman" w:hAnsi="Times New Roman" w:cs="Times New Roman"/>
                <w:color w:val="auto"/>
                <w:spacing w:val="5"/>
                <w:sz w:val="24"/>
                <w:szCs w:val="24"/>
                <w:highlight w:val="none"/>
              </w:rPr>
              <w:t>、</w:t>
            </w:r>
            <w:r>
              <w:rPr>
                <w:rFonts w:hint="default" w:ascii="Times New Roman" w:hAnsi="Times New Roman" w:eastAsia="Times New Roman" w:cs="Times New Roman"/>
                <w:color w:val="auto"/>
                <w:sz w:val="24"/>
                <w:szCs w:val="24"/>
                <w:highlight w:val="none"/>
              </w:rPr>
              <w:t>PM</w:t>
            </w:r>
            <w:r>
              <w:rPr>
                <w:rFonts w:hint="default" w:ascii="Times New Roman" w:hAnsi="Times New Roman" w:eastAsia="Times New Roman" w:cs="Times New Roman"/>
                <w:color w:val="auto"/>
                <w:spacing w:val="5"/>
                <w:position w:val="-1"/>
                <w:sz w:val="24"/>
                <w:szCs w:val="24"/>
                <w:highlight w:val="none"/>
                <w:vertAlign w:val="subscript"/>
              </w:rPr>
              <w:t>10</w:t>
            </w:r>
            <w:r>
              <w:rPr>
                <w:rFonts w:hint="default" w:ascii="Times New Roman" w:hAnsi="Times New Roman" w:cs="Times New Roman"/>
                <w:color w:val="auto"/>
                <w:spacing w:val="5"/>
                <w:sz w:val="24"/>
                <w:szCs w:val="24"/>
                <w:highlight w:val="none"/>
              </w:rPr>
              <w:t>、</w:t>
            </w:r>
            <w:r>
              <w:rPr>
                <w:rFonts w:hint="default" w:ascii="Times New Roman" w:hAnsi="Times New Roman" w:eastAsia="Times New Roman" w:cs="Times New Roman"/>
                <w:color w:val="auto"/>
                <w:sz w:val="24"/>
                <w:szCs w:val="24"/>
                <w:highlight w:val="none"/>
              </w:rPr>
              <w:t>PM</w:t>
            </w:r>
            <w:r>
              <w:rPr>
                <w:rFonts w:hint="default" w:ascii="Times New Roman" w:hAnsi="Times New Roman" w:eastAsia="Times New Roman" w:cs="Times New Roman"/>
                <w:color w:val="auto"/>
                <w:spacing w:val="5"/>
                <w:position w:val="-1"/>
                <w:sz w:val="24"/>
                <w:szCs w:val="24"/>
                <w:highlight w:val="none"/>
                <w:vertAlign w:val="subscript"/>
              </w:rPr>
              <w:t>2.5</w:t>
            </w:r>
            <w:r>
              <w:rPr>
                <w:rFonts w:hint="default" w:ascii="Times New Roman" w:hAnsi="Times New Roman" w:cs="Times New Roman"/>
                <w:color w:val="auto"/>
                <w:spacing w:val="5"/>
                <w:sz w:val="24"/>
                <w:szCs w:val="24"/>
                <w:highlight w:val="none"/>
              </w:rPr>
              <w:t>年平均浓度，</w:t>
            </w:r>
            <w:r>
              <w:rPr>
                <w:rFonts w:hint="default" w:ascii="Times New Roman" w:hAnsi="Times New Roman" w:eastAsia="Times New Roman" w:cs="Times New Roman"/>
                <w:color w:val="auto"/>
                <w:sz w:val="24"/>
                <w:szCs w:val="24"/>
                <w:highlight w:val="none"/>
              </w:rPr>
              <w:t>CO</w:t>
            </w:r>
            <w:r>
              <w:rPr>
                <w:rFonts w:hint="default" w:ascii="Times New Roman" w:hAnsi="Times New Roman" w:cs="Times New Roman"/>
                <w:color w:val="auto"/>
                <w:spacing w:val="5"/>
                <w:sz w:val="24"/>
                <w:szCs w:val="24"/>
                <w:highlight w:val="none"/>
              </w:rPr>
              <w:t>取</w:t>
            </w:r>
            <w:r>
              <w:rPr>
                <w:rFonts w:hint="default" w:ascii="Times New Roman" w:hAnsi="Times New Roman" w:eastAsia="Times New Roman" w:cs="Times New Roman"/>
                <w:color w:val="auto"/>
                <w:spacing w:val="5"/>
                <w:sz w:val="24"/>
                <w:szCs w:val="24"/>
                <w:highlight w:val="none"/>
              </w:rPr>
              <w:t>24</w:t>
            </w:r>
            <w:r>
              <w:rPr>
                <w:rFonts w:hint="default" w:ascii="Times New Roman" w:hAnsi="Times New Roman" w:cs="Times New Roman"/>
                <w:color w:val="auto"/>
                <w:spacing w:val="5"/>
                <w:sz w:val="24"/>
                <w:szCs w:val="24"/>
                <w:highlight w:val="none"/>
              </w:rPr>
              <w:t>小时平均第</w:t>
            </w:r>
            <w:r>
              <w:rPr>
                <w:rFonts w:hint="default" w:ascii="Times New Roman" w:hAnsi="Times New Roman" w:eastAsia="Times New Roman" w:cs="Times New Roman"/>
                <w:color w:val="auto"/>
                <w:spacing w:val="5"/>
                <w:sz w:val="24"/>
                <w:szCs w:val="24"/>
                <w:highlight w:val="none"/>
              </w:rPr>
              <w:t>95</w:t>
            </w:r>
            <w:r>
              <w:rPr>
                <w:rFonts w:hint="default" w:ascii="Times New Roman" w:hAnsi="Times New Roman" w:cs="Times New Roman"/>
                <w:color w:val="auto"/>
                <w:spacing w:val="5"/>
                <w:sz w:val="24"/>
                <w:szCs w:val="24"/>
                <w:highlight w:val="none"/>
              </w:rPr>
              <w:t>百分位数浓度，</w:t>
            </w:r>
            <w:r>
              <w:rPr>
                <w:rFonts w:hint="default" w:ascii="Times New Roman" w:hAnsi="Times New Roman" w:eastAsia="Times New Roman" w:cs="Times New Roman"/>
                <w:color w:val="auto"/>
                <w:spacing w:val="5"/>
                <w:sz w:val="24"/>
                <w:szCs w:val="24"/>
                <w:highlight w:val="none"/>
              </w:rPr>
              <w:t>O</w:t>
            </w:r>
            <w:r>
              <w:rPr>
                <w:rFonts w:hint="default" w:ascii="Times New Roman" w:hAnsi="Times New Roman" w:eastAsia="Times New Roman" w:cs="Times New Roman"/>
                <w:color w:val="auto"/>
                <w:spacing w:val="5"/>
                <w:position w:val="-1"/>
                <w:sz w:val="24"/>
                <w:szCs w:val="24"/>
                <w:highlight w:val="none"/>
                <w:vertAlign w:val="subscript"/>
              </w:rPr>
              <w:t>3</w:t>
            </w:r>
            <w:r>
              <w:rPr>
                <w:rFonts w:hint="default" w:ascii="Times New Roman" w:hAnsi="Times New Roman" w:cs="Times New Roman"/>
                <w:color w:val="auto"/>
                <w:spacing w:val="5"/>
                <w:sz w:val="24"/>
                <w:szCs w:val="24"/>
                <w:highlight w:val="none"/>
              </w:rPr>
              <w:t>取日最大</w:t>
            </w:r>
            <w:r>
              <w:rPr>
                <w:rFonts w:hint="default" w:ascii="Times New Roman" w:hAnsi="Times New Roman" w:eastAsia="Times New Roman" w:cs="Times New Roman"/>
                <w:color w:val="auto"/>
                <w:spacing w:val="5"/>
                <w:sz w:val="24"/>
                <w:szCs w:val="24"/>
                <w:highlight w:val="none"/>
              </w:rPr>
              <w:t>8</w:t>
            </w:r>
            <w:r>
              <w:rPr>
                <w:rFonts w:hint="default" w:ascii="Times New Roman" w:hAnsi="Times New Roman" w:cs="Times New Roman"/>
                <w:color w:val="auto"/>
                <w:spacing w:val="5"/>
                <w:sz w:val="24"/>
                <w:szCs w:val="24"/>
                <w:highlight w:val="none"/>
              </w:rPr>
              <w:t>小时平均第</w:t>
            </w:r>
            <w:r>
              <w:rPr>
                <w:rFonts w:hint="default" w:ascii="Times New Roman" w:hAnsi="Times New Roman" w:eastAsia="Times New Roman" w:cs="Times New Roman"/>
                <w:color w:val="auto"/>
                <w:spacing w:val="5"/>
                <w:sz w:val="24"/>
                <w:szCs w:val="24"/>
                <w:highlight w:val="none"/>
              </w:rPr>
              <w:t>90</w:t>
            </w:r>
            <w:r>
              <w:rPr>
                <w:rFonts w:hint="default" w:ascii="Times New Roman" w:hAnsi="Times New Roman" w:cs="Times New Roman"/>
                <w:color w:val="auto"/>
                <w:spacing w:val="5"/>
                <w:sz w:val="24"/>
                <w:szCs w:val="24"/>
                <w:highlight w:val="none"/>
              </w:rPr>
              <w:t>百分</w:t>
            </w:r>
            <w:r>
              <w:rPr>
                <w:rFonts w:hint="default" w:ascii="Times New Roman" w:hAnsi="Times New Roman" w:cs="Times New Roman"/>
                <w:color w:val="auto"/>
                <w:spacing w:val="4"/>
                <w:sz w:val="24"/>
                <w:szCs w:val="24"/>
                <w:highlight w:val="none"/>
              </w:rPr>
              <w:t>位数浓</w:t>
            </w:r>
            <w:r>
              <w:rPr>
                <w:rFonts w:hint="default" w:ascii="Times New Roman" w:hAnsi="Times New Roman" w:cs="Times New Roman"/>
                <w:color w:val="auto"/>
                <w:spacing w:val="1"/>
                <w:sz w:val="24"/>
                <w:szCs w:val="24"/>
                <w:highlight w:val="none"/>
              </w:rPr>
              <w:t>度</w:t>
            </w:r>
            <w:r>
              <w:rPr>
                <w:rFonts w:hint="default" w:ascii="Times New Roman" w:hAnsi="Times New Roman" w:cs="Times New Roman"/>
                <w:color w:val="auto"/>
                <w:sz w:val="24"/>
                <w:szCs w:val="24"/>
                <w:highlight w:val="none"/>
              </w:rPr>
              <w:t>）；</w:t>
            </w:r>
          </w:p>
          <w:p w14:paraId="7A0BE5D2">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4"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color w:val="auto"/>
                <w:spacing w:val="6"/>
                <w:position w:val="2"/>
                <w:sz w:val="24"/>
                <w:szCs w:val="24"/>
                <w:highlight w:val="none"/>
              </w:rPr>
              <w:t>C</w:t>
            </w:r>
            <w:r>
              <w:rPr>
                <w:rFonts w:hint="default" w:ascii="Times New Roman" w:hAnsi="Times New Roman" w:eastAsia="Times New Roman" w:cs="Times New Roman"/>
                <w:color w:val="auto"/>
                <w:spacing w:val="6"/>
                <w:position w:val="2"/>
                <w:sz w:val="24"/>
                <w:szCs w:val="24"/>
                <w:highlight w:val="none"/>
                <w:vertAlign w:val="subscript"/>
              </w:rPr>
              <w:t>0i</w:t>
            </w:r>
            <w:r>
              <w:rPr>
                <w:rFonts w:hint="default" w:ascii="Times New Roman" w:hAnsi="Times New Roman" w:eastAsia="Times New Roman" w:cs="Times New Roman"/>
                <w:color w:val="auto"/>
                <w:spacing w:val="6"/>
                <w:position w:val="2"/>
                <w:sz w:val="24"/>
                <w:szCs w:val="24"/>
                <w:highlight w:val="none"/>
              </w:rPr>
              <w:t>——</w:t>
            </w:r>
            <w:r>
              <w:rPr>
                <w:rFonts w:hint="default" w:ascii="Times New Roman" w:hAnsi="Times New Roman" w:cs="Times New Roman"/>
                <w:color w:val="auto"/>
                <w:spacing w:val="6"/>
                <w:position w:val="2"/>
                <w:sz w:val="24"/>
                <w:szCs w:val="24"/>
                <w:highlight w:val="none"/>
              </w:rPr>
              <w:t>污染物</w:t>
            </w:r>
            <w:r>
              <w:rPr>
                <w:rFonts w:hint="default" w:ascii="Times New Roman" w:hAnsi="Times New Roman" w:eastAsia="Times New Roman" w:cs="Times New Roman"/>
                <w:color w:val="auto"/>
                <w:spacing w:val="6"/>
                <w:position w:val="2"/>
                <w:sz w:val="24"/>
                <w:szCs w:val="24"/>
                <w:highlight w:val="none"/>
              </w:rPr>
              <w:t>i</w:t>
            </w:r>
            <w:r>
              <w:rPr>
                <w:rFonts w:hint="default" w:ascii="Times New Roman" w:hAnsi="Times New Roman" w:cs="Times New Roman"/>
                <w:color w:val="auto"/>
                <w:spacing w:val="6"/>
                <w:position w:val="2"/>
                <w:sz w:val="24"/>
                <w:szCs w:val="24"/>
                <w:highlight w:val="none"/>
              </w:rPr>
              <w:t>的环境空气质量浓度标准，</w:t>
            </w:r>
            <w:r>
              <w:rPr>
                <w:rFonts w:hint="default" w:ascii="Times New Roman" w:hAnsi="Times New Roman" w:eastAsia="Times New Roman" w:cs="Times New Roman"/>
                <w:color w:val="auto"/>
                <w:spacing w:val="6"/>
                <w:position w:val="2"/>
                <w:sz w:val="24"/>
                <w:szCs w:val="24"/>
                <w:highlight w:val="none"/>
              </w:rPr>
              <w:t>μg/m</w:t>
            </w:r>
            <w:r>
              <w:rPr>
                <w:rFonts w:hint="default" w:ascii="Times New Roman" w:hAnsi="Times New Roman" w:eastAsia="Times New Roman" w:cs="Times New Roman"/>
                <w:color w:val="auto"/>
                <w:spacing w:val="6"/>
                <w:position w:val="8"/>
                <w:sz w:val="24"/>
                <w:szCs w:val="24"/>
                <w:highlight w:val="none"/>
              </w:rPr>
              <w:t>3</w:t>
            </w:r>
            <w:r>
              <w:rPr>
                <w:rFonts w:hint="default" w:ascii="Times New Roman" w:hAnsi="Times New Roman" w:cs="Times New Roman"/>
                <w:color w:val="auto"/>
                <w:spacing w:val="6"/>
                <w:position w:val="2"/>
                <w:sz w:val="24"/>
                <w:szCs w:val="24"/>
                <w:highlight w:val="none"/>
              </w:rPr>
              <w:t>；</w:t>
            </w:r>
          </w:p>
          <w:p w14:paraId="187232D4">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9"/>
                <w:sz w:val="24"/>
                <w:szCs w:val="24"/>
                <w:highlight w:val="none"/>
              </w:rPr>
              <w:t>④空气质量达标区判定</w:t>
            </w:r>
          </w:p>
          <w:p w14:paraId="4B6EEF3E">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0"/>
                <w:position w:val="1"/>
                <w:sz w:val="24"/>
                <w:szCs w:val="24"/>
                <w:highlight w:val="none"/>
              </w:rPr>
              <w:t>昌吉州环境监测站</w:t>
            </w:r>
            <w:r>
              <w:rPr>
                <w:rFonts w:hint="default" w:ascii="Times New Roman" w:hAnsi="Times New Roman" w:eastAsia="Times New Roman" w:cs="Times New Roman"/>
                <w:color w:val="auto"/>
                <w:spacing w:val="10"/>
                <w:position w:val="1"/>
                <w:sz w:val="24"/>
                <w:szCs w:val="24"/>
                <w:highlight w:val="none"/>
              </w:rPr>
              <w:t>202</w:t>
            </w:r>
            <w:r>
              <w:rPr>
                <w:rFonts w:hint="eastAsia" w:ascii="Times New Roman" w:hAnsi="Times New Roman" w:eastAsia="宋体" w:cs="Times New Roman"/>
                <w:color w:val="auto"/>
                <w:spacing w:val="10"/>
                <w:position w:val="1"/>
                <w:sz w:val="24"/>
                <w:szCs w:val="24"/>
                <w:highlight w:val="none"/>
                <w:lang w:val="en-US" w:eastAsia="zh-CN"/>
              </w:rPr>
              <w:t>4</w:t>
            </w:r>
            <w:r>
              <w:rPr>
                <w:rFonts w:hint="default" w:ascii="Times New Roman" w:hAnsi="Times New Roman" w:cs="Times New Roman"/>
                <w:color w:val="auto"/>
                <w:spacing w:val="10"/>
                <w:position w:val="1"/>
                <w:sz w:val="24"/>
                <w:szCs w:val="24"/>
                <w:highlight w:val="none"/>
              </w:rPr>
              <w:t>年环境空气质量现状及评价结果见表</w:t>
            </w:r>
            <w:r>
              <w:rPr>
                <w:rFonts w:hint="default" w:ascii="Times New Roman" w:hAnsi="Times New Roman" w:eastAsia="Times New Roman" w:cs="Times New Roman"/>
                <w:color w:val="auto"/>
                <w:spacing w:val="10"/>
                <w:position w:val="1"/>
                <w:sz w:val="24"/>
                <w:szCs w:val="24"/>
                <w:highlight w:val="none"/>
              </w:rPr>
              <w:t>3-1</w:t>
            </w:r>
            <w:r>
              <w:rPr>
                <w:rFonts w:hint="default" w:ascii="Times New Roman" w:hAnsi="Times New Roman" w:cs="Times New Roman"/>
                <w:color w:val="auto"/>
                <w:spacing w:val="10"/>
                <w:position w:val="1"/>
                <w:sz w:val="24"/>
                <w:szCs w:val="24"/>
                <w:highlight w:val="none"/>
              </w:rPr>
              <w:t>所示。</w:t>
            </w:r>
          </w:p>
          <w:p w14:paraId="6A7C0B8E">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b/>
                <w:bCs/>
                <w:color w:val="auto"/>
                <w:spacing w:val="7"/>
                <w:sz w:val="21"/>
                <w:szCs w:val="21"/>
                <w:highlight w:val="none"/>
              </w:rPr>
            </w:pPr>
            <w:r>
              <w:rPr>
                <w:rFonts w:hint="default" w:ascii="Times New Roman" w:hAnsi="Times New Roman" w:cs="Times New Roman"/>
                <w:b/>
                <w:bCs/>
                <w:color w:val="auto"/>
                <w:spacing w:val="7"/>
                <w:sz w:val="21"/>
                <w:szCs w:val="21"/>
                <w:highlight w:val="none"/>
              </w:rPr>
              <w:t>表3-1区域环境空气质量现状评价表</w:t>
            </w:r>
          </w:p>
          <w:tbl>
            <w:tblPr>
              <w:tblStyle w:val="24"/>
              <w:tblW w:w="49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44"/>
              <w:gridCol w:w="2636"/>
              <w:gridCol w:w="1261"/>
              <w:gridCol w:w="1228"/>
              <w:gridCol w:w="1022"/>
              <w:gridCol w:w="1364"/>
            </w:tblGrid>
            <w:tr w14:paraId="2A52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jc w:val="center"/>
              </w:trPr>
              <w:tc>
                <w:tcPr>
                  <w:tcW w:w="558" w:type="pct"/>
                  <w:tcBorders>
                    <w:tl2br w:val="nil"/>
                    <w:tr2bl w:val="nil"/>
                  </w:tcBorders>
                  <w:noWrap w:val="0"/>
                  <w:vAlign w:val="center"/>
                </w:tcPr>
                <w:p w14:paraId="33E1DC2E">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污染物</w:t>
                  </w:r>
                </w:p>
              </w:tc>
              <w:tc>
                <w:tcPr>
                  <w:tcW w:w="1558" w:type="pct"/>
                  <w:tcBorders>
                    <w:tl2br w:val="nil"/>
                    <w:tr2bl w:val="nil"/>
                  </w:tcBorders>
                  <w:noWrap w:val="0"/>
                  <w:vAlign w:val="center"/>
                </w:tcPr>
                <w:p w14:paraId="71317601">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年评价指标</w:t>
                  </w:r>
                </w:p>
              </w:tc>
              <w:tc>
                <w:tcPr>
                  <w:tcW w:w="745" w:type="pct"/>
                  <w:tcBorders>
                    <w:tl2br w:val="nil"/>
                    <w:tr2bl w:val="nil"/>
                  </w:tcBorders>
                  <w:noWrap w:val="0"/>
                  <w:vAlign w:val="center"/>
                </w:tcPr>
                <w:p w14:paraId="7669BCFB">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现状浓度</w:t>
                  </w:r>
                </w:p>
              </w:tc>
              <w:tc>
                <w:tcPr>
                  <w:tcW w:w="726" w:type="pct"/>
                  <w:tcBorders>
                    <w:tl2br w:val="nil"/>
                    <w:tr2bl w:val="nil"/>
                  </w:tcBorders>
                  <w:noWrap w:val="0"/>
                  <w:vAlign w:val="center"/>
                </w:tcPr>
                <w:p w14:paraId="5C509AF3">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评价标准</w:t>
                  </w:r>
                </w:p>
              </w:tc>
              <w:tc>
                <w:tcPr>
                  <w:tcW w:w="604" w:type="pct"/>
                  <w:tcBorders>
                    <w:tl2br w:val="nil"/>
                    <w:tr2bl w:val="nil"/>
                  </w:tcBorders>
                  <w:noWrap w:val="0"/>
                  <w:vAlign w:val="center"/>
                </w:tcPr>
                <w:p w14:paraId="4FE12A58">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占标率</w:t>
                  </w:r>
                </w:p>
              </w:tc>
              <w:tc>
                <w:tcPr>
                  <w:tcW w:w="806" w:type="pct"/>
                  <w:tcBorders>
                    <w:tl2br w:val="nil"/>
                    <w:tr2bl w:val="nil"/>
                  </w:tcBorders>
                  <w:noWrap w:val="0"/>
                  <w:vAlign w:val="center"/>
                </w:tcPr>
                <w:p w14:paraId="0DA78771">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达标情况</w:t>
                  </w:r>
                </w:p>
              </w:tc>
            </w:tr>
            <w:tr w14:paraId="0EE7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1" w:hRule="atLeast"/>
                <w:jc w:val="center"/>
              </w:trPr>
              <w:tc>
                <w:tcPr>
                  <w:tcW w:w="558" w:type="pct"/>
                  <w:tcBorders>
                    <w:tl2br w:val="nil"/>
                    <w:tr2bl w:val="nil"/>
                  </w:tcBorders>
                  <w:noWrap w:val="0"/>
                  <w:vAlign w:val="center"/>
                </w:tcPr>
                <w:p w14:paraId="3B87658A">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SO</w:t>
                  </w:r>
                  <w:r>
                    <w:rPr>
                      <w:rFonts w:hint="default" w:ascii="Times New Roman" w:hAnsi="Times New Roman" w:cs="Times New Roman"/>
                      <w:color w:val="auto"/>
                      <w:spacing w:val="7"/>
                      <w:sz w:val="21"/>
                      <w:szCs w:val="21"/>
                      <w:highlight w:val="none"/>
                      <w:vertAlign w:val="subscript"/>
                    </w:rPr>
                    <w:t>2</w:t>
                  </w:r>
                </w:p>
              </w:tc>
              <w:tc>
                <w:tcPr>
                  <w:tcW w:w="1558" w:type="pct"/>
                  <w:tcBorders>
                    <w:tl2br w:val="nil"/>
                    <w:tr2bl w:val="nil"/>
                  </w:tcBorders>
                  <w:noWrap w:val="0"/>
                  <w:vAlign w:val="center"/>
                </w:tcPr>
                <w:p w14:paraId="54FF5D8D">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年平均质量浓度</w:t>
                  </w:r>
                </w:p>
              </w:tc>
              <w:tc>
                <w:tcPr>
                  <w:tcW w:w="745" w:type="pct"/>
                  <w:tcBorders>
                    <w:tl2br w:val="nil"/>
                    <w:tr2bl w:val="nil"/>
                  </w:tcBorders>
                  <w:noWrap w:val="0"/>
                  <w:vAlign w:val="center"/>
                </w:tcPr>
                <w:p w14:paraId="5287BE26">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7</w:t>
                  </w:r>
                </w:p>
              </w:tc>
              <w:tc>
                <w:tcPr>
                  <w:tcW w:w="726" w:type="pct"/>
                  <w:tcBorders>
                    <w:tl2br w:val="nil"/>
                    <w:tr2bl w:val="nil"/>
                  </w:tcBorders>
                  <w:noWrap w:val="0"/>
                  <w:vAlign w:val="center"/>
                </w:tcPr>
                <w:p w14:paraId="65ED37D8">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60</w:t>
                  </w:r>
                </w:p>
              </w:tc>
              <w:tc>
                <w:tcPr>
                  <w:tcW w:w="604" w:type="pct"/>
                  <w:tcBorders>
                    <w:tl2br w:val="nil"/>
                    <w:tr2bl w:val="nil"/>
                  </w:tcBorders>
                  <w:noWrap w:val="0"/>
                  <w:vAlign w:val="center"/>
                </w:tcPr>
                <w:p w14:paraId="06B9BDBC">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1</w:t>
                  </w:r>
                  <w:r>
                    <w:rPr>
                      <w:rFonts w:hint="default" w:ascii="Times New Roman" w:hAnsi="Times New Roman" w:cs="Times New Roman"/>
                      <w:color w:val="auto"/>
                      <w:spacing w:val="7"/>
                      <w:sz w:val="21"/>
                      <w:szCs w:val="21"/>
                      <w:highlight w:val="none"/>
                      <w:lang w:val="en-US" w:eastAsia="zh-CN"/>
                    </w:rPr>
                    <w:t>1</w:t>
                  </w:r>
                  <w:r>
                    <w:rPr>
                      <w:rFonts w:hint="default" w:ascii="Times New Roman" w:hAnsi="Times New Roman" w:cs="Times New Roman"/>
                      <w:color w:val="auto"/>
                      <w:spacing w:val="7"/>
                      <w:sz w:val="21"/>
                      <w:szCs w:val="21"/>
                      <w:highlight w:val="none"/>
                    </w:rPr>
                    <w:t>.67</w:t>
                  </w:r>
                </w:p>
              </w:tc>
              <w:tc>
                <w:tcPr>
                  <w:tcW w:w="806" w:type="pct"/>
                  <w:tcBorders>
                    <w:tl2br w:val="nil"/>
                    <w:tr2bl w:val="nil"/>
                  </w:tcBorders>
                  <w:noWrap w:val="0"/>
                  <w:vAlign w:val="center"/>
                </w:tcPr>
                <w:p w14:paraId="33DA4575">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达标</w:t>
                  </w:r>
                </w:p>
              </w:tc>
            </w:tr>
            <w:tr w14:paraId="565BF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1" w:hRule="atLeast"/>
                <w:jc w:val="center"/>
              </w:trPr>
              <w:tc>
                <w:tcPr>
                  <w:tcW w:w="558" w:type="pct"/>
                  <w:tcBorders>
                    <w:tl2br w:val="nil"/>
                    <w:tr2bl w:val="nil"/>
                  </w:tcBorders>
                  <w:noWrap w:val="0"/>
                  <w:vAlign w:val="center"/>
                </w:tcPr>
                <w:p w14:paraId="632CCCAF">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NO</w:t>
                  </w:r>
                  <w:r>
                    <w:rPr>
                      <w:rFonts w:hint="default" w:ascii="Times New Roman" w:hAnsi="Times New Roman" w:cs="Times New Roman"/>
                      <w:color w:val="auto"/>
                      <w:spacing w:val="7"/>
                      <w:sz w:val="21"/>
                      <w:szCs w:val="21"/>
                      <w:highlight w:val="none"/>
                      <w:vertAlign w:val="subscript"/>
                    </w:rPr>
                    <w:t>2</w:t>
                  </w:r>
                </w:p>
              </w:tc>
              <w:tc>
                <w:tcPr>
                  <w:tcW w:w="1558" w:type="pct"/>
                  <w:tcBorders>
                    <w:tl2br w:val="nil"/>
                    <w:tr2bl w:val="nil"/>
                  </w:tcBorders>
                  <w:noWrap w:val="0"/>
                  <w:vAlign w:val="center"/>
                </w:tcPr>
                <w:p w14:paraId="050C7019">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年平均质量浓度</w:t>
                  </w:r>
                </w:p>
              </w:tc>
              <w:tc>
                <w:tcPr>
                  <w:tcW w:w="745" w:type="pct"/>
                  <w:tcBorders>
                    <w:tl2br w:val="nil"/>
                    <w:tr2bl w:val="nil"/>
                  </w:tcBorders>
                  <w:noWrap w:val="0"/>
                  <w:vAlign w:val="center"/>
                </w:tcPr>
                <w:p w14:paraId="5FA7CC62">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eastAsia" w:ascii="Times New Roman" w:hAnsi="Times New Roman" w:cs="Times New Roman"/>
                      <w:color w:val="auto"/>
                      <w:spacing w:val="7"/>
                      <w:sz w:val="21"/>
                      <w:szCs w:val="21"/>
                      <w:highlight w:val="none"/>
                      <w:lang w:val="en-US" w:eastAsia="zh-CN"/>
                    </w:rPr>
                    <w:t>30</w:t>
                  </w:r>
                </w:p>
              </w:tc>
              <w:tc>
                <w:tcPr>
                  <w:tcW w:w="726" w:type="pct"/>
                  <w:tcBorders>
                    <w:tl2br w:val="nil"/>
                    <w:tr2bl w:val="nil"/>
                  </w:tcBorders>
                  <w:noWrap w:val="0"/>
                  <w:vAlign w:val="center"/>
                </w:tcPr>
                <w:p w14:paraId="76DB5EEF">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40</w:t>
                  </w:r>
                </w:p>
              </w:tc>
              <w:tc>
                <w:tcPr>
                  <w:tcW w:w="604" w:type="pct"/>
                  <w:tcBorders>
                    <w:tl2br w:val="nil"/>
                    <w:tr2bl w:val="nil"/>
                  </w:tcBorders>
                  <w:noWrap w:val="0"/>
                  <w:vAlign w:val="center"/>
                </w:tcPr>
                <w:p w14:paraId="3CCFE287">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eastAsia" w:ascii="Times New Roman" w:hAnsi="Times New Roman" w:cs="Times New Roman"/>
                      <w:color w:val="auto"/>
                      <w:spacing w:val="7"/>
                      <w:sz w:val="21"/>
                      <w:szCs w:val="21"/>
                      <w:highlight w:val="none"/>
                      <w:lang w:val="en-US" w:eastAsia="zh-CN"/>
                    </w:rPr>
                    <w:t>75</w:t>
                  </w:r>
                </w:p>
              </w:tc>
              <w:tc>
                <w:tcPr>
                  <w:tcW w:w="806" w:type="pct"/>
                  <w:tcBorders>
                    <w:tl2br w:val="nil"/>
                    <w:tr2bl w:val="nil"/>
                  </w:tcBorders>
                  <w:noWrap w:val="0"/>
                  <w:vAlign w:val="center"/>
                </w:tcPr>
                <w:p w14:paraId="6B2681DD">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达标</w:t>
                  </w:r>
                </w:p>
              </w:tc>
            </w:tr>
            <w:tr w14:paraId="47AC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1" w:hRule="atLeast"/>
                <w:jc w:val="center"/>
              </w:trPr>
              <w:tc>
                <w:tcPr>
                  <w:tcW w:w="558" w:type="pct"/>
                  <w:tcBorders>
                    <w:tl2br w:val="nil"/>
                    <w:tr2bl w:val="nil"/>
                  </w:tcBorders>
                  <w:noWrap w:val="0"/>
                  <w:vAlign w:val="center"/>
                </w:tcPr>
                <w:p w14:paraId="77570897">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PM</w:t>
                  </w:r>
                  <w:r>
                    <w:rPr>
                      <w:rFonts w:hint="default" w:ascii="Times New Roman" w:hAnsi="Times New Roman" w:cs="Times New Roman"/>
                      <w:color w:val="auto"/>
                      <w:spacing w:val="7"/>
                      <w:sz w:val="21"/>
                      <w:szCs w:val="21"/>
                      <w:highlight w:val="none"/>
                      <w:vertAlign w:val="subscript"/>
                    </w:rPr>
                    <w:t>10</w:t>
                  </w:r>
                </w:p>
              </w:tc>
              <w:tc>
                <w:tcPr>
                  <w:tcW w:w="1558" w:type="pct"/>
                  <w:tcBorders>
                    <w:tl2br w:val="nil"/>
                    <w:tr2bl w:val="nil"/>
                  </w:tcBorders>
                  <w:noWrap w:val="0"/>
                  <w:vAlign w:val="center"/>
                </w:tcPr>
                <w:p w14:paraId="213E2691">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年平均质量浓度</w:t>
                  </w:r>
                </w:p>
              </w:tc>
              <w:tc>
                <w:tcPr>
                  <w:tcW w:w="745" w:type="pct"/>
                  <w:tcBorders>
                    <w:tl2br w:val="nil"/>
                    <w:tr2bl w:val="nil"/>
                  </w:tcBorders>
                  <w:noWrap w:val="0"/>
                  <w:vAlign w:val="center"/>
                </w:tcPr>
                <w:p w14:paraId="407F74EB">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eastAsia" w:ascii="Times New Roman" w:hAnsi="Times New Roman" w:cs="Times New Roman"/>
                      <w:color w:val="auto"/>
                      <w:spacing w:val="7"/>
                      <w:sz w:val="21"/>
                      <w:szCs w:val="21"/>
                      <w:highlight w:val="none"/>
                      <w:lang w:val="en-US" w:eastAsia="zh-CN"/>
                    </w:rPr>
                    <w:t>70</w:t>
                  </w:r>
                </w:p>
              </w:tc>
              <w:tc>
                <w:tcPr>
                  <w:tcW w:w="726" w:type="pct"/>
                  <w:tcBorders>
                    <w:tl2br w:val="nil"/>
                    <w:tr2bl w:val="nil"/>
                  </w:tcBorders>
                  <w:noWrap w:val="0"/>
                  <w:vAlign w:val="center"/>
                </w:tcPr>
                <w:p w14:paraId="58934C61">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70</w:t>
                  </w:r>
                </w:p>
              </w:tc>
              <w:tc>
                <w:tcPr>
                  <w:tcW w:w="604" w:type="pct"/>
                  <w:tcBorders>
                    <w:tl2br w:val="nil"/>
                    <w:tr2bl w:val="nil"/>
                  </w:tcBorders>
                  <w:noWrap w:val="0"/>
                  <w:vAlign w:val="center"/>
                </w:tcPr>
                <w:p w14:paraId="75184C3E">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1</w:t>
                  </w:r>
                  <w:r>
                    <w:rPr>
                      <w:rFonts w:hint="eastAsia" w:ascii="Times New Roman" w:hAnsi="Times New Roman" w:cs="Times New Roman"/>
                      <w:color w:val="auto"/>
                      <w:spacing w:val="7"/>
                      <w:sz w:val="21"/>
                      <w:szCs w:val="21"/>
                      <w:highlight w:val="none"/>
                      <w:lang w:val="en-US" w:eastAsia="zh-CN"/>
                    </w:rPr>
                    <w:t>00</w:t>
                  </w:r>
                </w:p>
              </w:tc>
              <w:tc>
                <w:tcPr>
                  <w:tcW w:w="806" w:type="pct"/>
                  <w:tcBorders>
                    <w:tl2br w:val="nil"/>
                    <w:tr2bl w:val="nil"/>
                  </w:tcBorders>
                  <w:noWrap w:val="0"/>
                  <w:vAlign w:val="center"/>
                </w:tcPr>
                <w:p w14:paraId="417A8A70">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超标</w:t>
                  </w:r>
                </w:p>
              </w:tc>
            </w:tr>
            <w:tr w14:paraId="0378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1" w:hRule="atLeast"/>
                <w:jc w:val="center"/>
              </w:trPr>
              <w:tc>
                <w:tcPr>
                  <w:tcW w:w="558" w:type="pct"/>
                  <w:tcBorders>
                    <w:tl2br w:val="nil"/>
                    <w:tr2bl w:val="nil"/>
                  </w:tcBorders>
                  <w:noWrap w:val="0"/>
                  <w:vAlign w:val="center"/>
                </w:tcPr>
                <w:p w14:paraId="4FCEBB9D">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PM</w:t>
                  </w:r>
                  <w:r>
                    <w:rPr>
                      <w:rFonts w:hint="default" w:ascii="Times New Roman" w:hAnsi="Times New Roman" w:cs="Times New Roman"/>
                      <w:color w:val="auto"/>
                      <w:spacing w:val="7"/>
                      <w:sz w:val="21"/>
                      <w:szCs w:val="21"/>
                      <w:highlight w:val="none"/>
                      <w:vertAlign w:val="subscript"/>
                    </w:rPr>
                    <w:t>2.5</w:t>
                  </w:r>
                </w:p>
              </w:tc>
              <w:tc>
                <w:tcPr>
                  <w:tcW w:w="1558" w:type="pct"/>
                  <w:tcBorders>
                    <w:tl2br w:val="nil"/>
                    <w:tr2bl w:val="nil"/>
                  </w:tcBorders>
                  <w:noWrap w:val="0"/>
                  <w:vAlign w:val="center"/>
                </w:tcPr>
                <w:p w14:paraId="5DDA0BCB">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年平均质量浓度</w:t>
                  </w:r>
                </w:p>
              </w:tc>
              <w:tc>
                <w:tcPr>
                  <w:tcW w:w="745" w:type="pct"/>
                  <w:tcBorders>
                    <w:tl2br w:val="nil"/>
                    <w:tr2bl w:val="nil"/>
                  </w:tcBorders>
                  <w:noWrap w:val="0"/>
                  <w:vAlign w:val="center"/>
                </w:tcPr>
                <w:p w14:paraId="726284D1">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4</w:t>
                  </w:r>
                  <w:r>
                    <w:rPr>
                      <w:rFonts w:hint="eastAsia" w:ascii="Times New Roman" w:hAnsi="Times New Roman" w:cs="Times New Roman"/>
                      <w:color w:val="auto"/>
                      <w:spacing w:val="7"/>
                      <w:sz w:val="21"/>
                      <w:szCs w:val="21"/>
                      <w:highlight w:val="none"/>
                      <w:lang w:val="en-US" w:eastAsia="zh-CN"/>
                    </w:rPr>
                    <w:t>0</w:t>
                  </w:r>
                </w:p>
              </w:tc>
              <w:tc>
                <w:tcPr>
                  <w:tcW w:w="726" w:type="pct"/>
                  <w:tcBorders>
                    <w:tl2br w:val="nil"/>
                    <w:tr2bl w:val="nil"/>
                  </w:tcBorders>
                  <w:noWrap w:val="0"/>
                  <w:vAlign w:val="center"/>
                </w:tcPr>
                <w:p w14:paraId="57A84D05">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35</w:t>
                  </w:r>
                </w:p>
              </w:tc>
              <w:tc>
                <w:tcPr>
                  <w:tcW w:w="604" w:type="pct"/>
                  <w:tcBorders>
                    <w:tl2br w:val="nil"/>
                    <w:tr2bl w:val="nil"/>
                  </w:tcBorders>
                  <w:noWrap w:val="0"/>
                  <w:vAlign w:val="center"/>
                </w:tcPr>
                <w:p w14:paraId="67756FF4">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1</w:t>
                  </w:r>
                  <w:r>
                    <w:rPr>
                      <w:rFonts w:hint="eastAsia" w:ascii="Times New Roman" w:hAnsi="Times New Roman" w:cs="Times New Roman"/>
                      <w:color w:val="auto"/>
                      <w:spacing w:val="7"/>
                      <w:sz w:val="21"/>
                      <w:szCs w:val="21"/>
                      <w:highlight w:val="none"/>
                      <w:lang w:val="en-US" w:eastAsia="zh-CN"/>
                    </w:rPr>
                    <w:t>14.3</w:t>
                  </w:r>
                </w:p>
              </w:tc>
              <w:tc>
                <w:tcPr>
                  <w:tcW w:w="806" w:type="pct"/>
                  <w:tcBorders>
                    <w:tl2br w:val="nil"/>
                    <w:tr2bl w:val="nil"/>
                  </w:tcBorders>
                  <w:noWrap w:val="0"/>
                  <w:vAlign w:val="center"/>
                </w:tcPr>
                <w:p w14:paraId="4196A2A5">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超标</w:t>
                  </w:r>
                </w:p>
              </w:tc>
            </w:tr>
            <w:tr w14:paraId="2834C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1" w:hRule="atLeast"/>
                <w:jc w:val="center"/>
              </w:trPr>
              <w:tc>
                <w:tcPr>
                  <w:tcW w:w="558" w:type="pct"/>
                  <w:tcBorders>
                    <w:tl2br w:val="nil"/>
                    <w:tr2bl w:val="nil"/>
                  </w:tcBorders>
                  <w:noWrap w:val="0"/>
                  <w:vAlign w:val="center"/>
                </w:tcPr>
                <w:p w14:paraId="763BE58A">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CO</w:t>
                  </w:r>
                </w:p>
              </w:tc>
              <w:tc>
                <w:tcPr>
                  <w:tcW w:w="1558" w:type="pct"/>
                  <w:tcBorders>
                    <w:tl2br w:val="nil"/>
                    <w:tr2bl w:val="nil"/>
                  </w:tcBorders>
                  <w:noWrap w:val="0"/>
                  <w:vAlign w:val="center"/>
                </w:tcPr>
                <w:p w14:paraId="25BC28D6">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日平均第95百分位数</w:t>
                  </w:r>
                </w:p>
              </w:tc>
              <w:tc>
                <w:tcPr>
                  <w:tcW w:w="745" w:type="pct"/>
                  <w:tcBorders>
                    <w:tl2br w:val="nil"/>
                    <w:tr2bl w:val="nil"/>
                  </w:tcBorders>
                  <w:noWrap w:val="0"/>
                  <w:vAlign w:val="center"/>
                </w:tcPr>
                <w:p w14:paraId="21546D0A">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1</w:t>
                  </w:r>
                  <w:r>
                    <w:rPr>
                      <w:rFonts w:hint="eastAsia" w:ascii="Times New Roman" w:hAnsi="Times New Roman" w:cs="Times New Roman"/>
                      <w:color w:val="auto"/>
                      <w:spacing w:val="7"/>
                      <w:sz w:val="21"/>
                      <w:szCs w:val="21"/>
                      <w:highlight w:val="none"/>
                      <w:lang w:val="en-US" w:eastAsia="zh-CN"/>
                    </w:rPr>
                    <w:t>8</w:t>
                  </w:r>
                  <w:r>
                    <w:rPr>
                      <w:rFonts w:hint="default" w:ascii="Times New Roman" w:hAnsi="Times New Roman" w:cs="Times New Roman"/>
                      <w:color w:val="auto"/>
                      <w:spacing w:val="7"/>
                      <w:sz w:val="21"/>
                      <w:szCs w:val="21"/>
                      <w:highlight w:val="none"/>
                      <w:lang w:val="en-US" w:eastAsia="zh-CN"/>
                    </w:rPr>
                    <w:t>00</w:t>
                  </w:r>
                </w:p>
              </w:tc>
              <w:tc>
                <w:tcPr>
                  <w:tcW w:w="726" w:type="pct"/>
                  <w:tcBorders>
                    <w:tl2br w:val="nil"/>
                    <w:tr2bl w:val="nil"/>
                  </w:tcBorders>
                  <w:noWrap w:val="0"/>
                  <w:vAlign w:val="center"/>
                </w:tcPr>
                <w:p w14:paraId="7D90B1D5">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4000</w:t>
                  </w:r>
                </w:p>
              </w:tc>
              <w:tc>
                <w:tcPr>
                  <w:tcW w:w="604" w:type="pct"/>
                  <w:tcBorders>
                    <w:tl2br w:val="nil"/>
                    <w:tr2bl w:val="nil"/>
                  </w:tcBorders>
                  <w:noWrap w:val="0"/>
                  <w:vAlign w:val="center"/>
                </w:tcPr>
                <w:p w14:paraId="2FBD6207">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eastAsia" w:ascii="Times New Roman" w:hAnsi="Times New Roman" w:cs="Times New Roman"/>
                      <w:color w:val="auto"/>
                      <w:spacing w:val="7"/>
                      <w:sz w:val="21"/>
                      <w:szCs w:val="21"/>
                      <w:highlight w:val="none"/>
                      <w:lang w:val="en-US" w:eastAsia="zh-CN"/>
                    </w:rPr>
                    <w:t>45.0</w:t>
                  </w:r>
                </w:p>
              </w:tc>
              <w:tc>
                <w:tcPr>
                  <w:tcW w:w="806" w:type="pct"/>
                  <w:tcBorders>
                    <w:tl2br w:val="nil"/>
                    <w:tr2bl w:val="nil"/>
                  </w:tcBorders>
                  <w:noWrap w:val="0"/>
                  <w:vAlign w:val="center"/>
                </w:tcPr>
                <w:p w14:paraId="5C65995D">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达标</w:t>
                  </w:r>
                </w:p>
              </w:tc>
            </w:tr>
            <w:tr w14:paraId="47551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1" w:hRule="atLeast"/>
                <w:jc w:val="center"/>
              </w:trPr>
              <w:tc>
                <w:tcPr>
                  <w:tcW w:w="558" w:type="pct"/>
                  <w:tcBorders>
                    <w:tl2br w:val="nil"/>
                    <w:tr2bl w:val="nil"/>
                  </w:tcBorders>
                  <w:noWrap w:val="0"/>
                  <w:vAlign w:val="center"/>
                </w:tcPr>
                <w:p w14:paraId="636DEAAC">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O</w:t>
                  </w:r>
                  <w:r>
                    <w:rPr>
                      <w:rFonts w:hint="default" w:ascii="Times New Roman" w:hAnsi="Times New Roman" w:cs="Times New Roman"/>
                      <w:color w:val="auto"/>
                      <w:spacing w:val="7"/>
                      <w:sz w:val="21"/>
                      <w:szCs w:val="21"/>
                      <w:highlight w:val="none"/>
                      <w:vertAlign w:val="subscript"/>
                    </w:rPr>
                    <w:t>3</w:t>
                  </w:r>
                </w:p>
              </w:tc>
              <w:tc>
                <w:tcPr>
                  <w:tcW w:w="1558" w:type="pct"/>
                  <w:tcBorders>
                    <w:tl2br w:val="nil"/>
                    <w:tr2bl w:val="nil"/>
                  </w:tcBorders>
                  <w:noWrap w:val="0"/>
                  <w:vAlign w:val="center"/>
                </w:tcPr>
                <w:p w14:paraId="4C11DA0A">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8h最大平均第90百分位</w:t>
                  </w:r>
                </w:p>
              </w:tc>
              <w:tc>
                <w:tcPr>
                  <w:tcW w:w="745" w:type="pct"/>
                  <w:tcBorders>
                    <w:tl2br w:val="nil"/>
                    <w:tr2bl w:val="nil"/>
                  </w:tcBorders>
                  <w:noWrap w:val="0"/>
                  <w:vAlign w:val="center"/>
                </w:tcPr>
                <w:p w14:paraId="3EAE24E3">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rPr>
                    <w:t>1</w:t>
                  </w:r>
                  <w:r>
                    <w:rPr>
                      <w:rFonts w:hint="eastAsia" w:ascii="Times New Roman" w:hAnsi="Times New Roman" w:cs="Times New Roman"/>
                      <w:color w:val="auto"/>
                      <w:spacing w:val="7"/>
                      <w:sz w:val="21"/>
                      <w:szCs w:val="21"/>
                      <w:highlight w:val="none"/>
                      <w:lang w:val="en-US" w:eastAsia="zh-CN"/>
                    </w:rPr>
                    <w:t>34</w:t>
                  </w:r>
                </w:p>
              </w:tc>
              <w:tc>
                <w:tcPr>
                  <w:tcW w:w="726" w:type="pct"/>
                  <w:tcBorders>
                    <w:tl2br w:val="nil"/>
                    <w:tr2bl w:val="nil"/>
                  </w:tcBorders>
                  <w:noWrap w:val="0"/>
                  <w:vAlign w:val="center"/>
                </w:tcPr>
                <w:p w14:paraId="02D3328E">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160</w:t>
                  </w:r>
                </w:p>
              </w:tc>
              <w:tc>
                <w:tcPr>
                  <w:tcW w:w="604" w:type="pct"/>
                  <w:tcBorders>
                    <w:tl2br w:val="nil"/>
                    <w:tr2bl w:val="nil"/>
                  </w:tcBorders>
                  <w:noWrap w:val="0"/>
                  <w:vAlign w:val="center"/>
                </w:tcPr>
                <w:p w14:paraId="1CCE98CF">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rPr>
                    <w:t>8</w:t>
                  </w:r>
                  <w:r>
                    <w:rPr>
                      <w:rFonts w:hint="eastAsia" w:ascii="Times New Roman" w:hAnsi="Times New Roman" w:cs="Times New Roman"/>
                      <w:color w:val="auto"/>
                      <w:spacing w:val="7"/>
                      <w:sz w:val="21"/>
                      <w:szCs w:val="21"/>
                      <w:highlight w:val="none"/>
                      <w:lang w:val="en-US" w:eastAsia="zh-CN"/>
                    </w:rPr>
                    <w:t>3.8</w:t>
                  </w:r>
                </w:p>
              </w:tc>
              <w:tc>
                <w:tcPr>
                  <w:tcW w:w="806" w:type="pct"/>
                  <w:tcBorders>
                    <w:tl2br w:val="nil"/>
                    <w:tr2bl w:val="nil"/>
                  </w:tcBorders>
                  <w:noWrap w:val="0"/>
                  <w:vAlign w:val="center"/>
                </w:tcPr>
                <w:p w14:paraId="4052D604">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rPr>
                  </w:pPr>
                  <w:r>
                    <w:rPr>
                      <w:rFonts w:hint="default" w:ascii="Times New Roman" w:hAnsi="Times New Roman" w:cs="Times New Roman"/>
                      <w:color w:val="auto"/>
                      <w:spacing w:val="7"/>
                      <w:sz w:val="21"/>
                      <w:szCs w:val="21"/>
                      <w:highlight w:val="none"/>
                    </w:rPr>
                    <w:t>达标</w:t>
                  </w:r>
                </w:p>
              </w:tc>
            </w:tr>
          </w:tbl>
          <w:p w14:paraId="3289B89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7"/>
                <w:sz w:val="24"/>
                <w:szCs w:val="24"/>
                <w:highlight w:val="none"/>
              </w:rPr>
              <w:t>由表</w:t>
            </w:r>
            <w:r>
              <w:rPr>
                <w:rFonts w:hint="default" w:ascii="Times New Roman" w:hAnsi="Times New Roman" w:eastAsia="Times New Roman" w:cs="Times New Roman"/>
                <w:color w:val="auto"/>
                <w:spacing w:val="7"/>
                <w:sz w:val="24"/>
                <w:szCs w:val="24"/>
                <w:highlight w:val="none"/>
              </w:rPr>
              <w:t>3-1</w:t>
            </w:r>
            <w:r>
              <w:rPr>
                <w:rFonts w:hint="default" w:ascii="Times New Roman" w:hAnsi="Times New Roman" w:cs="Times New Roman"/>
                <w:color w:val="auto"/>
                <w:spacing w:val="7"/>
                <w:sz w:val="24"/>
                <w:szCs w:val="24"/>
                <w:highlight w:val="none"/>
              </w:rPr>
              <w:t>可知，工程所在区域</w:t>
            </w:r>
            <w:r>
              <w:rPr>
                <w:rFonts w:hint="default" w:ascii="Times New Roman" w:hAnsi="Times New Roman" w:eastAsia="Times New Roman" w:cs="Times New Roman"/>
                <w:color w:val="auto"/>
                <w:sz w:val="24"/>
                <w:szCs w:val="24"/>
                <w:highlight w:val="none"/>
              </w:rPr>
              <w:t>PM</w:t>
            </w:r>
            <w:r>
              <w:rPr>
                <w:rFonts w:hint="default" w:ascii="Times New Roman" w:hAnsi="Times New Roman" w:eastAsia="Times New Roman" w:cs="Times New Roman"/>
                <w:color w:val="auto"/>
                <w:spacing w:val="7"/>
                <w:position w:val="-1"/>
                <w:sz w:val="24"/>
                <w:szCs w:val="24"/>
                <w:highlight w:val="none"/>
                <w:vertAlign w:val="subscript"/>
              </w:rPr>
              <w:t>2.5</w:t>
            </w:r>
            <w:r>
              <w:rPr>
                <w:rFonts w:hint="default" w:ascii="Times New Roman" w:hAnsi="Times New Roman" w:cs="Times New Roman"/>
                <w:color w:val="auto"/>
                <w:spacing w:val="7"/>
                <w:sz w:val="24"/>
                <w:szCs w:val="24"/>
                <w:highlight w:val="none"/>
              </w:rPr>
              <w:t>年平均浓度均超过《环境空气质</w:t>
            </w:r>
            <w:r>
              <w:rPr>
                <w:rFonts w:hint="default" w:ascii="Times New Roman" w:hAnsi="Times New Roman" w:cs="Times New Roman"/>
                <w:color w:val="auto"/>
                <w:spacing w:val="5"/>
                <w:sz w:val="24"/>
                <w:szCs w:val="24"/>
                <w:highlight w:val="none"/>
              </w:rPr>
              <w:t>量标准》（</w:t>
            </w:r>
            <w:r>
              <w:rPr>
                <w:rFonts w:hint="default" w:ascii="Times New Roman" w:hAnsi="Times New Roman" w:eastAsia="Times New Roman" w:cs="Times New Roman"/>
                <w:color w:val="auto"/>
                <w:sz w:val="24"/>
                <w:szCs w:val="24"/>
                <w:highlight w:val="none"/>
              </w:rPr>
              <w:t>GB</w:t>
            </w:r>
            <w:r>
              <w:rPr>
                <w:rFonts w:hint="default" w:ascii="Times New Roman" w:hAnsi="Times New Roman" w:eastAsia="Times New Roman" w:cs="Times New Roman"/>
                <w:color w:val="auto"/>
                <w:spacing w:val="5"/>
                <w:sz w:val="24"/>
                <w:szCs w:val="24"/>
                <w:highlight w:val="none"/>
              </w:rPr>
              <w:t>3095-2012</w:t>
            </w:r>
            <w:r>
              <w:rPr>
                <w:rFonts w:hint="default" w:ascii="Times New Roman" w:hAnsi="Times New Roman" w:cs="Times New Roman"/>
                <w:color w:val="auto"/>
                <w:spacing w:val="5"/>
                <w:sz w:val="24"/>
                <w:szCs w:val="24"/>
                <w:highlight w:val="none"/>
              </w:rPr>
              <w:t>）的二级标准要求；</w:t>
            </w:r>
            <w:r>
              <w:rPr>
                <w:rFonts w:hint="default" w:ascii="Times New Roman" w:hAnsi="Times New Roman" w:eastAsia="Times New Roman" w:cs="Times New Roman"/>
                <w:color w:val="auto"/>
                <w:sz w:val="24"/>
                <w:szCs w:val="24"/>
                <w:highlight w:val="none"/>
              </w:rPr>
              <w:t>SO</w:t>
            </w:r>
            <w:r>
              <w:rPr>
                <w:rFonts w:hint="default" w:ascii="Times New Roman" w:hAnsi="Times New Roman" w:eastAsia="Times New Roman" w:cs="Times New Roman"/>
                <w:color w:val="auto"/>
                <w:spacing w:val="4"/>
                <w:position w:val="-1"/>
                <w:sz w:val="24"/>
                <w:szCs w:val="24"/>
                <w:highlight w:val="none"/>
                <w:vertAlign w:val="subscript"/>
              </w:rPr>
              <w:t>2</w:t>
            </w:r>
            <w:r>
              <w:rPr>
                <w:rFonts w:hint="default" w:ascii="Times New Roman" w:hAnsi="Times New Roman" w:cs="Times New Roman"/>
                <w:color w:val="auto"/>
                <w:spacing w:val="4"/>
                <w:sz w:val="24"/>
                <w:szCs w:val="24"/>
                <w:highlight w:val="none"/>
              </w:rPr>
              <w:t>、</w:t>
            </w:r>
            <w:r>
              <w:rPr>
                <w:rFonts w:hint="default" w:ascii="Times New Roman" w:hAnsi="Times New Roman" w:eastAsia="Times New Roman" w:cs="Times New Roman"/>
                <w:color w:val="auto"/>
                <w:sz w:val="24"/>
                <w:szCs w:val="24"/>
                <w:highlight w:val="none"/>
              </w:rPr>
              <w:t>NO</w:t>
            </w:r>
            <w:r>
              <w:rPr>
                <w:rFonts w:hint="default" w:ascii="Times New Roman" w:hAnsi="Times New Roman" w:eastAsia="Times New Roman" w:cs="Times New Roman"/>
                <w:color w:val="auto"/>
                <w:spacing w:val="4"/>
                <w:position w:val="-1"/>
                <w:sz w:val="24"/>
                <w:szCs w:val="24"/>
                <w:highlight w:val="none"/>
                <w:vertAlign w:val="subscript"/>
              </w:rPr>
              <w:t>2</w:t>
            </w:r>
            <w:r>
              <w:rPr>
                <w:rFonts w:hint="default" w:ascii="Times New Roman" w:hAnsi="Times New Roman" w:cs="Times New Roman"/>
                <w:color w:val="auto"/>
                <w:spacing w:val="4"/>
                <w:sz w:val="24"/>
                <w:szCs w:val="24"/>
                <w:highlight w:val="none"/>
              </w:rPr>
              <w:t>、</w:t>
            </w:r>
            <w:r>
              <w:rPr>
                <w:rFonts w:hint="default" w:ascii="Times New Roman" w:hAnsi="Times New Roman" w:eastAsia="Times New Roman" w:cs="Times New Roman"/>
                <w:color w:val="auto"/>
                <w:sz w:val="24"/>
                <w:szCs w:val="24"/>
                <w:highlight w:val="none"/>
              </w:rPr>
              <w:t>PM</w:t>
            </w:r>
            <w:r>
              <w:rPr>
                <w:rFonts w:hint="default" w:ascii="Times New Roman" w:hAnsi="Times New Roman" w:eastAsia="Times New Roman" w:cs="Times New Roman"/>
                <w:color w:val="auto"/>
                <w:spacing w:val="7"/>
                <w:position w:val="-1"/>
                <w:sz w:val="24"/>
                <w:szCs w:val="24"/>
                <w:highlight w:val="none"/>
                <w:vertAlign w:val="subscript"/>
              </w:rPr>
              <w:t>10</w:t>
            </w:r>
            <w:r>
              <w:rPr>
                <w:rFonts w:hint="default" w:ascii="Times New Roman" w:hAnsi="Times New Roman" w:cs="Times New Roman"/>
                <w:color w:val="auto"/>
                <w:spacing w:val="7"/>
                <w:sz w:val="24"/>
                <w:szCs w:val="24"/>
                <w:highlight w:val="none"/>
              </w:rPr>
              <w:t>、</w:t>
            </w:r>
            <w:r>
              <w:rPr>
                <w:rFonts w:hint="default" w:ascii="Times New Roman" w:hAnsi="Times New Roman" w:eastAsia="Times New Roman" w:cs="Times New Roman"/>
                <w:color w:val="auto"/>
                <w:spacing w:val="4"/>
                <w:sz w:val="24"/>
                <w:szCs w:val="24"/>
                <w:highlight w:val="none"/>
              </w:rPr>
              <w:t>O</w:t>
            </w:r>
            <w:r>
              <w:rPr>
                <w:rFonts w:hint="default" w:ascii="Times New Roman" w:hAnsi="Times New Roman" w:eastAsia="Times New Roman" w:cs="Times New Roman"/>
                <w:color w:val="auto"/>
                <w:spacing w:val="4"/>
                <w:position w:val="-1"/>
                <w:sz w:val="24"/>
                <w:szCs w:val="24"/>
                <w:highlight w:val="none"/>
                <w:vertAlign w:val="subscript"/>
              </w:rPr>
              <w:t>3</w:t>
            </w:r>
            <w:r>
              <w:rPr>
                <w:rFonts w:hint="default" w:ascii="Times New Roman" w:hAnsi="Times New Roman" w:eastAsia="Times New Roman" w:cs="Times New Roman"/>
                <w:color w:val="auto"/>
                <w:spacing w:val="4"/>
                <w:sz w:val="24"/>
                <w:szCs w:val="24"/>
                <w:highlight w:val="none"/>
              </w:rPr>
              <w:t>8</w:t>
            </w:r>
            <w:r>
              <w:rPr>
                <w:rFonts w:hint="default" w:ascii="Times New Roman" w:hAnsi="Times New Roman" w:cs="Times New Roman"/>
                <w:color w:val="auto"/>
                <w:spacing w:val="4"/>
                <w:sz w:val="24"/>
                <w:szCs w:val="24"/>
                <w:highlight w:val="none"/>
              </w:rPr>
              <w:t>小时平均第</w:t>
            </w:r>
            <w:r>
              <w:rPr>
                <w:rFonts w:hint="default" w:ascii="Times New Roman" w:hAnsi="Times New Roman" w:eastAsia="Times New Roman" w:cs="Times New Roman"/>
                <w:color w:val="auto"/>
                <w:spacing w:val="4"/>
                <w:sz w:val="24"/>
                <w:szCs w:val="24"/>
                <w:highlight w:val="none"/>
              </w:rPr>
              <w:t>90</w:t>
            </w:r>
            <w:r>
              <w:rPr>
                <w:rFonts w:hint="default" w:ascii="Times New Roman" w:hAnsi="Times New Roman" w:cs="Times New Roman"/>
                <w:color w:val="auto"/>
                <w:spacing w:val="4"/>
                <w:sz w:val="24"/>
                <w:szCs w:val="24"/>
                <w:highlight w:val="none"/>
              </w:rPr>
              <w:t>百分位数浓</w:t>
            </w:r>
            <w:r>
              <w:rPr>
                <w:rFonts w:hint="default" w:ascii="Times New Roman" w:hAnsi="Times New Roman" w:cs="Times New Roman"/>
                <w:color w:val="auto"/>
                <w:spacing w:val="3"/>
                <w:sz w:val="24"/>
                <w:szCs w:val="24"/>
                <w:highlight w:val="none"/>
              </w:rPr>
              <w:t>度及</w:t>
            </w:r>
            <w:r>
              <w:rPr>
                <w:rFonts w:hint="default" w:ascii="Times New Roman" w:hAnsi="Times New Roman" w:eastAsia="Times New Roman" w:cs="Times New Roman"/>
                <w:color w:val="auto"/>
                <w:sz w:val="24"/>
                <w:szCs w:val="24"/>
                <w:highlight w:val="none"/>
              </w:rPr>
              <w:t>CO</w:t>
            </w:r>
            <w:r>
              <w:rPr>
                <w:rFonts w:hint="default" w:ascii="Times New Roman" w:hAnsi="Times New Roman" w:cs="Times New Roman"/>
                <w:color w:val="auto"/>
                <w:spacing w:val="3"/>
                <w:sz w:val="24"/>
                <w:szCs w:val="24"/>
                <w:highlight w:val="none"/>
              </w:rPr>
              <w:t>的第</w:t>
            </w:r>
            <w:r>
              <w:rPr>
                <w:rFonts w:hint="default" w:ascii="Times New Roman" w:hAnsi="Times New Roman" w:eastAsia="Times New Roman" w:cs="Times New Roman"/>
                <w:color w:val="auto"/>
                <w:spacing w:val="3"/>
                <w:sz w:val="24"/>
                <w:szCs w:val="24"/>
                <w:highlight w:val="none"/>
              </w:rPr>
              <w:t>95</w:t>
            </w:r>
            <w:r>
              <w:rPr>
                <w:rFonts w:hint="default" w:ascii="Times New Roman" w:hAnsi="Times New Roman" w:cs="Times New Roman"/>
                <w:color w:val="auto"/>
                <w:spacing w:val="3"/>
                <w:sz w:val="24"/>
                <w:szCs w:val="24"/>
                <w:highlight w:val="none"/>
              </w:rPr>
              <w:t>百分位数</w:t>
            </w:r>
            <w:r>
              <w:rPr>
                <w:rFonts w:hint="default" w:ascii="Times New Roman" w:hAnsi="Times New Roman" w:eastAsia="Times New Roman" w:cs="Times New Roman"/>
                <w:color w:val="auto"/>
                <w:spacing w:val="3"/>
                <w:sz w:val="24"/>
                <w:szCs w:val="24"/>
                <w:highlight w:val="none"/>
              </w:rPr>
              <w:t>24</w:t>
            </w:r>
            <w:r>
              <w:rPr>
                <w:rFonts w:hint="default" w:ascii="Times New Roman" w:hAnsi="Times New Roman" w:cs="Times New Roman"/>
                <w:color w:val="auto"/>
                <w:spacing w:val="3"/>
                <w:sz w:val="24"/>
                <w:szCs w:val="24"/>
                <w:highlight w:val="none"/>
              </w:rPr>
              <w:t>小时平均浓度均满足《环境空气质量</w:t>
            </w:r>
            <w:r>
              <w:rPr>
                <w:rFonts w:hint="default" w:ascii="Times New Roman" w:hAnsi="Times New Roman" w:cs="Times New Roman"/>
                <w:color w:val="auto"/>
                <w:spacing w:val="2"/>
                <w:sz w:val="24"/>
                <w:szCs w:val="24"/>
                <w:highlight w:val="none"/>
              </w:rPr>
              <w:t>标准》（</w:t>
            </w:r>
            <w:r>
              <w:rPr>
                <w:rFonts w:hint="default" w:ascii="Times New Roman" w:hAnsi="Times New Roman" w:eastAsia="Times New Roman" w:cs="Times New Roman"/>
                <w:color w:val="auto"/>
                <w:sz w:val="24"/>
                <w:szCs w:val="24"/>
                <w:highlight w:val="none"/>
              </w:rPr>
              <w:t>GB</w:t>
            </w:r>
            <w:r>
              <w:rPr>
                <w:rFonts w:hint="default" w:ascii="Times New Roman" w:hAnsi="Times New Roman" w:eastAsia="Times New Roman" w:cs="Times New Roman"/>
                <w:color w:val="auto"/>
                <w:spacing w:val="2"/>
                <w:sz w:val="24"/>
                <w:szCs w:val="24"/>
                <w:highlight w:val="none"/>
              </w:rPr>
              <w:t>3095-2012</w:t>
            </w:r>
            <w:r>
              <w:rPr>
                <w:rFonts w:hint="default" w:ascii="Times New Roman" w:hAnsi="Times New Roman" w:cs="Times New Roman"/>
                <w:color w:val="auto"/>
                <w:spacing w:val="2"/>
                <w:sz w:val="24"/>
                <w:szCs w:val="24"/>
                <w:highlight w:val="none"/>
              </w:rPr>
              <w:t>）</w:t>
            </w:r>
            <w:r>
              <w:rPr>
                <w:rFonts w:hint="default" w:ascii="Times New Roman" w:hAnsi="Times New Roman" w:cs="Times New Roman"/>
                <w:color w:val="auto"/>
                <w:spacing w:val="9"/>
                <w:sz w:val="24"/>
                <w:szCs w:val="24"/>
                <w:highlight w:val="none"/>
              </w:rPr>
              <w:t>的二级标准要求，因此，项目所在区域为不达标区。</w:t>
            </w:r>
          </w:p>
          <w:p w14:paraId="519B2139">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0"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b/>
                <w:bCs/>
                <w:color w:val="auto"/>
                <w:spacing w:val="7"/>
                <w:sz w:val="24"/>
                <w:szCs w:val="24"/>
                <w:highlight w:val="none"/>
              </w:rPr>
              <w:t>（</w:t>
            </w:r>
            <w:r>
              <w:rPr>
                <w:rFonts w:hint="default" w:ascii="Times New Roman" w:hAnsi="Times New Roman" w:eastAsia="Times New Roman" w:cs="Times New Roman"/>
                <w:b/>
                <w:bCs/>
                <w:color w:val="auto"/>
                <w:spacing w:val="7"/>
                <w:sz w:val="24"/>
                <w:szCs w:val="24"/>
                <w:highlight w:val="none"/>
              </w:rPr>
              <w:t>2</w:t>
            </w:r>
            <w:r>
              <w:rPr>
                <w:rFonts w:hint="default" w:ascii="Times New Roman" w:hAnsi="Times New Roman" w:cs="Times New Roman"/>
                <w:b/>
                <w:bCs/>
                <w:color w:val="auto"/>
                <w:spacing w:val="7"/>
                <w:sz w:val="24"/>
                <w:szCs w:val="24"/>
                <w:highlight w:val="none"/>
              </w:rPr>
              <w:t>）补充监测其他污染物环境质量现状评价</w:t>
            </w:r>
          </w:p>
          <w:p w14:paraId="4F145E82">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4"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1"/>
                <w:sz w:val="24"/>
                <w:szCs w:val="24"/>
                <w:highlight w:val="none"/>
              </w:rPr>
              <w:t>根据项目地区域环境质量，结合厂区大气污染物排放特点，确定本项目其他污染物主要为</w:t>
            </w:r>
            <w:r>
              <w:rPr>
                <w:rFonts w:hint="default" w:ascii="Times New Roman" w:hAnsi="Times New Roman" w:eastAsia="Times New Roman" w:cs="Times New Roman"/>
                <w:color w:val="auto"/>
                <w:sz w:val="24"/>
                <w:szCs w:val="24"/>
                <w:highlight w:val="none"/>
              </w:rPr>
              <w:t>TSP</w:t>
            </w:r>
            <w:r>
              <w:rPr>
                <w:rFonts w:hint="default" w:ascii="Times New Roman" w:hAnsi="Times New Roman" w:cs="Times New Roman"/>
                <w:color w:val="auto"/>
                <w:spacing w:val="11"/>
                <w:sz w:val="24"/>
                <w:szCs w:val="24"/>
                <w:highlight w:val="none"/>
              </w:rPr>
              <w:t>，本次环评</w:t>
            </w:r>
            <w:r>
              <w:rPr>
                <w:rFonts w:hint="default" w:ascii="Times New Roman" w:hAnsi="Times New Roman" w:cs="Times New Roman"/>
                <w:color w:val="auto"/>
                <w:spacing w:val="11"/>
                <w:sz w:val="24"/>
                <w:szCs w:val="24"/>
                <w:highlight w:val="none"/>
                <w:lang w:val="en-US" w:eastAsia="zh-CN"/>
              </w:rPr>
              <w:t>委托新疆科霖检测技术服务有限公司对</w:t>
            </w:r>
            <w:r>
              <w:rPr>
                <w:rFonts w:hint="default" w:ascii="Times New Roman" w:hAnsi="Times New Roman" w:cs="Times New Roman"/>
                <w:color w:val="auto"/>
                <w:spacing w:val="11"/>
                <w:sz w:val="24"/>
                <w:szCs w:val="24"/>
                <w:highlight w:val="none"/>
              </w:rPr>
              <w:t>本项目特</w:t>
            </w:r>
            <w:r>
              <w:rPr>
                <w:rFonts w:hint="default" w:ascii="Times New Roman" w:hAnsi="Times New Roman" w:cs="Times New Roman"/>
                <w:color w:val="auto"/>
                <w:spacing w:val="10"/>
                <w:sz w:val="24"/>
                <w:szCs w:val="24"/>
                <w:highlight w:val="none"/>
              </w:rPr>
              <w:t>征因子进行现状评价，监测时间为</w:t>
            </w:r>
            <w:r>
              <w:rPr>
                <w:rFonts w:hint="default" w:ascii="Times New Roman" w:hAnsi="Times New Roman" w:eastAsia="Times New Roman" w:cs="Times New Roman"/>
                <w:color w:val="auto"/>
                <w:spacing w:val="10"/>
                <w:sz w:val="24"/>
                <w:szCs w:val="24"/>
                <w:highlight w:val="none"/>
              </w:rPr>
              <w:t>202</w:t>
            </w:r>
            <w:r>
              <w:rPr>
                <w:rFonts w:hint="default" w:ascii="Times New Roman" w:hAnsi="Times New Roman" w:eastAsia="宋体" w:cs="Times New Roman"/>
                <w:color w:val="auto"/>
                <w:spacing w:val="10"/>
                <w:sz w:val="24"/>
                <w:szCs w:val="24"/>
                <w:highlight w:val="none"/>
                <w:lang w:val="en-US" w:eastAsia="zh-CN"/>
              </w:rPr>
              <w:t>5</w:t>
            </w:r>
            <w:r>
              <w:rPr>
                <w:rFonts w:hint="default" w:ascii="Times New Roman" w:hAnsi="Times New Roman" w:cs="Times New Roman"/>
                <w:color w:val="auto"/>
                <w:spacing w:val="3"/>
                <w:sz w:val="24"/>
                <w:szCs w:val="24"/>
                <w:highlight w:val="none"/>
              </w:rPr>
              <w:t>年</w:t>
            </w:r>
            <w:r>
              <w:rPr>
                <w:rFonts w:hint="default" w:ascii="Times New Roman" w:hAnsi="Times New Roman" w:eastAsia="Times New Roman" w:cs="Times New Roman"/>
                <w:color w:val="auto"/>
                <w:spacing w:val="3"/>
                <w:sz w:val="24"/>
                <w:szCs w:val="24"/>
                <w:highlight w:val="none"/>
              </w:rPr>
              <w:t>1</w:t>
            </w:r>
            <w:r>
              <w:rPr>
                <w:rFonts w:hint="default" w:ascii="Times New Roman" w:hAnsi="Times New Roman" w:eastAsia="宋体" w:cs="Times New Roman"/>
                <w:color w:val="auto"/>
                <w:spacing w:val="3"/>
                <w:sz w:val="24"/>
                <w:szCs w:val="24"/>
                <w:highlight w:val="none"/>
                <w:lang w:val="en-US" w:eastAsia="zh-CN"/>
              </w:rPr>
              <w:t>0</w:t>
            </w:r>
            <w:r>
              <w:rPr>
                <w:rFonts w:hint="default" w:ascii="Times New Roman" w:hAnsi="Times New Roman" w:cs="Times New Roman"/>
                <w:color w:val="auto"/>
                <w:spacing w:val="3"/>
                <w:sz w:val="24"/>
                <w:szCs w:val="24"/>
                <w:highlight w:val="none"/>
              </w:rPr>
              <w:t>月</w:t>
            </w:r>
            <w:r>
              <w:rPr>
                <w:rFonts w:hint="eastAsia" w:ascii="Times New Roman" w:hAnsi="Times New Roman" w:cs="Times New Roman"/>
                <w:color w:val="auto"/>
                <w:spacing w:val="3"/>
                <w:sz w:val="24"/>
                <w:szCs w:val="24"/>
                <w:highlight w:val="none"/>
                <w:lang w:val="en-US" w:eastAsia="zh-CN"/>
              </w:rPr>
              <w:t>27</w:t>
            </w:r>
            <w:r>
              <w:rPr>
                <w:rFonts w:hint="default" w:ascii="Times New Roman" w:hAnsi="Times New Roman" w:cs="Times New Roman"/>
                <w:color w:val="auto"/>
                <w:spacing w:val="3"/>
                <w:sz w:val="24"/>
                <w:szCs w:val="24"/>
                <w:highlight w:val="none"/>
              </w:rPr>
              <w:t>日～</w:t>
            </w:r>
            <w:r>
              <w:rPr>
                <w:rFonts w:hint="eastAsia" w:ascii="Times New Roman" w:hAnsi="Times New Roman" w:cs="Times New Roman"/>
                <w:color w:val="auto"/>
                <w:spacing w:val="3"/>
                <w:sz w:val="24"/>
                <w:szCs w:val="24"/>
                <w:highlight w:val="none"/>
                <w:lang w:val="en-US" w:eastAsia="zh-CN"/>
              </w:rPr>
              <w:t>29</w:t>
            </w:r>
            <w:r>
              <w:rPr>
                <w:rFonts w:hint="default" w:ascii="Times New Roman" w:hAnsi="Times New Roman" w:cs="Times New Roman"/>
                <w:color w:val="auto"/>
                <w:spacing w:val="3"/>
                <w:sz w:val="24"/>
                <w:szCs w:val="24"/>
                <w:highlight w:val="none"/>
              </w:rPr>
              <w:t>日。环境质量现状监测布点见附</w:t>
            </w:r>
            <w:r>
              <w:rPr>
                <w:rFonts w:hint="default" w:ascii="Times New Roman" w:hAnsi="Times New Roman" w:cs="Times New Roman"/>
                <w:color w:val="auto"/>
                <w:spacing w:val="-2"/>
                <w:sz w:val="24"/>
                <w:szCs w:val="24"/>
                <w:highlight w:val="none"/>
              </w:rPr>
              <w:t>图</w:t>
            </w:r>
            <w:r>
              <w:rPr>
                <w:rFonts w:hint="default" w:ascii="Times New Roman" w:hAnsi="Times New Roman" w:cs="Times New Roman"/>
                <w:color w:val="auto"/>
                <w:spacing w:val="-2"/>
                <w:sz w:val="24"/>
                <w:szCs w:val="24"/>
                <w:highlight w:val="none"/>
                <w:lang w:val="en-US" w:eastAsia="zh-CN"/>
              </w:rPr>
              <w:t>3-1</w:t>
            </w:r>
            <w:r>
              <w:rPr>
                <w:rFonts w:hint="default" w:ascii="Times New Roman" w:hAnsi="Times New Roman" w:cs="Times New Roman"/>
                <w:color w:val="auto"/>
                <w:spacing w:val="-2"/>
                <w:sz w:val="24"/>
                <w:szCs w:val="24"/>
                <w:highlight w:val="none"/>
              </w:rPr>
              <w:t>。</w:t>
            </w:r>
          </w:p>
          <w:p w14:paraId="29E73D14">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8"/>
                <w:sz w:val="24"/>
                <w:szCs w:val="24"/>
                <w:highlight w:val="none"/>
              </w:rPr>
              <w:t>①采样和分析方法</w:t>
            </w:r>
          </w:p>
          <w:p w14:paraId="20369386">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4"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1"/>
                <w:sz w:val="24"/>
                <w:szCs w:val="24"/>
                <w:highlight w:val="none"/>
              </w:rPr>
              <w:t>采样和分析方法均按国家环保局颁发的《环境监测技术规范》（大气部分）、《环</w:t>
            </w:r>
            <w:r>
              <w:rPr>
                <w:rFonts w:hint="default" w:ascii="Times New Roman" w:hAnsi="Times New Roman" w:cs="Times New Roman"/>
                <w:color w:val="auto"/>
                <w:spacing w:val="4"/>
                <w:sz w:val="24"/>
                <w:szCs w:val="24"/>
                <w:highlight w:val="none"/>
              </w:rPr>
              <w:t>境空气质量标准》（</w:t>
            </w:r>
            <w:r>
              <w:rPr>
                <w:rFonts w:hint="default" w:ascii="Times New Roman" w:hAnsi="Times New Roman" w:eastAsia="Times New Roman" w:cs="Times New Roman"/>
                <w:color w:val="auto"/>
                <w:sz w:val="24"/>
                <w:szCs w:val="24"/>
                <w:highlight w:val="none"/>
              </w:rPr>
              <w:t>GB</w:t>
            </w:r>
            <w:r>
              <w:rPr>
                <w:rFonts w:hint="default" w:ascii="Times New Roman" w:hAnsi="Times New Roman" w:eastAsia="Times New Roman" w:cs="Times New Roman"/>
                <w:color w:val="auto"/>
                <w:spacing w:val="4"/>
                <w:sz w:val="24"/>
                <w:szCs w:val="24"/>
                <w:highlight w:val="none"/>
              </w:rPr>
              <w:t>3095-2012</w:t>
            </w:r>
            <w:r>
              <w:rPr>
                <w:rFonts w:hint="default" w:ascii="Times New Roman" w:hAnsi="Times New Roman" w:cs="Times New Roman"/>
                <w:color w:val="auto"/>
                <w:spacing w:val="4"/>
                <w:sz w:val="24"/>
                <w:szCs w:val="24"/>
                <w:highlight w:val="none"/>
              </w:rPr>
              <w:t>）及《环境影响评价技术导则</w:t>
            </w:r>
            <w:r>
              <w:rPr>
                <w:rFonts w:hint="default" w:ascii="Times New Roman" w:hAnsi="Times New Roman" w:eastAsia="Times New Roman" w:cs="Times New Roman"/>
                <w:color w:val="auto"/>
                <w:spacing w:val="4"/>
                <w:sz w:val="24"/>
                <w:szCs w:val="24"/>
                <w:highlight w:val="none"/>
              </w:rPr>
              <w:t>-</w:t>
            </w:r>
            <w:r>
              <w:rPr>
                <w:rFonts w:hint="default" w:ascii="Times New Roman" w:hAnsi="Times New Roman" w:cs="Times New Roman"/>
                <w:color w:val="auto"/>
                <w:spacing w:val="4"/>
                <w:sz w:val="24"/>
                <w:szCs w:val="24"/>
                <w:highlight w:val="none"/>
              </w:rPr>
              <w:t>大气环境》（</w:t>
            </w:r>
            <w:r>
              <w:rPr>
                <w:rFonts w:hint="default" w:ascii="Times New Roman" w:hAnsi="Times New Roman" w:eastAsia="Times New Roman" w:cs="Times New Roman"/>
                <w:color w:val="auto"/>
                <w:sz w:val="24"/>
                <w:szCs w:val="24"/>
                <w:highlight w:val="none"/>
              </w:rPr>
              <w:t>HJ</w:t>
            </w:r>
            <w:r>
              <w:rPr>
                <w:rFonts w:hint="default" w:ascii="Times New Roman" w:hAnsi="Times New Roman" w:eastAsia="Times New Roman" w:cs="Times New Roman"/>
                <w:color w:val="auto"/>
                <w:spacing w:val="3"/>
                <w:sz w:val="24"/>
                <w:szCs w:val="24"/>
                <w:highlight w:val="none"/>
              </w:rPr>
              <w:t>2.2-2018</w:t>
            </w:r>
            <w:r>
              <w:rPr>
                <w:rFonts w:hint="default" w:ascii="Times New Roman" w:hAnsi="Times New Roman" w:cs="Times New Roman"/>
                <w:color w:val="auto"/>
                <w:spacing w:val="3"/>
                <w:sz w:val="24"/>
                <w:szCs w:val="24"/>
                <w:highlight w:val="none"/>
              </w:rPr>
              <w:t>）</w:t>
            </w:r>
            <w:r>
              <w:rPr>
                <w:rFonts w:hint="default" w:ascii="Times New Roman" w:hAnsi="Times New Roman" w:cs="Times New Roman"/>
                <w:color w:val="auto"/>
                <w:spacing w:val="7"/>
                <w:sz w:val="24"/>
                <w:szCs w:val="24"/>
                <w:highlight w:val="none"/>
              </w:rPr>
              <w:t>的有关要求进行。</w:t>
            </w:r>
          </w:p>
          <w:p w14:paraId="5E89A522">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8"/>
                <w:sz w:val="24"/>
                <w:szCs w:val="24"/>
                <w:highlight w:val="none"/>
              </w:rPr>
              <w:t>②评价标准</w:t>
            </w:r>
            <w:r>
              <w:rPr>
                <w:rFonts w:hint="default" w:ascii="Times New Roman" w:hAnsi="Times New Roman" w:cs="Times New Roman"/>
                <w:color w:val="auto"/>
                <w:spacing w:val="8"/>
                <w:sz w:val="24"/>
                <w:szCs w:val="24"/>
                <w:highlight w:val="none"/>
                <w:lang w:eastAsia="zh-CN"/>
              </w:rPr>
              <w:t>：</w:t>
            </w:r>
            <w:r>
              <w:rPr>
                <w:rFonts w:hint="default" w:ascii="Times New Roman" w:hAnsi="Times New Roman" w:eastAsia="Times New Roman" w:cs="Times New Roman"/>
                <w:color w:val="auto"/>
                <w:sz w:val="24"/>
                <w:szCs w:val="24"/>
                <w:highlight w:val="none"/>
              </w:rPr>
              <w:t>TSP</w:t>
            </w:r>
            <w:r>
              <w:rPr>
                <w:rFonts w:hint="default" w:ascii="Times New Roman" w:hAnsi="Times New Roman" w:cs="Times New Roman"/>
                <w:color w:val="auto"/>
                <w:spacing w:val="7"/>
                <w:sz w:val="24"/>
                <w:szCs w:val="24"/>
                <w:highlight w:val="none"/>
              </w:rPr>
              <w:t>执行《环境空气质量标准》（</w:t>
            </w:r>
            <w:r>
              <w:rPr>
                <w:rFonts w:hint="default" w:ascii="Times New Roman" w:hAnsi="Times New Roman" w:eastAsia="Times New Roman" w:cs="Times New Roman"/>
                <w:color w:val="auto"/>
                <w:sz w:val="24"/>
                <w:szCs w:val="24"/>
                <w:highlight w:val="none"/>
              </w:rPr>
              <w:t>GB</w:t>
            </w:r>
            <w:r>
              <w:rPr>
                <w:rFonts w:hint="default" w:ascii="Times New Roman" w:hAnsi="Times New Roman" w:eastAsia="Times New Roman" w:cs="Times New Roman"/>
                <w:color w:val="auto"/>
                <w:spacing w:val="7"/>
                <w:sz w:val="24"/>
                <w:szCs w:val="24"/>
                <w:highlight w:val="none"/>
              </w:rPr>
              <w:t>3095-2012</w:t>
            </w:r>
            <w:r>
              <w:rPr>
                <w:rFonts w:hint="default" w:ascii="Times New Roman" w:hAnsi="Times New Roman" w:cs="Times New Roman"/>
                <w:color w:val="auto"/>
                <w:spacing w:val="7"/>
                <w:sz w:val="24"/>
                <w:szCs w:val="24"/>
                <w:highlight w:val="none"/>
              </w:rPr>
              <w:t>）中表中二级浓度限值（</w:t>
            </w:r>
            <w:r>
              <w:rPr>
                <w:rFonts w:hint="default" w:ascii="Times New Roman" w:hAnsi="Times New Roman" w:eastAsia="Times New Roman" w:cs="Times New Roman"/>
                <w:color w:val="auto"/>
                <w:spacing w:val="7"/>
                <w:sz w:val="24"/>
                <w:szCs w:val="24"/>
                <w:highlight w:val="none"/>
              </w:rPr>
              <w:t>300μg/m</w:t>
            </w:r>
            <w:r>
              <w:rPr>
                <w:rFonts w:hint="default" w:ascii="Times New Roman" w:hAnsi="Times New Roman" w:eastAsia="Times New Roman" w:cs="Times New Roman"/>
                <w:color w:val="auto"/>
                <w:spacing w:val="7"/>
                <w:position w:val="6"/>
                <w:sz w:val="24"/>
                <w:szCs w:val="24"/>
                <w:highlight w:val="none"/>
                <w:vertAlign w:val="subscript"/>
              </w:rPr>
              <w:t>3</w:t>
            </w:r>
            <w:r>
              <w:rPr>
                <w:rFonts w:hint="default" w:ascii="Times New Roman" w:hAnsi="Times New Roman" w:cs="Times New Roman"/>
                <w:color w:val="auto"/>
                <w:spacing w:val="7"/>
                <w:sz w:val="24"/>
                <w:szCs w:val="24"/>
                <w:highlight w:val="none"/>
              </w:rPr>
              <w:t>）</w:t>
            </w:r>
            <w:r>
              <w:rPr>
                <w:rFonts w:hint="default" w:ascii="Times New Roman" w:hAnsi="Times New Roman" w:cs="Times New Roman"/>
                <w:color w:val="auto"/>
                <w:sz w:val="24"/>
                <w:szCs w:val="24"/>
                <w:highlight w:val="none"/>
              </w:rPr>
              <w:t>的要求</w:t>
            </w:r>
          </w:p>
          <w:p w14:paraId="0D471466">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8"/>
                <w:sz w:val="24"/>
                <w:szCs w:val="24"/>
                <w:highlight w:val="none"/>
              </w:rPr>
              <w:t>③评价方法</w:t>
            </w:r>
            <w:r>
              <w:rPr>
                <w:rFonts w:hint="default" w:ascii="Times New Roman" w:hAnsi="Times New Roman" w:cs="Times New Roman"/>
                <w:color w:val="auto"/>
                <w:spacing w:val="8"/>
                <w:sz w:val="24"/>
                <w:szCs w:val="24"/>
                <w:highlight w:val="none"/>
                <w:lang w:eastAsia="zh-CN"/>
              </w:rPr>
              <w:t>：</w:t>
            </w:r>
            <w:r>
              <w:rPr>
                <w:rFonts w:hint="default" w:ascii="Times New Roman" w:hAnsi="Times New Roman" w:cs="Times New Roman"/>
                <w:color w:val="auto"/>
                <w:spacing w:val="7"/>
                <w:sz w:val="24"/>
                <w:szCs w:val="24"/>
                <w:highlight w:val="none"/>
              </w:rPr>
              <w:t>采用最大占标率法：</w:t>
            </w:r>
          </w:p>
          <w:p w14:paraId="6DDF33AC">
            <w:pPr>
              <w:keepNext w:val="0"/>
              <w:keepLines w:val="0"/>
              <w:pageBreakBefore w:val="0"/>
              <w:widowControl/>
              <w:kinsoku/>
              <w:wordWrap w:val="0"/>
              <w:overflowPunct/>
              <w:topLinePunct/>
              <w:autoSpaceDE/>
              <w:autoSpaceDN/>
              <w:bidi w:val="0"/>
              <w:adjustRightInd w:val="0"/>
              <w:snapToGrid w:val="0"/>
              <w:spacing w:line="360" w:lineRule="auto"/>
              <w:ind w:left="0" w:right="0" w:firstLine="480" w:firstLineChars="200"/>
              <w:jc w:val="center"/>
              <w:textAlignment w:val="baseline"/>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position w:val="2"/>
                <w:sz w:val="24"/>
                <w:szCs w:val="24"/>
                <w:highlight w:val="none"/>
              </w:rPr>
              <w:t>Pi</w:t>
            </w:r>
            <w:r>
              <w:rPr>
                <w:rFonts w:hint="default" w:ascii="Times New Roman" w:hAnsi="Times New Roman" w:eastAsia="Times New Roman" w:cs="Times New Roman"/>
                <w:color w:val="auto"/>
                <w:spacing w:val="9"/>
                <w:position w:val="2"/>
                <w:sz w:val="24"/>
                <w:szCs w:val="24"/>
                <w:highlight w:val="none"/>
              </w:rPr>
              <w:t>=</w:t>
            </w:r>
            <w:r>
              <w:rPr>
                <w:rFonts w:hint="default" w:ascii="Times New Roman" w:hAnsi="Times New Roman" w:eastAsia="Times New Roman" w:cs="Times New Roman"/>
                <w:color w:val="auto"/>
                <w:position w:val="2"/>
                <w:sz w:val="24"/>
                <w:szCs w:val="24"/>
                <w:highlight w:val="none"/>
              </w:rPr>
              <w:t>Ci</w:t>
            </w:r>
            <w:r>
              <w:rPr>
                <w:rFonts w:hint="default" w:ascii="Times New Roman" w:hAnsi="Times New Roman" w:eastAsia="Times New Roman" w:cs="Times New Roman"/>
                <w:color w:val="auto"/>
                <w:spacing w:val="9"/>
                <w:position w:val="2"/>
                <w:sz w:val="24"/>
                <w:szCs w:val="24"/>
                <w:highlight w:val="none"/>
              </w:rPr>
              <w:t>/</w:t>
            </w:r>
            <w:r>
              <w:rPr>
                <w:rFonts w:hint="default" w:ascii="Times New Roman" w:hAnsi="Times New Roman" w:eastAsia="Times New Roman" w:cs="Times New Roman"/>
                <w:color w:val="auto"/>
                <w:position w:val="2"/>
                <w:sz w:val="24"/>
                <w:szCs w:val="24"/>
                <w:highlight w:val="none"/>
              </w:rPr>
              <w:t>Coi</w:t>
            </w:r>
            <w:r>
              <w:rPr>
                <w:rFonts w:hint="default" w:ascii="Times New Roman" w:hAnsi="Times New Roman" w:eastAsia="Times New Roman" w:cs="Times New Roman"/>
                <w:color w:val="auto"/>
                <w:spacing w:val="9"/>
                <w:position w:val="2"/>
                <w:sz w:val="24"/>
                <w:szCs w:val="24"/>
                <w:highlight w:val="none"/>
              </w:rPr>
              <w:t>×100%</w:t>
            </w:r>
          </w:p>
          <w:p w14:paraId="15FC133B">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0"/>
                <w:position w:val="1"/>
                <w:sz w:val="24"/>
                <w:szCs w:val="24"/>
                <w:highlight w:val="none"/>
              </w:rPr>
              <w:t>其中：</w:t>
            </w:r>
            <w:r>
              <w:rPr>
                <w:rFonts w:hint="default" w:ascii="Times New Roman" w:hAnsi="Times New Roman" w:eastAsia="Times New Roman" w:cs="Times New Roman"/>
                <w:color w:val="auto"/>
                <w:position w:val="1"/>
                <w:sz w:val="24"/>
                <w:szCs w:val="24"/>
                <w:highlight w:val="none"/>
              </w:rPr>
              <w:t>Pi</w:t>
            </w:r>
            <w:r>
              <w:rPr>
                <w:rFonts w:hint="default" w:ascii="Times New Roman" w:hAnsi="Times New Roman" w:eastAsia="Times New Roman" w:cs="Times New Roman"/>
                <w:color w:val="auto"/>
                <w:spacing w:val="10"/>
                <w:position w:val="1"/>
                <w:sz w:val="24"/>
                <w:szCs w:val="24"/>
                <w:highlight w:val="none"/>
              </w:rPr>
              <w:t>——</w:t>
            </w:r>
            <w:r>
              <w:rPr>
                <w:rFonts w:hint="default" w:ascii="Times New Roman" w:hAnsi="Times New Roman" w:cs="Times New Roman"/>
                <w:color w:val="auto"/>
                <w:spacing w:val="10"/>
                <w:position w:val="1"/>
                <w:sz w:val="24"/>
                <w:szCs w:val="24"/>
                <w:highlight w:val="none"/>
              </w:rPr>
              <w:t>污染物</w:t>
            </w:r>
            <w:r>
              <w:rPr>
                <w:rFonts w:hint="default" w:ascii="Times New Roman" w:hAnsi="Times New Roman" w:eastAsia="Times New Roman" w:cs="Times New Roman"/>
                <w:color w:val="auto"/>
                <w:spacing w:val="10"/>
                <w:position w:val="1"/>
                <w:sz w:val="24"/>
                <w:szCs w:val="24"/>
                <w:highlight w:val="none"/>
              </w:rPr>
              <w:t>i</w:t>
            </w:r>
            <w:r>
              <w:rPr>
                <w:rFonts w:hint="default" w:ascii="Times New Roman" w:hAnsi="Times New Roman" w:cs="Times New Roman"/>
                <w:color w:val="auto"/>
                <w:spacing w:val="10"/>
                <w:position w:val="1"/>
                <w:sz w:val="24"/>
                <w:szCs w:val="24"/>
                <w:highlight w:val="none"/>
              </w:rPr>
              <w:t>的最大地面空气质量浓度占标率，</w:t>
            </w:r>
            <w:r>
              <w:rPr>
                <w:rFonts w:hint="default" w:ascii="Times New Roman" w:hAnsi="Times New Roman" w:eastAsia="Times New Roman" w:cs="Times New Roman"/>
                <w:color w:val="auto"/>
                <w:spacing w:val="10"/>
                <w:position w:val="1"/>
                <w:sz w:val="24"/>
                <w:szCs w:val="24"/>
                <w:highlight w:val="none"/>
              </w:rPr>
              <w:t>%</w:t>
            </w:r>
            <w:r>
              <w:rPr>
                <w:rFonts w:hint="default" w:ascii="Times New Roman" w:hAnsi="Times New Roman" w:cs="Times New Roman"/>
                <w:color w:val="auto"/>
                <w:spacing w:val="10"/>
                <w:position w:val="1"/>
                <w:sz w:val="24"/>
                <w:szCs w:val="24"/>
                <w:highlight w:val="none"/>
              </w:rPr>
              <w:t>；</w:t>
            </w:r>
          </w:p>
          <w:p w14:paraId="591A1904">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80"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color w:val="auto"/>
                <w:position w:val="2"/>
                <w:sz w:val="24"/>
                <w:szCs w:val="24"/>
                <w:highlight w:val="none"/>
              </w:rPr>
              <w:t>Ci</w:t>
            </w:r>
            <w:r>
              <w:rPr>
                <w:rFonts w:hint="default" w:ascii="Times New Roman" w:hAnsi="Times New Roman" w:eastAsia="Times New Roman" w:cs="Times New Roman"/>
                <w:color w:val="auto"/>
                <w:spacing w:val="9"/>
                <w:position w:val="2"/>
                <w:sz w:val="24"/>
                <w:szCs w:val="24"/>
                <w:highlight w:val="none"/>
              </w:rPr>
              <w:t>——</w:t>
            </w:r>
            <w:r>
              <w:rPr>
                <w:rFonts w:hint="default" w:ascii="Times New Roman" w:hAnsi="Times New Roman" w:cs="Times New Roman"/>
                <w:color w:val="auto"/>
                <w:spacing w:val="9"/>
                <w:position w:val="2"/>
                <w:sz w:val="24"/>
                <w:szCs w:val="24"/>
                <w:highlight w:val="none"/>
              </w:rPr>
              <w:t>特征污染物</w:t>
            </w:r>
            <w:r>
              <w:rPr>
                <w:rFonts w:hint="default" w:ascii="Times New Roman" w:hAnsi="Times New Roman" w:eastAsia="Times New Roman" w:cs="Times New Roman"/>
                <w:color w:val="auto"/>
                <w:spacing w:val="9"/>
                <w:position w:val="2"/>
                <w:sz w:val="24"/>
                <w:szCs w:val="24"/>
                <w:highlight w:val="none"/>
              </w:rPr>
              <w:t>i</w:t>
            </w:r>
            <w:r>
              <w:rPr>
                <w:rFonts w:hint="default" w:ascii="Times New Roman" w:hAnsi="Times New Roman" w:cs="Times New Roman"/>
                <w:color w:val="auto"/>
                <w:spacing w:val="9"/>
                <w:position w:val="2"/>
                <w:sz w:val="24"/>
                <w:szCs w:val="24"/>
                <w:highlight w:val="none"/>
              </w:rPr>
              <w:t>的实测浓度最大值，</w:t>
            </w:r>
            <w:r>
              <w:rPr>
                <w:rFonts w:hint="default" w:ascii="Times New Roman" w:hAnsi="Times New Roman" w:eastAsia="Times New Roman" w:cs="Times New Roman"/>
                <w:color w:val="auto"/>
                <w:spacing w:val="9"/>
                <w:position w:val="2"/>
                <w:sz w:val="24"/>
                <w:szCs w:val="24"/>
                <w:highlight w:val="none"/>
              </w:rPr>
              <w:t>μg/m</w:t>
            </w:r>
            <w:r>
              <w:rPr>
                <w:rFonts w:hint="default" w:ascii="Times New Roman" w:hAnsi="Times New Roman" w:eastAsia="Times New Roman" w:cs="Times New Roman"/>
                <w:color w:val="auto"/>
                <w:spacing w:val="9"/>
                <w:position w:val="8"/>
                <w:sz w:val="24"/>
                <w:szCs w:val="24"/>
                <w:highlight w:val="none"/>
                <w:vertAlign w:val="subscript"/>
              </w:rPr>
              <w:t>3</w:t>
            </w:r>
            <w:r>
              <w:rPr>
                <w:rFonts w:hint="default" w:ascii="Times New Roman" w:hAnsi="Times New Roman" w:cs="Times New Roman"/>
                <w:color w:val="auto"/>
                <w:spacing w:val="9"/>
                <w:position w:val="2"/>
                <w:sz w:val="24"/>
                <w:szCs w:val="24"/>
                <w:highlight w:val="none"/>
              </w:rPr>
              <w:t>；</w:t>
            </w:r>
          </w:p>
          <w:p w14:paraId="1048166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4"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color w:val="auto"/>
                <w:spacing w:val="6"/>
                <w:position w:val="2"/>
                <w:sz w:val="24"/>
                <w:szCs w:val="24"/>
                <w:highlight w:val="none"/>
              </w:rPr>
              <w:t>C0i——</w:t>
            </w:r>
            <w:r>
              <w:rPr>
                <w:rFonts w:hint="default" w:ascii="Times New Roman" w:hAnsi="Times New Roman" w:cs="Times New Roman"/>
                <w:color w:val="auto"/>
                <w:spacing w:val="6"/>
                <w:position w:val="2"/>
                <w:sz w:val="24"/>
                <w:szCs w:val="24"/>
                <w:highlight w:val="none"/>
              </w:rPr>
              <w:t>污染物</w:t>
            </w:r>
            <w:r>
              <w:rPr>
                <w:rFonts w:hint="default" w:ascii="Times New Roman" w:hAnsi="Times New Roman" w:eastAsia="Times New Roman" w:cs="Times New Roman"/>
                <w:color w:val="auto"/>
                <w:spacing w:val="6"/>
                <w:position w:val="2"/>
                <w:sz w:val="24"/>
                <w:szCs w:val="24"/>
                <w:highlight w:val="none"/>
              </w:rPr>
              <w:t>i</w:t>
            </w:r>
            <w:r>
              <w:rPr>
                <w:rFonts w:hint="default" w:ascii="Times New Roman" w:hAnsi="Times New Roman" w:cs="Times New Roman"/>
                <w:color w:val="auto"/>
                <w:spacing w:val="6"/>
                <w:position w:val="2"/>
                <w:sz w:val="24"/>
                <w:szCs w:val="24"/>
                <w:highlight w:val="none"/>
              </w:rPr>
              <w:t>的环境空气质量浓度标准，</w:t>
            </w:r>
            <w:r>
              <w:rPr>
                <w:rFonts w:hint="default" w:ascii="Times New Roman" w:hAnsi="Times New Roman" w:eastAsia="Times New Roman" w:cs="Times New Roman"/>
                <w:color w:val="auto"/>
                <w:spacing w:val="6"/>
                <w:position w:val="2"/>
                <w:sz w:val="24"/>
                <w:szCs w:val="24"/>
                <w:highlight w:val="none"/>
              </w:rPr>
              <w:t>μg/m</w:t>
            </w:r>
            <w:r>
              <w:rPr>
                <w:rFonts w:hint="default" w:ascii="Times New Roman" w:hAnsi="Times New Roman" w:eastAsia="Times New Roman" w:cs="Times New Roman"/>
                <w:color w:val="auto"/>
                <w:spacing w:val="6"/>
                <w:position w:val="8"/>
                <w:sz w:val="24"/>
                <w:szCs w:val="24"/>
                <w:highlight w:val="none"/>
                <w:vertAlign w:val="subscript"/>
              </w:rPr>
              <w:t>3</w:t>
            </w:r>
            <w:r>
              <w:rPr>
                <w:rFonts w:hint="default" w:ascii="Times New Roman" w:hAnsi="Times New Roman" w:cs="Times New Roman"/>
                <w:color w:val="auto"/>
                <w:spacing w:val="6"/>
                <w:position w:val="2"/>
                <w:sz w:val="24"/>
                <w:szCs w:val="24"/>
                <w:highlight w:val="none"/>
              </w:rPr>
              <w:t>；</w:t>
            </w:r>
          </w:p>
          <w:p w14:paraId="1FA62CB0">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8"/>
                <w:sz w:val="24"/>
                <w:szCs w:val="24"/>
                <w:highlight w:val="none"/>
              </w:rPr>
              <w:t>④监测及评价结果</w:t>
            </w:r>
          </w:p>
          <w:p w14:paraId="1A7F7F6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4"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6"/>
                <w:position w:val="1"/>
                <w:sz w:val="24"/>
                <w:szCs w:val="24"/>
                <w:highlight w:val="none"/>
              </w:rPr>
              <w:t>监测及评价结果见表</w:t>
            </w:r>
            <w:r>
              <w:rPr>
                <w:rFonts w:hint="default" w:ascii="Times New Roman" w:hAnsi="Times New Roman" w:eastAsia="Times New Roman" w:cs="Times New Roman"/>
                <w:color w:val="auto"/>
                <w:spacing w:val="6"/>
                <w:position w:val="1"/>
                <w:sz w:val="24"/>
                <w:szCs w:val="24"/>
                <w:highlight w:val="none"/>
              </w:rPr>
              <w:t>3-2</w:t>
            </w:r>
            <w:r>
              <w:rPr>
                <w:rFonts w:hint="default" w:ascii="Times New Roman" w:hAnsi="Times New Roman" w:cs="Times New Roman"/>
                <w:color w:val="auto"/>
                <w:spacing w:val="6"/>
                <w:position w:val="1"/>
                <w:sz w:val="24"/>
                <w:szCs w:val="24"/>
                <w:highlight w:val="none"/>
              </w:rPr>
              <w:t>所示。</w:t>
            </w:r>
          </w:p>
          <w:p w14:paraId="3FF43600">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eastAsia="宋体"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rPr>
              <w:t>表3-2</w:t>
            </w:r>
            <w:r>
              <w:rPr>
                <w:rFonts w:hint="default" w:ascii="Times New Roman" w:hAnsi="Times New Roman" w:cs="Times New Roman"/>
                <w:color w:val="auto"/>
                <w:spacing w:val="7"/>
                <w:sz w:val="21"/>
                <w:szCs w:val="21"/>
                <w:highlight w:val="none"/>
                <w:lang w:val="en-US" w:eastAsia="zh-CN"/>
              </w:rPr>
              <w:t xml:space="preserve">  TSP</w:t>
            </w:r>
            <w:r>
              <w:rPr>
                <w:rFonts w:hint="default" w:ascii="Times New Roman" w:hAnsi="Times New Roman" w:cs="Times New Roman"/>
                <w:color w:val="auto"/>
                <w:spacing w:val="7"/>
                <w:sz w:val="21"/>
                <w:szCs w:val="21"/>
                <w:highlight w:val="none"/>
              </w:rPr>
              <w:t>监测及评价结果一览表</w:t>
            </w:r>
            <w:r>
              <w:rPr>
                <w:rFonts w:hint="eastAsia" w:ascii="Times New Roman" w:hAnsi="Times New Roman" w:cs="Times New Roman"/>
                <w:color w:val="auto"/>
                <w:spacing w:val="7"/>
                <w:sz w:val="21"/>
                <w:szCs w:val="21"/>
                <w:highlight w:val="none"/>
                <w:lang w:val="en-US" w:eastAsia="zh-CN"/>
              </w:rPr>
              <w:t xml:space="preserve">  单位：</w:t>
            </w:r>
          </w:p>
          <w:tbl>
            <w:tblPr>
              <w:tblStyle w:val="24"/>
              <w:tblW w:w="49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3"/>
              <w:gridCol w:w="2619"/>
              <w:gridCol w:w="2031"/>
              <w:gridCol w:w="1963"/>
              <w:gridCol w:w="1261"/>
            </w:tblGrid>
            <w:tr w14:paraId="771FD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jc w:val="center"/>
              </w:trPr>
              <w:tc>
                <w:tcPr>
                  <w:tcW w:w="350" w:type="pct"/>
                  <w:tcBorders>
                    <w:tl2br w:val="nil"/>
                    <w:tr2bl w:val="nil"/>
                  </w:tcBorders>
                  <w:noWrap w:val="0"/>
                  <w:vAlign w:val="center"/>
                </w:tcPr>
                <w:p w14:paraId="079B0225">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监测项目</w:t>
                  </w:r>
                </w:p>
              </w:tc>
              <w:tc>
                <w:tcPr>
                  <w:tcW w:w="1546" w:type="pct"/>
                  <w:tcBorders>
                    <w:tl2br w:val="nil"/>
                    <w:tr2bl w:val="nil"/>
                  </w:tcBorders>
                  <w:noWrap w:val="0"/>
                  <w:vAlign w:val="center"/>
                </w:tcPr>
                <w:p w14:paraId="4C767B01">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监测日期</w:t>
                  </w:r>
                </w:p>
              </w:tc>
              <w:tc>
                <w:tcPr>
                  <w:tcW w:w="1199" w:type="pct"/>
                  <w:tcBorders>
                    <w:tl2br w:val="nil"/>
                    <w:tr2bl w:val="nil"/>
                  </w:tcBorders>
                  <w:noWrap w:val="0"/>
                  <w:vAlign w:val="center"/>
                </w:tcPr>
                <w:p w14:paraId="3D30AA84">
                  <w:pPr>
                    <w:pStyle w:val="25"/>
                    <w:keepNext w:val="0"/>
                    <w:keepLines w:val="0"/>
                    <w:pageBreakBefore w:val="0"/>
                    <w:kinsoku/>
                    <w:wordWrap w:val="0"/>
                    <w:overflowPunct/>
                    <w:topLinePunct/>
                    <w:autoSpaceDE/>
                    <w:autoSpaceDN/>
                    <w:bidi w:val="0"/>
                    <w:spacing w:line="240" w:lineRule="auto"/>
                    <w:ind w:left="0" w:right="0" w:firstLine="0" w:firstLineChars="0"/>
                    <w:jc w:val="both"/>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检测结果</w:t>
                  </w:r>
                  <w:r>
                    <w:rPr>
                      <w:rFonts w:hint="eastAsia" w:ascii="Times New Roman" w:hAnsi="Times New Roman" w:cs="Times New Roman"/>
                      <w:color w:val="auto"/>
                      <w:spacing w:val="7"/>
                      <w:sz w:val="21"/>
                      <w:szCs w:val="21"/>
                      <w:highlight w:val="none"/>
                      <w:lang w:val="en-US" w:eastAsia="zh-CN"/>
                    </w:rPr>
                    <w:t>（</w:t>
                  </w:r>
                  <w:r>
                    <w:rPr>
                      <w:rFonts w:hint="default" w:ascii="Times New Roman" w:hAnsi="Times New Roman" w:eastAsia="Times New Roman" w:cs="Times New Roman"/>
                      <w:color w:val="auto"/>
                      <w:spacing w:val="6"/>
                      <w:position w:val="2"/>
                      <w:sz w:val="24"/>
                      <w:szCs w:val="24"/>
                      <w:highlight w:val="none"/>
                    </w:rPr>
                    <w:t>μg/m</w:t>
                  </w:r>
                  <w:r>
                    <w:rPr>
                      <w:rFonts w:hint="default" w:ascii="Times New Roman" w:hAnsi="Times New Roman" w:eastAsia="Times New Roman" w:cs="Times New Roman"/>
                      <w:color w:val="auto"/>
                      <w:spacing w:val="6"/>
                      <w:position w:val="8"/>
                      <w:sz w:val="24"/>
                      <w:szCs w:val="24"/>
                      <w:highlight w:val="none"/>
                      <w:vertAlign w:val="subscript"/>
                    </w:rPr>
                    <w:t>3</w:t>
                  </w:r>
                  <w:r>
                    <w:rPr>
                      <w:rFonts w:hint="eastAsia" w:ascii="Times New Roman" w:hAnsi="Times New Roman" w:cs="Times New Roman"/>
                      <w:color w:val="auto"/>
                      <w:spacing w:val="7"/>
                      <w:sz w:val="21"/>
                      <w:szCs w:val="21"/>
                      <w:highlight w:val="none"/>
                      <w:lang w:val="en-US" w:eastAsia="zh-CN"/>
                    </w:rPr>
                    <w:t>）</w:t>
                  </w:r>
                </w:p>
              </w:tc>
              <w:tc>
                <w:tcPr>
                  <w:tcW w:w="1159" w:type="pct"/>
                  <w:tcBorders>
                    <w:tl2br w:val="nil"/>
                    <w:tr2bl w:val="nil"/>
                  </w:tcBorders>
                  <w:noWrap w:val="0"/>
                  <w:vAlign w:val="center"/>
                </w:tcPr>
                <w:p w14:paraId="0763B094">
                  <w:pPr>
                    <w:pStyle w:val="25"/>
                    <w:keepNext w:val="0"/>
                    <w:keepLines w:val="0"/>
                    <w:pageBreakBefore w:val="0"/>
                    <w:kinsoku/>
                    <w:wordWrap w:val="0"/>
                    <w:overflowPunct/>
                    <w:topLinePunct/>
                    <w:autoSpaceDE/>
                    <w:autoSpaceDN/>
                    <w:bidi w:val="0"/>
                    <w:spacing w:line="240" w:lineRule="auto"/>
                    <w:ind w:left="0" w:right="0" w:firstLine="0" w:firstLineChars="0"/>
                    <w:jc w:val="both"/>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标准限值</w:t>
                  </w:r>
                  <w:r>
                    <w:rPr>
                      <w:rFonts w:hint="eastAsia" w:ascii="Times New Roman" w:hAnsi="Times New Roman" w:cs="Times New Roman"/>
                      <w:color w:val="auto"/>
                      <w:spacing w:val="7"/>
                      <w:sz w:val="21"/>
                      <w:szCs w:val="21"/>
                      <w:highlight w:val="none"/>
                      <w:lang w:val="en-US" w:eastAsia="zh-CN"/>
                    </w:rPr>
                    <w:t>（</w:t>
                  </w:r>
                  <w:r>
                    <w:rPr>
                      <w:rFonts w:hint="default" w:ascii="Times New Roman" w:hAnsi="Times New Roman" w:eastAsia="Times New Roman" w:cs="Times New Roman"/>
                      <w:color w:val="auto"/>
                      <w:spacing w:val="6"/>
                      <w:position w:val="2"/>
                      <w:sz w:val="24"/>
                      <w:szCs w:val="24"/>
                      <w:highlight w:val="none"/>
                    </w:rPr>
                    <w:t>μg/m</w:t>
                  </w:r>
                  <w:r>
                    <w:rPr>
                      <w:rFonts w:hint="default" w:ascii="Times New Roman" w:hAnsi="Times New Roman" w:eastAsia="Times New Roman" w:cs="Times New Roman"/>
                      <w:color w:val="auto"/>
                      <w:spacing w:val="6"/>
                      <w:position w:val="8"/>
                      <w:sz w:val="24"/>
                      <w:szCs w:val="24"/>
                      <w:highlight w:val="none"/>
                      <w:vertAlign w:val="subscript"/>
                    </w:rPr>
                    <w:t>3</w:t>
                  </w:r>
                  <w:r>
                    <w:rPr>
                      <w:rFonts w:hint="eastAsia" w:ascii="Times New Roman" w:hAnsi="Times New Roman" w:cs="Times New Roman"/>
                      <w:color w:val="auto"/>
                      <w:spacing w:val="7"/>
                      <w:sz w:val="21"/>
                      <w:szCs w:val="21"/>
                      <w:highlight w:val="none"/>
                      <w:lang w:val="en-US" w:eastAsia="zh-CN"/>
                    </w:rPr>
                    <w:t>）</w:t>
                  </w:r>
                </w:p>
              </w:tc>
              <w:tc>
                <w:tcPr>
                  <w:tcW w:w="744" w:type="pct"/>
                  <w:tcBorders>
                    <w:tl2br w:val="nil"/>
                    <w:tr2bl w:val="nil"/>
                  </w:tcBorders>
                  <w:noWrap w:val="0"/>
                  <w:vAlign w:val="center"/>
                </w:tcPr>
                <w:p w14:paraId="0201D92E">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占标率（%）</w:t>
                  </w:r>
                </w:p>
              </w:tc>
            </w:tr>
            <w:tr w14:paraId="21F35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7" w:hRule="exact"/>
                <w:jc w:val="center"/>
              </w:trPr>
              <w:tc>
                <w:tcPr>
                  <w:tcW w:w="350" w:type="pct"/>
                  <w:tcBorders>
                    <w:tl2br w:val="nil"/>
                    <w:tr2bl w:val="nil"/>
                  </w:tcBorders>
                  <w:noWrap w:val="0"/>
                  <w:vAlign w:val="center"/>
                </w:tcPr>
                <w:p w14:paraId="61A1BF6E">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TSP</w:t>
                  </w:r>
                </w:p>
              </w:tc>
              <w:tc>
                <w:tcPr>
                  <w:tcW w:w="1546" w:type="pct"/>
                  <w:tcBorders>
                    <w:tl2br w:val="nil"/>
                    <w:tr2bl w:val="nil"/>
                  </w:tcBorders>
                  <w:noWrap w:val="0"/>
                  <w:vAlign w:val="center"/>
                </w:tcPr>
                <w:p w14:paraId="2DF1F0BB">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default" w:ascii="Times New Roman" w:hAnsi="Times New Roman" w:cs="Times New Roman"/>
                      <w:color w:val="auto"/>
                      <w:spacing w:val="7"/>
                      <w:sz w:val="21"/>
                      <w:szCs w:val="21"/>
                      <w:highlight w:val="none"/>
                      <w:lang w:val="en-US" w:eastAsia="zh-CN"/>
                    </w:rPr>
                    <w:t>2025年10月</w:t>
                  </w:r>
                  <w:r>
                    <w:rPr>
                      <w:rFonts w:hint="eastAsia" w:ascii="Times New Roman" w:hAnsi="Times New Roman" w:cs="Times New Roman"/>
                      <w:color w:val="auto"/>
                      <w:spacing w:val="7"/>
                      <w:sz w:val="21"/>
                      <w:szCs w:val="21"/>
                      <w:highlight w:val="none"/>
                      <w:lang w:val="en-US" w:eastAsia="zh-CN"/>
                    </w:rPr>
                    <w:t>27</w:t>
                  </w:r>
                  <w:r>
                    <w:rPr>
                      <w:rFonts w:hint="default" w:ascii="Times New Roman" w:hAnsi="Times New Roman" w:cs="Times New Roman"/>
                      <w:color w:val="auto"/>
                      <w:spacing w:val="7"/>
                      <w:sz w:val="21"/>
                      <w:szCs w:val="21"/>
                      <w:highlight w:val="none"/>
                      <w:lang w:val="en-US" w:eastAsia="zh-CN"/>
                    </w:rPr>
                    <w:t>日～</w:t>
                  </w:r>
                  <w:r>
                    <w:rPr>
                      <w:rFonts w:hint="eastAsia" w:ascii="Times New Roman" w:hAnsi="Times New Roman" w:cs="Times New Roman"/>
                      <w:color w:val="auto"/>
                      <w:spacing w:val="7"/>
                      <w:sz w:val="21"/>
                      <w:szCs w:val="21"/>
                      <w:highlight w:val="none"/>
                      <w:lang w:val="en-US" w:eastAsia="zh-CN"/>
                    </w:rPr>
                    <w:t>29</w:t>
                  </w:r>
                  <w:r>
                    <w:rPr>
                      <w:rFonts w:hint="default" w:ascii="Times New Roman" w:hAnsi="Times New Roman" w:cs="Times New Roman"/>
                      <w:color w:val="auto"/>
                      <w:spacing w:val="7"/>
                      <w:sz w:val="21"/>
                      <w:szCs w:val="21"/>
                      <w:highlight w:val="none"/>
                      <w:lang w:val="en-US" w:eastAsia="zh-CN"/>
                    </w:rPr>
                    <w:t>日</w:t>
                  </w:r>
                </w:p>
              </w:tc>
              <w:tc>
                <w:tcPr>
                  <w:tcW w:w="1199" w:type="pct"/>
                  <w:tcBorders>
                    <w:tl2br w:val="nil"/>
                    <w:tr2bl w:val="nil"/>
                  </w:tcBorders>
                  <w:noWrap w:val="0"/>
                  <w:vAlign w:val="center"/>
                </w:tcPr>
                <w:p w14:paraId="4325033B">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eastAsia" w:ascii="Times New Roman" w:hAnsi="Times New Roman" w:cs="Times New Roman"/>
                      <w:color w:val="auto"/>
                      <w:spacing w:val="7"/>
                      <w:sz w:val="21"/>
                      <w:szCs w:val="21"/>
                      <w:highlight w:val="none"/>
                      <w:lang w:val="en-US" w:eastAsia="zh-CN"/>
                    </w:rPr>
                    <w:t>91</w:t>
                  </w:r>
                  <w:r>
                    <w:rPr>
                      <w:rFonts w:hint="default" w:ascii="Times New Roman" w:hAnsi="Times New Roman" w:cs="Times New Roman"/>
                      <w:color w:val="auto"/>
                      <w:spacing w:val="7"/>
                      <w:sz w:val="21"/>
                      <w:szCs w:val="21"/>
                      <w:highlight w:val="none"/>
                      <w:lang w:val="en-US" w:eastAsia="zh-CN"/>
                    </w:rPr>
                    <w:t>～</w:t>
                  </w:r>
                  <w:r>
                    <w:rPr>
                      <w:rFonts w:hint="eastAsia" w:ascii="Times New Roman" w:hAnsi="Times New Roman" w:cs="Times New Roman"/>
                      <w:color w:val="auto"/>
                      <w:spacing w:val="7"/>
                      <w:sz w:val="21"/>
                      <w:szCs w:val="21"/>
                      <w:highlight w:val="none"/>
                      <w:lang w:val="en-US" w:eastAsia="zh-CN"/>
                    </w:rPr>
                    <w:t>105</w:t>
                  </w:r>
                </w:p>
              </w:tc>
              <w:tc>
                <w:tcPr>
                  <w:tcW w:w="1159" w:type="pct"/>
                  <w:tcBorders>
                    <w:tl2br w:val="nil"/>
                    <w:tr2bl w:val="nil"/>
                  </w:tcBorders>
                  <w:noWrap w:val="0"/>
                  <w:vAlign w:val="center"/>
                </w:tcPr>
                <w:p w14:paraId="2434927F">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eastAsia" w:ascii="Times New Roman" w:hAnsi="Times New Roman" w:cs="Times New Roman"/>
                      <w:color w:val="auto"/>
                      <w:spacing w:val="7"/>
                      <w:sz w:val="21"/>
                      <w:szCs w:val="21"/>
                      <w:highlight w:val="none"/>
                      <w:lang w:val="en-US" w:eastAsia="zh-CN"/>
                    </w:rPr>
                    <w:t>300</w:t>
                  </w:r>
                </w:p>
              </w:tc>
              <w:tc>
                <w:tcPr>
                  <w:tcW w:w="744" w:type="pct"/>
                  <w:tcBorders>
                    <w:tl2br w:val="nil"/>
                    <w:tr2bl w:val="nil"/>
                  </w:tcBorders>
                  <w:noWrap w:val="0"/>
                  <w:vAlign w:val="center"/>
                </w:tcPr>
                <w:p w14:paraId="0D712C7D">
                  <w:pPr>
                    <w:pStyle w:val="25"/>
                    <w:keepNext w:val="0"/>
                    <w:keepLines w:val="0"/>
                    <w:pageBreakBefore w:val="0"/>
                    <w:kinsoku/>
                    <w:wordWrap w:val="0"/>
                    <w:overflowPunct/>
                    <w:topLinePunct/>
                    <w:autoSpaceDE/>
                    <w:autoSpaceDN/>
                    <w:bidi w:val="0"/>
                    <w:spacing w:line="240" w:lineRule="auto"/>
                    <w:ind w:left="0" w:right="0" w:firstLine="0" w:firstLineChars="0"/>
                    <w:jc w:val="center"/>
                    <w:rPr>
                      <w:rFonts w:hint="default" w:ascii="Times New Roman" w:hAnsi="Times New Roman" w:cs="Times New Roman"/>
                      <w:color w:val="auto"/>
                      <w:spacing w:val="7"/>
                      <w:sz w:val="21"/>
                      <w:szCs w:val="21"/>
                      <w:highlight w:val="none"/>
                      <w:lang w:val="en-US" w:eastAsia="zh-CN"/>
                    </w:rPr>
                  </w:pPr>
                  <w:r>
                    <w:rPr>
                      <w:rFonts w:hint="eastAsia" w:ascii="Times New Roman" w:hAnsi="Times New Roman" w:cs="Times New Roman"/>
                      <w:color w:val="auto"/>
                      <w:spacing w:val="7"/>
                      <w:sz w:val="21"/>
                      <w:szCs w:val="21"/>
                      <w:highlight w:val="none"/>
                      <w:lang w:val="en-US" w:eastAsia="zh-CN"/>
                    </w:rPr>
                    <w:t>30.3</w:t>
                  </w:r>
                  <w:r>
                    <w:rPr>
                      <w:rFonts w:hint="default" w:ascii="Times New Roman" w:hAnsi="Times New Roman" w:cs="Times New Roman"/>
                      <w:color w:val="auto"/>
                      <w:spacing w:val="7"/>
                      <w:sz w:val="21"/>
                      <w:szCs w:val="21"/>
                      <w:highlight w:val="none"/>
                      <w:lang w:val="en-US" w:eastAsia="zh-CN"/>
                    </w:rPr>
                    <w:t>～</w:t>
                  </w:r>
                  <w:r>
                    <w:rPr>
                      <w:rFonts w:hint="eastAsia" w:ascii="Times New Roman" w:hAnsi="Times New Roman" w:cs="Times New Roman"/>
                      <w:color w:val="auto"/>
                      <w:spacing w:val="7"/>
                      <w:sz w:val="21"/>
                      <w:szCs w:val="21"/>
                      <w:highlight w:val="none"/>
                      <w:lang w:val="en-US" w:eastAsia="zh-CN"/>
                    </w:rPr>
                    <w:t>35.0</w:t>
                  </w:r>
                </w:p>
              </w:tc>
            </w:tr>
          </w:tbl>
          <w:p w14:paraId="50818202">
            <w:pPr>
              <w:pStyle w:val="25"/>
              <w:keepNext w:val="0"/>
              <w:keepLines w:val="0"/>
              <w:pageBreakBefore w:val="0"/>
              <w:kinsoku/>
              <w:wordWrap w:val="0"/>
              <w:overflowPunct/>
              <w:topLinePunct/>
              <w:autoSpaceDE/>
              <w:autoSpaceDN/>
              <w:bidi w:val="0"/>
              <w:spacing w:line="360" w:lineRule="auto"/>
              <w:ind w:left="0" w:right="0" w:firstLine="508"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7"/>
                <w:sz w:val="24"/>
                <w:szCs w:val="24"/>
                <w:highlight w:val="none"/>
              </w:rPr>
              <w:t>从监测结果可知，</w:t>
            </w:r>
            <w:r>
              <w:rPr>
                <w:rFonts w:hint="default" w:ascii="Times New Roman" w:hAnsi="Times New Roman" w:eastAsia="Times New Roman" w:cs="Times New Roman"/>
                <w:color w:val="auto"/>
                <w:sz w:val="24"/>
                <w:szCs w:val="24"/>
                <w:highlight w:val="none"/>
              </w:rPr>
              <w:t>TSP</w:t>
            </w:r>
            <w:r>
              <w:rPr>
                <w:rFonts w:hint="default" w:ascii="Times New Roman" w:hAnsi="Times New Roman" w:cs="Times New Roman"/>
                <w:color w:val="auto"/>
                <w:spacing w:val="7"/>
                <w:sz w:val="24"/>
                <w:szCs w:val="24"/>
                <w:highlight w:val="none"/>
              </w:rPr>
              <w:t>满足《环境空气质量标准》（</w:t>
            </w:r>
            <w:r>
              <w:rPr>
                <w:rFonts w:hint="default" w:ascii="Times New Roman" w:hAnsi="Times New Roman" w:eastAsia="Times New Roman" w:cs="Times New Roman"/>
                <w:color w:val="auto"/>
                <w:sz w:val="24"/>
                <w:szCs w:val="24"/>
                <w:highlight w:val="none"/>
              </w:rPr>
              <w:t>GB</w:t>
            </w:r>
            <w:r>
              <w:rPr>
                <w:rFonts w:hint="default" w:ascii="Times New Roman" w:hAnsi="Times New Roman" w:eastAsia="Times New Roman" w:cs="Times New Roman"/>
                <w:color w:val="auto"/>
                <w:spacing w:val="7"/>
                <w:sz w:val="24"/>
                <w:szCs w:val="24"/>
                <w:highlight w:val="none"/>
              </w:rPr>
              <w:t>3095-2012</w:t>
            </w:r>
            <w:r>
              <w:rPr>
                <w:rFonts w:hint="default" w:ascii="Times New Roman" w:hAnsi="Times New Roman" w:cs="Times New Roman"/>
                <w:color w:val="auto"/>
                <w:spacing w:val="7"/>
                <w:sz w:val="24"/>
                <w:szCs w:val="24"/>
                <w:highlight w:val="none"/>
              </w:rPr>
              <w:t>）中表中二级浓度</w:t>
            </w:r>
            <w:r>
              <w:rPr>
                <w:rFonts w:hint="default" w:ascii="Times New Roman" w:hAnsi="Times New Roman" w:cs="Times New Roman"/>
                <w:color w:val="auto"/>
                <w:spacing w:val="1"/>
                <w:sz w:val="24"/>
                <w:szCs w:val="24"/>
                <w:highlight w:val="none"/>
              </w:rPr>
              <w:t>限值（</w:t>
            </w:r>
            <w:r>
              <w:rPr>
                <w:rFonts w:hint="default" w:ascii="Times New Roman" w:hAnsi="Times New Roman" w:eastAsia="Times New Roman" w:cs="Times New Roman"/>
                <w:color w:val="auto"/>
                <w:spacing w:val="1"/>
                <w:sz w:val="24"/>
                <w:szCs w:val="24"/>
                <w:highlight w:val="none"/>
              </w:rPr>
              <w:t>300μg/m</w:t>
            </w:r>
            <w:r>
              <w:rPr>
                <w:rFonts w:hint="default" w:ascii="Times New Roman" w:hAnsi="Times New Roman" w:eastAsia="Times New Roman" w:cs="Times New Roman"/>
                <w:color w:val="auto"/>
                <w:spacing w:val="1"/>
                <w:position w:val="6"/>
                <w:sz w:val="24"/>
                <w:szCs w:val="24"/>
                <w:highlight w:val="none"/>
                <w:vertAlign w:val="subscript"/>
              </w:rPr>
              <w:t>3</w:t>
            </w:r>
            <w:r>
              <w:rPr>
                <w:rFonts w:hint="default" w:ascii="Times New Roman" w:hAnsi="Times New Roman" w:cs="Times New Roman"/>
                <w:color w:val="auto"/>
                <w:spacing w:val="1"/>
                <w:sz w:val="24"/>
                <w:szCs w:val="24"/>
                <w:highlight w:val="none"/>
              </w:rPr>
              <w:t>）。</w:t>
            </w:r>
          </w:p>
          <w:p w14:paraId="4D9737D0">
            <w:pPr>
              <w:pStyle w:val="25"/>
              <w:keepNext w:val="0"/>
              <w:keepLines w:val="0"/>
              <w:pageBreakBefore w:val="0"/>
              <w:kinsoku/>
              <w:wordWrap w:val="0"/>
              <w:overflowPunct/>
              <w:topLinePunct/>
              <w:autoSpaceDE/>
              <w:autoSpaceDN/>
              <w:bidi w:val="0"/>
              <w:spacing w:line="360" w:lineRule="auto"/>
              <w:ind w:left="0" w:right="0" w:firstLine="496" w:firstLineChars="200"/>
              <w:jc w:val="both"/>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4"/>
                <w:sz w:val="24"/>
                <w:szCs w:val="24"/>
                <w:highlight w:val="none"/>
              </w:rPr>
              <w:t>2</w:t>
            </w:r>
            <w:r>
              <w:rPr>
                <w:rFonts w:hint="default" w:ascii="Times New Roman" w:hAnsi="Times New Roman" w:cs="Times New Roman"/>
                <w:b/>
                <w:bCs/>
                <w:color w:val="auto"/>
                <w:spacing w:val="4"/>
                <w:sz w:val="24"/>
                <w:szCs w:val="24"/>
                <w:highlight w:val="none"/>
              </w:rPr>
              <w:t>、水环境质量现状</w:t>
            </w:r>
          </w:p>
          <w:p w14:paraId="77BECC79">
            <w:pPr>
              <w:pStyle w:val="25"/>
              <w:keepNext w:val="0"/>
              <w:keepLines w:val="0"/>
              <w:pageBreakBefore w:val="0"/>
              <w:kinsoku/>
              <w:wordWrap w:val="0"/>
              <w:overflowPunct/>
              <w:topLinePunct/>
              <w:autoSpaceDE/>
              <w:autoSpaceDN/>
              <w:bidi w:val="0"/>
              <w:spacing w:line="360" w:lineRule="auto"/>
              <w:ind w:left="0" w:right="0" w:firstLine="500" w:firstLineChars="200"/>
              <w:jc w:val="both"/>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5"/>
                <w:sz w:val="24"/>
                <w:szCs w:val="24"/>
                <w:highlight w:val="none"/>
              </w:rPr>
              <w:t>2.1</w:t>
            </w:r>
            <w:r>
              <w:rPr>
                <w:rFonts w:hint="default" w:ascii="Times New Roman" w:hAnsi="Times New Roman" w:cs="Times New Roman"/>
                <w:b/>
                <w:bCs/>
                <w:color w:val="auto"/>
                <w:spacing w:val="5"/>
                <w:sz w:val="24"/>
                <w:szCs w:val="24"/>
                <w:highlight w:val="none"/>
              </w:rPr>
              <w:t>地表水环境现状</w:t>
            </w:r>
          </w:p>
          <w:p w14:paraId="5E5F2960">
            <w:pPr>
              <w:pStyle w:val="8"/>
              <w:spacing w:line="240" w:lineRule="auto"/>
              <w:ind w:left="0" w:firstLine="504" w:firstLineChars="200"/>
              <w:outlineLvl w:val="0"/>
              <w:rPr>
                <w:rFonts w:hint="eastAsia" w:ascii="Times New Roman" w:hAnsi="Times New Roman" w:eastAsia="宋体" w:cs="Times New Roman"/>
                <w:snapToGrid w:val="0"/>
                <w:color w:val="auto"/>
                <w:spacing w:val="6"/>
                <w:kern w:val="0"/>
                <w:position w:val="2"/>
                <w:sz w:val="24"/>
                <w:szCs w:val="24"/>
                <w:highlight w:val="none"/>
                <w:lang w:val="en-US" w:eastAsia="zh-CN"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根据现场调查，距离项目区最近的地表水为</w:t>
            </w:r>
            <w:r>
              <w:rPr>
                <w:rFonts w:hint="default" w:ascii="Times New Roman" w:hAnsi="Times New Roman" w:eastAsia="宋体" w:cs="Times New Roman"/>
                <w:snapToGrid w:val="0"/>
                <w:color w:val="auto"/>
                <w:spacing w:val="6"/>
                <w:kern w:val="0"/>
                <w:position w:val="2"/>
                <w:sz w:val="24"/>
                <w:szCs w:val="24"/>
                <w:highlight w:val="none"/>
                <w:lang w:val="en-US" w:eastAsia="zh-CN" w:bidi="ar-SA"/>
              </w:rPr>
              <w:t>西</w:t>
            </w:r>
            <w:r>
              <w:rPr>
                <w:rFonts w:hint="default" w:ascii="Times New Roman" w:hAnsi="Times New Roman" w:eastAsia="宋体" w:cs="Times New Roman"/>
                <w:snapToGrid w:val="0"/>
                <w:color w:val="auto"/>
                <w:spacing w:val="6"/>
                <w:kern w:val="0"/>
                <w:position w:val="2"/>
                <w:sz w:val="24"/>
                <w:szCs w:val="24"/>
                <w:highlight w:val="none"/>
                <w:lang w:val="en-US" w:eastAsia="en-US" w:bidi="ar-SA"/>
              </w:rPr>
              <w:t>侧约3</w:t>
            </w:r>
            <w:r>
              <w:rPr>
                <w:rFonts w:hint="default" w:ascii="Times New Roman" w:hAnsi="Times New Roman" w:eastAsia="宋体" w:cs="Times New Roman"/>
                <w:snapToGrid w:val="0"/>
                <w:color w:val="auto"/>
                <w:spacing w:val="6"/>
                <w:kern w:val="0"/>
                <w:position w:val="2"/>
                <w:sz w:val="24"/>
                <w:szCs w:val="24"/>
                <w:highlight w:val="none"/>
                <w:lang w:val="en-US" w:eastAsia="zh-CN" w:bidi="ar-SA"/>
              </w:rPr>
              <w:t>40</w:t>
            </w:r>
            <w:r>
              <w:rPr>
                <w:rFonts w:hint="default" w:ascii="Times New Roman" w:hAnsi="Times New Roman" w:eastAsia="宋体" w:cs="Times New Roman"/>
                <w:snapToGrid w:val="0"/>
                <w:color w:val="auto"/>
                <w:spacing w:val="6"/>
                <w:kern w:val="0"/>
                <w:position w:val="2"/>
                <w:sz w:val="24"/>
                <w:szCs w:val="24"/>
                <w:highlight w:val="none"/>
                <w:lang w:val="en-US" w:eastAsia="en-US" w:bidi="ar-SA"/>
              </w:rPr>
              <w:t>m处的塔西河</w:t>
            </w:r>
            <w:r>
              <w:rPr>
                <w:rFonts w:hint="eastAsia" w:ascii="Times New Roman" w:hAnsi="Times New Roman" w:eastAsia="宋体" w:cs="Times New Roman"/>
                <w:snapToGrid w:val="0"/>
                <w:color w:val="auto"/>
                <w:spacing w:val="6"/>
                <w:kern w:val="0"/>
                <w:position w:val="2"/>
                <w:sz w:val="24"/>
                <w:szCs w:val="24"/>
                <w:highlight w:val="none"/>
                <w:lang w:val="en-US" w:eastAsia="zh-CN" w:bidi="ar-SA"/>
              </w:rPr>
              <w:t>。</w:t>
            </w:r>
          </w:p>
          <w:p w14:paraId="4555F6BE">
            <w:pPr>
              <w:pStyle w:val="8"/>
              <w:spacing w:before="185" w:line="232" w:lineRule="auto"/>
              <w:ind w:left="34" w:firstLine="504" w:firstLineChars="200"/>
              <w:outlineLvl w:val="1"/>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eastAsia" w:ascii="Times New Roman" w:hAnsi="Times New Roman" w:eastAsia="宋体" w:cs="Times New Roman"/>
                <w:snapToGrid w:val="0"/>
                <w:color w:val="auto"/>
                <w:spacing w:val="6"/>
                <w:kern w:val="0"/>
                <w:position w:val="2"/>
                <w:sz w:val="24"/>
                <w:szCs w:val="24"/>
                <w:highlight w:val="none"/>
                <w:lang w:val="en-US" w:eastAsia="zh-CN" w:bidi="ar-SA"/>
              </w:rPr>
              <w:t>（1）</w:t>
            </w:r>
            <w:r>
              <w:rPr>
                <w:rFonts w:hint="default" w:ascii="Times New Roman" w:hAnsi="Times New Roman" w:eastAsia="宋体" w:cs="Times New Roman"/>
                <w:snapToGrid w:val="0"/>
                <w:color w:val="auto"/>
                <w:spacing w:val="6"/>
                <w:kern w:val="0"/>
                <w:position w:val="2"/>
                <w:sz w:val="24"/>
                <w:szCs w:val="24"/>
                <w:highlight w:val="none"/>
                <w:lang w:val="en-US" w:eastAsia="en-US" w:bidi="ar-SA"/>
              </w:rPr>
              <w:t>数据来源</w:t>
            </w:r>
          </w:p>
          <w:p w14:paraId="6DF9D404">
            <w:pPr>
              <w:pStyle w:val="8"/>
              <w:spacing w:before="164" w:line="357" w:lineRule="auto"/>
              <w:ind w:left="38" w:right="29" w:firstLine="480"/>
              <w:jc w:val="both"/>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本次地表水环境质量现状评价引用昌吉回族自治州生态环境局玛纳斯县分局委托新疆国泰民康职业环境检测评价有限责任公司 2024 年 4 月20 日对塔西河地表水断面进行的水质监测数据。</w:t>
            </w:r>
          </w:p>
          <w:p w14:paraId="008BB6F1">
            <w:pPr>
              <w:pStyle w:val="8"/>
              <w:spacing w:before="8" w:line="234" w:lineRule="auto"/>
              <w:ind w:left="34" w:firstLine="504" w:firstLineChars="200"/>
              <w:outlineLvl w:val="1"/>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eastAsia" w:ascii="Times New Roman" w:hAnsi="Times New Roman" w:eastAsia="宋体" w:cs="Times New Roman"/>
                <w:snapToGrid w:val="0"/>
                <w:color w:val="auto"/>
                <w:spacing w:val="6"/>
                <w:kern w:val="0"/>
                <w:position w:val="2"/>
                <w:sz w:val="24"/>
                <w:szCs w:val="24"/>
                <w:highlight w:val="none"/>
                <w:lang w:val="en-US" w:eastAsia="zh-CN" w:bidi="ar-SA"/>
              </w:rPr>
              <w:t>（2）</w:t>
            </w:r>
            <w:r>
              <w:rPr>
                <w:rFonts w:hint="default" w:ascii="Times New Roman" w:hAnsi="Times New Roman" w:eastAsia="宋体" w:cs="Times New Roman"/>
                <w:snapToGrid w:val="0"/>
                <w:color w:val="auto"/>
                <w:spacing w:val="6"/>
                <w:kern w:val="0"/>
                <w:position w:val="2"/>
                <w:sz w:val="24"/>
                <w:szCs w:val="24"/>
                <w:highlight w:val="none"/>
                <w:lang w:val="en-US" w:eastAsia="en-US" w:bidi="ar-SA"/>
              </w:rPr>
              <w:t>监测点信息</w:t>
            </w:r>
          </w:p>
          <w:p w14:paraId="3BCCB5A9">
            <w:pPr>
              <w:spacing w:before="164" w:line="360" w:lineRule="auto"/>
              <w:ind w:left="519"/>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监测断面为石门子断面和马家庄断面，监测点基本信息见下表。</w:t>
            </w:r>
          </w:p>
          <w:p w14:paraId="08C1E335">
            <w:pPr>
              <w:pStyle w:val="8"/>
              <w:spacing w:line="240" w:lineRule="auto"/>
              <w:ind w:left="0"/>
              <w:jc w:val="center"/>
              <w:outlineLvl w:val="2"/>
              <w:rPr>
                <w:rFonts w:hint="default" w:ascii="Times New Roman" w:hAnsi="Times New Roman" w:eastAsia="宋体" w:cs="Times New Roman"/>
                <w:b/>
                <w:bCs/>
                <w:snapToGrid w:val="0"/>
                <w:color w:val="auto"/>
                <w:spacing w:val="7"/>
                <w:kern w:val="0"/>
                <w:sz w:val="21"/>
                <w:szCs w:val="21"/>
                <w:highlight w:val="none"/>
                <w:lang w:val="en-US" w:eastAsia="en-US" w:bidi="ar-SA"/>
              </w:rPr>
            </w:pPr>
            <w:r>
              <w:rPr>
                <w:rFonts w:hint="default" w:ascii="Times New Roman" w:hAnsi="Times New Roman" w:eastAsia="宋体" w:cs="Times New Roman"/>
                <w:b/>
                <w:bCs/>
                <w:snapToGrid w:val="0"/>
                <w:color w:val="auto"/>
                <w:spacing w:val="7"/>
                <w:kern w:val="0"/>
                <w:sz w:val="21"/>
                <w:szCs w:val="21"/>
                <w:highlight w:val="none"/>
                <w:lang w:val="en-US" w:eastAsia="en-US" w:bidi="ar-SA"/>
              </w:rPr>
              <w:t>表</w:t>
            </w:r>
            <w:r>
              <w:rPr>
                <w:rFonts w:hint="eastAsia" w:ascii="Times New Roman" w:hAnsi="Times New Roman" w:eastAsia="宋体" w:cs="Times New Roman"/>
                <w:b/>
                <w:bCs/>
                <w:snapToGrid w:val="0"/>
                <w:color w:val="auto"/>
                <w:spacing w:val="7"/>
                <w:kern w:val="0"/>
                <w:sz w:val="21"/>
                <w:szCs w:val="21"/>
                <w:highlight w:val="none"/>
                <w:lang w:val="en-US" w:eastAsia="zh-CN" w:bidi="ar-SA"/>
              </w:rPr>
              <w:t>3-3</w:t>
            </w:r>
            <w:r>
              <w:rPr>
                <w:rFonts w:hint="default" w:ascii="Times New Roman" w:hAnsi="Times New Roman" w:eastAsia="宋体" w:cs="Times New Roman"/>
                <w:b/>
                <w:bCs/>
                <w:snapToGrid w:val="0"/>
                <w:color w:val="auto"/>
                <w:spacing w:val="7"/>
                <w:kern w:val="0"/>
                <w:sz w:val="21"/>
                <w:szCs w:val="21"/>
                <w:highlight w:val="none"/>
                <w:lang w:val="en-US" w:eastAsia="en-US" w:bidi="ar-SA"/>
              </w:rPr>
              <w:t xml:space="preserve">   塔西河地表水断面水质监测点基本信息表</w:t>
            </w:r>
          </w:p>
          <w:tbl>
            <w:tblPr>
              <w:tblStyle w:val="24"/>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7"/>
              <w:gridCol w:w="958"/>
              <w:gridCol w:w="1595"/>
              <w:gridCol w:w="4306"/>
              <w:gridCol w:w="924"/>
            </w:tblGrid>
            <w:tr w14:paraId="1D82E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557" w:type="dxa"/>
                  <w:tcBorders>
                    <w:top w:val="single" w:color="000000" w:sz="10" w:space="0"/>
                    <w:left w:val="single" w:color="000000" w:sz="10" w:space="0"/>
                  </w:tcBorders>
                  <w:vAlign w:val="top"/>
                </w:tcPr>
                <w:p w14:paraId="1C821DD9">
                  <w:pPr>
                    <w:pStyle w:val="25"/>
                    <w:spacing w:before="34" w:line="208" w:lineRule="auto"/>
                    <w:ind w:left="66"/>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序号</w:t>
                  </w:r>
                </w:p>
              </w:tc>
              <w:tc>
                <w:tcPr>
                  <w:tcW w:w="958" w:type="dxa"/>
                  <w:tcBorders>
                    <w:top w:val="single" w:color="000000" w:sz="10" w:space="0"/>
                  </w:tcBorders>
                  <w:vAlign w:val="top"/>
                </w:tcPr>
                <w:p w14:paraId="3CF8BBDD">
                  <w:pPr>
                    <w:pStyle w:val="25"/>
                    <w:spacing w:line="240" w:lineRule="auto"/>
                    <w:ind w:left="0"/>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监测断面</w:t>
                  </w:r>
                </w:p>
              </w:tc>
              <w:tc>
                <w:tcPr>
                  <w:tcW w:w="1595" w:type="dxa"/>
                  <w:tcBorders>
                    <w:top w:val="single" w:color="000000" w:sz="10" w:space="0"/>
                  </w:tcBorders>
                  <w:vAlign w:val="top"/>
                </w:tcPr>
                <w:p w14:paraId="7A0D033A">
                  <w:pPr>
                    <w:pStyle w:val="25"/>
                    <w:spacing w:before="34" w:line="208" w:lineRule="auto"/>
                    <w:ind w:left="302"/>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点位坐标</w:t>
                  </w:r>
                </w:p>
              </w:tc>
              <w:tc>
                <w:tcPr>
                  <w:tcW w:w="4306" w:type="dxa"/>
                  <w:tcBorders>
                    <w:top w:val="single" w:color="000000" w:sz="10" w:space="0"/>
                  </w:tcBorders>
                  <w:vAlign w:val="top"/>
                </w:tcPr>
                <w:p w14:paraId="234F5D94">
                  <w:pPr>
                    <w:pStyle w:val="25"/>
                    <w:spacing w:before="34" w:line="208" w:lineRule="auto"/>
                    <w:ind w:left="1744"/>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监测因子</w:t>
                  </w:r>
                </w:p>
              </w:tc>
              <w:tc>
                <w:tcPr>
                  <w:tcW w:w="924" w:type="dxa"/>
                  <w:tcBorders>
                    <w:top w:val="single" w:color="000000" w:sz="10" w:space="0"/>
                    <w:right w:val="single" w:color="000000" w:sz="10" w:space="0"/>
                  </w:tcBorders>
                  <w:vAlign w:val="top"/>
                </w:tcPr>
                <w:p w14:paraId="53F02CEA">
                  <w:pPr>
                    <w:pStyle w:val="25"/>
                    <w:spacing w:before="34" w:line="208" w:lineRule="auto"/>
                    <w:ind w:right="2"/>
                    <w:jc w:val="right"/>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采样日期</w:t>
                  </w:r>
                </w:p>
              </w:tc>
            </w:tr>
            <w:tr w14:paraId="33E72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jc w:val="center"/>
              </w:trPr>
              <w:tc>
                <w:tcPr>
                  <w:tcW w:w="557" w:type="dxa"/>
                  <w:tcBorders>
                    <w:left w:val="single" w:color="000000" w:sz="10" w:space="0"/>
                  </w:tcBorders>
                  <w:vAlign w:val="top"/>
                </w:tcPr>
                <w:p w14:paraId="67A0318E">
                  <w:pPr>
                    <w:spacing w:before="200" w:line="236" w:lineRule="auto"/>
                    <w:ind w:left="242"/>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1</w:t>
                  </w:r>
                </w:p>
              </w:tc>
              <w:tc>
                <w:tcPr>
                  <w:tcW w:w="958" w:type="dxa"/>
                  <w:vAlign w:val="top"/>
                </w:tcPr>
                <w:p w14:paraId="323157F7">
                  <w:pPr>
                    <w:pStyle w:val="25"/>
                    <w:spacing w:line="240" w:lineRule="auto"/>
                    <w:ind w:left="0" w:right="0" w:firstLine="0"/>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上游石门子断面</w:t>
                  </w:r>
                </w:p>
              </w:tc>
              <w:tc>
                <w:tcPr>
                  <w:tcW w:w="1595" w:type="dxa"/>
                  <w:vAlign w:val="top"/>
                </w:tcPr>
                <w:p w14:paraId="242E5A09">
                  <w:pPr>
                    <w:spacing w:before="81" w:line="224" w:lineRule="auto"/>
                    <w:ind w:left="44" w:right="14" w:hanging="33"/>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E:86°20'52.480" N:44°6'22.239"</w:t>
                  </w:r>
                </w:p>
              </w:tc>
              <w:tc>
                <w:tcPr>
                  <w:tcW w:w="4306" w:type="dxa"/>
                  <w:vMerge w:val="restart"/>
                  <w:tcBorders>
                    <w:bottom w:val="nil"/>
                  </w:tcBorders>
                  <w:vAlign w:val="top"/>
                </w:tcPr>
                <w:p w14:paraId="29633B76">
                  <w:pPr>
                    <w:pStyle w:val="25"/>
                    <w:spacing w:line="240" w:lineRule="auto"/>
                    <w:ind w:left="0"/>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水温、电导率、浑浊度、流量、 pH值、氨氮、硝酸盐氮、总氮、总磷、挥发酚、硫化物、阴离子表面活性剂、石油类、六价铬、氰化物、高锰酸盐指数、化学需氧量、五日生化需氧量、溶解氧、氟化物、铜、锌、铅、砷、汞、硒、镉、粪大肠菌群，共计28项。</w:t>
                  </w:r>
                </w:p>
              </w:tc>
              <w:tc>
                <w:tcPr>
                  <w:tcW w:w="924" w:type="dxa"/>
                  <w:tcBorders>
                    <w:right w:val="single" w:color="000000" w:sz="10" w:space="0"/>
                  </w:tcBorders>
                  <w:vAlign w:val="top"/>
                </w:tcPr>
                <w:p w14:paraId="56C5D62F">
                  <w:pPr>
                    <w:spacing w:before="200" w:line="233" w:lineRule="auto"/>
                    <w:ind w:right="2"/>
                    <w:jc w:val="right"/>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2024.4.20</w:t>
                  </w:r>
                </w:p>
              </w:tc>
            </w:tr>
            <w:tr w14:paraId="2C956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jc w:val="center"/>
              </w:trPr>
              <w:tc>
                <w:tcPr>
                  <w:tcW w:w="557" w:type="dxa"/>
                  <w:tcBorders>
                    <w:left w:val="single" w:color="000000" w:sz="10" w:space="0"/>
                    <w:bottom w:val="single" w:color="000000" w:sz="10" w:space="0"/>
                  </w:tcBorders>
                  <w:vAlign w:val="top"/>
                </w:tcPr>
                <w:p w14:paraId="7D615F53">
                  <w:pPr>
                    <w:spacing w:line="408" w:lineRule="auto"/>
                    <w:rPr>
                      <w:rFonts w:hint="default" w:ascii="Times New Roman" w:hAnsi="Times New Roman" w:eastAsia="宋体" w:cs="Times New Roman"/>
                      <w:snapToGrid w:val="0"/>
                      <w:color w:val="auto"/>
                      <w:spacing w:val="7"/>
                      <w:kern w:val="0"/>
                      <w:sz w:val="21"/>
                      <w:szCs w:val="21"/>
                      <w:highlight w:val="none"/>
                      <w:lang w:val="en-US" w:eastAsia="en-US" w:bidi="ar-SA"/>
                    </w:rPr>
                  </w:pPr>
                </w:p>
                <w:p w14:paraId="6946CB29">
                  <w:pPr>
                    <w:spacing w:before="61" w:line="236" w:lineRule="auto"/>
                    <w:ind w:left="221"/>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2</w:t>
                  </w:r>
                </w:p>
              </w:tc>
              <w:tc>
                <w:tcPr>
                  <w:tcW w:w="958" w:type="dxa"/>
                  <w:tcBorders>
                    <w:bottom w:val="single" w:color="000000" w:sz="10" w:space="0"/>
                  </w:tcBorders>
                  <w:vAlign w:val="top"/>
                </w:tcPr>
                <w:p w14:paraId="47D312B8">
                  <w:pPr>
                    <w:pStyle w:val="25"/>
                    <w:ind w:left="0" w:right="0" w:firstLine="0"/>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下游马家庄断面</w:t>
                  </w:r>
                </w:p>
              </w:tc>
              <w:tc>
                <w:tcPr>
                  <w:tcW w:w="1595" w:type="dxa"/>
                  <w:tcBorders>
                    <w:bottom w:val="single" w:color="000000" w:sz="10" w:space="0"/>
                  </w:tcBorders>
                  <w:vAlign w:val="top"/>
                </w:tcPr>
                <w:p w14:paraId="4C89F8ED">
                  <w:pPr>
                    <w:spacing w:line="289" w:lineRule="auto"/>
                    <w:rPr>
                      <w:rFonts w:hint="default" w:ascii="Times New Roman" w:hAnsi="Times New Roman" w:eastAsia="宋体" w:cs="Times New Roman"/>
                      <w:snapToGrid w:val="0"/>
                      <w:color w:val="auto"/>
                      <w:spacing w:val="7"/>
                      <w:kern w:val="0"/>
                      <w:sz w:val="21"/>
                      <w:szCs w:val="21"/>
                      <w:highlight w:val="none"/>
                      <w:lang w:val="en-US" w:eastAsia="en-US" w:bidi="ar-SA"/>
                    </w:rPr>
                  </w:pPr>
                </w:p>
                <w:p w14:paraId="65A6471C">
                  <w:pPr>
                    <w:spacing w:before="61" w:line="246" w:lineRule="auto"/>
                    <w:ind w:right="2" w:firstLine="71"/>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E:86°23'7.564" N:44°13'41.650"</w:t>
                  </w:r>
                </w:p>
              </w:tc>
              <w:tc>
                <w:tcPr>
                  <w:tcW w:w="4306" w:type="dxa"/>
                  <w:vMerge w:val="continue"/>
                  <w:tcBorders>
                    <w:top w:val="nil"/>
                    <w:bottom w:val="single" w:color="000000" w:sz="10" w:space="0"/>
                  </w:tcBorders>
                  <w:vAlign w:val="top"/>
                </w:tcPr>
                <w:p w14:paraId="09A1DC0E">
                  <w:pPr>
                    <w:rPr>
                      <w:rFonts w:hint="default" w:ascii="Times New Roman" w:hAnsi="Times New Roman" w:eastAsia="宋体" w:cs="Times New Roman"/>
                      <w:snapToGrid w:val="0"/>
                      <w:color w:val="auto"/>
                      <w:spacing w:val="7"/>
                      <w:kern w:val="0"/>
                      <w:sz w:val="21"/>
                      <w:szCs w:val="21"/>
                      <w:highlight w:val="none"/>
                      <w:lang w:val="en-US" w:eastAsia="en-US" w:bidi="ar-SA"/>
                    </w:rPr>
                  </w:pPr>
                </w:p>
              </w:tc>
              <w:tc>
                <w:tcPr>
                  <w:tcW w:w="924" w:type="dxa"/>
                  <w:tcBorders>
                    <w:bottom w:val="single" w:color="000000" w:sz="10" w:space="0"/>
                    <w:right w:val="single" w:color="000000" w:sz="10" w:space="0"/>
                  </w:tcBorders>
                  <w:vAlign w:val="top"/>
                </w:tcPr>
                <w:p w14:paraId="1975A25A">
                  <w:pPr>
                    <w:spacing w:line="408" w:lineRule="auto"/>
                    <w:rPr>
                      <w:rFonts w:hint="default" w:ascii="Times New Roman" w:hAnsi="Times New Roman" w:eastAsia="宋体" w:cs="Times New Roman"/>
                      <w:snapToGrid w:val="0"/>
                      <w:color w:val="auto"/>
                      <w:spacing w:val="7"/>
                      <w:kern w:val="0"/>
                      <w:sz w:val="21"/>
                      <w:szCs w:val="21"/>
                      <w:highlight w:val="none"/>
                      <w:lang w:val="en-US" w:eastAsia="en-US" w:bidi="ar-SA"/>
                    </w:rPr>
                  </w:pPr>
                </w:p>
                <w:p w14:paraId="16F5E3FF">
                  <w:pPr>
                    <w:spacing w:before="61" w:line="233" w:lineRule="auto"/>
                    <w:ind w:right="2"/>
                    <w:jc w:val="right"/>
                    <w:rPr>
                      <w:rFonts w:hint="default" w:ascii="Times New Roman" w:hAnsi="Times New Roman" w:eastAsia="宋体" w:cs="Times New Roman"/>
                      <w:snapToGrid w:val="0"/>
                      <w:color w:val="auto"/>
                      <w:spacing w:val="7"/>
                      <w:kern w:val="0"/>
                      <w:sz w:val="21"/>
                      <w:szCs w:val="21"/>
                      <w:highlight w:val="none"/>
                      <w:lang w:val="en-US" w:eastAsia="en-US" w:bidi="ar-SA"/>
                    </w:rPr>
                  </w:pPr>
                  <w:r>
                    <w:rPr>
                      <w:rFonts w:hint="default" w:ascii="Times New Roman" w:hAnsi="Times New Roman" w:eastAsia="宋体" w:cs="Times New Roman"/>
                      <w:snapToGrid w:val="0"/>
                      <w:color w:val="auto"/>
                      <w:spacing w:val="7"/>
                      <w:kern w:val="0"/>
                      <w:sz w:val="21"/>
                      <w:szCs w:val="21"/>
                      <w:highlight w:val="none"/>
                      <w:lang w:val="en-US" w:eastAsia="en-US" w:bidi="ar-SA"/>
                    </w:rPr>
                    <w:t>2024.4.20</w:t>
                  </w:r>
                </w:p>
              </w:tc>
            </w:tr>
          </w:tbl>
          <w:p w14:paraId="27CA38F9">
            <w:pPr>
              <w:pStyle w:val="8"/>
              <w:spacing w:line="360" w:lineRule="auto"/>
              <w:ind w:left="0" w:firstLine="504" w:firstLineChars="200"/>
              <w:outlineLvl w:val="1"/>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eastAsia" w:ascii="Times New Roman" w:hAnsi="Times New Roman" w:eastAsia="宋体" w:cs="Times New Roman"/>
                <w:snapToGrid w:val="0"/>
                <w:color w:val="auto"/>
                <w:spacing w:val="6"/>
                <w:kern w:val="0"/>
                <w:position w:val="2"/>
                <w:sz w:val="24"/>
                <w:szCs w:val="24"/>
                <w:highlight w:val="none"/>
                <w:lang w:val="en-US" w:eastAsia="zh-CN" w:bidi="ar-SA"/>
              </w:rPr>
              <w:t>（3）</w:t>
            </w:r>
            <w:r>
              <w:rPr>
                <w:rFonts w:hint="default" w:ascii="Times New Roman" w:hAnsi="Times New Roman" w:eastAsia="宋体" w:cs="Times New Roman"/>
                <w:snapToGrid w:val="0"/>
                <w:color w:val="auto"/>
                <w:spacing w:val="6"/>
                <w:kern w:val="0"/>
                <w:position w:val="2"/>
                <w:sz w:val="24"/>
                <w:szCs w:val="24"/>
                <w:highlight w:val="none"/>
                <w:lang w:val="en-US" w:eastAsia="en-US" w:bidi="ar-SA"/>
              </w:rPr>
              <w:t>评价标准</w:t>
            </w:r>
          </w:p>
          <w:p w14:paraId="1234BBEF">
            <w:pPr>
              <w:pStyle w:val="8"/>
              <w:spacing w:line="360" w:lineRule="auto"/>
              <w:ind w:left="0" w:right="0" w:firstLine="504" w:firstLineChars="2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塔西河地表水水质执行《地表水环境质量标准》（GB3838-2002）中的Ⅱ类标准。</w:t>
            </w:r>
          </w:p>
          <w:p w14:paraId="7D1ED657">
            <w:pPr>
              <w:pStyle w:val="8"/>
              <w:spacing w:before="18" w:line="232" w:lineRule="auto"/>
              <w:ind w:left="34" w:firstLine="504" w:firstLineChars="200"/>
              <w:outlineLvl w:val="1"/>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eastAsia" w:ascii="Times New Roman" w:hAnsi="Times New Roman" w:eastAsia="宋体" w:cs="Times New Roman"/>
                <w:snapToGrid w:val="0"/>
                <w:color w:val="auto"/>
                <w:spacing w:val="6"/>
                <w:kern w:val="0"/>
                <w:position w:val="2"/>
                <w:sz w:val="24"/>
                <w:szCs w:val="24"/>
                <w:highlight w:val="none"/>
                <w:lang w:val="en-US" w:eastAsia="zh-CN" w:bidi="ar-SA"/>
              </w:rPr>
              <w:t>（4）</w:t>
            </w:r>
            <w:r>
              <w:rPr>
                <w:rFonts w:hint="default" w:ascii="Times New Roman" w:hAnsi="Times New Roman" w:eastAsia="宋体" w:cs="Times New Roman"/>
                <w:snapToGrid w:val="0"/>
                <w:color w:val="auto"/>
                <w:spacing w:val="6"/>
                <w:kern w:val="0"/>
                <w:position w:val="2"/>
                <w:sz w:val="24"/>
                <w:szCs w:val="24"/>
                <w:highlight w:val="none"/>
                <w:lang w:val="en-US" w:eastAsia="en-US" w:bidi="ar-SA"/>
              </w:rPr>
              <w:t>评价方法</w:t>
            </w:r>
          </w:p>
          <w:p w14:paraId="0E1AF974">
            <w:pPr>
              <w:spacing w:before="167" w:line="218" w:lineRule="auto"/>
              <w:ind w:left="517"/>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采用标准污染指数法评价，评价公式如下：</w:t>
            </w:r>
          </w:p>
          <w:p w14:paraId="350EAC0B">
            <w:pPr>
              <w:pStyle w:val="8"/>
              <w:spacing w:before="203" w:line="198" w:lineRule="auto"/>
              <w:ind w:left="3805"/>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Sij =Cij/Csi</w:t>
            </w:r>
          </w:p>
          <w:p w14:paraId="0BAD0B1F">
            <w:pPr>
              <w:pStyle w:val="8"/>
              <w:spacing w:before="166" w:line="214" w:lineRule="auto"/>
              <w:ind w:left="522"/>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式中：Sij ——单项水质参数 i 在第j 点的标准指数；</w:t>
            </w:r>
          </w:p>
          <w:p w14:paraId="47CFCA38">
            <w:pPr>
              <w:pStyle w:val="8"/>
              <w:spacing w:before="188" w:line="214" w:lineRule="auto"/>
              <w:ind w:left="517" w:firstLine="756" w:firstLineChars="3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Cij ——水质评价因子在 i 在第j 点的浓度，mg/L；</w:t>
            </w:r>
          </w:p>
          <w:p w14:paraId="44E183A5">
            <w:pPr>
              <w:pStyle w:val="8"/>
              <w:spacing w:before="190" w:line="214" w:lineRule="auto"/>
              <w:ind w:left="517" w:firstLine="756" w:firstLineChars="3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Csi ——i 因子评价标准值，mg/L；</w:t>
            </w:r>
          </w:p>
          <w:p w14:paraId="5E273FCA">
            <w:pPr>
              <w:pStyle w:val="8"/>
              <w:spacing w:before="187" w:line="213" w:lineRule="auto"/>
              <w:ind w:firstLine="504" w:firstLineChars="2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pH 值标准指数用下式：</w:t>
            </w:r>
          </w:p>
          <w:p w14:paraId="67BAA861">
            <w:pPr>
              <w:pStyle w:val="8"/>
              <w:spacing w:before="192" w:line="360" w:lineRule="auto"/>
              <w:ind w:left="1932"/>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pH≤7.0 时，  SpHj=（7.0-pHj ）/（7.0-pHsd）</w:t>
            </w:r>
          </w:p>
          <w:p w14:paraId="6964506B">
            <w:pPr>
              <w:pStyle w:val="8"/>
              <w:spacing w:line="360" w:lineRule="auto"/>
              <w:ind w:left="0" w:right="0" w:firstLine="0"/>
              <w:jc w:val="center"/>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pH＞7.0 时 SpHj=（pHj-7.0）/（pHsu-7.0）</w:t>
            </w:r>
          </w:p>
          <w:p w14:paraId="3BB785CD">
            <w:pPr>
              <w:pStyle w:val="8"/>
              <w:spacing w:line="360" w:lineRule="auto"/>
              <w:ind w:left="0" w:right="0" w:firstLine="504" w:firstLineChars="2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式中：SpHj——pH 单因子标准指数，无量纲；</w:t>
            </w:r>
          </w:p>
          <w:p w14:paraId="356AFC3C">
            <w:pPr>
              <w:pStyle w:val="8"/>
              <w:spacing w:before="25" w:line="214" w:lineRule="auto"/>
              <w:ind w:left="508" w:firstLine="756" w:firstLineChars="3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pHj——pH 监测值；</w:t>
            </w:r>
          </w:p>
          <w:p w14:paraId="0877B069">
            <w:pPr>
              <w:pStyle w:val="8"/>
              <w:spacing w:before="188" w:line="214" w:lineRule="auto"/>
              <w:ind w:left="508" w:firstLine="756" w:firstLineChars="3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pHsd——标准下限值；</w:t>
            </w:r>
          </w:p>
          <w:p w14:paraId="2B16779A">
            <w:pPr>
              <w:pStyle w:val="8"/>
              <w:spacing w:before="190" w:line="214" w:lineRule="auto"/>
              <w:ind w:left="508" w:firstLine="756" w:firstLineChars="3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pHsu——标准上限值，无量纲</w:t>
            </w:r>
          </w:p>
          <w:p w14:paraId="151E3C1F">
            <w:pPr>
              <w:pStyle w:val="8"/>
              <w:spacing w:before="186" w:line="220" w:lineRule="auto"/>
              <w:ind w:left="512" w:firstLine="756" w:firstLineChars="3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DO 的标准指数用下式：</w:t>
            </w:r>
          </w:p>
          <w:p w14:paraId="4C00EFF0">
            <w:pPr>
              <w:spacing w:before="213" w:line="612" w:lineRule="exact"/>
              <w:ind w:firstLine="2641"/>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drawing>
                <wp:inline distT="0" distB="0" distL="0" distR="0">
                  <wp:extent cx="1953895" cy="387985"/>
                  <wp:effectExtent l="0" t="0" r="8255" b="12065"/>
                  <wp:docPr id="15" name="IM 6"/>
                  <wp:cNvGraphicFramePr/>
                  <a:graphic xmlns:a="http://schemas.openxmlformats.org/drawingml/2006/main">
                    <a:graphicData uri="http://schemas.openxmlformats.org/drawingml/2006/picture">
                      <pic:pic xmlns:pic="http://schemas.openxmlformats.org/drawingml/2006/picture">
                        <pic:nvPicPr>
                          <pic:cNvPr id="15" name="IM 6"/>
                          <pic:cNvPicPr/>
                        </pic:nvPicPr>
                        <pic:blipFill>
                          <a:blip r:embed="rId24"/>
                          <a:stretch>
                            <a:fillRect/>
                          </a:stretch>
                        </pic:blipFill>
                        <pic:spPr>
                          <a:xfrm>
                            <a:off x="0" y="0"/>
                            <a:ext cx="1953895" cy="388619"/>
                          </a:xfrm>
                          <a:prstGeom prst="rect">
                            <a:avLst/>
                          </a:prstGeom>
                        </pic:spPr>
                      </pic:pic>
                    </a:graphicData>
                  </a:graphic>
                </wp:inline>
              </w:drawing>
            </w:r>
          </w:p>
          <w:p w14:paraId="72A0D886">
            <w:pPr>
              <w:spacing w:before="137" w:line="691" w:lineRule="exact"/>
              <w:ind w:firstLine="2595"/>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drawing>
                <wp:inline distT="0" distB="0" distL="0" distR="0">
                  <wp:extent cx="2011045" cy="438150"/>
                  <wp:effectExtent l="0" t="0" r="8255" b="0"/>
                  <wp:docPr id="16" name="IM 8"/>
                  <wp:cNvGraphicFramePr/>
                  <a:graphic xmlns:a="http://schemas.openxmlformats.org/drawingml/2006/main">
                    <a:graphicData uri="http://schemas.openxmlformats.org/drawingml/2006/picture">
                      <pic:pic xmlns:pic="http://schemas.openxmlformats.org/drawingml/2006/picture">
                        <pic:nvPicPr>
                          <pic:cNvPr id="16" name="IM 8"/>
                          <pic:cNvPicPr/>
                        </pic:nvPicPr>
                        <pic:blipFill>
                          <a:blip r:embed="rId25"/>
                          <a:stretch>
                            <a:fillRect/>
                          </a:stretch>
                        </pic:blipFill>
                        <pic:spPr>
                          <a:xfrm>
                            <a:off x="0" y="0"/>
                            <a:ext cx="2011679" cy="438784"/>
                          </a:xfrm>
                          <a:prstGeom prst="rect">
                            <a:avLst/>
                          </a:prstGeom>
                        </pic:spPr>
                      </pic:pic>
                    </a:graphicData>
                  </a:graphic>
                </wp:inline>
              </w:drawing>
            </w:r>
          </w:p>
          <w:p w14:paraId="64B3A4BA">
            <w:pPr>
              <w:spacing w:before="142" w:line="271" w:lineRule="exact"/>
              <w:ind w:firstLine="3104"/>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drawing>
                <wp:inline distT="0" distB="0" distL="0" distR="0">
                  <wp:extent cx="1363980" cy="171450"/>
                  <wp:effectExtent l="0" t="0" r="7620" b="0"/>
                  <wp:docPr id="20" name="IM 10"/>
                  <wp:cNvGraphicFramePr/>
                  <a:graphic xmlns:a="http://schemas.openxmlformats.org/drawingml/2006/main">
                    <a:graphicData uri="http://schemas.openxmlformats.org/drawingml/2006/picture">
                      <pic:pic xmlns:pic="http://schemas.openxmlformats.org/drawingml/2006/picture">
                        <pic:nvPicPr>
                          <pic:cNvPr id="20" name="IM 10"/>
                          <pic:cNvPicPr/>
                        </pic:nvPicPr>
                        <pic:blipFill>
                          <a:blip r:embed="rId26"/>
                          <a:stretch>
                            <a:fillRect/>
                          </a:stretch>
                        </pic:blipFill>
                        <pic:spPr>
                          <a:xfrm>
                            <a:off x="0" y="0"/>
                            <a:ext cx="1363980" cy="172084"/>
                          </a:xfrm>
                          <a:prstGeom prst="rect">
                            <a:avLst/>
                          </a:prstGeom>
                        </pic:spPr>
                      </pic:pic>
                    </a:graphicData>
                  </a:graphic>
                </wp:inline>
              </w:drawing>
            </w:r>
          </w:p>
          <w:p w14:paraId="62983029">
            <w:pPr>
              <w:pStyle w:val="8"/>
              <w:spacing w:before="176" w:line="219" w:lineRule="auto"/>
              <w:ind w:left="522"/>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式中：S</w:t>
            </w:r>
            <w:r>
              <w:rPr>
                <w:rFonts w:hint="default" w:ascii="Times New Roman" w:hAnsi="Times New Roman" w:eastAsia="宋体" w:cs="Times New Roman"/>
                <w:snapToGrid w:val="0"/>
                <w:color w:val="auto"/>
                <w:spacing w:val="6"/>
                <w:kern w:val="0"/>
                <w:position w:val="2"/>
                <w:sz w:val="24"/>
                <w:szCs w:val="24"/>
                <w:highlight w:val="none"/>
                <w:vertAlign w:val="subscript"/>
                <w:lang w:val="en-US" w:eastAsia="en-US" w:bidi="ar-SA"/>
              </w:rPr>
              <w:t>DO,j</w:t>
            </w:r>
            <w:r>
              <w:rPr>
                <w:rFonts w:hint="default" w:ascii="Times New Roman" w:hAnsi="Times New Roman" w:eastAsia="宋体" w:cs="Times New Roman"/>
                <w:snapToGrid w:val="0"/>
                <w:color w:val="auto"/>
                <w:spacing w:val="6"/>
                <w:kern w:val="0"/>
                <w:position w:val="2"/>
                <w:sz w:val="24"/>
                <w:szCs w:val="24"/>
                <w:highlight w:val="none"/>
                <w:lang w:val="en-US" w:eastAsia="en-US" w:bidi="ar-SA"/>
              </w:rPr>
              <w:t>——溶解氧标准指数；</w:t>
            </w:r>
          </w:p>
          <w:p w14:paraId="1A6D0491">
            <w:pPr>
              <w:pStyle w:val="8"/>
              <w:spacing w:before="180" w:line="219" w:lineRule="auto"/>
              <w:ind w:left="501" w:firstLine="756" w:firstLineChars="3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DO</w:t>
            </w:r>
            <w:r>
              <w:rPr>
                <w:rFonts w:hint="default" w:ascii="Times New Roman" w:hAnsi="Times New Roman" w:eastAsia="宋体" w:cs="Times New Roman"/>
                <w:snapToGrid w:val="0"/>
                <w:color w:val="auto"/>
                <w:spacing w:val="6"/>
                <w:kern w:val="0"/>
                <w:position w:val="2"/>
                <w:sz w:val="24"/>
                <w:szCs w:val="24"/>
                <w:highlight w:val="none"/>
                <w:vertAlign w:val="subscript"/>
                <w:lang w:val="en-US" w:eastAsia="en-US" w:bidi="ar-SA"/>
              </w:rPr>
              <w:t>j</w:t>
            </w:r>
            <w:r>
              <w:rPr>
                <w:rFonts w:hint="default" w:ascii="Times New Roman" w:hAnsi="Times New Roman" w:eastAsia="宋体" w:cs="Times New Roman"/>
                <w:snapToGrid w:val="0"/>
                <w:color w:val="auto"/>
                <w:spacing w:val="6"/>
                <w:kern w:val="0"/>
                <w:position w:val="2"/>
                <w:sz w:val="24"/>
                <w:szCs w:val="24"/>
                <w:highlight w:val="none"/>
                <w:lang w:val="en-US" w:eastAsia="en-US" w:bidi="ar-SA"/>
              </w:rPr>
              <w:t>——溶解氧实测值；</w:t>
            </w:r>
          </w:p>
          <w:p w14:paraId="5CF59DF6">
            <w:pPr>
              <w:pStyle w:val="8"/>
              <w:spacing w:before="183" w:line="234" w:lineRule="auto"/>
              <w:ind w:left="501" w:firstLine="756" w:firstLineChars="3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DOs——溶解氧标准值；</w:t>
            </w:r>
          </w:p>
          <w:p w14:paraId="46635831">
            <w:pPr>
              <w:pStyle w:val="8"/>
              <w:spacing w:before="161" w:line="219" w:lineRule="auto"/>
              <w:ind w:left="501" w:firstLine="756" w:firstLineChars="3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DO</w:t>
            </w:r>
            <w:r>
              <w:rPr>
                <w:rFonts w:hint="default" w:ascii="Times New Roman" w:hAnsi="Times New Roman" w:eastAsia="宋体" w:cs="Times New Roman"/>
                <w:snapToGrid w:val="0"/>
                <w:color w:val="auto"/>
                <w:spacing w:val="6"/>
                <w:kern w:val="0"/>
                <w:position w:val="2"/>
                <w:sz w:val="24"/>
                <w:szCs w:val="24"/>
                <w:highlight w:val="none"/>
                <w:vertAlign w:val="subscript"/>
                <w:lang w:val="en-US" w:eastAsia="en-US" w:bidi="ar-SA"/>
              </w:rPr>
              <w:t>f</w:t>
            </w:r>
            <w:r>
              <w:rPr>
                <w:rFonts w:hint="default" w:ascii="Times New Roman" w:hAnsi="Times New Roman" w:eastAsia="宋体" w:cs="Times New Roman"/>
                <w:snapToGrid w:val="0"/>
                <w:color w:val="auto"/>
                <w:spacing w:val="6"/>
                <w:kern w:val="0"/>
                <w:position w:val="2"/>
                <w:sz w:val="24"/>
                <w:szCs w:val="24"/>
                <w:highlight w:val="none"/>
                <w:lang w:val="en-US" w:eastAsia="en-US" w:bidi="ar-SA"/>
              </w:rPr>
              <w:t>——某水温、气压条件下的饱和溶解氧浓度；</w:t>
            </w:r>
          </w:p>
          <w:p w14:paraId="7B9773D7">
            <w:pPr>
              <w:pStyle w:val="8"/>
              <w:spacing w:before="183" w:line="220" w:lineRule="auto"/>
              <w:ind w:left="515" w:firstLine="756" w:firstLineChars="30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T——水温。</w:t>
            </w:r>
          </w:p>
          <w:p w14:paraId="70851C18">
            <w:pPr>
              <w:pStyle w:val="8"/>
              <w:spacing w:before="179" w:line="233" w:lineRule="auto"/>
              <w:ind w:left="34" w:firstLine="504" w:firstLineChars="200"/>
              <w:outlineLvl w:val="1"/>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eastAsia" w:ascii="Times New Roman" w:hAnsi="Times New Roman" w:eastAsia="宋体" w:cs="Times New Roman"/>
                <w:snapToGrid w:val="0"/>
                <w:color w:val="auto"/>
                <w:spacing w:val="6"/>
                <w:kern w:val="0"/>
                <w:position w:val="2"/>
                <w:sz w:val="24"/>
                <w:szCs w:val="24"/>
                <w:highlight w:val="none"/>
                <w:lang w:val="en-US" w:eastAsia="zh-CN" w:bidi="ar-SA"/>
              </w:rPr>
              <w:t>（5）</w:t>
            </w:r>
            <w:r>
              <w:rPr>
                <w:rFonts w:hint="default" w:ascii="Times New Roman" w:hAnsi="Times New Roman" w:eastAsia="宋体" w:cs="Times New Roman"/>
                <w:snapToGrid w:val="0"/>
                <w:color w:val="auto"/>
                <w:spacing w:val="6"/>
                <w:kern w:val="0"/>
                <w:position w:val="2"/>
                <w:sz w:val="24"/>
                <w:szCs w:val="24"/>
                <w:highlight w:val="none"/>
                <w:lang w:val="en-US" w:eastAsia="en-US" w:bidi="ar-SA"/>
              </w:rPr>
              <w:t>监测及评价结果</w:t>
            </w:r>
          </w:p>
          <w:p w14:paraId="15606098">
            <w:pPr>
              <w:spacing w:before="166" w:line="218" w:lineRule="auto"/>
              <w:ind w:left="520"/>
              <w:rPr>
                <w:rFonts w:hint="default" w:ascii="Times New Roman" w:hAnsi="Times New Roman" w:eastAsia="宋体" w:cs="Times New Roman"/>
                <w:snapToGrid w:val="0"/>
                <w:color w:val="auto"/>
                <w:spacing w:val="6"/>
                <w:kern w:val="0"/>
                <w:position w:val="2"/>
                <w:sz w:val="24"/>
                <w:szCs w:val="24"/>
                <w:highlight w:val="none"/>
                <w:lang w:val="en-US" w:eastAsia="en-US" w:bidi="ar-SA"/>
              </w:rPr>
            </w:pPr>
            <w:r>
              <w:rPr>
                <w:rFonts w:hint="default" w:ascii="Times New Roman" w:hAnsi="Times New Roman" w:eastAsia="宋体" w:cs="Times New Roman"/>
                <w:snapToGrid w:val="0"/>
                <w:color w:val="auto"/>
                <w:spacing w:val="6"/>
                <w:kern w:val="0"/>
                <w:position w:val="2"/>
                <w:sz w:val="24"/>
                <w:szCs w:val="24"/>
                <w:highlight w:val="none"/>
                <w:lang w:val="en-US" w:eastAsia="en-US" w:bidi="ar-SA"/>
              </w:rPr>
              <w:t>各监测点监测及评价结果见下表。</w:t>
            </w:r>
          </w:p>
          <w:p w14:paraId="6335DA9B">
            <w:pPr>
              <w:pStyle w:val="8"/>
              <w:spacing w:line="240" w:lineRule="auto"/>
              <w:ind w:left="0"/>
              <w:jc w:val="center"/>
              <w:outlineLvl w:val="2"/>
              <w:rPr>
                <w:rFonts w:ascii="黑体" w:hAnsi="黑体" w:eastAsia="黑体" w:cs="黑体"/>
                <w:color w:val="auto"/>
                <w:highlight w:val="none"/>
              </w:rPr>
            </w:pPr>
            <w:r>
              <w:rPr>
                <w:rFonts w:ascii="黑体" w:hAnsi="黑体" w:eastAsia="黑体" w:cs="黑体"/>
                <w:color w:val="auto"/>
                <w:spacing w:val="-1"/>
                <w:highlight w:val="none"/>
              </w:rPr>
              <w:t>表</w:t>
            </w:r>
            <w:r>
              <w:rPr>
                <w:rFonts w:hint="eastAsia" w:ascii="黑体" w:hAnsi="黑体" w:eastAsia="黑体" w:cs="黑体"/>
                <w:color w:val="auto"/>
                <w:spacing w:val="-1"/>
                <w:highlight w:val="none"/>
                <w:lang w:val="en-US" w:eastAsia="zh-CN"/>
              </w:rPr>
              <w:t>3-4</w:t>
            </w:r>
            <w:r>
              <w:rPr>
                <w:color w:val="auto"/>
                <w:spacing w:val="-1"/>
                <w:highlight w:val="none"/>
              </w:rPr>
              <w:t xml:space="preserve">   </w:t>
            </w:r>
            <w:r>
              <w:rPr>
                <w:rFonts w:ascii="黑体" w:hAnsi="黑体" w:eastAsia="黑体" w:cs="黑体"/>
                <w:color w:val="auto"/>
                <w:spacing w:val="-1"/>
                <w:highlight w:val="none"/>
              </w:rPr>
              <w:t>塔西河地表水断面水质监测及评价结果一览表</w:t>
            </w:r>
          </w:p>
          <w:tbl>
            <w:tblPr>
              <w:tblStyle w:val="24"/>
              <w:tblW w:w="834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28"/>
              <w:gridCol w:w="2"/>
              <w:gridCol w:w="1623"/>
              <w:gridCol w:w="2"/>
              <w:gridCol w:w="1060"/>
              <w:gridCol w:w="2"/>
              <w:gridCol w:w="1072"/>
              <w:gridCol w:w="1"/>
              <w:gridCol w:w="1073"/>
              <w:gridCol w:w="46"/>
              <w:gridCol w:w="1027"/>
              <w:gridCol w:w="1"/>
              <w:gridCol w:w="1074"/>
              <w:gridCol w:w="1029"/>
            </w:tblGrid>
            <w:tr w14:paraId="76A8E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328" w:type="dxa"/>
                  <w:vMerge w:val="restart"/>
                  <w:tcBorders>
                    <w:top w:val="single" w:color="000000" w:sz="10" w:space="0"/>
                    <w:left w:val="single" w:color="000000" w:sz="10" w:space="0"/>
                    <w:bottom w:val="nil"/>
                  </w:tcBorders>
                  <w:textDirection w:val="tbRlV"/>
                  <w:vAlign w:val="top"/>
                </w:tcPr>
                <w:p w14:paraId="43AEB3C2">
                  <w:pPr>
                    <w:pStyle w:val="25"/>
                    <w:spacing w:before="54" w:line="211" w:lineRule="auto"/>
                    <w:ind w:left="43"/>
                    <w:rPr>
                      <w:color w:val="auto"/>
                      <w:highlight w:val="none"/>
                    </w:rPr>
                  </w:pPr>
                  <w:r>
                    <w:rPr>
                      <w:color w:val="auto"/>
                      <w:spacing w:val="31"/>
                      <w:highlight w:val="none"/>
                    </w:rPr>
                    <w:t>序号</w:t>
                  </w:r>
                </w:p>
              </w:tc>
              <w:tc>
                <w:tcPr>
                  <w:tcW w:w="1625" w:type="dxa"/>
                  <w:gridSpan w:val="2"/>
                  <w:vMerge w:val="restart"/>
                  <w:tcBorders>
                    <w:top w:val="single" w:color="000000" w:sz="10" w:space="0"/>
                    <w:bottom w:val="nil"/>
                  </w:tcBorders>
                  <w:vAlign w:val="top"/>
                </w:tcPr>
                <w:p w14:paraId="2F5B9283">
                  <w:pPr>
                    <w:pStyle w:val="25"/>
                    <w:spacing w:before="177" w:line="221" w:lineRule="auto"/>
                    <w:ind w:left="385"/>
                    <w:rPr>
                      <w:color w:val="auto"/>
                      <w:highlight w:val="none"/>
                    </w:rPr>
                  </w:pPr>
                  <w:r>
                    <w:rPr>
                      <w:color w:val="auto"/>
                      <w:spacing w:val="-2"/>
                      <w:highlight w:val="none"/>
                    </w:rPr>
                    <w:t>监测项目</w:t>
                  </w:r>
                </w:p>
              </w:tc>
              <w:tc>
                <w:tcPr>
                  <w:tcW w:w="1062" w:type="dxa"/>
                  <w:gridSpan w:val="2"/>
                  <w:vMerge w:val="restart"/>
                  <w:tcBorders>
                    <w:top w:val="single" w:color="000000" w:sz="10" w:space="0"/>
                    <w:bottom w:val="nil"/>
                  </w:tcBorders>
                  <w:vAlign w:val="top"/>
                </w:tcPr>
                <w:p w14:paraId="336B17C4">
                  <w:pPr>
                    <w:pStyle w:val="25"/>
                    <w:spacing w:before="177" w:line="221" w:lineRule="auto"/>
                    <w:ind w:left="319"/>
                    <w:rPr>
                      <w:color w:val="auto"/>
                      <w:highlight w:val="none"/>
                    </w:rPr>
                  </w:pPr>
                  <w:r>
                    <w:rPr>
                      <w:color w:val="auto"/>
                      <w:spacing w:val="-2"/>
                      <w:highlight w:val="none"/>
                    </w:rPr>
                    <w:t>单位</w:t>
                  </w:r>
                </w:p>
              </w:tc>
              <w:tc>
                <w:tcPr>
                  <w:tcW w:w="2194" w:type="dxa"/>
                  <w:gridSpan w:val="5"/>
                  <w:tcBorders>
                    <w:top w:val="single" w:color="000000" w:sz="10" w:space="0"/>
                  </w:tcBorders>
                  <w:vAlign w:val="top"/>
                </w:tcPr>
                <w:p w14:paraId="4C3EA51A">
                  <w:pPr>
                    <w:pStyle w:val="25"/>
                    <w:spacing w:before="33" w:line="211" w:lineRule="auto"/>
                    <w:ind w:left="680"/>
                    <w:rPr>
                      <w:color w:val="auto"/>
                      <w:highlight w:val="none"/>
                    </w:rPr>
                  </w:pPr>
                  <w:r>
                    <w:rPr>
                      <w:color w:val="auto"/>
                      <w:spacing w:val="-2"/>
                      <w:highlight w:val="none"/>
                    </w:rPr>
                    <w:t>监测结果</w:t>
                  </w:r>
                </w:p>
              </w:tc>
              <w:tc>
                <w:tcPr>
                  <w:tcW w:w="2102" w:type="dxa"/>
                  <w:gridSpan w:val="3"/>
                  <w:tcBorders>
                    <w:top w:val="single" w:color="000000" w:sz="10" w:space="0"/>
                  </w:tcBorders>
                  <w:vAlign w:val="top"/>
                </w:tcPr>
                <w:p w14:paraId="056B70E1">
                  <w:pPr>
                    <w:pStyle w:val="25"/>
                    <w:spacing w:before="33" w:line="211" w:lineRule="auto"/>
                    <w:ind w:left="762"/>
                    <w:rPr>
                      <w:color w:val="auto"/>
                      <w:highlight w:val="none"/>
                    </w:rPr>
                  </w:pPr>
                  <w:r>
                    <w:rPr>
                      <w:color w:val="auto"/>
                      <w:spacing w:val="-1"/>
                      <w:highlight w:val="none"/>
                    </w:rPr>
                    <w:t>评价结果</w:t>
                  </w:r>
                </w:p>
              </w:tc>
              <w:tc>
                <w:tcPr>
                  <w:tcW w:w="1029" w:type="dxa"/>
                  <w:vMerge w:val="restart"/>
                  <w:tcBorders>
                    <w:top w:val="single" w:color="000000" w:sz="10" w:space="0"/>
                    <w:bottom w:val="nil"/>
                    <w:right w:val="single" w:color="000000" w:sz="10" w:space="0"/>
                  </w:tcBorders>
                  <w:vAlign w:val="top"/>
                </w:tcPr>
                <w:p w14:paraId="1876B0D2">
                  <w:pPr>
                    <w:pStyle w:val="25"/>
                    <w:spacing w:before="42" w:line="228" w:lineRule="auto"/>
                    <w:ind w:left="187" w:right="60" w:hanging="70"/>
                    <w:rPr>
                      <w:color w:val="auto"/>
                      <w:highlight w:val="none"/>
                    </w:rPr>
                  </w:pPr>
                  <w:r>
                    <w:rPr>
                      <w:color w:val="auto"/>
                      <w:spacing w:val="-14"/>
                      <w:highlight w:val="none"/>
                    </w:rPr>
                    <w:t>Ⅱ类标</w:t>
                  </w:r>
                  <w:r>
                    <w:rPr>
                      <w:color w:val="auto"/>
                      <w:spacing w:val="-2"/>
                      <w:highlight w:val="none"/>
                    </w:rPr>
                    <w:t>准值</w:t>
                  </w:r>
                </w:p>
              </w:tc>
            </w:tr>
            <w:tr w14:paraId="1090C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vMerge w:val="continue"/>
                  <w:tcBorders>
                    <w:top w:val="nil"/>
                    <w:left w:val="single" w:color="000000" w:sz="10" w:space="0"/>
                  </w:tcBorders>
                  <w:textDirection w:val="tbRlV"/>
                  <w:vAlign w:val="top"/>
                </w:tcPr>
                <w:p w14:paraId="6149021C">
                  <w:pPr>
                    <w:rPr>
                      <w:rFonts w:ascii="Arial"/>
                      <w:color w:val="auto"/>
                      <w:sz w:val="21"/>
                      <w:highlight w:val="none"/>
                    </w:rPr>
                  </w:pPr>
                </w:p>
              </w:tc>
              <w:tc>
                <w:tcPr>
                  <w:tcW w:w="1625" w:type="dxa"/>
                  <w:gridSpan w:val="2"/>
                  <w:vMerge w:val="continue"/>
                  <w:tcBorders>
                    <w:top w:val="nil"/>
                  </w:tcBorders>
                  <w:vAlign w:val="top"/>
                </w:tcPr>
                <w:p w14:paraId="470A11BD">
                  <w:pPr>
                    <w:rPr>
                      <w:rFonts w:ascii="Arial"/>
                      <w:color w:val="auto"/>
                      <w:sz w:val="21"/>
                      <w:highlight w:val="none"/>
                    </w:rPr>
                  </w:pPr>
                </w:p>
              </w:tc>
              <w:tc>
                <w:tcPr>
                  <w:tcW w:w="1062" w:type="dxa"/>
                  <w:gridSpan w:val="2"/>
                  <w:vMerge w:val="continue"/>
                  <w:tcBorders>
                    <w:top w:val="nil"/>
                  </w:tcBorders>
                  <w:vAlign w:val="top"/>
                </w:tcPr>
                <w:p w14:paraId="158B1DAD">
                  <w:pPr>
                    <w:rPr>
                      <w:rFonts w:ascii="Arial"/>
                      <w:color w:val="auto"/>
                      <w:sz w:val="21"/>
                      <w:highlight w:val="none"/>
                    </w:rPr>
                  </w:pPr>
                </w:p>
              </w:tc>
              <w:tc>
                <w:tcPr>
                  <w:tcW w:w="1074" w:type="dxa"/>
                  <w:gridSpan w:val="2"/>
                  <w:vAlign w:val="top"/>
                </w:tcPr>
                <w:p w14:paraId="4CB45805">
                  <w:pPr>
                    <w:pStyle w:val="25"/>
                    <w:spacing w:before="28" w:line="210" w:lineRule="auto"/>
                    <w:ind w:left="22"/>
                    <w:rPr>
                      <w:color w:val="auto"/>
                      <w:highlight w:val="none"/>
                    </w:rPr>
                  </w:pPr>
                  <w:r>
                    <w:rPr>
                      <w:color w:val="auto"/>
                      <w:spacing w:val="-2"/>
                      <w:highlight w:val="none"/>
                    </w:rPr>
                    <w:t>石门子断面</w:t>
                  </w:r>
                </w:p>
              </w:tc>
              <w:tc>
                <w:tcPr>
                  <w:tcW w:w="1074" w:type="dxa"/>
                  <w:gridSpan w:val="2"/>
                  <w:vAlign w:val="top"/>
                </w:tcPr>
                <w:p w14:paraId="6732E4F7">
                  <w:pPr>
                    <w:pStyle w:val="25"/>
                    <w:spacing w:before="28" w:line="210" w:lineRule="auto"/>
                    <w:ind w:left="37"/>
                    <w:rPr>
                      <w:color w:val="auto"/>
                      <w:highlight w:val="none"/>
                    </w:rPr>
                  </w:pPr>
                  <w:r>
                    <w:rPr>
                      <w:color w:val="auto"/>
                      <w:spacing w:val="-3"/>
                      <w:highlight w:val="none"/>
                    </w:rPr>
                    <w:t>马家庄断面</w:t>
                  </w:r>
                </w:p>
              </w:tc>
              <w:tc>
                <w:tcPr>
                  <w:tcW w:w="1074" w:type="dxa"/>
                  <w:gridSpan w:val="3"/>
                  <w:vAlign w:val="top"/>
                </w:tcPr>
                <w:p w14:paraId="3480E835">
                  <w:pPr>
                    <w:pStyle w:val="25"/>
                    <w:spacing w:line="240" w:lineRule="auto"/>
                    <w:ind w:left="0"/>
                    <w:rPr>
                      <w:color w:val="auto"/>
                      <w:highlight w:val="none"/>
                    </w:rPr>
                  </w:pPr>
                  <w:r>
                    <w:rPr>
                      <w:color w:val="auto"/>
                      <w:spacing w:val="-2"/>
                      <w:highlight w:val="none"/>
                    </w:rPr>
                    <w:t>石门子断面</w:t>
                  </w:r>
                </w:p>
              </w:tc>
              <w:tc>
                <w:tcPr>
                  <w:tcW w:w="1074" w:type="dxa"/>
                  <w:vAlign w:val="top"/>
                </w:tcPr>
                <w:p w14:paraId="2425B221">
                  <w:pPr>
                    <w:pStyle w:val="25"/>
                    <w:spacing w:before="28" w:line="210" w:lineRule="auto"/>
                    <w:ind w:left="75"/>
                    <w:rPr>
                      <w:color w:val="auto"/>
                      <w:highlight w:val="none"/>
                    </w:rPr>
                  </w:pPr>
                  <w:r>
                    <w:rPr>
                      <w:color w:val="auto"/>
                      <w:spacing w:val="-3"/>
                      <w:highlight w:val="none"/>
                    </w:rPr>
                    <w:t>马家庄断面</w:t>
                  </w:r>
                </w:p>
              </w:tc>
              <w:tc>
                <w:tcPr>
                  <w:tcW w:w="1029" w:type="dxa"/>
                  <w:vMerge w:val="continue"/>
                  <w:tcBorders>
                    <w:top w:val="nil"/>
                    <w:right w:val="single" w:color="000000" w:sz="10" w:space="0"/>
                  </w:tcBorders>
                  <w:vAlign w:val="top"/>
                </w:tcPr>
                <w:p w14:paraId="20082F6A">
                  <w:pPr>
                    <w:rPr>
                      <w:rFonts w:ascii="Arial"/>
                      <w:color w:val="auto"/>
                      <w:sz w:val="21"/>
                      <w:highlight w:val="none"/>
                    </w:rPr>
                  </w:pPr>
                </w:p>
              </w:tc>
            </w:tr>
            <w:tr w14:paraId="678A6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328" w:type="dxa"/>
                  <w:tcBorders>
                    <w:left w:val="single" w:color="000000" w:sz="10" w:space="0"/>
                  </w:tcBorders>
                  <w:vAlign w:val="top"/>
                </w:tcPr>
                <w:p w14:paraId="37A55F47">
                  <w:pPr>
                    <w:spacing w:before="60" w:line="203" w:lineRule="auto"/>
                    <w:ind w:left="12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1625" w:type="dxa"/>
                  <w:gridSpan w:val="2"/>
                  <w:vAlign w:val="top"/>
                </w:tcPr>
                <w:p w14:paraId="7762524C">
                  <w:pPr>
                    <w:pStyle w:val="25"/>
                    <w:spacing w:before="28" w:line="208" w:lineRule="auto"/>
                    <w:ind w:left="598"/>
                    <w:rPr>
                      <w:color w:val="auto"/>
                      <w:highlight w:val="none"/>
                    </w:rPr>
                  </w:pPr>
                  <w:r>
                    <w:rPr>
                      <w:color w:val="auto"/>
                      <w:spacing w:val="-3"/>
                      <w:highlight w:val="none"/>
                    </w:rPr>
                    <w:t>水温</w:t>
                  </w:r>
                </w:p>
              </w:tc>
              <w:tc>
                <w:tcPr>
                  <w:tcW w:w="1062" w:type="dxa"/>
                  <w:gridSpan w:val="2"/>
                  <w:vAlign w:val="top"/>
                </w:tcPr>
                <w:p w14:paraId="17CA46CA">
                  <w:pPr>
                    <w:pStyle w:val="25"/>
                    <w:spacing w:before="28" w:line="208" w:lineRule="auto"/>
                    <w:ind w:left="439"/>
                    <w:rPr>
                      <w:color w:val="auto"/>
                      <w:highlight w:val="none"/>
                    </w:rPr>
                  </w:pPr>
                  <w:r>
                    <w:rPr>
                      <w:color w:val="auto"/>
                      <w:highlight w:val="none"/>
                    </w:rPr>
                    <w:t>℃</w:t>
                  </w:r>
                </w:p>
              </w:tc>
              <w:tc>
                <w:tcPr>
                  <w:tcW w:w="1074" w:type="dxa"/>
                  <w:gridSpan w:val="2"/>
                  <w:vAlign w:val="top"/>
                </w:tcPr>
                <w:p w14:paraId="0951F767">
                  <w:pPr>
                    <w:spacing w:before="60" w:line="203" w:lineRule="auto"/>
                    <w:ind w:left="37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10.2</w:t>
                  </w:r>
                </w:p>
              </w:tc>
              <w:tc>
                <w:tcPr>
                  <w:tcW w:w="1074" w:type="dxa"/>
                  <w:gridSpan w:val="2"/>
                  <w:vAlign w:val="top"/>
                </w:tcPr>
                <w:p w14:paraId="76446F56">
                  <w:pPr>
                    <w:spacing w:before="60" w:line="203" w:lineRule="auto"/>
                    <w:ind w:left="38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10.6</w:t>
                  </w:r>
                </w:p>
              </w:tc>
              <w:tc>
                <w:tcPr>
                  <w:tcW w:w="1074" w:type="dxa"/>
                  <w:gridSpan w:val="3"/>
                  <w:vAlign w:val="top"/>
                </w:tcPr>
                <w:p w14:paraId="00BD62EE">
                  <w:pPr>
                    <w:spacing w:before="60" w:line="203" w:lineRule="auto"/>
                    <w:ind w:left="56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074" w:type="dxa"/>
                  <w:vAlign w:val="top"/>
                </w:tcPr>
                <w:p w14:paraId="07D80A70">
                  <w:pPr>
                    <w:spacing w:before="60" w:line="203" w:lineRule="auto"/>
                    <w:ind w:left="55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029" w:type="dxa"/>
                  <w:tcBorders>
                    <w:right w:val="single" w:color="000000" w:sz="10" w:space="0"/>
                  </w:tcBorders>
                  <w:vAlign w:val="top"/>
                </w:tcPr>
                <w:p w14:paraId="2E00EE19">
                  <w:pPr>
                    <w:spacing w:before="60" w:line="203" w:lineRule="auto"/>
                    <w:ind w:left="35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r>
            <w:tr w14:paraId="74BE4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2935244C">
                  <w:pPr>
                    <w:spacing w:before="63" w:line="202" w:lineRule="auto"/>
                    <w:ind w:left="101"/>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2</w:t>
                  </w:r>
                </w:p>
              </w:tc>
              <w:tc>
                <w:tcPr>
                  <w:tcW w:w="1625" w:type="dxa"/>
                  <w:gridSpan w:val="2"/>
                  <w:vAlign w:val="top"/>
                </w:tcPr>
                <w:p w14:paraId="15712C33">
                  <w:pPr>
                    <w:pStyle w:val="25"/>
                    <w:spacing w:before="31" w:line="207" w:lineRule="auto"/>
                    <w:ind w:left="515"/>
                    <w:rPr>
                      <w:color w:val="auto"/>
                      <w:highlight w:val="none"/>
                    </w:rPr>
                  </w:pPr>
                  <w:r>
                    <w:rPr>
                      <w:color w:val="auto"/>
                      <w:spacing w:val="-7"/>
                      <w:highlight w:val="none"/>
                    </w:rPr>
                    <w:t>电导率</w:t>
                  </w:r>
                </w:p>
              </w:tc>
              <w:tc>
                <w:tcPr>
                  <w:tcW w:w="1062" w:type="dxa"/>
                  <w:gridSpan w:val="2"/>
                  <w:vAlign w:val="top"/>
                </w:tcPr>
                <w:p w14:paraId="65AA1A5F">
                  <w:pPr>
                    <w:spacing w:before="63" w:line="202" w:lineRule="auto"/>
                    <w:ind w:left="24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ms/cm</w:t>
                  </w:r>
                </w:p>
              </w:tc>
              <w:tc>
                <w:tcPr>
                  <w:tcW w:w="1074" w:type="dxa"/>
                  <w:gridSpan w:val="2"/>
                  <w:vAlign w:val="top"/>
                </w:tcPr>
                <w:p w14:paraId="4B597AFC">
                  <w:pPr>
                    <w:spacing w:before="63" w:line="202" w:lineRule="auto"/>
                    <w:ind w:left="38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321</w:t>
                  </w:r>
                </w:p>
              </w:tc>
              <w:tc>
                <w:tcPr>
                  <w:tcW w:w="1074" w:type="dxa"/>
                  <w:gridSpan w:val="2"/>
                  <w:vAlign w:val="top"/>
                </w:tcPr>
                <w:p w14:paraId="04E34EA2">
                  <w:pPr>
                    <w:spacing w:before="63" w:line="202" w:lineRule="auto"/>
                    <w:ind w:left="39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207</w:t>
                  </w:r>
                </w:p>
              </w:tc>
              <w:tc>
                <w:tcPr>
                  <w:tcW w:w="1074" w:type="dxa"/>
                  <w:gridSpan w:val="3"/>
                  <w:vAlign w:val="top"/>
                </w:tcPr>
                <w:p w14:paraId="430008A9">
                  <w:pPr>
                    <w:spacing w:before="63" w:line="202" w:lineRule="auto"/>
                    <w:ind w:left="56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074" w:type="dxa"/>
                  <w:vAlign w:val="top"/>
                </w:tcPr>
                <w:p w14:paraId="0C6851FC">
                  <w:pPr>
                    <w:spacing w:before="63" w:line="202" w:lineRule="auto"/>
                    <w:ind w:left="55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029" w:type="dxa"/>
                  <w:tcBorders>
                    <w:right w:val="single" w:color="000000" w:sz="10" w:space="0"/>
                  </w:tcBorders>
                  <w:vAlign w:val="top"/>
                </w:tcPr>
                <w:p w14:paraId="3829DED6">
                  <w:pPr>
                    <w:spacing w:before="63" w:line="202" w:lineRule="auto"/>
                    <w:ind w:left="35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r>
            <w:tr w14:paraId="7871B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6EFCF75F">
                  <w:pPr>
                    <w:spacing w:before="62" w:line="203" w:lineRule="auto"/>
                    <w:ind w:left="10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3</w:t>
                  </w:r>
                </w:p>
              </w:tc>
              <w:tc>
                <w:tcPr>
                  <w:tcW w:w="1625" w:type="dxa"/>
                  <w:gridSpan w:val="2"/>
                  <w:vAlign w:val="top"/>
                </w:tcPr>
                <w:p w14:paraId="570F7574">
                  <w:pPr>
                    <w:pStyle w:val="25"/>
                    <w:spacing w:before="30" w:line="208" w:lineRule="auto"/>
                    <w:ind w:left="492"/>
                    <w:rPr>
                      <w:color w:val="auto"/>
                      <w:highlight w:val="none"/>
                    </w:rPr>
                  </w:pPr>
                  <w:r>
                    <w:rPr>
                      <w:color w:val="auto"/>
                      <w:spacing w:val="-2"/>
                      <w:highlight w:val="none"/>
                    </w:rPr>
                    <w:t>浑浊度</w:t>
                  </w:r>
                </w:p>
              </w:tc>
              <w:tc>
                <w:tcPr>
                  <w:tcW w:w="1062" w:type="dxa"/>
                  <w:gridSpan w:val="2"/>
                  <w:vAlign w:val="top"/>
                </w:tcPr>
                <w:p w14:paraId="168642A1">
                  <w:pPr>
                    <w:spacing w:before="69" w:line="184" w:lineRule="auto"/>
                    <w:ind w:left="30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NTU</w:t>
                  </w:r>
                </w:p>
              </w:tc>
              <w:tc>
                <w:tcPr>
                  <w:tcW w:w="1074" w:type="dxa"/>
                  <w:gridSpan w:val="2"/>
                  <w:vAlign w:val="top"/>
                </w:tcPr>
                <w:p w14:paraId="54D8BCDD">
                  <w:pPr>
                    <w:pStyle w:val="25"/>
                    <w:spacing w:before="30" w:line="208" w:lineRule="auto"/>
                    <w:ind w:left="325"/>
                    <w:rPr>
                      <w:rFonts w:ascii="Times New Roman" w:hAnsi="Times New Roman" w:eastAsia="Times New Roman" w:cs="Times New Roman"/>
                      <w:color w:val="auto"/>
                      <w:highlight w:val="none"/>
                    </w:rPr>
                  </w:pPr>
                  <w:r>
                    <w:rPr>
                      <w:color w:val="auto"/>
                      <w:spacing w:val="20"/>
                      <w:highlight w:val="none"/>
                    </w:rPr>
                    <w:t>&lt;</w:t>
                  </w:r>
                  <w:r>
                    <w:rPr>
                      <w:rFonts w:ascii="Times New Roman" w:hAnsi="Times New Roman" w:eastAsia="Times New Roman" w:cs="Times New Roman"/>
                      <w:color w:val="auto"/>
                      <w:spacing w:val="20"/>
                      <w:highlight w:val="none"/>
                    </w:rPr>
                    <w:t>0.5</w:t>
                  </w:r>
                </w:p>
              </w:tc>
              <w:tc>
                <w:tcPr>
                  <w:tcW w:w="1074" w:type="dxa"/>
                  <w:gridSpan w:val="2"/>
                  <w:vAlign w:val="top"/>
                </w:tcPr>
                <w:p w14:paraId="64624B42">
                  <w:pPr>
                    <w:pStyle w:val="25"/>
                    <w:spacing w:before="30" w:line="208" w:lineRule="auto"/>
                    <w:ind w:left="334"/>
                    <w:rPr>
                      <w:rFonts w:ascii="Times New Roman" w:hAnsi="Times New Roman" w:eastAsia="Times New Roman" w:cs="Times New Roman"/>
                      <w:color w:val="auto"/>
                      <w:highlight w:val="none"/>
                    </w:rPr>
                  </w:pPr>
                  <w:r>
                    <w:rPr>
                      <w:color w:val="auto"/>
                      <w:spacing w:val="20"/>
                      <w:highlight w:val="none"/>
                    </w:rPr>
                    <w:t>&lt;</w:t>
                  </w:r>
                  <w:r>
                    <w:rPr>
                      <w:rFonts w:ascii="Times New Roman" w:hAnsi="Times New Roman" w:eastAsia="Times New Roman" w:cs="Times New Roman"/>
                      <w:color w:val="auto"/>
                      <w:spacing w:val="20"/>
                      <w:highlight w:val="none"/>
                    </w:rPr>
                    <w:t>0.5</w:t>
                  </w:r>
                </w:p>
              </w:tc>
              <w:tc>
                <w:tcPr>
                  <w:tcW w:w="1074" w:type="dxa"/>
                  <w:gridSpan w:val="3"/>
                  <w:vAlign w:val="top"/>
                </w:tcPr>
                <w:p w14:paraId="24B29C11">
                  <w:pPr>
                    <w:spacing w:before="62" w:line="203" w:lineRule="auto"/>
                    <w:ind w:left="56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074" w:type="dxa"/>
                  <w:vAlign w:val="top"/>
                </w:tcPr>
                <w:p w14:paraId="236FEC51">
                  <w:pPr>
                    <w:spacing w:before="62" w:line="203" w:lineRule="auto"/>
                    <w:ind w:left="55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029" w:type="dxa"/>
                  <w:tcBorders>
                    <w:right w:val="single" w:color="000000" w:sz="10" w:space="0"/>
                  </w:tcBorders>
                  <w:vAlign w:val="top"/>
                </w:tcPr>
                <w:p w14:paraId="019A9174">
                  <w:pPr>
                    <w:spacing w:before="62" w:line="203" w:lineRule="auto"/>
                    <w:ind w:left="35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r>
            <w:tr w14:paraId="3BC2F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06A03400">
                  <w:pPr>
                    <w:spacing w:before="63" w:line="202" w:lineRule="auto"/>
                    <w:ind w:left="10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4</w:t>
                  </w:r>
                </w:p>
              </w:tc>
              <w:tc>
                <w:tcPr>
                  <w:tcW w:w="1625" w:type="dxa"/>
                  <w:gridSpan w:val="2"/>
                  <w:vAlign w:val="top"/>
                </w:tcPr>
                <w:p w14:paraId="50230027">
                  <w:pPr>
                    <w:pStyle w:val="25"/>
                    <w:spacing w:before="31" w:line="207" w:lineRule="auto"/>
                    <w:ind w:left="597"/>
                    <w:rPr>
                      <w:color w:val="auto"/>
                      <w:highlight w:val="none"/>
                    </w:rPr>
                  </w:pPr>
                  <w:r>
                    <w:rPr>
                      <w:color w:val="auto"/>
                      <w:spacing w:val="-2"/>
                      <w:highlight w:val="none"/>
                    </w:rPr>
                    <w:t>流量</w:t>
                  </w:r>
                </w:p>
              </w:tc>
              <w:tc>
                <w:tcPr>
                  <w:tcW w:w="1062" w:type="dxa"/>
                  <w:gridSpan w:val="2"/>
                  <w:vAlign w:val="top"/>
                </w:tcPr>
                <w:p w14:paraId="357F46FD">
                  <w:pPr>
                    <w:pStyle w:val="25"/>
                    <w:spacing w:before="52" w:line="189" w:lineRule="auto"/>
                    <w:ind w:left="318"/>
                    <w:rPr>
                      <w:rFonts w:ascii="Times New Roman" w:hAnsi="Times New Roman" w:eastAsia="Times New Roman" w:cs="Times New Roman"/>
                      <w:color w:val="auto"/>
                      <w:highlight w:val="none"/>
                    </w:rPr>
                  </w:pPr>
                  <w:r>
                    <w:rPr>
                      <w:rFonts w:ascii="Times New Roman" w:hAnsi="Times New Roman" w:eastAsia="Times New Roman" w:cs="Times New Roman"/>
                      <w:color w:val="auto"/>
                      <w:spacing w:val="-1"/>
                      <w:highlight w:val="none"/>
                    </w:rPr>
                    <w:t>m</w:t>
                  </w:r>
                  <w:r>
                    <w:rPr>
                      <w:color w:val="auto"/>
                      <w:spacing w:val="-1"/>
                      <w:highlight w:val="none"/>
                    </w:rPr>
                    <w:t>³</w:t>
                  </w:r>
                  <w:r>
                    <w:rPr>
                      <w:rFonts w:ascii="Times New Roman" w:hAnsi="Times New Roman" w:eastAsia="Times New Roman" w:cs="Times New Roman"/>
                      <w:color w:val="auto"/>
                      <w:spacing w:val="-1"/>
                      <w:highlight w:val="none"/>
                    </w:rPr>
                    <w:t>/s</w:t>
                  </w:r>
                </w:p>
              </w:tc>
              <w:tc>
                <w:tcPr>
                  <w:tcW w:w="1074" w:type="dxa"/>
                  <w:gridSpan w:val="2"/>
                  <w:vAlign w:val="top"/>
                </w:tcPr>
                <w:p w14:paraId="1EF48B15">
                  <w:pPr>
                    <w:spacing w:before="63" w:line="202" w:lineRule="auto"/>
                    <w:ind w:left="48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4</w:t>
                  </w:r>
                </w:p>
              </w:tc>
              <w:tc>
                <w:tcPr>
                  <w:tcW w:w="1074" w:type="dxa"/>
                  <w:gridSpan w:val="2"/>
                  <w:vAlign w:val="top"/>
                </w:tcPr>
                <w:p w14:paraId="68FC0D4E">
                  <w:pPr>
                    <w:spacing w:before="63" w:line="202" w:lineRule="auto"/>
                    <w:ind w:left="50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3</w:t>
                  </w:r>
                </w:p>
              </w:tc>
              <w:tc>
                <w:tcPr>
                  <w:tcW w:w="1074" w:type="dxa"/>
                  <w:gridSpan w:val="3"/>
                  <w:vAlign w:val="top"/>
                </w:tcPr>
                <w:p w14:paraId="6BE5BC7E">
                  <w:pPr>
                    <w:spacing w:before="63" w:line="202" w:lineRule="auto"/>
                    <w:ind w:left="56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074" w:type="dxa"/>
                  <w:vAlign w:val="top"/>
                </w:tcPr>
                <w:p w14:paraId="772E2B30">
                  <w:pPr>
                    <w:spacing w:before="63" w:line="202" w:lineRule="auto"/>
                    <w:ind w:left="55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029" w:type="dxa"/>
                  <w:tcBorders>
                    <w:right w:val="single" w:color="000000" w:sz="10" w:space="0"/>
                  </w:tcBorders>
                  <w:vAlign w:val="top"/>
                </w:tcPr>
                <w:p w14:paraId="13A6A99C">
                  <w:pPr>
                    <w:spacing w:before="63" w:line="202" w:lineRule="auto"/>
                    <w:ind w:left="35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r>
            <w:tr w14:paraId="518F3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328" w:type="dxa"/>
                  <w:tcBorders>
                    <w:left w:val="single" w:color="000000" w:sz="10" w:space="0"/>
                  </w:tcBorders>
                  <w:vAlign w:val="top"/>
                </w:tcPr>
                <w:p w14:paraId="285FE6B7">
                  <w:pPr>
                    <w:spacing w:before="64" w:line="199" w:lineRule="auto"/>
                    <w:ind w:left="10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1625" w:type="dxa"/>
                  <w:gridSpan w:val="2"/>
                  <w:vAlign w:val="top"/>
                </w:tcPr>
                <w:p w14:paraId="56792497">
                  <w:pPr>
                    <w:pStyle w:val="25"/>
                    <w:spacing w:before="32" w:line="204" w:lineRule="auto"/>
                    <w:ind w:left="563"/>
                    <w:rPr>
                      <w:color w:val="auto"/>
                      <w:highlight w:val="none"/>
                    </w:rPr>
                  </w:pPr>
                  <w:r>
                    <w:rPr>
                      <w:rFonts w:ascii="Times New Roman" w:hAnsi="Times New Roman" w:eastAsia="Times New Roman" w:cs="Times New Roman"/>
                      <w:color w:val="auto"/>
                      <w:highlight w:val="none"/>
                    </w:rPr>
                    <w:t>pH</w:t>
                  </w:r>
                  <w:r>
                    <w:rPr>
                      <w:color w:val="auto"/>
                      <w:spacing w:val="1"/>
                      <w:highlight w:val="none"/>
                    </w:rPr>
                    <w:t>值</w:t>
                  </w:r>
                </w:p>
              </w:tc>
              <w:tc>
                <w:tcPr>
                  <w:tcW w:w="1062" w:type="dxa"/>
                  <w:gridSpan w:val="2"/>
                  <w:vAlign w:val="top"/>
                </w:tcPr>
                <w:p w14:paraId="33984A37">
                  <w:pPr>
                    <w:pStyle w:val="25"/>
                    <w:spacing w:before="32" w:line="204" w:lineRule="auto"/>
                    <w:ind w:left="214"/>
                    <w:rPr>
                      <w:color w:val="auto"/>
                      <w:highlight w:val="none"/>
                    </w:rPr>
                  </w:pPr>
                  <w:r>
                    <w:rPr>
                      <w:color w:val="auto"/>
                      <w:spacing w:val="-2"/>
                      <w:highlight w:val="none"/>
                    </w:rPr>
                    <w:t>无量纲</w:t>
                  </w:r>
                </w:p>
              </w:tc>
              <w:tc>
                <w:tcPr>
                  <w:tcW w:w="1074" w:type="dxa"/>
                  <w:gridSpan w:val="2"/>
                  <w:vAlign w:val="top"/>
                </w:tcPr>
                <w:p w14:paraId="24D016C2">
                  <w:pPr>
                    <w:spacing w:before="64" w:line="199" w:lineRule="auto"/>
                    <w:ind w:left="41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7.3</w:t>
                  </w:r>
                </w:p>
              </w:tc>
              <w:tc>
                <w:tcPr>
                  <w:tcW w:w="1074" w:type="dxa"/>
                  <w:gridSpan w:val="2"/>
                  <w:vAlign w:val="top"/>
                </w:tcPr>
                <w:p w14:paraId="0583CDA9">
                  <w:pPr>
                    <w:spacing w:before="64" w:line="199" w:lineRule="auto"/>
                    <w:ind w:left="42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7.4</w:t>
                  </w:r>
                </w:p>
              </w:tc>
              <w:tc>
                <w:tcPr>
                  <w:tcW w:w="1074" w:type="dxa"/>
                  <w:gridSpan w:val="3"/>
                  <w:vAlign w:val="top"/>
                </w:tcPr>
                <w:p w14:paraId="36DC47D9">
                  <w:pPr>
                    <w:spacing w:before="64" w:line="199"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0.15</w:t>
                  </w:r>
                </w:p>
              </w:tc>
              <w:tc>
                <w:tcPr>
                  <w:tcW w:w="1074" w:type="dxa"/>
                  <w:vAlign w:val="top"/>
                </w:tcPr>
                <w:p w14:paraId="57D1A2E2">
                  <w:pPr>
                    <w:spacing w:before="64" w:line="199" w:lineRule="auto"/>
                    <w:ind w:left="461"/>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0.2</w:t>
                  </w:r>
                </w:p>
              </w:tc>
              <w:tc>
                <w:tcPr>
                  <w:tcW w:w="1029" w:type="dxa"/>
                  <w:tcBorders>
                    <w:right w:val="single" w:color="000000" w:sz="10" w:space="0"/>
                  </w:tcBorders>
                  <w:vAlign w:val="top"/>
                </w:tcPr>
                <w:p w14:paraId="5BF54682">
                  <w:pPr>
                    <w:spacing w:before="64" w:line="199" w:lineRule="auto"/>
                    <w:ind w:left="23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6~9</w:t>
                  </w:r>
                </w:p>
              </w:tc>
            </w:tr>
            <w:tr w14:paraId="31706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587F547B">
                  <w:pPr>
                    <w:spacing w:before="67" w:line="198" w:lineRule="auto"/>
                    <w:ind w:left="10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6</w:t>
                  </w:r>
                </w:p>
              </w:tc>
              <w:tc>
                <w:tcPr>
                  <w:tcW w:w="1625" w:type="dxa"/>
                  <w:gridSpan w:val="2"/>
                  <w:vAlign w:val="top"/>
                </w:tcPr>
                <w:p w14:paraId="36BF9727">
                  <w:pPr>
                    <w:pStyle w:val="25"/>
                    <w:spacing w:before="36" w:line="203" w:lineRule="auto"/>
                    <w:ind w:left="596"/>
                    <w:rPr>
                      <w:color w:val="auto"/>
                      <w:highlight w:val="none"/>
                    </w:rPr>
                  </w:pPr>
                  <w:r>
                    <w:rPr>
                      <w:color w:val="auto"/>
                      <w:spacing w:val="-2"/>
                      <w:highlight w:val="none"/>
                    </w:rPr>
                    <w:t>氨氮</w:t>
                  </w:r>
                </w:p>
              </w:tc>
              <w:tc>
                <w:tcPr>
                  <w:tcW w:w="1062" w:type="dxa"/>
                  <w:gridSpan w:val="2"/>
                  <w:vAlign w:val="top"/>
                </w:tcPr>
                <w:p w14:paraId="57514160">
                  <w:pPr>
                    <w:spacing w:before="68" w:line="191"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67063BC4">
                  <w:pPr>
                    <w:spacing w:before="67" w:line="198" w:lineRule="auto"/>
                    <w:ind w:left="30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0.146</w:t>
                  </w:r>
                </w:p>
              </w:tc>
              <w:tc>
                <w:tcPr>
                  <w:tcW w:w="1074" w:type="dxa"/>
                  <w:gridSpan w:val="2"/>
                  <w:vAlign w:val="top"/>
                </w:tcPr>
                <w:p w14:paraId="443EB981">
                  <w:pPr>
                    <w:spacing w:before="67" w:line="198" w:lineRule="auto"/>
                    <w:ind w:left="3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0.184</w:t>
                  </w:r>
                </w:p>
              </w:tc>
              <w:tc>
                <w:tcPr>
                  <w:tcW w:w="1074" w:type="dxa"/>
                  <w:gridSpan w:val="3"/>
                  <w:vAlign w:val="top"/>
                </w:tcPr>
                <w:p w14:paraId="7F9504C7">
                  <w:pPr>
                    <w:spacing w:before="67" w:line="198"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0.29</w:t>
                  </w:r>
                </w:p>
              </w:tc>
              <w:tc>
                <w:tcPr>
                  <w:tcW w:w="1074" w:type="dxa"/>
                  <w:vAlign w:val="top"/>
                </w:tcPr>
                <w:p w14:paraId="261CA79C">
                  <w:pPr>
                    <w:spacing w:before="67" w:line="198"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0.37</w:t>
                  </w:r>
                </w:p>
              </w:tc>
              <w:tc>
                <w:tcPr>
                  <w:tcW w:w="1029" w:type="dxa"/>
                  <w:tcBorders>
                    <w:right w:val="single" w:color="000000" w:sz="10" w:space="0"/>
                  </w:tcBorders>
                  <w:vAlign w:val="top"/>
                </w:tcPr>
                <w:p w14:paraId="7B2DCFE0">
                  <w:pPr>
                    <w:pStyle w:val="25"/>
                    <w:spacing w:before="36" w:line="203" w:lineRule="auto"/>
                    <w:ind w:left="175"/>
                    <w:rPr>
                      <w:rFonts w:ascii="Times New Roman" w:hAnsi="Times New Roman" w:eastAsia="Times New Roman" w:cs="Times New Roman"/>
                      <w:color w:val="auto"/>
                      <w:highlight w:val="none"/>
                    </w:rPr>
                  </w:pPr>
                  <w:r>
                    <w:rPr>
                      <w:color w:val="auto"/>
                      <w:spacing w:val="-6"/>
                      <w:highlight w:val="none"/>
                    </w:rPr>
                    <w:t>≤</w:t>
                  </w:r>
                  <w:r>
                    <w:rPr>
                      <w:rFonts w:ascii="Times New Roman" w:hAnsi="Times New Roman" w:eastAsia="Times New Roman" w:cs="Times New Roman"/>
                      <w:color w:val="auto"/>
                      <w:spacing w:val="-6"/>
                      <w:highlight w:val="none"/>
                    </w:rPr>
                    <w:t>0.5</w:t>
                  </w:r>
                </w:p>
              </w:tc>
            </w:tr>
            <w:tr w14:paraId="17A52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13DC7535">
                  <w:pPr>
                    <w:spacing w:before="66" w:line="199" w:lineRule="auto"/>
                    <w:ind w:left="10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7</w:t>
                  </w:r>
                </w:p>
              </w:tc>
              <w:tc>
                <w:tcPr>
                  <w:tcW w:w="1625" w:type="dxa"/>
                  <w:gridSpan w:val="2"/>
                  <w:vAlign w:val="top"/>
                </w:tcPr>
                <w:p w14:paraId="641522DA">
                  <w:pPr>
                    <w:pStyle w:val="25"/>
                    <w:spacing w:before="33" w:line="205" w:lineRule="auto"/>
                    <w:ind w:left="386"/>
                    <w:rPr>
                      <w:color w:val="auto"/>
                      <w:highlight w:val="none"/>
                    </w:rPr>
                  </w:pPr>
                  <w:r>
                    <w:rPr>
                      <w:color w:val="auto"/>
                      <w:spacing w:val="-2"/>
                      <w:highlight w:val="none"/>
                    </w:rPr>
                    <w:t>硝酸盐氮</w:t>
                  </w:r>
                </w:p>
              </w:tc>
              <w:tc>
                <w:tcPr>
                  <w:tcW w:w="1062" w:type="dxa"/>
                  <w:gridSpan w:val="2"/>
                  <w:vAlign w:val="top"/>
                </w:tcPr>
                <w:p w14:paraId="7EE0B34D">
                  <w:pPr>
                    <w:spacing w:before="66" w:line="191"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792216B8">
                  <w:pPr>
                    <w:spacing w:before="66" w:line="199" w:lineRule="auto"/>
                    <w:ind w:left="36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0.21</w:t>
                  </w:r>
                </w:p>
              </w:tc>
              <w:tc>
                <w:tcPr>
                  <w:tcW w:w="1074" w:type="dxa"/>
                  <w:gridSpan w:val="2"/>
                  <w:vAlign w:val="top"/>
                </w:tcPr>
                <w:p w14:paraId="7C1BB44F">
                  <w:pPr>
                    <w:spacing w:before="66" w:line="199" w:lineRule="auto"/>
                    <w:ind w:left="37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0.22</w:t>
                  </w:r>
                </w:p>
              </w:tc>
              <w:tc>
                <w:tcPr>
                  <w:tcW w:w="1074" w:type="dxa"/>
                  <w:gridSpan w:val="3"/>
                  <w:vAlign w:val="top"/>
                </w:tcPr>
                <w:p w14:paraId="085B0BEC">
                  <w:pPr>
                    <w:spacing w:before="66" w:line="199"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0.02</w:t>
                  </w:r>
                </w:p>
              </w:tc>
              <w:tc>
                <w:tcPr>
                  <w:tcW w:w="1074" w:type="dxa"/>
                  <w:vAlign w:val="top"/>
                </w:tcPr>
                <w:p w14:paraId="277559C5">
                  <w:pPr>
                    <w:spacing w:before="66" w:line="199"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0.02</w:t>
                  </w:r>
                </w:p>
              </w:tc>
              <w:tc>
                <w:tcPr>
                  <w:tcW w:w="1029" w:type="dxa"/>
                  <w:tcBorders>
                    <w:right w:val="single" w:color="000000" w:sz="10" w:space="0"/>
                  </w:tcBorders>
                  <w:vAlign w:val="top"/>
                </w:tcPr>
                <w:p w14:paraId="0962531C">
                  <w:pPr>
                    <w:pStyle w:val="25"/>
                    <w:spacing w:before="33" w:line="205" w:lineRule="auto"/>
                    <w:ind w:left="201"/>
                    <w:rPr>
                      <w:rFonts w:ascii="Times New Roman" w:hAnsi="Times New Roman" w:eastAsia="Times New Roman" w:cs="Times New Roman"/>
                      <w:color w:val="auto"/>
                      <w:highlight w:val="none"/>
                    </w:rPr>
                  </w:pPr>
                  <w:r>
                    <w:rPr>
                      <w:color w:val="auto"/>
                      <w:spacing w:val="-7"/>
                      <w:highlight w:val="none"/>
                    </w:rPr>
                    <w:t>≤</w:t>
                  </w:r>
                  <w:r>
                    <w:rPr>
                      <w:rFonts w:ascii="Times New Roman" w:hAnsi="Times New Roman" w:eastAsia="Times New Roman" w:cs="Times New Roman"/>
                      <w:color w:val="auto"/>
                      <w:spacing w:val="-7"/>
                      <w:highlight w:val="none"/>
                    </w:rPr>
                    <w:t>10</w:t>
                  </w:r>
                </w:p>
              </w:tc>
            </w:tr>
            <w:tr w14:paraId="72941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0C5A381E">
                  <w:pPr>
                    <w:spacing w:before="67" w:line="198" w:lineRule="auto"/>
                    <w:ind w:left="11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8</w:t>
                  </w:r>
                </w:p>
              </w:tc>
              <w:tc>
                <w:tcPr>
                  <w:tcW w:w="1625" w:type="dxa"/>
                  <w:gridSpan w:val="2"/>
                  <w:vAlign w:val="top"/>
                </w:tcPr>
                <w:p w14:paraId="55223969">
                  <w:pPr>
                    <w:pStyle w:val="25"/>
                    <w:spacing w:before="34" w:line="204" w:lineRule="auto"/>
                    <w:ind w:left="601"/>
                    <w:rPr>
                      <w:color w:val="auto"/>
                      <w:highlight w:val="none"/>
                    </w:rPr>
                  </w:pPr>
                  <w:r>
                    <w:rPr>
                      <w:color w:val="auto"/>
                      <w:spacing w:val="-3"/>
                      <w:highlight w:val="none"/>
                    </w:rPr>
                    <w:t>总氮</w:t>
                  </w:r>
                </w:p>
              </w:tc>
              <w:tc>
                <w:tcPr>
                  <w:tcW w:w="1062" w:type="dxa"/>
                  <w:gridSpan w:val="2"/>
                  <w:vAlign w:val="top"/>
                </w:tcPr>
                <w:p w14:paraId="44FAB60E">
                  <w:pPr>
                    <w:spacing w:before="67" w:line="191"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7AB19508">
                  <w:pPr>
                    <w:spacing w:before="67" w:line="198" w:lineRule="auto"/>
                    <w:ind w:left="36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0.41</w:t>
                  </w:r>
                </w:p>
              </w:tc>
              <w:tc>
                <w:tcPr>
                  <w:tcW w:w="1074" w:type="dxa"/>
                  <w:gridSpan w:val="2"/>
                  <w:vAlign w:val="top"/>
                </w:tcPr>
                <w:p w14:paraId="7E324767">
                  <w:pPr>
                    <w:spacing w:before="67" w:line="198" w:lineRule="auto"/>
                    <w:ind w:left="37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0.48</w:t>
                  </w:r>
                </w:p>
              </w:tc>
              <w:tc>
                <w:tcPr>
                  <w:tcW w:w="1074" w:type="dxa"/>
                  <w:gridSpan w:val="3"/>
                  <w:vAlign w:val="top"/>
                </w:tcPr>
                <w:p w14:paraId="2EE31D92">
                  <w:pPr>
                    <w:spacing w:before="67" w:line="198"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0.82</w:t>
                  </w:r>
                </w:p>
              </w:tc>
              <w:tc>
                <w:tcPr>
                  <w:tcW w:w="1074" w:type="dxa"/>
                  <w:vAlign w:val="top"/>
                </w:tcPr>
                <w:p w14:paraId="18FA81FF">
                  <w:pPr>
                    <w:spacing w:before="67" w:line="198"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0.96</w:t>
                  </w:r>
                </w:p>
              </w:tc>
              <w:tc>
                <w:tcPr>
                  <w:tcW w:w="1029" w:type="dxa"/>
                  <w:tcBorders>
                    <w:right w:val="single" w:color="000000" w:sz="10" w:space="0"/>
                  </w:tcBorders>
                  <w:vAlign w:val="top"/>
                </w:tcPr>
                <w:p w14:paraId="4F0462A5">
                  <w:pPr>
                    <w:pStyle w:val="25"/>
                    <w:spacing w:before="34" w:line="204" w:lineRule="auto"/>
                    <w:ind w:left="175"/>
                    <w:rPr>
                      <w:rFonts w:ascii="Times New Roman" w:hAnsi="Times New Roman" w:eastAsia="Times New Roman" w:cs="Times New Roman"/>
                      <w:color w:val="auto"/>
                      <w:highlight w:val="none"/>
                    </w:rPr>
                  </w:pPr>
                  <w:r>
                    <w:rPr>
                      <w:color w:val="auto"/>
                      <w:spacing w:val="-6"/>
                      <w:highlight w:val="none"/>
                    </w:rPr>
                    <w:t>≤</w:t>
                  </w:r>
                  <w:r>
                    <w:rPr>
                      <w:rFonts w:ascii="Times New Roman" w:hAnsi="Times New Roman" w:eastAsia="Times New Roman" w:cs="Times New Roman"/>
                      <w:color w:val="auto"/>
                      <w:spacing w:val="-6"/>
                      <w:highlight w:val="none"/>
                    </w:rPr>
                    <w:t>0.5</w:t>
                  </w:r>
                </w:p>
              </w:tc>
            </w:tr>
            <w:tr w14:paraId="7526E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328" w:type="dxa"/>
                  <w:tcBorders>
                    <w:left w:val="single" w:color="000000" w:sz="10" w:space="0"/>
                  </w:tcBorders>
                  <w:vAlign w:val="top"/>
                </w:tcPr>
                <w:p w14:paraId="3A964760">
                  <w:pPr>
                    <w:spacing w:before="68" w:line="195" w:lineRule="auto"/>
                    <w:ind w:left="10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9</w:t>
                  </w:r>
                </w:p>
              </w:tc>
              <w:tc>
                <w:tcPr>
                  <w:tcW w:w="1625" w:type="dxa"/>
                  <w:gridSpan w:val="2"/>
                  <w:vAlign w:val="top"/>
                </w:tcPr>
                <w:p w14:paraId="65182745">
                  <w:pPr>
                    <w:pStyle w:val="25"/>
                    <w:spacing w:before="36" w:line="201" w:lineRule="auto"/>
                    <w:ind w:left="601"/>
                    <w:rPr>
                      <w:color w:val="auto"/>
                      <w:highlight w:val="none"/>
                    </w:rPr>
                  </w:pPr>
                  <w:r>
                    <w:rPr>
                      <w:color w:val="auto"/>
                      <w:spacing w:val="-3"/>
                      <w:highlight w:val="none"/>
                    </w:rPr>
                    <w:t>总磷</w:t>
                  </w:r>
                </w:p>
              </w:tc>
              <w:tc>
                <w:tcPr>
                  <w:tcW w:w="1062" w:type="dxa"/>
                  <w:gridSpan w:val="2"/>
                  <w:vAlign w:val="top"/>
                </w:tcPr>
                <w:p w14:paraId="046E1E9C">
                  <w:pPr>
                    <w:spacing w:before="68" w:line="191"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00E094D7">
                  <w:pPr>
                    <w:spacing w:before="68" w:line="195" w:lineRule="auto"/>
                    <w:ind w:left="36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0.05</w:t>
                  </w:r>
                </w:p>
              </w:tc>
              <w:tc>
                <w:tcPr>
                  <w:tcW w:w="1074" w:type="dxa"/>
                  <w:gridSpan w:val="2"/>
                  <w:vAlign w:val="top"/>
                </w:tcPr>
                <w:p w14:paraId="65D93250">
                  <w:pPr>
                    <w:spacing w:before="68" w:line="195" w:lineRule="auto"/>
                    <w:ind w:left="37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0.07</w:t>
                  </w:r>
                </w:p>
              </w:tc>
              <w:tc>
                <w:tcPr>
                  <w:tcW w:w="1074" w:type="dxa"/>
                  <w:gridSpan w:val="3"/>
                  <w:vAlign w:val="top"/>
                </w:tcPr>
                <w:p w14:paraId="28E4BF04">
                  <w:pPr>
                    <w:spacing w:before="68" w:line="195"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0.50</w:t>
                  </w:r>
                </w:p>
              </w:tc>
              <w:tc>
                <w:tcPr>
                  <w:tcW w:w="1074" w:type="dxa"/>
                  <w:vAlign w:val="top"/>
                </w:tcPr>
                <w:p w14:paraId="70A60FA0">
                  <w:pPr>
                    <w:spacing w:before="68" w:line="195"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0.70</w:t>
                  </w:r>
                </w:p>
              </w:tc>
              <w:tc>
                <w:tcPr>
                  <w:tcW w:w="1029" w:type="dxa"/>
                  <w:tcBorders>
                    <w:right w:val="single" w:color="000000" w:sz="10" w:space="0"/>
                  </w:tcBorders>
                  <w:vAlign w:val="top"/>
                </w:tcPr>
                <w:p w14:paraId="1ECE6A30">
                  <w:pPr>
                    <w:pStyle w:val="25"/>
                    <w:spacing w:before="36" w:line="201" w:lineRule="auto"/>
                    <w:ind w:left="175"/>
                    <w:rPr>
                      <w:rFonts w:ascii="Times New Roman" w:hAnsi="Times New Roman" w:eastAsia="Times New Roman" w:cs="Times New Roman"/>
                      <w:color w:val="auto"/>
                      <w:highlight w:val="none"/>
                    </w:rPr>
                  </w:pPr>
                  <w:r>
                    <w:rPr>
                      <w:color w:val="auto"/>
                      <w:spacing w:val="-6"/>
                      <w:highlight w:val="none"/>
                    </w:rPr>
                    <w:t>≤</w:t>
                  </w:r>
                  <w:r>
                    <w:rPr>
                      <w:rFonts w:ascii="Times New Roman" w:hAnsi="Times New Roman" w:eastAsia="Times New Roman" w:cs="Times New Roman"/>
                      <w:color w:val="auto"/>
                      <w:spacing w:val="-6"/>
                      <w:highlight w:val="none"/>
                    </w:rPr>
                    <w:t>0.1</w:t>
                  </w:r>
                </w:p>
              </w:tc>
            </w:tr>
            <w:tr w14:paraId="6A017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248AD337">
                  <w:pPr>
                    <w:spacing w:before="71" w:line="194" w:lineRule="auto"/>
                    <w:ind w:left="6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10</w:t>
                  </w:r>
                </w:p>
              </w:tc>
              <w:tc>
                <w:tcPr>
                  <w:tcW w:w="1625" w:type="dxa"/>
                  <w:gridSpan w:val="2"/>
                  <w:vAlign w:val="top"/>
                </w:tcPr>
                <w:p w14:paraId="5E971FF2">
                  <w:pPr>
                    <w:pStyle w:val="25"/>
                    <w:spacing w:before="37" w:line="202" w:lineRule="auto"/>
                    <w:ind w:left="489"/>
                    <w:rPr>
                      <w:color w:val="auto"/>
                      <w:highlight w:val="none"/>
                    </w:rPr>
                  </w:pPr>
                  <w:r>
                    <w:rPr>
                      <w:color w:val="auto"/>
                      <w:spacing w:val="-1"/>
                      <w:highlight w:val="none"/>
                    </w:rPr>
                    <w:t>挥发酚</w:t>
                  </w:r>
                </w:p>
              </w:tc>
              <w:tc>
                <w:tcPr>
                  <w:tcW w:w="1062" w:type="dxa"/>
                  <w:gridSpan w:val="2"/>
                  <w:vAlign w:val="top"/>
                </w:tcPr>
                <w:p w14:paraId="1E6C7CDF">
                  <w:pPr>
                    <w:spacing w:before="71" w:line="191"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737BD598">
                  <w:pPr>
                    <w:pStyle w:val="25"/>
                    <w:spacing w:before="37" w:line="202" w:lineRule="auto"/>
                    <w:ind w:left="169"/>
                    <w:rPr>
                      <w:rFonts w:ascii="Times New Roman" w:hAnsi="Times New Roman" w:eastAsia="Times New Roman" w:cs="Times New Roman"/>
                      <w:color w:val="auto"/>
                      <w:highlight w:val="none"/>
                    </w:rPr>
                  </w:pPr>
                  <w:r>
                    <w:rPr>
                      <w:color w:val="auto"/>
                      <w:spacing w:val="11"/>
                      <w:highlight w:val="none"/>
                    </w:rPr>
                    <w:t>&lt;</w:t>
                  </w:r>
                  <w:r>
                    <w:rPr>
                      <w:rFonts w:ascii="Times New Roman" w:hAnsi="Times New Roman" w:eastAsia="Times New Roman" w:cs="Times New Roman"/>
                      <w:color w:val="auto"/>
                      <w:spacing w:val="11"/>
                      <w:highlight w:val="none"/>
                    </w:rPr>
                    <w:t>0.0003</w:t>
                  </w:r>
                </w:p>
              </w:tc>
              <w:tc>
                <w:tcPr>
                  <w:tcW w:w="1074" w:type="dxa"/>
                  <w:gridSpan w:val="2"/>
                  <w:vAlign w:val="top"/>
                </w:tcPr>
                <w:p w14:paraId="23EF80C3">
                  <w:pPr>
                    <w:pStyle w:val="25"/>
                    <w:spacing w:before="37" w:line="202" w:lineRule="auto"/>
                    <w:ind w:left="178"/>
                    <w:rPr>
                      <w:rFonts w:ascii="Times New Roman" w:hAnsi="Times New Roman" w:eastAsia="Times New Roman" w:cs="Times New Roman"/>
                      <w:color w:val="auto"/>
                      <w:highlight w:val="none"/>
                    </w:rPr>
                  </w:pPr>
                  <w:r>
                    <w:rPr>
                      <w:color w:val="auto"/>
                      <w:spacing w:val="11"/>
                      <w:highlight w:val="none"/>
                    </w:rPr>
                    <w:t>&lt;</w:t>
                  </w:r>
                  <w:r>
                    <w:rPr>
                      <w:rFonts w:ascii="Times New Roman" w:hAnsi="Times New Roman" w:eastAsia="Times New Roman" w:cs="Times New Roman"/>
                      <w:color w:val="auto"/>
                      <w:spacing w:val="11"/>
                      <w:highlight w:val="none"/>
                    </w:rPr>
                    <w:t>0.0003</w:t>
                  </w:r>
                </w:p>
              </w:tc>
              <w:tc>
                <w:tcPr>
                  <w:tcW w:w="1074" w:type="dxa"/>
                  <w:gridSpan w:val="3"/>
                  <w:vAlign w:val="top"/>
                </w:tcPr>
                <w:p w14:paraId="261CC009">
                  <w:pPr>
                    <w:spacing w:before="71" w:line="194"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0.15</w:t>
                  </w:r>
                </w:p>
              </w:tc>
              <w:tc>
                <w:tcPr>
                  <w:tcW w:w="1074" w:type="dxa"/>
                  <w:vAlign w:val="top"/>
                </w:tcPr>
                <w:p w14:paraId="0A1F7171">
                  <w:pPr>
                    <w:spacing w:before="71" w:line="194"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0.15</w:t>
                  </w:r>
                </w:p>
              </w:tc>
              <w:tc>
                <w:tcPr>
                  <w:tcW w:w="1029" w:type="dxa"/>
                  <w:tcBorders>
                    <w:right w:val="single" w:color="000000" w:sz="10" w:space="0"/>
                  </w:tcBorders>
                  <w:vAlign w:val="top"/>
                </w:tcPr>
                <w:p w14:paraId="0F13D63E">
                  <w:pPr>
                    <w:pStyle w:val="25"/>
                    <w:spacing w:before="37" w:line="202" w:lineRule="auto"/>
                    <w:ind w:left="69"/>
                    <w:rPr>
                      <w:rFonts w:ascii="Times New Roman" w:hAnsi="Times New Roman" w:eastAsia="Times New Roman" w:cs="Times New Roman"/>
                      <w:color w:val="auto"/>
                      <w:highlight w:val="none"/>
                    </w:rPr>
                  </w:pPr>
                  <w:r>
                    <w:rPr>
                      <w:color w:val="auto"/>
                      <w:spacing w:val="-4"/>
                      <w:highlight w:val="none"/>
                    </w:rPr>
                    <w:t>≤</w:t>
                  </w:r>
                  <w:r>
                    <w:rPr>
                      <w:rFonts w:ascii="Times New Roman" w:hAnsi="Times New Roman" w:eastAsia="Times New Roman" w:cs="Times New Roman"/>
                      <w:color w:val="auto"/>
                      <w:spacing w:val="-4"/>
                      <w:highlight w:val="none"/>
                    </w:rPr>
                    <w:t>0.002</w:t>
                  </w:r>
                </w:p>
              </w:tc>
            </w:tr>
            <w:tr w14:paraId="13F27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7B0CAA05">
                  <w:pPr>
                    <w:spacing w:before="70" w:line="195" w:lineRule="auto"/>
                    <w:ind w:left="6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11</w:t>
                  </w:r>
                </w:p>
              </w:tc>
              <w:tc>
                <w:tcPr>
                  <w:tcW w:w="1625" w:type="dxa"/>
                  <w:gridSpan w:val="2"/>
                  <w:vAlign w:val="top"/>
                </w:tcPr>
                <w:p w14:paraId="7137BC8D">
                  <w:pPr>
                    <w:pStyle w:val="25"/>
                    <w:spacing w:before="37" w:line="202" w:lineRule="auto"/>
                    <w:ind w:left="489"/>
                    <w:rPr>
                      <w:color w:val="auto"/>
                      <w:highlight w:val="none"/>
                    </w:rPr>
                  </w:pPr>
                  <w:r>
                    <w:rPr>
                      <w:color w:val="auto"/>
                      <w:spacing w:val="-1"/>
                      <w:highlight w:val="none"/>
                    </w:rPr>
                    <w:t>硫化物</w:t>
                  </w:r>
                </w:p>
              </w:tc>
              <w:tc>
                <w:tcPr>
                  <w:tcW w:w="1062" w:type="dxa"/>
                  <w:gridSpan w:val="2"/>
                  <w:vAlign w:val="top"/>
                </w:tcPr>
                <w:p w14:paraId="4AA465BC">
                  <w:pPr>
                    <w:spacing w:before="70" w:line="191"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260DADE3">
                  <w:pPr>
                    <w:pStyle w:val="25"/>
                    <w:spacing w:before="37" w:line="202" w:lineRule="auto"/>
                    <w:ind w:left="222"/>
                    <w:rPr>
                      <w:rFonts w:ascii="Times New Roman" w:hAnsi="Times New Roman" w:eastAsia="Times New Roman" w:cs="Times New Roman"/>
                      <w:color w:val="auto"/>
                      <w:highlight w:val="none"/>
                    </w:rPr>
                  </w:pPr>
                  <w:r>
                    <w:rPr>
                      <w:color w:val="auto"/>
                      <w:spacing w:val="14"/>
                      <w:highlight w:val="none"/>
                    </w:rPr>
                    <w:t>&lt;</w:t>
                  </w:r>
                  <w:r>
                    <w:rPr>
                      <w:rFonts w:ascii="Times New Roman" w:hAnsi="Times New Roman" w:eastAsia="Times New Roman" w:cs="Times New Roman"/>
                      <w:color w:val="auto"/>
                      <w:spacing w:val="14"/>
                      <w:highlight w:val="none"/>
                    </w:rPr>
                    <w:t>0.003</w:t>
                  </w:r>
                </w:p>
              </w:tc>
              <w:tc>
                <w:tcPr>
                  <w:tcW w:w="1074" w:type="dxa"/>
                  <w:gridSpan w:val="2"/>
                  <w:vAlign w:val="top"/>
                </w:tcPr>
                <w:p w14:paraId="22C1AD86">
                  <w:pPr>
                    <w:pStyle w:val="25"/>
                    <w:spacing w:before="37" w:line="202" w:lineRule="auto"/>
                    <w:ind w:left="230"/>
                    <w:rPr>
                      <w:rFonts w:ascii="Times New Roman" w:hAnsi="Times New Roman" w:eastAsia="Times New Roman" w:cs="Times New Roman"/>
                      <w:color w:val="auto"/>
                      <w:highlight w:val="none"/>
                    </w:rPr>
                  </w:pPr>
                  <w:r>
                    <w:rPr>
                      <w:color w:val="auto"/>
                      <w:spacing w:val="14"/>
                      <w:highlight w:val="none"/>
                    </w:rPr>
                    <w:t>&lt;</w:t>
                  </w:r>
                  <w:r>
                    <w:rPr>
                      <w:rFonts w:ascii="Times New Roman" w:hAnsi="Times New Roman" w:eastAsia="Times New Roman" w:cs="Times New Roman"/>
                      <w:color w:val="auto"/>
                      <w:spacing w:val="14"/>
                      <w:highlight w:val="none"/>
                    </w:rPr>
                    <w:t>0.003</w:t>
                  </w:r>
                </w:p>
              </w:tc>
              <w:tc>
                <w:tcPr>
                  <w:tcW w:w="1074" w:type="dxa"/>
                  <w:gridSpan w:val="3"/>
                  <w:vAlign w:val="top"/>
                </w:tcPr>
                <w:p w14:paraId="14F0B9FE">
                  <w:pPr>
                    <w:spacing w:before="70" w:line="195"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0.03</w:t>
                  </w:r>
                </w:p>
              </w:tc>
              <w:tc>
                <w:tcPr>
                  <w:tcW w:w="1074" w:type="dxa"/>
                  <w:vAlign w:val="top"/>
                </w:tcPr>
                <w:p w14:paraId="1FAB3557">
                  <w:pPr>
                    <w:spacing w:before="70" w:line="195"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0.03</w:t>
                  </w:r>
                </w:p>
              </w:tc>
              <w:tc>
                <w:tcPr>
                  <w:tcW w:w="1029" w:type="dxa"/>
                  <w:tcBorders>
                    <w:right w:val="single" w:color="000000" w:sz="10" w:space="0"/>
                  </w:tcBorders>
                  <w:vAlign w:val="top"/>
                </w:tcPr>
                <w:p w14:paraId="1D7DE8A6">
                  <w:pPr>
                    <w:pStyle w:val="25"/>
                    <w:spacing w:before="37" w:line="202" w:lineRule="auto"/>
                    <w:ind w:left="175"/>
                    <w:rPr>
                      <w:rFonts w:ascii="Times New Roman" w:hAnsi="Times New Roman" w:eastAsia="Times New Roman" w:cs="Times New Roman"/>
                      <w:color w:val="auto"/>
                      <w:highlight w:val="none"/>
                    </w:rPr>
                  </w:pPr>
                  <w:r>
                    <w:rPr>
                      <w:color w:val="auto"/>
                      <w:spacing w:val="-6"/>
                      <w:highlight w:val="none"/>
                    </w:rPr>
                    <w:t>≤</w:t>
                  </w:r>
                  <w:r>
                    <w:rPr>
                      <w:rFonts w:ascii="Times New Roman" w:hAnsi="Times New Roman" w:eastAsia="Times New Roman" w:cs="Times New Roman"/>
                      <w:color w:val="auto"/>
                      <w:spacing w:val="-6"/>
                      <w:highlight w:val="none"/>
                    </w:rPr>
                    <w:t>0.1</w:t>
                  </w:r>
                </w:p>
              </w:tc>
            </w:tr>
            <w:tr w14:paraId="75C12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328" w:type="dxa"/>
                  <w:tcBorders>
                    <w:left w:val="single" w:color="000000" w:sz="10" w:space="0"/>
                  </w:tcBorders>
                  <w:vAlign w:val="top"/>
                </w:tcPr>
                <w:p w14:paraId="30F6AE2B">
                  <w:pPr>
                    <w:spacing w:before="208" w:line="236" w:lineRule="auto"/>
                    <w:ind w:left="6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12</w:t>
                  </w:r>
                </w:p>
              </w:tc>
              <w:tc>
                <w:tcPr>
                  <w:tcW w:w="1625" w:type="dxa"/>
                  <w:gridSpan w:val="2"/>
                  <w:vAlign w:val="top"/>
                </w:tcPr>
                <w:p w14:paraId="0C96B5F5">
                  <w:pPr>
                    <w:pStyle w:val="25"/>
                    <w:spacing w:before="38" w:line="219" w:lineRule="auto"/>
                    <w:ind w:left="700" w:right="78" w:hanging="613"/>
                    <w:rPr>
                      <w:color w:val="auto"/>
                      <w:highlight w:val="none"/>
                    </w:rPr>
                  </w:pPr>
                  <w:r>
                    <w:rPr>
                      <w:color w:val="auto"/>
                      <w:spacing w:val="-3"/>
                      <w:highlight w:val="none"/>
                    </w:rPr>
                    <w:t>阴离子表面活性</w:t>
                  </w:r>
                  <w:r>
                    <w:rPr>
                      <w:color w:val="auto"/>
                      <w:highlight w:val="none"/>
                    </w:rPr>
                    <w:t>剂</w:t>
                  </w:r>
                </w:p>
              </w:tc>
              <w:tc>
                <w:tcPr>
                  <w:tcW w:w="1062" w:type="dxa"/>
                  <w:gridSpan w:val="2"/>
                  <w:vAlign w:val="top"/>
                </w:tcPr>
                <w:p w14:paraId="495132C4">
                  <w:pPr>
                    <w:spacing w:before="208" w:line="191"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68FB5971">
                  <w:pPr>
                    <w:pStyle w:val="25"/>
                    <w:spacing w:before="175" w:line="283" w:lineRule="exact"/>
                    <w:ind w:left="272"/>
                    <w:rPr>
                      <w:rFonts w:ascii="Times New Roman" w:hAnsi="Times New Roman" w:eastAsia="Times New Roman" w:cs="Times New Roman"/>
                      <w:color w:val="auto"/>
                      <w:highlight w:val="none"/>
                    </w:rPr>
                  </w:pPr>
                  <w:r>
                    <w:rPr>
                      <w:color w:val="auto"/>
                      <w:spacing w:val="16"/>
                      <w:position w:val="1"/>
                      <w:highlight w:val="none"/>
                    </w:rPr>
                    <w:t>&lt;</w:t>
                  </w:r>
                  <w:r>
                    <w:rPr>
                      <w:rFonts w:ascii="Times New Roman" w:hAnsi="Times New Roman" w:eastAsia="Times New Roman" w:cs="Times New Roman"/>
                      <w:color w:val="auto"/>
                      <w:spacing w:val="16"/>
                      <w:position w:val="1"/>
                      <w:highlight w:val="none"/>
                    </w:rPr>
                    <w:t>0.05</w:t>
                  </w:r>
                </w:p>
              </w:tc>
              <w:tc>
                <w:tcPr>
                  <w:tcW w:w="1074" w:type="dxa"/>
                  <w:gridSpan w:val="2"/>
                  <w:vAlign w:val="top"/>
                </w:tcPr>
                <w:p w14:paraId="5DE83153">
                  <w:pPr>
                    <w:pStyle w:val="25"/>
                    <w:spacing w:before="175" w:line="283" w:lineRule="exact"/>
                    <w:ind w:left="281"/>
                    <w:rPr>
                      <w:rFonts w:ascii="Times New Roman" w:hAnsi="Times New Roman" w:eastAsia="Times New Roman" w:cs="Times New Roman"/>
                      <w:color w:val="auto"/>
                      <w:highlight w:val="none"/>
                    </w:rPr>
                  </w:pPr>
                  <w:r>
                    <w:rPr>
                      <w:color w:val="auto"/>
                      <w:spacing w:val="16"/>
                      <w:position w:val="1"/>
                      <w:highlight w:val="none"/>
                    </w:rPr>
                    <w:t>&lt;</w:t>
                  </w:r>
                  <w:r>
                    <w:rPr>
                      <w:rFonts w:ascii="Times New Roman" w:hAnsi="Times New Roman" w:eastAsia="Times New Roman" w:cs="Times New Roman"/>
                      <w:color w:val="auto"/>
                      <w:spacing w:val="16"/>
                      <w:position w:val="1"/>
                      <w:highlight w:val="none"/>
                    </w:rPr>
                    <w:t>0.05</w:t>
                  </w:r>
                </w:p>
              </w:tc>
              <w:tc>
                <w:tcPr>
                  <w:tcW w:w="1074" w:type="dxa"/>
                  <w:gridSpan w:val="3"/>
                  <w:vAlign w:val="top"/>
                </w:tcPr>
                <w:p w14:paraId="1F9F9E85">
                  <w:pPr>
                    <w:pStyle w:val="25"/>
                    <w:spacing w:before="175" w:line="283" w:lineRule="exact"/>
                    <w:ind w:left="327"/>
                    <w:rPr>
                      <w:rFonts w:ascii="Times New Roman" w:hAnsi="Times New Roman" w:eastAsia="Times New Roman" w:cs="Times New Roman"/>
                      <w:color w:val="auto"/>
                      <w:highlight w:val="none"/>
                    </w:rPr>
                  </w:pPr>
                  <w:r>
                    <w:rPr>
                      <w:color w:val="auto"/>
                      <w:spacing w:val="16"/>
                      <w:position w:val="1"/>
                      <w:highlight w:val="none"/>
                    </w:rPr>
                    <w:t>&lt;</w:t>
                  </w:r>
                  <w:r>
                    <w:rPr>
                      <w:rFonts w:ascii="Times New Roman" w:hAnsi="Times New Roman" w:eastAsia="Times New Roman" w:cs="Times New Roman"/>
                      <w:color w:val="auto"/>
                      <w:spacing w:val="16"/>
                      <w:position w:val="1"/>
                      <w:highlight w:val="none"/>
                    </w:rPr>
                    <w:t>0.25</w:t>
                  </w:r>
                </w:p>
              </w:tc>
              <w:tc>
                <w:tcPr>
                  <w:tcW w:w="1074" w:type="dxa"/>
                  <w:vAlign w:val="top"/>
                </w:tcPr>
                <w:p w14:paraId="71F3FBB9">
                  <w:pPr>
                    <w:pStyle w:val="25"/>
                    <w:spacing w:before="175" w:line="283" w:lineRule="exact"/>
                    <w:ind w:left="319"/>
                    <w:rPr>
                      <w:rFonts w:ascii="Times New Roman" w:hAnsi="Times New Roman" w:eastAsia="Times New Roman" w:cs="Times New Roman"/>
                      <w:color w:val="auto"/>
                      <w:highlight w:val="none"/>
                    </w:rPr>
                  </w:pPr>
                  <w:r>
                    <w:rPr>
                      <w:color w:val="auto"/>
                      <w:spacing w:val="16"/>
                      <w:position w:val="1"/>
                      <w:highlight w:val="none"/>
                    </w:rPr>
                    <w:t>&lt;</w:t>
                  </w:r>
                  <w:r>
                    <w:rPr>
                      <w:rFonts w:ascii="Times New Roman" w:hAnsi="Times New Roman" w:eastAsia="Times New Roman" w:cs="Times New Roman"/>
                      <w:color w:val="auto"/>
                      <w:spacing w:val="16"/>
                      <w:position w:val="1"/>
                      <w:highlight w:val="none"/>
                    </w:rPr>
                    <w:t>0.25</w:t>
                  </w:r>
                </w:p>
              </w:tc>
              <w:tc>
                <w:tcPr>
                  <w:tcW w:w="1029" w:type="dxa"/>
                  <w:tcBorders>
                    <w:right w:val="single" w:color="000000" w:sz="10" w:space="0"/>
                  </w:tcBorders>
                  <w:vAlign w:val="top"/>
                </w:tcPr>
                <w:p w14:paraId="626264B4">
                  <w:pPr>
                    <w:pStyle w:val="25"/>
                    <w:spacing w:before="175" w:line="283" w:lineRule="exact"/>
                    <w:ind w:left="175"/>
                    <w:rPr>
                      <w:rFonts w:ascii="Times New Roman" w:hAnsi="Times New Roman" w:eastAsia="Times New Roman" w:cs="Times New Roman"/>
                      <w:color w:val="auto"/>
                      <w:highlight w:val="none"/>
                    </w:rPr>
                  </w:pPr>
                  <w:r>
                    <w:rPr>
                      <w:color w:val="auto"/>
                      <w:spacing w:val="-6"/>
                      <w:position w:val="1"/>
                      <w:highlight w:val="none"/>
                    </w:rPr>
                    <w:t>≤</w:t>
                  </w:r>
                  <w:r>
                    <w:rPr>
                      <w:rFonts w:ascii="Times New Roman" w:hAnsi="Times New Roman" w:eastAsia="Times New Roman" w:cs="Times New Roman"/>
                      <w:color w:val="auto"/>
                      <w:spacing w:val="-6"/>
                      <w:position w:val="1"/>
                      <w:highlight w:val="none"/>
                    </w:rPr>
                    <w:t>0.2</w:t>
                  </w:r>
                </w:p>
              </w:tc>
            </w:tr>
            <w:tr w14:paraId="14CE6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19262351">
                  <w:pPr>
                    <w:spacing w:before="73" w:line="192" w:lineRule="auto"/>
                    <w:ind w:left="6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13</w:t>
                  </w:r>
                </w:p>
              </w:tc>
              <w:tc>
                <w:tcPr>
                  <w:tcW w:w="1625" w:type="dxa"/>
                  <w:gridSpan w:val="2"/>
                  <w:vAlign w:val="top"/>
                </w:tcPr>
                <w:p w14:paraId="191324CC">
                  <w:pPr>
                    <w:pStyle w:val="25"/>
                    <w:spacing w:before="40" w:line="199" w:lineRule="auto"/>
                    <w:ind w:left="491"/>
                    <w:rPr>
                      <w:color w:val="auto"/>
                      <w:highlight w:val="none"/>
                    </w:rPr>
                  </w:pPr>
                  <w:r>
                    <w:rPr>
                      <w:color w:val="auto"/>
                      <w:spacing w:val="-2"/>
                      <w:highlight w:val="none"/>
                    </w:rPr>
                    <w:t>石油类</w:t>
                  </w:r>
                </w:p>
              </w:tc>
              <w:tc>
                <w:tcPr>
                  <w:tcW w:w="1062" w:type="dxa"/>
                  <w:gridSpan w:val="2"/>
                  <w:vAlign w:val="top"/>
                </w:tcPr>
                <w:p w14:paraId="2D6CB66D">
                  <w:pPr>
                    <w:spacing w:before="73" w:line="191"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1E0CB1AB">
                  <w:pPr>
                    <w:spacing w:before="73" w:line="192" w:lineRule="auto"/>
                    <w:ind w:left="36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0.03</w:t>
                  </w:r>
                </w:p>
              </w:tc>
              <w:tc>
                <w:tcPr>
                  <w:tcW w:w="1074" w:type="dxa"/>
                  <w:gridSpan w:val="2"/>
                  <w:vAlign w:val="top"/>
                </w:tcPr>
                <w:p w14:paraId="1BE20247">
                  <w:pPr>
                    <w:spacing w:before="73" w:line="192" w:lineRule="auto"/>
                    <w:ind w:left="37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0.02</w:t>
                  </w:r>
                </w:p>
              </w:tc>
              <w:tc>
                <w:tcPr>
                  <w:tcW w:w="1074" w:type="dxa"/>
                  <w:gridSpan w:val="3"/>
                  <w:vAlign w:val="top"/>
                </w:tcPr>
                <w:p w14:paraId="6DAF9675">
                  <w:pPr>
                    <w:spacing w:before="73" w:line="192"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0.60</w:t>
                  </w:r>
                </w:p>
              </w:tc>
              <w:tc>
                <w:tcPr>
                  <w:tcW w:w="1074" w:type="dxa"/>
                  <w:vAlign w:val="top"/>
                </w:tcPr>
                <w:p w14:paraId="7106E6B6">
                  <w:pPr>
                    <w:spacing w:before="73" w:line="192"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0.40</w:t>
                  </w:r>
                </w:p>
              </w:tc>
              <w:tc>
                <w:tcPr>
                  <w:tcW w:w="1029" w:type="dxa"/>
                  <w:tcBorders>
                    <w:right w:val="single" w:color="000000" w:sz="10" w:space="0"/>
                  </w:tcBorders>
                  <w:vAlign w:val="top"/>
                </w:tcPr>
                <w:p w14:paraId="7DCE2622">
                  <w:pPr>
                    <w:pStyle w:val="25"/>
                    <w:spacing w:before="40" w:line="199" w:lineRule="auto"/>
                    <w:ind w:left="122"/>
                    <w:rPr>
                      <w:rFonts w:ascii="Times New Roman" w:hAnsi="Times New Roman" w:eastAsia="Times New Roman" w:cs="Times New Roman"/>
                      <w:color w:val="auto"/>
                      <w:highlight w:val="none"/>
                    </w:rPr>
                  </w:pPr>
                  <w:r>
                    <w:rPr>
                      <w:color w:val="auto"/>
                      <w:spacing w:val="-4"/>
                      <w:highlight w:val="none"/>
                    </w:rPr>
                    <w:t>≤</w:t>
                  </w:r>
                  <w:r>
                    <w:rPr>
                      <w:rFonts w:ascii="Times New Roman" w:hAnsi="Times New Roman" w:eastAsia="Times New Roman" w:cs="Times New Roman"/>
                      <w:color w:val="auto"/>
                      <w:spacing w:val="-4"/>
                      <w:highlight w:val="none"/>
                    </w:rPr>
                    <w:t>0.05</w:t>
                  </w:r>
                </w:p>
              </w:tc>
            </w:tr>
            <w:tr w14:paraId="20048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328" w:type="dxa"/>
                  <w:tcBorders>
                    <w:left w:val="single" w:color="000000" w:sz="10" w:space="0"/>
                  </w:tcBorders>
                  <w:vAlign w:val="top"/>
                </w:tcPr>
                <w:p w14:paraId="31A45725">
                  <w:pPr>
                    <w:spacing w:before="74" w:line="189" w:lineRule="auto"/>
                    <w:ind w:left="6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14</w:t>
                  </w:r>
                </w:p>
              </w:tc>
              <w:tc>
                <w:tcPr>
                  <w:tcW w:w="1625" w:type="dxa"/>
                  <w:gridSpan w:val="2"/>
                  <w:vAlign w:val="top"/>
                </w:tcPr>
                <w:p w14:paraId="2FBC5C8B">
                  <w:pPr>
                    <w:pStyle w:val="25"/>
                    <w:spacing w:before="42" w:line="196" w:lineRule="auto"/>
                    <w:ind w:left="492"/>
                    <w:rPr>
                      <w:color w:val="auto"/>
                      <w:highlight w:val="none"/>
                    </w:rPr>
                  </w:pPr>
                  <w:r>
                    <w:rPr>
                      <w:color w:val="auto"/>
                      <w:spacing w:val="-2"/>
                      <w:highlight w:val="none"/>
                    </w:rPr>
                    <w:t>六价铬</w:t>
                  </w:r>
                </w:p>
              </w:tc>
              <w:tc>
                <w:tcPr>
                  <w:tcW w:w="1062" w:type="dxa"/>
                  <w:gridSpan w:val="2"/>
                  <w:vAlign w:val="top"/>
                </w:tcPr>
                <w:p w14:paraId="4A0744D3">
                  <w:pPr>
                    <w:spacing w:before="74" w:line="189"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1CF4046B">
                  <w:pPr>
                    <w:spacing w:before="74" w:line="189" w:lineRule="auto"/>
                    <w:ind w:left="30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0.027</w:t>
                  </w:r>
                </w:p>
              </w:tc>
              <w:tc>
                <w:tcPr>
                  <w:tcW w:w="1074" w:type="dxa"/>
                  <w:gridSpan w:val="2"/>
                  <w:vAlign w:val="top"/>
                </w:tcPr>
                <w:p w14:paraId="5EBD51D9">
                  <w:pPr>
                    <w:spacing w:before="74" w:line="189" w:lineRule="auto"/>
                    <w:ind w:left="3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0.034</w:t>
                  </w:r>
                </w:p>
              </w:tc>
              <w:tc>
                <w:tcPr>
                  <w:tcW w:w="1074" w:type="dxa"/>
                  <w:gridSpan w:val="3"/>
                  <w:vAlign w:val="top"/>
                </w:tcPr>
                <w:p w14:paraId="502CE4D1">
                  <w:pPr>
                    <w:spacing w:before="74" w:line="189"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0.54</w:t>
                  </w:r>
                </w:p>
              </w:tc>
              <w:tc>
                <w:tcPr>
                  <w:tcW w:w="1074" w:type="dxa"/>
                  <w:vAlign w:val="top"/>
                </w:tcPr>
                <w:p w14:paraId="1FAD55CA">
                  <w:pPr>
                    <w:spacing w:before="74" w:line="189"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0.68</w:t>
                  </w:r>
                </w:p>
              </w:tc>
              <w:tc>
                <w:tcPr>
                  <w:tcW w:w="1029" w:type="dxa"/>
                  <w:tcBorders>
                    <w:right w:val="single" w:color="000000" w:sz="10" w:space="0"/>
                  </w:tcBorders>
                  <w:vAlign w:val="top"/>
                </w:tcPr>
                <w:p w14:paraId="5483D83A">
                  <w:pPr>
                    <w:pStyle w:val="25"/>
                    <w:spacing w:before="42" w:line="196" w:lineRule="auto"/>
                    <w:ind w:left="122"/>
                    <w:rPr>
                      <w:rFonts w:ascii="Times New Roman" w:hAnsi="Times New Roman" w:eastAsia="Times New Roman" w:cs="Times New Roman"/>
                      <w:color w:val="auto"/>
                      <w:highlight w:val="none"/>
                    </w:rPr>
                  </w:pPr>
                  <w:r>
                    <w:rPr>
                      <w:color w:val="auto"/>
                      <w:spacing w:val="-4"/>
                      <w:highlight w:val="none"/>
                    </w:rPr>
                    <w:t>≤</w:t>
                  </w:r>
                  <w:r>
                    <w:rPr>
                      <w:rFonts w:ascii="Times New Roman" w:hAnsi="Times New Roman" w:eastAsia="Times New Roman" w:cs="Times New Roman"/>
                      <w:color w:val="auto"/>
                      <w:spacing w:val="-4"/>
                      <w:highlight w:val="none"/>
                    </w:rPr>
                    <w:t>0.05</w:t>
                  </w:r>
                </w:p>
              </w:tc>
            </w:tr>
            <w:tr w14:paraId="2C2D4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20A24C6B">
                  <w:pPr>
                    <w:spacing w:before="77" w:line="188" w:lineRule="auto"/>
                    <w:ind w:left="6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15</w:t>
                  </w:r>
                </w:p>
              </w:tc>
              <w:tc>
                <w:tcPr>
                  <w:tcW w:w="1625" w:type="dxa"/>
                  <w:gridSpan w:val="2"/>
                  <w:vAlign w:val="top"/>
                </w:tcPr>
                <w:p w14:paraId="51AAD73A">
                  <w:pPr>
                    <w:pStyle w:val="25"/>
                    <w:spacing w:before="45" w:line="195" w:lineRule="auto"/>
                    <w:ind w:left="489"/>
                    <w:rPr>
                      <w:color w:val="auto"/>
                      <w:highlight w:val="none"/>
                    </w:rPr>
                  </w:pPr>
                  <w:r>
                    <w:rPr>
                      <w:color w:val="auto"/>
                      <w:spacing w:val="-1"/>
                      <w:highlight w:val="none"/>
                    </w:rPr>
                    <w:t>氰化物</w:t>
                  </w:r>
                </w:p>
              </w:tc>
              <w:tc>
                <w:tcPr>
                  <w:tcW w:w="1062" w:type="dxa"/>
                  <w:gridSpan w:val="2"/>
                  <w:vAlign w:val="top"/>
                </w:tcPr>
                <w:p w14:paraId="34C8AD97">
                  <w:pPr>
                    <w:spacing w:before="77" w:line="188"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66F7A304">
                  <w:pPr>
                    <w:pStyle w:val="25"/>
                    <w:spacing w:before="45" w:line="195" w:lineRule="auto"/>
                    <w:ind w:left="222"/>
                    <w:rPr>
                      <w:rFonts w:ascii="Times New Roman" w:hAnsi="Times New Roman" w:eastAsia="Times New Roman" w:cs="Times New Roman"/>
                      <w:color w:val="auto"/>
                      <w:highlight w:val="none"/>
                    </w:rPr>
                  </w:pPr>
                  <w:r>
                    <w:rPr>
                      <w:color w:val="auto"/>
                      <w:spacing w:val="14"/>
                      <w:highlight w:val="none"/>
                    </w:rPr>
                    <w:t>&lt;</w:t>
                  </w:r>
                  <w:r>
                    <w:rPr>
                      <w:rFonts w:ascii="Times New Roman" w:hAnsi="Times New Roman" w:eastAsia="Times New Roman" w:cs="Times New Roman"/>
                      <w:color w:val="auto"/>
                      <w:spacing w:val="14"/>
                      <w:highlight w:val="none"/>
                    </w:rPr>
                    <w:t>0.001</w:t>
                  </w:r>
                </w:p>
              </w:tc>
              <w:tc>
                <w:tcPr>
                  <w:tcW w:w="1074" w:type="dxa"/>
                  <w:gridSpan w:val="2"/>
                  <w:vAlign w:val="top"/>
                </w:tcPr>
                <w:p w14:paraId="7A9CEF5E">
                  <w:pPr>
                    <w:pStyle w:val="25"/>
                    <w:spacing w:before="45" w:line="195" w:lineRule="auto"/>
                    <w:ind w:left="230"/>
                    <w:rPr>
                      <w:rFonts w:ascii="Times New Roman" w:hAnsi="Times New Roman" w:eastAsia="Times New Roman" w:cs="Times New Roman"/>
                      <w:color w:val="auto"/>
                      <w:highlight w:val="none"/>
                    </w:rPr>
                  </w:pPr>
                  <w:r>
                    <w:rPr>
                      <w:color w:val="auto"/>
                      <w:spacing w:val="14"/>
                      <w:highlight w:val="none"/>
                    </w:rPr>
                    <w:t>&lt;</w:t>
                  </w:r>
                  <w:r>
                    <w:rPr>
                      <w:rFonts w:ascii="Times New Roman" w:hAnsi="Times New Roman" w:eastAsia="Times New Roman" w:cs="Times New Roman"/>
                      <w:color w:val="auto"/>
                      <w:spacing w:val="14"/>
                      <w:highlight w:val="none"/>
                    </w:rPr>
                    <w:t>0.001</w:t>
                  </w:r>
                </w:p>
              </w:tc>
              <w:tc>
                <w:tcPr>
                  <w:tcW w:w="1074" w:type="dxa"/>
                  <w:gridSpan w:val="3"/>
                  <w:vAlign w:val="top"/>
                </w:tcPr>
                <w:p w14:paraId="17C27C32">
                  <w:pPr>
                    <w:pStyle w:val="25"/>
                    <w:spacing w:before="45" w:line="195" w:lineRule="auto"/>
                    <w:ind w:left="327"/>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0.02</w:t>
                  </w:r>
                </w:p>
              </w:tc>
              <w:tc>
                <w:tcPr>
                  <w:tcW w:w="1074" w:type="dxa"/>
                  <w:vAlign w:val="top"/>
                </w:tcPr>
                <w:p w14:paraId="403AF5A1">
                  <w:pPr>
                    <w:pStyle w:val="25"/>
                    <w:spacing w:before="45" w:line="195" w:lineRule="auto"/>
                    <w:ind w:left="319"/>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0.02</w:t>
                  </w:r>
                </w:p>
              </w:tc>
              <w:tc>
                <w:tcPr>
                  <w:tcW w:w="1029" w:type="dxa"/>
                  <w:tcBorders>
                    <w:right w:val="single" w:color="000000" w:sz="10" w:space="0"/>
                  </w:tcBorders>
                  <w:vAlign w:val="top"/>
                </w:tcPr>
                <w:p w14:paraId="0D7C547B">
                  <w:pPr>
                    <w:pStyle w:val="25"/>
                    <w:spacing w:before="45" w:line="195" w:lineRule="auto"/>
                    <w:ind w:left="122"/>
                    <w:rPr>
                      <w:rFonts w:ascii="Times New Roman" w:hAnsi="Times New Roman" w:eastAsia="Times New Roman" w:cs="Times New Roman"/>
                      <w:color w:val="auto"/>
                      <w:highlight w:val="none"/>
                    </w:rPr>
                  </w:pPr>
                  <w:r>
                    <w:rPr>
                      <w:color w:val="auto"/>
                      <w:spacing w:val="-4"/>
                      <w:highlight w:val="none"/>
                    </w:rPr>
                    <w:t>≤</w:t>
                  </w:r>
                  <w:r>
                    <w:rPr>
                      <w:rFonts w:ascii="Times New Roman" w:hAnsi="Times New Roman" w:eastAsia="Times New Roman" w:cs="Times New Roman"/>
                      <w:color w:val="auto"/>
                      <w:spacing w:val="-4"/>
                      <w:highlight w:val="none"/>
                    </w:rPr>
                    <w:t>0.05</w:t>
                  </w:r>
                </w:p>
              </w:tc>
            </w:tr>
            <w:tr w14:paraId="2AE26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328" w:type="dxa"/>
                  <w:tcBorders>
                    <w:left w:val="single" w:color="000000" w:sz="10" w:space="0"/>
                  </w:tcBorders>
                  <w:vAlign w:val="top"/>
                </w:tcPr>
                <w:p w14:paraId="5517C985">
                  <w:pPr>
                    <w:spacing w:before="76" w:line="190" w:lineRule="auto"/>
                    <w:ind w:left="6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16</w:t>
                  </w:r>
                </w:p>
              </w:tc>
              <w:tc>
                <w:tcPr>
                  <w:tcW w:w="1625" w:type="dxa"/>
                  <w:gridSpan w:val="2"/>
                  <w:vAlign w:val="top"/>
                </w:tcPr>
                <w:p w14:paraId="1443DA16">
                  <w:pPr>
                    <w:pStyle w:val="25"/>
                    <w:spacing w:before="43" w:line="197" w:lineRule="auto"/>
                    <w:ind w:left="181"/>
                    <w:rPr>
                      <w:color w:val="auto"/>
                      <w:highlight w:val="none"/>
                    </w:rPr>
                  </w:pPr>
                  <w:r>
                    <w:rPr>
                      <w:color w:val="auto"/>
                      <w:spacing w:val="-2"/>
                      <w:highlight w:val="none"/>
                    </w:rPr>
                    <w:t>高锰酸盐指数</w:t>
                  </w:r>
                </w:p>
              </w:tc>
              <w:tc>
                <w:tcPr>
                  <w:tcW w:w="1062" w:type="dxa"/>
                  <w:gridSpan w:val="2"/>
                  <w:vAlign w:val="top"/>
                </w:tcPr>
                <w:p w14:paraId="32EAF9D5">
                  <w:pPr>
                    <w:spacing w:before="76" w:line="190"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5927D810">
                  <w:pPr>
                    <w:spacing w:before="76" w:line="190" w:lineRule="auto"/>
                    <w:ind w:left="41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0.9</w:t>
                  </w:r>
                </w:p>
              </w:tc>
              <w:tc>
                <w:tcPr>
                  <w:tcW w:w="1074" w:type="dxa"/>
                  <w:gridSpan w:val="2"/>
                  <w:vAlign w:val="top"/>
                </w:tcPr>
                <w:p w14:paraId="442B5A3E">
                  <w:pPr>
                    <w:spacing w:before="76" w:line="190" w:lineRule="auto"/>
                    <w:ind w:left="42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0.8</w:t>
                  </w:r>
                </w:p>
              </w:tc>
              <w:tc>
                <w:tcPr>
                  <w:tcW w:w="1074" w:type="dxa"/>
                  <w:gridSpan w:val="3"/>
                  <w:vAlign w:val="top"/>
                </w:tcPr>
                <w:p w14:paraId="07E8710B">
                  <w:pPr>
                    <w:spacing w:before="76" w:line="190"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0.23</w:t>
                  </w:r>
                </w:p>
              </w:tc>
              <w:tc>
                <w:tcPr>
                  <w:tcW w:w="1074" w:type="dxa"/>
                  <w:vAlign w:val="top"/>
                </w:tcPr>
                <w:p w14:paraId="0ED3A538">
                  <w:pPr>
                    <w:spacing w:before="76" w:line="190"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0.20</w:t>
                  </w:r>
                </w:p>
              </w:tc>
              <w:tc>
                <w:tcPr>
                  <w:tcW w:w="1029" w:type="dxa"/>
                  <w:tcBorders>
                    <w:right w:val="single" w:color="000000" w:sz="10" w:space="0"/>
                  </w:tcBorders>
                  <w:vAlign w:val="top"/>
                </w:tcPr>
                <w:p w14:paraId="138F0C44">
                  <w:pPr>
                    <w:pStyle w:val="25"/>
                    <w:spacing w:before="43" w:line="197" w:lineRule="auto"/>
                    <w:ind w:left="254"/>
                    <w:rPr>
                      <w:rFonts w:ascii="Times New Roman" w:hAnsi="Times New Roman" w:eastAsia="Times New Roman" w:cs="Times New Roman"/>
                      <w:color w:val="auto"/>
                      <w:highlight w:val="none"/>
                    </w:rPr>
                  </w:pPr>
                  <w:r>
                    <w:rPr>
                      <w:color w:val="auto"/>
                      <w:spacing w:val="-11"/>
                      <w:highlight w:val="none"/>
                    </w:rPr>
                    <w:t>≤</w:t>
                  </w:r>
                  <w:r>
                    <w:rPr>
                      <w:rFonts w:ascii="Times New Roman" w:hAnsi="Times New Roman" w:eastAsia="Times New Roman" w:cs="Times New Roman"/>
                      <w:color w:val="auto"/>
                      <w:spacing w:val="-11"/>
                      <w:highlight w:val="none"/>
                    </w:rPr>
                    <w:t>4</w:t>
                  </w:r>
                </w:p>
              </w:tc>
            </w:tr>
            <w:tr w14:paraId="14B00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5C318021">
                  <w:pPr>
                    <w:spacing w:before="76" w:line="189" w:lineRule="auto"/>
                    <w:ind w:left="6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17</w:t>
                  </w:r>
                </w:p>
              </w:tc>
              <w:tc>
                <w:tcPr>
                  <w:tcW w:w="1625" w:type="dxa"/>
                  <w:gridSpan w:val="2"/>
                  <w:vAlign w:val="top"/>
                </w:tcPr>
                <w:p w14:paraId="7CF9358E">
                  <w:pPr>
                    <w:pStyle w:val="25"/>
                    <w:spacing w:before="44" w:line="196" w:lineRule="auto"/>
                    <w:ind w:left="280"/>
                    <w:rPr>
                      <w:color w:val="auto"/>
                      <w:highlight w:val="none"/>
                    </w:rPr>
                  </w:pPr>
                  <w:r>
                    <w:rPr>
                      <w:color w:val="auto"/>
                      <w:spacing w:val="-2"/>
                      <w:highlight w:val="none"/>
                    </w:rPr>
                    <w:t>化学需氧量</w:t>
                  </w:r>
                </w:p>
              </w:tc>
              <w:tc>
                <w:tcPr>
                  <w:tcW w:w="1062" w:type="dxa"/>
                  <w:gridSpan w:val="2"/>
                  <w:vAlign w:val="top"/>
                </w:tcPr>
                <w:p w14:paraId="0EA1805D">
                  <w:pPr>
                    <w:spacing w:before="76" w:line="189"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7E7FC5FC">
                  <w:pPr>
                    <w:spacing w:before="76" w:line="189" w:lineRule="auto"/>
                    <w:ind w:left="49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1074" w:type="dxa"/>
                  <w:gridSpan w:val="2"/>
                  <w:vAlign w:val="top"/>
                </w:tcPr>
                <w:p w14:paraId="6141FC1C">
                  <w:pPr>
                    <w:spacing w:before="76" w:line="189" w:lineRule="auto"/>
                    <w:ind w:left="50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1074" w:type="dxa"/>
                  <w:gridSpan w:val="3"/>
                  <w:vAlign w:val="top"/>
                </w:tcPr>
                <w:p w14:paraId="55C59BED">
                  <w:pPr>
                    <w:spacing w:before="76" w:line="189"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0.33</w:t>
                  </w:r>
                </w:p>
              </w:tc>
              <w:tc>
                <w:tcPr>
                  <w:tcW w:w="1074" w:type="dxa"/>
                  <w:vAlign w:val="top"/>
                </w:tcPr>
                <w:p w14:paraId="7B2A458B">
                  <w:pPr>
                    <w:spacing w:before="76" w:line="189"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0.33</w:t>
                  </w:r>
                </w:p>
              </w:tc>
              <w:tc>
                <w:tcPr>
                  <w:tcW w:w="1029" w:type="dxa"/>
                  <w:tcBorders>
                    <w:right w:val="single" w:color="000000" w:sz="10" w:space="0"/>
                  </w:tcBorders>
                  <w:vAlign w:val="top"/>
                </w:tcPr>
                <w:p w14:paraId="39B3A3A0">
                  <w:pPr>
                    <w:pStyle w:val="25"/>
                    <w:spacing w:before="44" w:line="196" w:lineRule="auto"/>
                    <w:ind w:left="201"/>
                    <w:rPr>
                      <w:rFonts w:ascii="Times New Roman" w:hAnsi="Times New Roman" w:eastAsia="Times New Roman" w:cs="Times New Roman"/>
                      <w:color w:val="auto"/>
                      <w:highlight w:val="none"/>
                    </w:rPr>
                  </w:pPr>
                  <w:r>
                    <w:rPr>
                      <w:color w:val="auto"/>
                      <w:spacing w:val="-7"/>
                      <w:highlight w:val="none"/>
                    </w:rPr>
                    <w:t>≤</w:t>
                  </w:r>
                  <w:r>
                    <w:rPr>
                      <w:rFonts w:ascii="Times New Roman" w:hAnsi="Times New Roman" w:eastAsia="Times New Roman" w:cs="Times New Roman"/>
                      <w:color w:val="auto"/>
                      <w:spacing w:val="-7"/>
                      <w:highlight w:val="none"/>
                    </w:rPr>
                    <w:t>15</w:t>
                  </w:r>
                </w:p>
              </w:tc>
            </w:tr>
            <w:tr w14:paraId="4B96C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328" w:type="dxa"/>
                  <w:tcBorders>
                    <w:left w:val="single" w:color="000000" w:sz="10" w:space="0"/>
                  </w:tcBorders>
                  <w:vAlign w:val="top"/>
                </w:tcPr>
                <w:p w14:paraId="5473B319">
                  <w:pPr>
                    <w:spacing w:before="77" w:line="186" w:lineRule="auto"/>
                    <w:ind w:left="6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18</w:t>
                  </w:r>
                </w:p>
              </w:tc>
              <w:tc>
                <w:tcPr>
                  <w:tcW w:w="1625" w:type="dxa"/>
                  <w:gridSpan w:val="2"/>
                  <w:vAlign w:val="top"/>
                </w:tcPr>
                <w:p w14:paraId="19CA97B6">
                  <w:pPr>
                    <w:pStyle w:val="25"/>
                    <w:spacing w:before="45" w:line="193" w:lineRule="auto"/>
                    <w:ind w:left="74"/>
                    <w:rPr>
                      <w:color w:val="auto"/>
                      <w:highlight w:val="none"/>
                    </w:rPr>
                  </w:pPr>
                  <w:r>
                    <w:rPr>
                      <w:color w:val="auto"/>
                      <w:spacing w:val="-2"/>
                      <w:highlight w:val="none"/>
                    </w:rPr>
                    <w:t>五日生化需氧量</w:t>
                  </w:r>
                </w:p>
              </w:tc>
              <w:tc>
                <w:tcPr>
                  <w:tcW w:w="1062" w:type="dxa"/>
                  <w:gridSpan w:val="2"/>
                  <w:vAlign w:val="top"/>
                </w:tcPr>
                <w:p w14:paraId="5B9A5C63">
                  <w:pPr>
                    <w:spacing w:before="77" w:line="186"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0188E246">
                  <w:pPr>
                    <w:spacing w:before="77" w:line="186" w:lineRule="auto"/>
                    <w:ind w:left="411"/>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2.1</w:t>
                  </w:r>
                </w:p>
              </w:tc>
              <w:tc>
                <w:tcPr>
                  <w:tcW w:w="1074" w:type="dxa"/>
                  <w:gridSpan w:val="2"/>
                  <w:vAlign w:val="top"/>
                </w:tcPr>
                <w:p w14:paraId="0B7CC787">
                  <w:pPr>
                    <w:spacing w:before="77" w:line="186" w:lineRule="auto"/>
                    <w:ind w:left="42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2.4</w:t>
                  </w:r>
                </w:p>
              </w:tc>
              <w:tc>
                <w:tcPr>
                  <w:tcW w:w="1074" w:type="dxa"/>
                  <w:gridSpan w:val="3"/>
                  <w:vAlign w:val="top"/>
                </w:tcPr>
                <w:p w14:paraId="251AE46B">
                  <w:pPr>
                    <w:spacing w:before="77" w:line="186"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0.70</w:t>
                  </w:r>
                </w:p>
              </w:tc>
              <w:tc>
                <w:tcPr>
                  <w:tcW w:w="1074" w:type="dxa"/>
                  <w:vAlign w:val="top"/>
                </w:tcPr>
                <w:p w14:paraId="2950FC39">
                  <w:pPr>
                    <w:spacing w:before="77" w:line="186"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0.80</w:t>
                  </w:r>
                </w:p>
              </w:tc>
              <w:tc>
                <w:tcPr>
                  <w:tcW w:w="1029" w:type="dxa"/>
                  <w:tcBorders>
                    <w:right w:val="single" w:color="000000" w:sz="10" w:space="0"/>
                  </w:tcBorders>
                  <w:vAlign w:val="top"/>
                </w:tcPr>
                <w:p w14:paraId="04421C4F">
                  <w:pPr>
                    <w:pStyle w:val="25"/>
                    <w:spacing w:before="45" w:line="193" w:lineRule="auto"/>
                    <w:ind w:left="254"/>
                    <w:rPr>
                      <w:rFonts w:ascii="Times New Roman" w:hAnsi="Times New Roman" w:eastAsia="Times New Roman" w:cs="Times New Roman"/>
                      <w:color w:val="auto"/>
                      <w:highlight w:val="none"/>
                    </w:rPr>
                  </w:pPr>
                  <w:r>
                    <w:rPr>
                      <w:color w:val="auto"/>
                      <w:spacing w:val="-11"/>
                      <w:highlight w:val="none"/>
                    </w:rPr>
                    <w:t>≤</w:t>
                  </w:r>
                  <w:r>
                    <w:rPr>
                      <w:rFonts w:ascii="Times New Roman" w:hAnsi="Times New Roman" w:eastAsia="Times New Roman" w:cs="Times New Roman"/>
                      <w:color w:val="auto"/>
                      <w:spacing w:val="-11"/>
                      <w:highlight w:val="none"/>
                    </w:rPr>
                    <w:t>3</w:t>
                  </w:r>
                </w:p>
              </w:tc>
            </w:tr>
            <w:tr w14:paraId="74FBD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5F6D53EE">
                  <w:pPr>
                    <w:spacing w:before="80" w:line="185" w:lineRule="auto"/>
                    <w:ind w:left="6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sz w:val="21"/>
                      <w:szCs w:val="21"/>
                      <w:highlight w:val="none"/>
                    </w:rPr>
                    <w:t>19</w:t>
                  </w:r>
                </w:p>
              </w:tc>
              <w:tc>
                <w:tcPr>
                  <w:tcW w:w="1625" w:type="dxa"/>
                  <w:gridSpan w:val="2"/>
                  <w:vAlign w:val="top"/>
                </w:tcPr>
                <w:p w14:paraId="0546E01A">
                  <w:pPr>
                    <w:pStyle w:val="25"/>
                    <w:spacing w:before="46" w:line="194" w:lineRule="auto"/>
                    <w:ind w:left="493"/>
                    <w:rPr>
                      <w:color w:val="auto"/>
                      <w:highlight w:val="none"/>
                    </w:rPr>
                  </w:pPr>
                  <w:r>
                    <w:rPr>
                      <w:color w:val="auto"/>
                      <w:spacing w:val="-2"/>
                      <w:highlight w:val="none"/>
                    </w:rPr>
                    <w:t>溶解氧</w:t>
                  </w:r>
                </w:p>
              </w:tc>
              <w:tc>
                <w:tcPr>
                  <w:tcW w:w="1062" w:type="dxa"/>
                  <w:gridSpan w:val="2"/>
                  <w:vAlign w:val="top"/>
                </w:tcPr>
                <w:p w14:paraId="2792BBB6">
                  <w:pPr>
                    <w:spacing w:before="80" w:line="185"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6414002D">
                  <w:pPr>
                    <w:spacing w:before="80" w:line="185" w:lineRule="auto"/>
                    <w:ind w:left="41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6.3</w:t>
                  </w:r>
                </w:p>
              </w:tc>
              <w:tc>
                <w:tcPr>
                  <w:tcW w:w="1074" w:type="dxa"/>
                  <w:gridSpan w:val="2"/>
                  <w:vAlign w:val="top"/>
                </w:tcPr>
                <w:p w14:paraId="4F0F1DDF">
                  <w:pPr>
                    <w:spacing w:before="80" w:line="185" w:lineRule="auto"/>
                    <w:ind w:left="42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6.9</w:t>
                  </w:r>
                </w:p>
              </w:tc>
              <w:tc>
                <w:tcPr>
                  <w:tcW w:w="1074" w:type="dxa"/>
                  <w:gridSpan w:val="3"/>
                  <w:vAlign w:val="top"/>
                </w:tcPr>
                <w:p w14:paraId="6C5A10E8">
                  <w:pPr>
                    <w:spacing w:before="80" w:line="185"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0.90</w:t>
                  </w:r>
                </w:p>
              </w:tc>
              <w:tc>
                <w:tcPr>
                  <w:tcW w:w="1074" w:type="dxa"/>
                  <w:vAlign w:val="top"/>
                </w:tcPr>
                <w:p w14:paraId="6BDFF79D">
                  <w:pPr>
                    <w:spacing w:before="80" w:line="185"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0.70</w:t>
                  </w:r>
                </w:p>
              </w:tc>
              <w:tc>
                <w:tcPr>
                  <w:tcW w:w="1029" w:type="dxa"/>
                  <w:tcBorders>
                    <w:right w:val="single" w:color="000000" w:sz="10" w:space="0"/>
                  </w:tcBorders>
                  <w:vAlign w:val="top"/>
                </w:tcPr>
                <w:p w14:paraId="3C56D8AB">
                  <w:pPr>
                    <w:pStyle w:val="25"/>
                    <w:spacing w:before="46" w:line="194" w:lineRule="auto"/>
                    <w:ind w:left="260"/>
                    <w:rPr>
                      <w:rFonts w:ascii="Times New Roman" w:hAnsi="Times New Roman" w:eastAsia="Times New Roman" w:cs="Times New Roman"/>
                      <w:color w:val="auto"/>
                      <w:highlight w:val="none"/>
                    </w:rPr>
                  </w:pPr>
                  <w:r>
                    <w:rPr>
                      <w:color w:val="auto"/>
                      <w:spacing w:val="-14"/>
                      <w:highlight w:val="none"/>
                    </w:rPr>
                    <w:t>≥</w:t>
                  </w:r>
                  <w:r>
                    <w:rPr>
                      <w:rFonts w:ascii="Times New Roman" w:hAnsi="Times New Roman" w:eastAsia="Times New Roman" w:cs="Times New Roman"/>
                      <w:color w:val="auto"/>
                      <w:spacing w:val="-14"/>
                      <w:highlight w:val="none"/>
                    </w:rPr>
                    <w:t>6</w:t>
                  </w:r>
                </w:p>
              </w:tc>
            </w:tr>
            <w:tr w14:paraId="25CD0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48BA5E3F">
                  <w:pPr>
                    <w:spacing w:before="79" w:line="186" w:lineRule="auto"/>
                    <w:ind w:left="4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20</w:t>
                  </w:r>
                </w:p>
              </w:tc>
              <w:tc>
                <w:tcPr>
                  <w:tcW w:w="1625" w:type="dxa"/>
                  <w:gridSpan w:val="2"/>
                  <w:vAlign w:val="top"/>
                </w:tcPr>
                <w:p w14:paraId="6659D25B">
                  <w:pPr>
                    <w:pStyle w:val="25"/>
                    <w:spacing w:before="46" w:line="194" w:lineRule="auto"/>
                    <w:ind w:left="491"/>
                    <w:rPr>
                      <w:color w:val="auto"/>
                      <w:highlight w:val="none"/>
                    </w:rPr>
                  </w:pPr>
                  <w:r>
                    <w:rPr>
                      <w:color w:val="auto"/>
                      <w:spacing w:val="-2"/>
                      <w:highlight w:val="none"/>
                    </w:rPr>
                    <w:t>氟化物</w:t>
                  </w:r>
                </w:p>
              </w:tc>
              <w:tc>
                <w:tcPr>
                  <w:tcW w:w="1062" w:type="dxa"/>
                  <w:gridSpan w:val="2"/>
                  <w:vAlign w:val="top"/>
                </w:tcPr>
                <w:p w14:paraId="27DD6718">
                  <w:pPr>
                    <w:spacing w:before="79" w:line="186"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1072E223">
                  <w:pPr>
                    <w:spacing w:before="79" w:line="186" w:lineRule="auto"/>
                    <w:ind w:left="36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0.28</w:t>
                  </w:r>
                </w:p>
              </w:tc>
              <w:tc>
                <w:tcPr>
                  <w:tcW w:w="1074" w:type="dxa"/>
                  <w:gridSpan w:val="2"/>
                  <w:vAlign w:val="top"/>
                </w:tcPr>
                <w:p w14:paraId="6CD02119">
                  <w:pPr>
                    <w:spacing w:before="79" w:line="186" w:lineRule="auto"/>
                    <w:ind w:left="37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0.34</w:t>
                  </w:r>
                </w:p>
              </w:tc>
              <w:tc>
                <w:tcPr>
                  <w:tcW w:w="1074" w:type="dxa"/>
                  <w:gridSpan w:val="3"/>
                  <w:vAlign w:val="top"/>
                </w:tcPr>
                <w:p w14:paraId="19BCE3DB">
                  <w:pPr>
                    <w:spacing w:before="79" w:line="186" w:lineRule="auto"/>
                    <w:ind w:left="41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0.28</w:t>
                  </w:r>
                </w:p>
              </w:tc>
              <w:tc>
                <w:tcPr>
                  <w:tcW w:w="1074" w:type="dxa"/>
                  <w:vAlign w:val="top"/>
                </w:tcPr>
                <w:p w14:paraId="0ED59A77">
                  <w:pPr>
                    <w:spacing w:before="79" w:line="186" w:lineRule="auto"/>
                    <w:ind w:left="4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0.34</w:t>
                  </w:r>
                </w:p>
              </w:tc>
              <w:tc>
                <w:tcPr>
                  <w:tcW w:w="1029" w:type="dxa"/>
                  <w:tcBorders>
                    <w:right w:val="single" w:color="000000" w:sz="10" w:space="0"/>
                  </w:tcBorders>
                  <w:vAlign w:val="top"/>
                </w:tcPr>
                <w:p w14:paraId="7C25BE08">
                  <w:pPr>
                    <w:pStyle w:val="25"/>
                    <w:spacing w:before="46" w:line="194" w:lineRule="auto"/>
                    <w:ind w:left="175"/>
                    <w:rPr>
                      <w:rFonts w:ascii="Times New Roman" w:hAnsi="Times New Roman" w:eastAsia="Times New Roman" w:cs="Times New Roman"/>
                      <w:color w:val="auto"/>
                      <w:highlight w:val="none"/>
                    </w:rPr>
                  </w:pPr>
                  <w:r>
                    <w:rPr>
                      <w:color w:val="auto"/>
                      <w:spacing w:val="-6"/>
                      <w:highlight w:val="none"/>
                    </w:rPr>
                    <w:t>≤</w:t>
                  </w:r>
                  <w:r>
                    <w:rPr>
                      <w:rFonts w:ascii="Times New Roman" w:hAnsi="Times New Roman" w:eastAsia="Times New Roman" w:cs="Times New Roman"/>
                      <w:color w:val="auto"/>
                      <w:spacing w:val="-6"/>
                      <w:highlight w:val="none"/>
                    </w:rPr>
                    <w:t>1.0</w:t>
                  </w:r>
                </w:p>
              </w:tc>
            </w:tr>
            <w:tr w14:paraId="5E221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328" w:type="dxa"/>
                  <w:tcBorders>
                    <w:left w:val="single" w:color="000000" w:sz="10" w:space="0"/>
                  </w:tcBorders>
                  <w:vAlign w:val="top"/>
                </w:tcPr>
                <w:p w14:paraId="6CE87482">
                  <w:pPr>
                    <w:spacing w:before="80" w:line="183" w:lineRule="auto"/>
                    <w:ind w:left="4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21</w:t>
                  </w:r>
                </w:p>
              </w:tc>
              <w:tc>
                <w:tcPr>
                  <w:tcW w:w="1625" w:type="dxa"/>
                  <w:gridSpan w:val="2"/>
                  <w:vAlign w:val="top"/>
                </w:tcPr>
                <w:p w14:paraId="2E4C10B4">
                  <w:pPr>
                    <w:pStyle w:val="25"/>
                    <w:spacing w:before="47" w:line="191" w:lineRule="auto"/>
                    <w:ind w:left="699"/>
                    <w:rPr>
                      <w:color w:val="auto"/>
                      <w:highlight w:val="none"/>
                    </w:rPr>
                  </w:pPr>
                  <w:r>
                    <w:rPr>
                      <w:color w:val="auto"/>
                      <w:highlight w:val="none"/>
                    </w:rPr>
                    <w:t>铜</w:t>
                  </w:r>
                </w:p>
              </w:tc>
              <w:tc>
                <w:tcPr>
                  <w:tcW w:w="1062" w:type="dxa"/>
                  <w:gridSpan w:val="2"/>
                  <w:vAlign w:val="top"/>
                </w:tcPr>
                <w:p w14:paraId="38A8DD91">
                  <w:pPr>
                    <w:spacing w:before="80" w:line="183"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464425C7">
                  <w:pPr>
                    <w:pStyle w:val="25"/>
                    <w:spacing w:before="47" w:line="191" w:lineRule="auto"/>
                    <w:ind w:left="272"/>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0.05</w:t>
                  </w:r>
                </w:p>
              </w:tc>
              <w:tc>
                <w:tcPr>
                  <w:tcW w:w="1074" w:type="dxa"/>
                  <w:gridSpan w:val="2"/>
                  <w:vAlign w:val="top"/>
                </w:tcPr>
                <w:p w14:paraId="6FD4DC19">
                  <w:pPr>
                    <w:pStyle w:val="25"/>
                    <w:spacing w:before="47" w:line="191" w:lineRule="auto"/>
                    <w:ind w:left="281"/>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0.05</w:t>
                  </w:r>
                </w:p>
              </w:tc>
              <w:tc>
                <w:tcPr>
                  <w:tcW w:w="1074" w:type="dxa"/>
                  <w:gridSpan w:val="3"/>
                  <w:vAlign w:val="top"/>
                </w:tcPr>
                <w:p w14:paraId="68D4E21F">
                  <w:pPr>
                    <w:pStyle w:val="25"/>
                    <w:spacing w:before="47" w:line="191" w:lineRule="auto"/>
                    <w:ind w:left="327"/>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0.05</w:t>
                  </w:r>
                </w:p>
              </w:tc>
              <w:tc>
                <w:tcPr>
                  <w:tcW w:w="1074" w:type="dxa"/>
                  <w:vAlign w:val="top"/>
                </w:tcPr>
                <w:p w14:paraId="41D1DBCE">
                  <w:pPr>
                    <w:pStyle w:val="25"/>
                    <w:spacing w:before="47" w:line="191" w:lineRule="auto"/>
                    <w:ind w:left="319"/>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0.05</w:t>
                  </w:r>
                </w:p>
              </w:tc>
              <w:tc>
                <w:tcPr>
                  <w:tcW w:w="1029" w:type="dxa"/>
                  <w:tcBorders>
                    <w:right w:val="single" w:color="000000" w:sz="10" w:space="0"/>
                  </w:tcBorders>
                  <w:vAlign w:val="top"/>
                </w:tcPr>
                <w:p w14:paraId="22A27232">
                  <w:pPr>
                    <w:pStyle w:val="25"/>
                    <w:spacing w:before="47" w:line="191" w:lineRule="auto"/>
                    <w:ind w:left="175"/>
                    <w:rPr>
                      <w:rFonts w:ascii="Times New Roman" w:hAnsi="Times New Roman" w:eastAsia="Times New Roman" w:cs="Times New Roman"/>
                      <w:color w:val="auto"/>
                      <w:highlight w:val="none"/>
                    </w:rPr>
                  </w:pPr>
                  <w:r>
                    <w:rPr>
                      <w:color w:val="auto"/>
                      <w:spacing w:val="-6"/>
                      <w:highlight w:val="none"/>
                    </w:rPr>
                    <w:t>≤</w:t>
                  </w:r>
                  <w:r>
                    <w:rPr>
                      <w:rFonts w:ascii="Times New Roman" w:hAnsi="Times New Roman" w:eastAsia="Times New Roman" w:cs="Times New Roman"/>
                      <w:color w:val="auto"/>
                      <w:spacing w:val="-6"/>
                      <w:highlight w:val="none"/>
                    </w:rPr>
                    <w:t>1.0</w:t>
                  </w:r>
                </w:p>
              </w:tc>
            </w:tr>
            <w:tr w14:paraId="23D54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16BA674B">
                  <w:pPr>
                    <w:spacing w:before="83" w:line="182" w:lineRule="auto"/>
                    <w:ind w:left="4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22</w:t>
                  </w:r>
                </w:p>
              </w:tc>
              <w:tc>
                <w:tcPr>
                  <w:tcW w:w="1625" w:type="dxa"/>
                  <w:gridSpan w:val="2"/>
                  <w:vAlign w:val="top"/>
                </w:tcPr>
                <w:p w14:paraId="7D309A2D">
                  <w:pPr>
                    <w:pStyle w:val="25"/>
                    <w:spacing w:before="50" w:line="190" w:lineRule="auto"/>
                    <w:ind w:left="698"/>
                    <w:rPr>
                      <w:color w:val="auto"/>
                      <w:highlight w:val="none"/>
                    </w:rPr>
                  </w:pPr>
                  <w:r>
                    <w:rPr>
                      <w:color w:val="auto"/>
                      <w:highlight w:val="none"/>
                    </w:rPr>
                    <w:t>锌</w:t>
                  </w:r>
                </w:p>
              </w:tc>
              <w:tc>
                <w:tcPr>
                  <w:tcW w:w="1062" w:type="dxa"/>
                  <w:gridSpan w:val="2"/>
                  <w:vAlign w:val="top"/>
                </w:tcPr>
                <w:p w14:paraId="7990A48E">
                  <w:pPr>
                    <w:spacing w:before="83" w:line="182"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3DBA027E">
                  <w:pPr>
                    <w:pStyle w:val="25"/>
                    <w:spacing w:before="50" w:line="190" w:lineRule="auto"/>
                    <w:ind w:left="272"/>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0.05</w:t>
                  </w:r>
                </w:p>
              </w:tc>
              <w:tc>
                <w:tcPr>
                  <w:tcW w:w="1074" w:type="dxa"/>
                  <w:gridSpan w:val="2"/>
                  <w:vAlign w:val="top"/>
                </w:tcPr>
                <w:p w14:paraId="20AF0EDF">
                  <w:pPr>
                    <w:pStyle w:val="25"/>
                    <w:spacing w:before="50" w:line="190" w:lineRule="auto"/>
                    <w:ind w:left="281"/>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0.05</w:t>
                  </w:r>
                </w:p>
              </w:tc>
              <w:tc>
                <w:tcPr>
                  <w:tcW w:w="1074" w:type="dxa"/>
                  <w:gridSpan w:val="3"/>
                  <w:vAlign w:val="top"/>
                </w:tcPr>
                <w:p w14:paraId="55BE644F">
                  <w:pPr>
                    <w:pStyle w:val="25"/>
                    <w:spacing w:before="50" w:line="190" w:lineRule="auto"/>
                    <w:ind w:left="327"/>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0.05</w:t>
                  </w:r>
                </w:p>
              </w:tc>
              <w:tc>
                <w:tcPr>
                  <w:tcW w:w="1074" w:type="dxa"/>
                  <w:vAlign w:val="top"/>
                </w:tcPr>
                <w:p w14:paraId="6E1FFBAC">
                  <w:pPr>
                    <w:pStyle w:val="25"/>
                    <w:spacing w:before="50" w:line="190" w:lineRule="auto"/>
                    <w:ind w:left="319"/>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0.05</w:t>
                  </w:r>
                </w:p>
              </w:tc>
              <w:tc>
                <w:tcPr>
                  <w:tcW w:w="1029" w:type="dxa"/>
                  <w:tcBorders>
                    <w:right w:val="single" w:color="000000" w:sz="10" w:space="0"/>
                  </w:tcBorders>
                  <w:vAlign w:val="top"/>
                </w:tcPr>
                <w:p w14:paraId="0818F842">
                  <w:pPr>
                    <w:pStyle w:val="25"/>
                    <w:spacing w:before="50" w:line="190" w:lineRule="auto"/>
                    <w:ind w:left="175"/>
                    <w:rPr>
                      <w:rFonts w:ascii="Times New Roman" w:hAnsi="Times New Roman" w:eastAsia="Times New Roman" w:cs="Times New Roman"/>
                      <w:color w:val="auto"/>
                      <w:highlight w:val="none"/>
                    </w:rPr>
                  </w:pPr>
                  <w:r>
                    <w:rPr>
                      <w:color w:val="auto"/>
                      <w:spacing w:val="-6"/>
                      <w:highlight w:val="none"/>
                    </w:rPr>
                    <w:t>≤</w:t>
                  </w:r>
                  <w:r>
                    <w:rPr>
                      <w:rFonts w:ascii="Times New Roman" w:hAnsi="Times New Roman" w:eastAsia="Times New Roman" w:cs="Times New Roman"/>
                      <w:color w:val="auto"/>
                      <w:spacing w:val="-6"/>
                      <w:highlight w:val="none"/>
                    </w:rPr>
                    <w:t>1.0</w:t>
                  </w:r>
                </w:p>
              </w:tc>
            </w:tr>
            <w:tr w14:paraId="1CF46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7FA10197">
                  <w:pPr>
                    <w:spacing w:before="81" w:line="184" w:lineRule="auto"/>
                    <w:ind w:left="4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23</w:t>
                  </w:r>
                </w:p>
              </w:tc>
              <w:tc>
                <w:tcPr>
                  <w:tcW w:w="1625" w:type="dxa"/>
                  <w:gridSpan w:val="2"/>
                  <w:vAlign w:val="top"/>
                </w:tcPr>
                <w:p w14:paraId="5AE0D789">
                  <w:pPr>
                    <w:pStyle w:val="25"/>
                    <w:spacing w:before="49" w:line="191" w:lineRule="auto"/>
                    <w:ind w:left="699"/>
                    <w:rPr>
                      <w:color w:val="auto"/>
                      <w:highlight w:val="none"/>
                    </w:rPr>
                  </w:pPr>
                  <w:r>
                    <w:rPr>
                      <w:color w:val="auto"/>
                      <w:highlight w:val="none"/>
                    </w:rPr>
                    <w:t>铅</w:t>
                  </w:r>
                </w:p>
              </w:tc>
              <w:tc>
                <w:tcPr>
                  <w:tcW w:w="1062" w:type="dxa"/>
                  <w:gridSpan w:val="2"/>
                  <w:vAlign w:val="top"/>
                </w:tcPr>
                <w:p w14:paraId="4DC8A4D5">
                  <w:pPr>
                    <w:spacing w:before="81" w:line="184"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291F59A5">
                  <w:pPr>
                    <w:pStyle w:val="25"/>
                    <w:spacing w:before="49" w:line="191" w:lineRule="auto"/>
                    <w:ind w:left="272"/>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0.01</w:t>
                  </w:r>
                </w:p>
              </w:tc>
              <w:tc>
                <w:tcPr>
                  <w:tcW w:w="1074" w:type="dxa"/>
                  <w:gridSpan w:val="2"/>
                  <w:vAlign w:val="top"/>
                </w:tcPr>
                <w:p w14:paraId="750C93E6">
                  <w:pPr>
                    <w:pStyle w:val="25"/>
                    <w:spacing w:before="49" w:line="191" w:lineRule="auto"/>
                    <w:ind w:left="281"/>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0.01</w:t>
                  </w:r>
                </w:p>
              </w:tc>
              <w:tc>
                <w:tcPr>
                  <w:tcW w:w="1074" w:type="dxa"/>
                  <w:gridSpan w:val="3"/>
                  <w:vAlign w:val="top"/>
                </w:tcPr>
                <w:p w14:paraId="1BF882B9">
                  <w:pPr>
                    <w:pStyle w:val="25"/>
                    <w:spacing w:before="49" w:line="191" w:lineRule="auto"/>
                    <w:ind w:left="327"/>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1.00</w:t>
                  </w:r>
                </w:p>
              </w:tc>
              <w:tc>
                <w:tcPr>
                  <w:tcW w:w="1074" w:type="dxa"/>
                  <w:vAlign w:val="top"/>
                </w:tcPr>
                <w:p w14:paraId="29A47033">
                  <w:pPr>
                    <w:pStyle w:val="25"/>
                    <w:spacing w:before="49" w:line="191" w:lineRule="auto"/>
                    <w:ind w:left="319"/>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1.00</w:t>
                  </w:r>
                </w:p>
              </w:tc>
              <w:tc>
                <w:tcPr>
                  <w:tcW w:w="1029" w:type="dxa"/>
                  <w:tcBorders>
                    <w:right w:val="single" w:color="000000" w:sz="10" w:space="0"/>
                  </w:tcBorders>
                  <w:vAlign w:val="top"/>
                </w:tcPr>
                <w:p w14:paraId="3E4BE374">
                  <w:pPr>
                    <w:pStyle w:val="25"/>
                    <w:spacing w:before="49" w:line="191" w:lineRule="auto"/>
                    <w:ind w:left="122"/>
                    <w:rPr>
                      <w:rFonts w:ascii="Times New Roman" w:hAnsi="Times New Roman" w:eastAsia="Times New Roman" w:cs="Times New Roman"/>
                      <w:color w:val="auto"/>
                      <w:highlight w:val="none"/>
                    </w:rPr>
                  </w:pPr>
                  <w:r>
                    <w:rPr>
                      <w:color w:val="auto"/>
                      <w:spacing w:val="-4"/>
                      <w:highlight w:val="none"/>
                    </w:rPr>
                    <w:t>≤</w:t>
                  </w:r>
                  <w:r>
                    <w:rPr>
                      <w:rFonts w:ascii="Times New Roman" w:hAnsi="Times New Roman" w:eastAsia="Times New Roman" w:cs="Times New Roman"/>
                      <w:color w:val="auto"/>
                      <w:spacing w:val="-4"/>
                      <w:highlight w:val="none"/>
                    </w:rPr>
                    <w:t>0.01</w:t>
                  </w:r>
                </w:p>
              </w:tc>
            </w:tr>
            <w:tr w14:paraId="0078C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328" w:type="dxa"/>
                  <w:tcBorders>
                    <w:left w:val="single" w:color="000000" w:sz="10" w:space="0"/>
                  </w:tcBorders>
                  <w:vAlign w:val="top"/>
                </w:tcPr>
                <w:p w14:paraId="655FC8C6">
                  <w:pPr>
                    <w:spacing w:before="82" w:line="183" w:lineRule="auto"/>
                    <w:ind w:left="4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24</w:t>
                  </w:r>
                </w:p>
              </w:tc>
              <w:tc>
                <w:tcPr>
                  <w:tcW w:w="1625" w:type="dxa"/>
                  <w:gridSpan w:val="2"/>
                  <w:vAlign w:val="top"/>
                </w:tcPr>
                <w:p w14:paraId="402EE11A">
                  <w:pPr>
                    <w:pStyle w:val="25"/>
                    <w:spacing w:before="50" w:line="190" w:lineRule="auto"/>
                    <w:ind w:left="698"/>
                    <w:rPr>
                      <w:color w:val="auto"/>
                      <w:highlight w:val="none"/>
                    </w:rPr>
                  </w:pPr>
                  <w:r>
                    <w:rPr>
                      <w:color w:val="auto"/>
                      <w:highlight w:val="none"/>
                    </w:rPr>
                    <w:t>砷</w:t>
                  </w:r>
                </w:p>
              </w:tc>
              <w:tc>
                <w:tcPr>
                  <w:tcW w:w="1062" w:type="dxa"/>
                  <w:gridSpan w:val="2"/>
                  <w:vAlign w:val="top"/>
                </w:tcPr>
                <w:p w14:paraId="40E14A94">
                  <w:pPr>
                    <w:spacing w:before="82" w:line="183"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vAlign w:val="top"/>
                </w:tcPr>
                <w:p w14:paraId="21EB586C">
                  <w:pPr>
                    <w:pStyle w:val="25"/>
                    <w:spacing w:before="50" w:line="190" w:lineRule="auto"/>
                    <w:ind w:left="169"/>
                    <w:rPr>
                      <w:rFonts w:ascii="Times New Roman" w:hAnsi="Times New Roman" w:eastAsia="Times New Roman" w:cs="Times New Roman"/>
                      <w:color w:val="auto"/>
                      <w:highlight w:val="none"/>
                    </w:rPr>
                  </w:pPr>
                  <w:r>
                    <w:rPr>
                      <w:color w:val="auto"/>
                      <w:spacing w:val="11"/>
                      <w:highlight w:val="none"/>
                    </w:rPr>
                    <w:t>&lt;</w:t>
                  </w:r>
                  <w:r>
                    <w:rPr>
                      <w:rFonts w:ascii="Times New Roman" w:hAnsi="Times New Roman" w:eastAsia="Times New Roman" w:cs="Times New Roman"/>
                      <w:color w:val="auto"/>
                      <w:spacing w:val="11"/>
                      <w:highlight w:val="none"/>
                    </w:rPr>
                    <w:t>0.0003</w:t>
                  </w:r>
                </w:p>
              </w:tc>
              <w:tc>
                <w:tcPr>
                  <w:tcW w:w="1074" w:type="dxa"/>
                  <w:gridSpan w:val="2"/>
                  <w:vAlign w:val="top"/>
                </w:tcPr>
                <w:p w14:paraId="64F1E5EE">
                  <w:pPr>
                    <w:pStyle w:val="25"/>
                    <w:spacing w:before="50" w:line="190" w:lineRule="auto"/>
                    <w:ind w:left="178"/>
                    <w:rPr>
                      <w:rFonts w:ascii="Times New Roman" w:hAnsi="Times New Roman" w:eastAsia="Times New Roman" w:cs="Times New Roman"/>
                      <w:color w:val="auto"/>
                      <w:highlight w:val="none"/>
                    </w:rPr>
                  </w:pPr>
                  <w:r>
                    <w:rPr>
                      <w:color w:val="auto"/>
                      <w:spacing w:val="11"/>
                      <w:highlight w:val="none"/>
                    </w:rPr>
                    <w:t>&lt;</w:t>
                  </w:r>
                  <w:r>
                    <w:rPr>
                      <w:rFonts w:ascii="Times New Roman" w:hAnsi="Times New Roman" w:eastAsia="Times New Roman" w:cs="Times New Roman"/>
                      <w:color w:val="auto"/>
                      <w:spacing w:val="11"/>
                      <w:highlight w:val="none"/>
                    </w:rPr>
                    <w:t>0.0003</w:t>
                  </w:r>
                </w:p>
              </w:tc>
              <w:tc>
                <w:tcPr>
                  <w:tcW w:w="1074" w:type="dxa"/>
                  <w:gridSpan w:val="3"/>
                  <w:vAlign w:val="top"/>
                </w:tcPr>
                <w:p w14:paraId="5F6A6262">
                  <w:pPr>
                    <w:pStyle w:val="25"/>
                    <w:spacing w:before="50" w:line="190" w:lineRule="auto"/>
                    <w:ind w:left="327"/>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0.01</w:t>
                  </w:r>
                </w:p>
              </w:tc>
              <w:tc>
                <w:tcPr>
                  <w:tcW w:w="1074" w:type="dxa"/>
                  <w:vAlign w:val="top"/>
                </w:tcPr>
                <w:p w14:paraId="5A356895">
                  <w:pPr>
                    <w:pStyle w:val="25"/>
                    <w:spacing w:before="50" w:line="190" w:lineRule="auto"/>
                    <w:ind w:left="319"/>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0.01</w:t>
                  </w:r>
                </w:p>
              </w:tc>
              <w:tc>
                <w:tcPr>
                  <w:tcW w:w="1029" w:type="dxa"/>
                  <w:tcBorders>
                    <w:right w:val="single" w:color="000000" w:sz="10" w:space="0"/>
                  </w:tcBorders>
                  <w:vAlign w:val="top"/>
                </w:tcPr>
                <w:p w14:paraId="2E24B0CA">
                  <w:pPr>
                    <w:pStyle w:val="25"/>
                    <w:spacing w:before="50" w:line="190" w:lineRule="auto"/>
                    <w:ind w:left="122"/>
                    <w:rPr>
                      <w:rFonts w:ascii="Times New Roman" w:hAnsi="Times New Roman" w:eastAsia="Times New Roman" w:cs="Times New Roman"/>
                      <w:color w:val="auto"/>
                      <w:highlight w:val="none"/>
                    </w:rPr>
                  </w:pPr>
                  <w:r>
                    <w:rPr>
                      <w:color w:val="auto"/>
                      <w:spacing w:val="-4"/>
                      <w:highlight w:val="none"/>
                    </w:rPr>
                    <w:t>≤</w:t>
                  </w:r>
                  <w:r>
                    <w:rPr>
                      <w:rFonts w:ascii="Times New Roman" w:hAnsi="Times New Roman" w:eastAsia="Times New Roman" w:cs="Times New Roman"/>
                      <w:color w:val="auto"/>
                      <w:spacing w:val="-4"/>
                      <w:highlight w:val="none"/>
                    </w:rPr>
                    <w:t>0.05</w:t>
                  </w:r>
                </w:p>
              </w:tc>
            </w:tr>
            <w:tr w14:paraId="0CA6B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 w:hRule="atLeast"/>
              </w:trPr>
              <w:tc>
                <w:tcPr>
                  <w:tcW w:w="328" w:type="dxa"/>
                  <w:tcBorders>
                    <w:left w:val="single" w:color="000000" w:sz="10" w:space="0"/>
                    <w:bottom w:val="single" w:color="000000" w:sz="10" w:space="0"/>
                  </w:tcBorders>
                  <w:vAlign w:val="top"/>
                </w:tcPr>
                <w:p w14:paraId="60AA8CFE">
                  <w:pPr>
                    <w:spacing w:before="83" w:line="201" w:lineRule="auto"/>
                    <w:ind w:left="4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25</w:t>
                  </w:r>
                </w:p>
              </w:tc>
              <w:tc>
                <w:tcPr>
                  <w:tcW w:w="1625" w:type="dxa"/>
                  <w:gridSpan w:val="2"/>
                  <w:tcBorders>
                    <w:bottom w:val="single" w:color="000000" w:sz="10" w:space="0"/>
                  </w:tcBorders>
                  <w:vAlign w:val="top"/>
                </w:tcPr>
                <w:p w14:paraId="7DAFDABC">
                  <w:pPr>
                    <w:pStyle w:val="25"/>
                    <w:spacing w:before="51" w:line="206" w:lineRule="auto"/>
                    <w:ind w:left="700"/>
                    <w:rPr>
                      <w:color w:val="auto"/>
                      <w:highlight w:val="none"/>
                    </w:rPr>
                  </w:pPr>
                  <w:r>
                    <w:rPr>
                      <w:color w:val="auto"/>
                      <w:highlight w:val="none"/>
                    </w:rPr>
                    <w:t>汞</w:t>
                  </w:r>
                </w:p>
              </w:tc>
              <w:tc>
                <w:tcPr>
                  <w:tcW w:w="1062" w:type="dxa"/>
                  <w:gridSpan w:val="2"/>
                  <w:tcBorders>
                    <w:bottom w:val="single" w:color="000000" w:sz="10" w:space="0"/>
                  </w:tcBorders>
                  <w:vAlign w:val="top"/>
                </w:tcPr>
                <w:p w14:paraId="6854DBC4">
                  <w:pPr>
                    <w:spacing w:before="83" w:line="191" w:lineRule="auto"/>
                    <w:ind w:left="29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4" w:type="dxa"/>
                  <w:gridSpan w:val="2"/>
                  <w:tcBorders>
                    <w:bottom w:val="single" w:color="000000" w:sz="10" w:space="0"/>
                  </w:tcBorders>
                  <w:vAlign w:val="top"/>
                </w:tcPr>
                <w:p w14:paraId="5C279824">
                  <w:pPr>
                    <w:pStyle w:val="25"/>
                    <w:spacing w:before="51" w:line="206" w:lineRule="auto"/>
                    <w:ind w:left="116"/>
                    <w:rPr>
                      <w:rFonts w:ascii="Times New Roman" w:hAnsi="Times New Roman" w:eastAsia="Times New Roman" w:cs="Times New Roman"/>
                      <w:color w:val="auto"/>
                      <w:highlight w:val="none"/>
                    </w:rPr>
                  </w:pPr>
                  <w:r>
                    <w:rPr>
                      <w:color w:val="auto"/>
                      <w:spacing w:val="10"/>
                      <w:highlight w:val="none"/>
                    </w:rPr>
                    <w:t>&lt;</w:t>
                  </w:r>
                  <w:r>
                    <w:rPr>
                      <w:rFonts w:ascii="Times New Roman" w:hAnsi="Times New Roman" w:eastAsia="Times New Roman" w:cs="Times New Roman"/>
                      <w:color w:val="auto"/>
                      <w:spacing w:val="10"/>
                      <w:highlight w:val="none"/>
                    </w:rPr>
                    <w:t>0.00004</w:t>
                  </w:r>
                </w:p>
              </w:tc>
              <w:tc>
                <w:tcPr>
                  <w:tcW w:w="1074" w:type="dxa"/>
                  <w:gridSpan w:val="2"/>
                  <w:tcBorders>
                    <w:bottom w:val="single" w:color="000000" w:sz="10" w:space="0"/>
                  </w:tcBorders>
                  <w:vAlign w:val="top"/>
                </w:tcPr>
                <w:p w14:paraId="66C86F32">
                  <w:pPr>
                    <w:pStyle w:val="25"/>
                    <w:spacing w:before="51" w:line="206" w:lineRule="auto"/>
                    <w:ind w:left="125"/>
                    <w:rPr>
                      <w:rFonts w:ascii="Times New Roman" w:hAnsi="Times New Roman" w:eastAsia="Times New Roman" w:cs="Times New Roman"/>
                      <w:color w:val="auto"/>
                      <w:highlight w:val="none"/>
                    </w:rPr>
                  </w:pPr>
                  <w:r>
                    <w:rPr>
                      <w:color w:val="auto"/>
                      <w:spacing w:val="10"/>
                      <w:highlight w:val="none"/>
                    </w:rPr>
                    <w:t>&lt;</w:t>
                  </w:r>
                  <w:r>
                    <w:rPr>
                      <w:rFonts w:ascii="Times New Roman" w:hAnsi="Times New Roman" w:eastAsia="Times New Roman" w:cs="Times New Roman"/>
                      <w:color w:val="auto"/>
                      <w:spacing w:val="10"/>
                      <w:highlight w:val="none"/>
                    </w:rPr>
                    <w:t>0.00004</w:t>
                  </w:r>
                </w:p>
              </w:tc>
              <w:tc>
                <w:tcPr>
                  <w:tcW w:w="1074" w:type="dxa"/>
                  <w:gridSpan w:val="3"/>
                  <w:tcBorders>
                    <w:bottom w:val="single" w:color="000000" w:sz="10" w:space="0"/>
                  </w:tcBorders>
                  <w:vAlign w:val="top"/>
                </w:tcPr>
                <w:p w14:paraId="327D31AD">
                  <w:pPr>
                    <w:pStyle w:val="25"/>
                    <w:spacing w:before="51" w:line="206" w:lineRule="auto"/>
                    <w:ind w:left="327"/>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0.80</w:t>
                  </w:r>
                </w:p>
              </w:tc>
              <w:tc>
                <w:tcPr>
                  <w:tcW w:w="1074" w:type="dxa"/>
                  <w:tcBorders>
                    <w:bottom w:val="single" w:color="000000" w:sz="10" w:space="0"/>
                  </w:tcBorders>
                  <w:vAlign w:val="top"/>
                </w:tcPr>
                <w:p w14:paraId="53B566D4">
                  <w:pPr>
                    <w:pStyle w:val="25"/>
                    <w:spacing w:before="51" w:line="206" w:lineRule="auto"/>
                    <w:ind w:left="319"/>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0.80</w:t>
                  </w:r>
                </w:p>
              </w:tc>
              <w:tc>
                <w:tcPr>
                  <w:tcW w:w="1029" w:type="dxa"/>
                  <w:tcBorders>
                    <w:bottom w:val="single" w:color="000000" w:sz="10" w:space="0"/>
                    <w:right w:val="single" w:color="000000" w:sz="10" w:space="0"/>
                  </w:tcBorders>
                  <w:vAlign w:val="top"/>
                </w:tcPr>
                <w:p w14:paraId="67E39C6C">
                  <w:pPr>
                    <w:pStyle w:val="25"/>
                    <w:spacing w:line="240" w:lineRule="auto"/>
                    <w:ind w:left="0"/>
                    <w:rPr>
                      <w:color w:val="auto"/>
                      <w:highlight w:val="none"/>
                    </w:rPr>
                  </w:pPr>
                  <w:r>
                    <w:rPr>
                      <w:color w:val="auto"/>
                      <w:highlight w:val="none"/>
                    </w:rPr>
                    <w:t>≤</w:t>
                  </w:r>
                  <w:r>
                    <w:rPr>
                      <w:rFonts w:ascii="Times New Roman" w:hAnsi="Times New Roman" w:eastAsia="Times New Roman" w:cs="Times New Roman"/>
                      <w:color w:val="auto"/>
                      <w:spacing w:val="-1"/>
                      <w:sz w:val="21"/>
                      <w:szCs w:val="21"/>
                      <w:highlight w:val="none"/>
                    </w:rPr>
                    <w:t>0.00005</w:t>
                  </w:r>
                </w:p>
              </w:tc>
            </w:tr>
            <w:tr w14:paraId="02EED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330" w:type="dxa"/>
                  <w:gridSpan w:val="2"/>
                  <w:tcBorders>
                    <w:left w:val="single" w:color="000000" w:sz="10" w:space="0"/>
                  </w:tcBorders>
                  <w:vAlign w:val="top"/>
                </w:tcPr>
                <w:p w14:paraId="0B14EDD7">
                  <w:pPr>
                    <w:spacing w:before="65" w:line="195" w:lineRule="auto"/>
                    <w:ind w:left="4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26</w:t>
                  </w:r>
                </w:p>
              </w:tc>
              <w:tc>
                <w:tcPr>
                  <w:tcW w:w="1625" w:type="dxa"/>
                  <w:gridSpan w:val="2"/>
                  <w:vAlign w:val="top"/>
                </w:tcPr>
                <w:p w14:paraId="6E7E39CE">
                  <w:pPr>
                    <w:pStyle w:val="25"/>
                    <w:spacing w:before="32" w:line="202" w:lineRule="auto"/>
                    <w:ind w:left="695"/>
                    <w:rPr>
                      <w:color w:val="auto"/>
                      <w:highlight w:val="none"/>
                    </w:rPr>
                  </w:pPr>
                  <w:r>
                    <w:rPr>
                      <w:color w:val="auto"/>
                      <w:highlight w:val="none"/>
                    </w:rPr>
                    <w:t>硒</w:t>
                  </w:r>
                </w:p>
              </w:tc>
              <w:tc>
                <w:tcPr>
                  <w:tcW w:w="1062" w:type="dxa"/>
                  <w:gridSpan w:val="2"/>
                  <w:vAlign w:val="top"/>
                </w:tcPr>
                <w:p w14:paraId="39826829">
                  <w:pPr>
                    <w:spacing w:before="65" w:line="191" w:lineRule="auto"/>
                    <w:ind w:left="29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3" w:type="dxa"/>
                  <w:gridSpan w:val="2"/>
                  <w:vAlign w:val="top"/>
                </w:tcPr>
                <w:p w14:paraId="7DC83306">
                  <w:pPr>
                    <w:pStyle w:val="25"/>
                    <w:spacing w:before="32" w:line="202" w:lineRule="auto"/>
                    <w:ind w:left="167"/>
                    <w:rPr>
                      <w:rFonts w:ascii="Times New Roman" w:hAnsi="Times New Roman" w:eastAsia="Times New Roman" w:cs="Times New Roman"/>
                      <w:color w:val="auto"/>
                      <w:highlight w:val="none"/>
                    </w:rPr>
                  </w:pPr>
                  <w:r>
                    <w:rPr>
                      <w:color w:val="auto"/>
                      <w:spacing w:val="11"/>
                      <w:highlight w:val="none"/>
                    </w:rPr>
                    <w:t>&lt;</w:t>
                  </w:r>
                  <w:r>
                    <w:rPr>
                      <w:rFonts w:ascii="Times New Roman" w:hAnsi="Times New Roman" w:eastAsia="Times New Roman" w:cs="Times New Roman"/>
                      <w:color w:val="auto"/>
                      <w:spacing w:val="11"/>
                      <w:highlight w:val="none"/>
                    </w:rPr>
                    <w:t>0.0004</w:t>
                  </w:r>
                </w:p>
              </w:tc>
              <w:tc>
                <w:tcPr>
                  <w:tcW w:w="1073" w:type="dxa"/>
                  <w:vAlign w:val="top"/>
                </w:tcPr>
                <w:p w14:paraId="2637EC01">
                  <w:pPr>
                    <w:pStyle w:val="25"/>
                    <w:spacing w:before="32" w:line="202" w:lineRule="auto"/>
                    <w:ind w:left="176"/>
                    <w:rPr>
                      <w:rFonts w:ascii="Times New Roman" w:hAnsi="Times New Roman" w:eastAsia="Times New Roman" w:cs="Times New Roman"/>
                      <w:color w:val="auto"/>
                      <w:highlight w:val="none"/>
                    </w:rPr>
                  </w:pPr>
                  <w:r>
                    <w:rPr>
                      <w:color w:val="auto"/>
                      <w:spacing w:val="11"/>
                      <w:highlight w:val="none"/>
                    </w:rPr>
                    <w:t>&lt;</w:t>
                  </w:r>
                  <w:r>
                    <w:rPr>
                      <w:rFonts w:ascii="Times New Roman" w:hAnsi="Times New Roman" w:eastAsia="Times New Roman" w:cs="Times New Roman"/>
                      <w:color w:val="auto"/>
                      <w:spacing w:val="11"/>
                      <w:highlight w:val="none"/>
                    </w:rPr>
                    <w:t>0.0004</w:t>
                  </w:r>
                </w:p>
              </w:tc>
              <w:tc>
                <w:tcPr>
                  <w:tcW w:w="1073" w:type="dxa"/>
                  <w:gridSpan w:val="2"/>
                  <w:vAlign w:val="top"/>
                </w:tcPr>
                <w:p w14:paraId="3D0BF63E">
                  <w:pPr>
                    <w:pStyle w:val="25"/>
                    <w:spacing w:before="32" w:line="202" w:lineRule="auto"/>
                    <w:ind w:left="325"/>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0.04</w:t>
                  </w:r>
                </w:p>
              </w:tc>
              <w:tc>
                <w:tcPr>
                  <w:tcW w:w="1075" w:type="dxa"/>
                  <w:gridSpan w:val="2"/>
                  <w:vAlign w:val="top"/>
                </w:tcPr>
                <w:p w14:paraId="56487651">
                  <w:pPr>
                    <w:pStyle w:val="25"/>
                    <w:spacing w:before="32" w:line="202" w:lineRule="auto"/>
                    <w:ind w:left="317"/>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0.04</w:t>
                  </w:r>
                </w:p>
              </w:tc>
              <w:tc>
                <w:tcPr>
                  <w:tcW w:w="1029" w:type="dxa"/>
                  <w:tcBorders>
                    <w:right w:val="single" w:color="000000" w:sz="10" w:space="0"/>
                  </w:tcBorders>
                  <w:vAlign w:val="top"/>
                </w:tcPr>
                <w:p w14:paraId="43DC84ED">
                  <w:pPr>
                    <w:pStyle w:val="25"/>
                    <w:spacing w:before="32" w:line="202" w:lineRule="auto"/>
                    <w:ind w:left="121"/>
                    <w:rPr>
                      <w:rFonts w:ascii="Times New Roman" w:hAnsi="Times New Roman" w:eastAsia="Times New Roman" w:cs="Times New Roman"/>
                      <w:color w:val="auto"/>
                      <w:highlight w:val="none"/>
                    </w:rPr>
                  </w:pPr>
                  <w:r>
                    <w:rPr>
                      <w:color w:val="auto"/>
                      <w:spacing w:val="-4"/>
                      <w:highlight w:val="none"/>
                    </w:rPr>
                    <w:t>≤</w:t>
                  </w:r>
                  <w:r>
                    <w:rPr>
                      <w:rFonts w:ascii="Times New Roman" w:hAnsi="Times New Roman" w:eastAsia="Times New Roman" w:cs="Times New Roman"/>
                      <w:color w:val="auto"/>
                      <w:spacing w:val="-4"/>
                      <w:highlight w:val="none"/>
                    </w:rPr>
                    <w:t>0.01</w:t>
                  </w:r>
                </w:p>
              </w:tc>
            </w:tr>
            <w:tr w14:paraId="337E4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330" w:type="dxa"/>
                  <w:gridSpan w:val="2"/>
                  <w:tcBorders>
                    <w:left w:val="single" w:color="000000" w:sz="10" w:space="0"/>
                  </w:tcBorders>
                  <w:vAlign w:val="top"/>
                </w:tcPr>
                <w:p w14:paraId="4A4705F9">
                  <w:pPr>
                    <w:spacing w:before="71" w:line="189" w:lineRule="auto"/>
                    <w:ind w:left="4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27</w:t>
                  </w:r>
                </w:p>
              </w:tc>
              <w:tc>
                <w:tcPr>
                  <w:tcW w:w="1625" w:type="dxa"/>
                  <w:gridSpan w:val="2"/>
                  <w:vAlign w:val="top"/>
                </w:tcPr>
                <w:p w14:paraId="0EB4B79F">
                  <w:pPr>
                    <w:pStyle w:val="25"/>
                    <w:spacing w:before="39" w:line="196" w:lineRule="auto"/>
                    <w:ind w:left="695"/>
                    <w:rPr>
                      <w:color w:val="auto"/>
                      <w:highlight w:val="none"/>
                    </w:rPr>
                  </w:pPr>
                  <w:r>
                    <w:rPr>
                      <w:color w:val="auto"/>
                      <w:highlight w:val="none"/>
                    </w:rPr>
                    <w:t>镉</w:t>
                  </w:r>
                </w:p>
              </w:tc>
              <w:tc>
                <w:tcPr>
                  <w:tcW w:w="1062" w:type="dxa"/>
                  <w:gridSpan w:val="2"/>
                  <w:vAlign w:val="top"/>
                </w:tcPr>
                <w:p w14:paraId="40BF5976">
                  <w:pPr>
                    <w:spacing w:before="71" w:line="189" w:lineRule="auto"/>
                    <w:ind w:left="29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mg/L</w:t>
                  </w:r>
                </w:p>
              </w:tc>
              <w:tc>
                <w:tcPr>
                  <w:tcW w:w="1073" w:type="dxa"/>
                  <w:gridSpan w:val="2"/>
                  <w:vAlign w:val="top"/>
                </w:tcPr>
                <w:p w14:paraId="7EA6F71F">
                  <w:pPr>
                    <w:pStyle w:val="25"/>
                    <w:spacing w:before="39" w:line="196" w:lineRule="auto"/>
                    <w:ind w:left="220"/>
                    <w:rPr>
                      <w:rFonts w:ascii="Times New Roman" w:hAnsi="Times New Roman" w:eastAsia="Times New Roman" w:cs="Times New Roman"/>
                      <w:color w:val="auto"/>
                      <w:highlight w:val="none"/>
                    </w:rPr>
                  </w:pPr>
                  <w:r>
                    <w:rPr>
                      <w:color w:val="auto"/>
                      <w:spacing w:val="14"/>
                      <w:highlight w:val="none"/>
                    </w:rPr>
                    <w:t>&lt;</w:t>
                  </w:r>
                  <w:r>
                    <w:rPr>
                      <w:rFonts w:ascii="Times New Roman" w:hAnsi="Times New Roman" w:eastAsia="Times New Roman" w:cs="Times New Roman"/>
                      <w:color w:val="auto"/>
                      <w:spacing w:val="14"/>
                      <w:highlight w:val="none"/>
                    </w:rPr>
                    <w:t>0.001</w:t>
                  </w:r>
                </w:p>
              </w:tc>
              <w:tc>
                <w:tcPr>
                  <w:tcW w:w="1073" w:type="dxa"/>
                  <w:vAlign w:val="top"/>
                </w:tcPr>
                <w:p w14:paraId="1AD79E52">
                  <w:pPr>
                    <w:pStyle w:val="25"/>
                    <w:spacing w:before="39" w:line="196" w:lineRule="auto"/>
                    <w:ind w:left="228"/>
                    <w:rPr>
                      <w:rFonts w:ascii="Times New Roman" w:hAnsi="Times New Roman" w:eastAsia="Times New Roman" w:cs="Times New Roman"/>
                      <w:color w:val="auto"/>
                      <w:highlight w:val="none"/>
                    </w:rPr>
                  </w:pPr>
                  <w:r>
                    <w:rPr>
                      <w:color w:val="auto"/>
                      <w:spacing w:val="14"/>
                      <w:highlight w:val="none"/>
                    </w:rPr>
                    <w:t>&lt;</w:t>
                  </w:r>
                  <w:r>
                    <w:rPr>
                      <w:rFonts w:ascii="Times New Roman" w:hAnsi="Times New Roman" w:eastAsia="Times New Roman" w:cs="Times New Roman"/>
                      <w:color w:val="auto"/>
                      <w:spacing w:val="14"/>
                      <w:highlight w:val="none"/>
                    </w:rPr>
                    <w:t>0.001</w:t>
                  </w:r>
                </w:p>
              </w:tc>
              <w:tc>
                <w:tcPr>
                  <w:tcW w:w="1073" w:type="dxa"/>
                  <w:gridSpan w:val="2"/>
                  <w:vAlign w:val="top"/>
                </w:tcPr>
                <w:p w14:paraId="55361C57">
                  <w:pPr>
                    <w:pStyle w:val="25"/>
                    <w:spacing w:before="39" w:line="196" w:lineRule="auto"/>
                    <w:ind w:left="325"/>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0.20</w:t>
                  </w:r>
                </w:p>
              </w:tc>
              <w:tc>
                <w:tcPr>
                  <w:tcW w:w="1075" w:type="dxa"/>
                  <w:gridSpan w:val="2"/>
                  <w:vAlign w:val="top"/>
                </w:tcPr>
                <w:p w14:paraId="79EA803A">
                  <w:pPr>
                    <w:pStyle w:val="25"/>
                    <w:spacing w:before="39" w:line="196" w:lineRule="auto"/>
                    <w:ind w:left="317"/>
                    <w:rPr>
                      <w:rFonts w:ascii="Times New Roman" w:hAnsi="Times New Roman" w:eastAsia="Times New Roman" w:cs="Times New Roman"/>
                      <w:color w:val="auto"/>
                      <w:highlight w:val="none"/>
                    </w:rPr>
                  </w:pPr>
                  <w:r>
                    <w:rPr>
                      <w:color w:val="auto"/>
                      <w:spacing w:val="16"/>
                      <w:highlight w:val="none"/>
                    </w:rPr>
                    <w:t>&lt;</w:t>
                  </w:r>
                  <w:r>
                    <w:rPr>
                      <w:rFonts w:ascii="Times New Roman" w:hAnsi="Times New Roman" w:eastAsia="Times New Roman" w:cs="Times New Roman"/>
                      <w:color w:val="auto"/>
                      <w:spacing w:val="16"/>
                      <w:highlight w:val="none"/>
                    </w:rPr>
                    <w:t>0.20</w:t>
                  </w:r>
                </w:p>
              </w:tc>
              <w:tc>
                <w:tcPr>
                  <w:tcW w:w="1029" w:type="dxa"/>
                  <w:tcBorders>
                    <w:right w:val="single" w:color="000000" w:sz="10" w:space="0"/>
                  </w:tcBorders>
                  <w:vAlign w:val="top"/>
                </w:tcPr>
                <w:p w14:paraId="4F3B50E8">
                  <w:pPr>
                    <w:pStyle w:val="25"/>
                    <w:spacing w:before="39" w:line="196" w:lineRule="auto"/>
                    <w:ind w:left="68"/>
                    <w:rPr>
                      <w:rFonts w:ascii="Times New Roman" w:hAnsi="Times New Roman" w:eastAsia="Times New Roman" w:cs="Times New Roman"/>
                      <w:color w:val="auto"/>
                      <w:highlight w:val="none"/>
                    </w:rPr>
                  </w:pPr>
                  <w:r>
                    <w:rPr>
                      <w:color w:val="auto"/>
                      <w:spacing w:val="-4"/>
                      <w:highlight w:val="none"/>
                    </w:rPr>
                    <w:t>≤</w:t>
                  </w:r>
                  <w:r>
                    <w:rPr>
                      <w:rFonts w:ascii="Times New Roman" w:hAnsi="Times New Roman" w:eastAsia="Times New Roman" w:cs="Times New Roman"/>
                      <w:color w:val="auto"/>
                      <w:spacing w:val="-4"/>
                      <w:highlight w:val="none"/>
                    </w:rPr>
                    <w:t>0.005</w:t>
                  </w:r>
                </w:p>
              </w:tc>
            </w:tr>
            <w:tr w14:paraId="4AEAB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330" w:type="dxa"/>
                  <w:gridSpan w:val="2"/>
                  <w:tcBorders>
                    <w:left w:val="single" w:color="000000" w:sz="10" w:space="0"/>
                    <w:bottom w:val="single" w:color="000000" w:sz="10" w:space="0"/>
                  </w:tcBorders>
                  <w:vAlign w:val="top"/>
                </w:tcPr>
                <w:p w14:paraId="4207AFC8">
                  <w:pPr>
                    <w:spacing w:before="77" w:line="201" w:lineRule="auto"/>
                    <w:ind w:left="4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28</w:t>
                  </w:r>
                </w:p>
              </w:tc>
              <w:tc>
                <w:tcPr>
                  <w:tcW w:w="1625" w:type="dxa"/>
                  <w:gridSpan w:val="2"/>
                  <w:tcBorders>
                    <w:bottom w:val="single" w:color="000000" w:sz="10" w:space="0"/>
                  </w:tcBorders>
                  <w:vAlign w:val="top"/>
                </w:tcPr>
                <w:p w14:paraId="25B9DD90">
                  <w:pPr>
                    <w:pStyle w:val="25"/>
                    <w:spacing w:before="44" w:line="207" w:lineRule="auto"/>
                    <w:ind w:left="279"/>
                    <w:rPr>
                      <w:color w:val="auto"/>
                      <w:highlight w:val="none"/>
                    </w:rPr>
                  </w:pPr>
                  <w:r>
                    <w:rPr>
                      <w:color w:val="auto"/>
                      <w:spacing w:val="-2"/>
                      <w:highlight w:val="none"/>
                    </w:rPr>
                    <w:t>粪大肠菌群</w:t>
                  </w:r>
                </w:p>
              </w:tc>
              <w:tc>
                <w:tcPr>
                  <w:tcW w:w="1062" w:type="dxa"/>
                  <w:gridSpan w:val="2"/>
                  <w:tcBorders>
                    <w:bottom w:val="single" w:color="000000" w:sz="10" w:space="0"/>
                  </w:tcBorders>
                  <w:vAlign w:val="top"/>
                </w:tcPr>
                <w:p w14:paraId="5D0B7E6C">
                  <w:pPr>
                    <w:spacing w:before="77" w:line="190" w:lineRule="auto"/>
                    <w:ind w:left="201"/>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MPN/L</w:t>
                  </w:r>
                </w:p>
              </w:tc>
              <w:tc>
                <w:tcPr>
                  <w:tcW w:w="1073" w:type="dxa"/>
                  <w:gridSpan w:val="2"/>
                  <w:tcBorders>
                    <w:bottom w:val="single" w:color="000000" w:sz="10" w:space="0"/>
                  </w:tcBorders>
                  <w:vAlign w:val="top"/>
                </w:tcPr>
                <w:p w14:paraId="06BF971C">
                  <w:pPr>
                    <w:spacing w:before="77" w:line="201" w:lineRule="auto"/>
                    <w:ind w:left="50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073" w:type="dxa"/>
                  <w:tcBorders>
                    <w:bottom w:val="single" w:color="000000" w:sz="10" w:space="0"/>
                  </w:tcBorders>
                  <w:vAlign w:val="top"/>
                </w:tcPr>
                <w:p w14:paraId="3251612A">
                  <w:pPr>
                    <w:spacing w:before="77" w:line="201" w:lineRule="auto"/>
                    <w:ind w:left="39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790</w:t>
                  </w:r>
                </w:p>
              </w:tc>
              <w:tc>
                <w:tcPr>
                  <w:tcW w:w="1073" w:type="dxa"/>
                  <w:gridSpan w:val="2"/>
                  <w:tcBorders>
                    <w:bottom w:val="single" w:color="000000" w:sz="10" w:space="0"/>
                  </w:tcBorders>
                  <w:vAlign w:val="top"/>
                </w:tcPr>
                <w:p w14:paraId="5FB25256">
                  <w:pPr>
                    <w:spacing w:before="77" w:line="201" w:lineRule="auto"/>
                    <w:ind w:left="56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075" w:type="dxa"/>
                  <w:gridSpan w:val="2"/>
                  <w:tcBorders>
                    <w:bottom w:val="single" w:color="000000" w:sz="10" w:space="0"/>
                  </w:tcBorders>
                  <w:vAlign w:val="top"/>
                </w:tcPr>
                <w:p w14:paraId="2701EA98">
                  <w:pPr>
                    <w:spacing w:before="77" w:line="201" w:lineRule="auto"/>
                    <w:ind w:left="40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0.40</w:t>
                  </w:r>
                </w:p>
              </w:tc>
              <w:tc>
                <w:tcPr>
                  <w:tcW w:w="1029" w:type="dxa"/>
                  <w:tcBorders>
                    <w:bottom w:val="single" w:color="000000" w:sz="10" w:space="0"/>
                    <w:right w:val="single" w:color="000000" w:sz="10" w:space="0"/>
                  </w:tcBorders>
                  <w:vAlign w:val="top"/>
                </w:tcPr>
                <w:p w14:paraId="0666238E">
                  <w:pPr>
                    <w:pStyle w:val="25"/>
                    <w:spacing w:before="44" w:line="207" w:lineRule="auto"/>
                    <w:ind w:left="95"/>
                    <w:rPr>
                      <w:rFonts w:ascii="Times New Roman" w:hAnsi="Times New Roman" w:eastAsia="Times New Roman" w:cs="Times New Roman"/>
                      <w:color w:val="auto"/>
                      <w:highlight w:val="none"/>
                    </w:rPr>
                  </w:pPr>
                  <w:r>
                    <w:rPr>
                      <w:color w:val="auto"/>
                      <w:spacing w:val="-4"/>
                      <w:highlight w:val="none"/>
                    </w:rPr>
                    <w:t>≤</w:t>
                  </w:r>
                  <w:r>
                    <w:rPr>
                      <w:rFonts w:ascii="Times New Roman" w:hAnsi="Times New Roman" w:eastAsia="Times New Roman" w:cs="Times New Roman"/>
                      <w:color w:val="auto"/>
                      <w:spacing w:val="-4"/>
                      <w:highlight w:val="none"/>
                    </w:rPr>
                    <w:t>2000</w:t>
                  </w:r>
                </w:p>
              </w:tc>
            </w:tr>
          </w:tbl>
          <w:p w14:paraId="19BB083F">
            <w:pPr>
              <w:pStyle w:val="8"/>
              <w:spacing w:line="360" w:lineRule="auto"/>
              <w:ind w:left="0" w:right="0" w:firstLine="524" w:firstLineChars="200"/>
              <w:rPr>
                <w:rFonts w:hint="default" w:ascii="Times New Roman" w:hAnsi="Times New Roman" w:eastAsia="宋体" w:cs="Times New Roman"/>
                <w:snapToGrid w:val="0"/>
                <w:color w:val="auto"/>
                <w:spacing w:val="11"/>
                <w:kern w:val="0"/>
                <w:sz w:val="24"/>
                <w:szCs w:val="24"/>
                <w:highlight w:val="none"/>
                <w:lang w:val="en-US" w:eastAsia="en-US" w:bidi="ar-SA"/>
              </w:rPr>
            </w:pPr>
            <w:r>
              <w:rPr>
                <w:rFonts w:hint="default" w:ascii="Times New Roman" w:hAnsi="Times New Roman" w:eastAsia="宋体" w:cs="Times New Roman"/>
                <w:snapToGrid w:val="0"/>
                <w:color w:val="auto"/>
                <w:spacing w:val="11"/>
                <w:kern w:val="0"/>
                <w:sz w:val="24"/>
                <w:szCs w:val="24"/>
                <w:highlight w:val="none"/>
                <w:lang w:val="en-US" w:eastAsia="en-US" w:bidi="ar-SA"/>
              </w:rPr>
              <w:t>根据表中监测与评价结果可知，塔西河上、下游断面地表水各项监测因子均满足《地表水环境质量标准》（GB3838-2002）中的Ⅱ类标准要求。</w:t>
            </w:r>
          </w:p>
          <w:p w14:paraId="7EA89FE9">
            <w:pPr>
              <w:pStyle w:val="25"/>
              <w:keepNext w:val="0"/>
              <w:keepLines w:val="0"/>
              <w:pageBreakBefore w:val="0"/>
              <w:kinsoku/>
              <w:wordWrap w:val="0"/>
              <w:overflowPunct/>
              <w:topLinePunct/>
              <w:autoSpaceDE/>
              <w:autoSpaceDN/>
              <w:bidi w:val="0"/>
              <w:spacing w:line="360" w:lineRule="auto"/>
              <w:ind w:left="0" w:right="0" w:firstLine="504" w:firstLineChars="200"/>
              <w:jc w:val="both"/>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6"/>
                <w:sz w:val="24"/>
                <w:szCs w:val="24"/>
                <w:highlight w:val="none"/>
              </w:rPr>
              <w:t>2.2</w:t>
            </w:r>
            <w:r>
              <w:rPr>
                <w:rFonts w:hint="default" w:ascii="Times New Roman" w:hAnsi="Times New Roman" w:eastAsia="宋体" w:cs="Times New Roman"/>
                <w:b/>
                <w:bCs/>
                <w:color w:val="auto"/>
                <w:spacing w:val="6"/>
                <w:sz w:val="24"/>
                <w:szCs w:val="24"/>
                <w:highlight w:val="none"/>
                <w:lang w:eastAsia="zh-CN"/>
              </w:rPr>
              <w:t>、</w:t>
            </w:r>
            <w:r>
              <w:rPr>
                <w:rFonts w:hint="default" w:ascii="Times New Roman" w:hAnsi="Times New Roman" w:cs="Times New Roman"/>
                <w:b/>
                <w:bCs/>
                <w:color w:val="auto"/>
                <w:spacing w:val="6"/>
                <w:sz w:val="24"/>
                <w:szCs w:val="24"/>
                <w:highlight w:val="none"/>
              </w:rPr>
              <w:t>土壤</w:t>
            </w:r>
            <w:r>
              <w:rPr>
                <w:rFonts w:hint="default" w:ascii="Times New Roman" w:hAnsi="Times New Roman" w:eastAsia="Times New Roman" w:cs="Times New Roman"/>
                <w:b/>
                <w:bCs/>
                <w:color w:val="auto"/>
                <w:spacing w:val="6"/>
                <w:sz w:val="24"/>
                <w:szCs w:val="24"/>
                <w:highlight w:val="none"/>
              </w:rPr>
              <w:t>/</w:t>
            </w:r>
            <w:r>
              <w:rPr>
                <w:rFonts w:hint="default" w:ascii="Times New Roman" w:hAnsi="Times New Roman" w:cs="Times New Roman"/>
                <w:b/>
                <w:bCs/>
                <w:color w:val="auto"/>
                <w:spacing w:val="6"/>
                <w:sz w:val="24"/>
                <w:szCs w:val="24"/>
                <w:highlight w:val="none"/>
              </w:rPr>
              <w:t>地下水环境质量现状</w:t>
            </w:r>
          </w:p>
          <w:p w14:paraId="390EBC1D">
            <w:pPr>
              <w:pStyle w:val="25"/>
              <w:keepNext w:val="0"/>
              <w:keepLines w:val="0"/>
              <w:pageBreakBefore w:val="0"/>
              <w:kinsoku/>
              <w:wordWrap w:val="0"/>
              <w:overflowPunct/>
              <w:topLinePunct/>
              <w:autoSpaceDE/>
              <w:autoSpaceDN/>
              <w:bidi w:val="0"/>
              <w:spacing w:line="360" w:lineRule="auto"/>
              <w:ind w:left="0" w:right="0" w:firstLine="524"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1"/>
                <w:sz w:val="24"/>
                <w:szCs w:val="24"/>
                <w:highlight w:val="none"/>
              </w:rPr>
              <w:t>本项目</w:t>
            </w:r>
            <w:r>
              <w:rPr>
                <w:rFonts w:hint="default" w:ascii="Times New Roman" w:hAnsi="Times New Roman" w:eastAsia="宋体" w:cs="Times New Roman"/>
                <w:b w:val="0"/>
                <w:bCs w:val="0"/>
                <w:color w:val="auto"/>
                <w:spacing w:val="7"/>
                <w:sz w:val="24"/>
                <w:szCs w:val="24"/>
                <w:highlight w:val="none"/>
                <w:lang w:val="en-US" w:eastAsia="zh-CN"/>
              </w:rPr>
              <w:t>无生产废水、固废外排，</w:t>
            </w:r>
            <w:r>
              <w:rPr>
                <w:rFonts w:hint="default" w:ascii="Times New Roman" w:hAnsi="Times New Roman" w:cs="Times New Roman"/>
                <w:color w:val="auto"/>
                <w:spacing w:val="11"/>
                <w:sz w:val="24"/>
                <w:szCs w:val="24"/>
                <w:highlight w:val="none"/>
              </w:rPr>
              <w:t>不存在土壤、地下水污染途径，因此，本次环评不进行</w:t>
            </w:r>
            <w:r>
              <w:rPr>
                <w:rFonts w:hint="default" w:ascii="Times New Roman" w:hAnsi="Times New Roman" w:cs="Times New Roman"/>
                <w:color w:val="auto"/>
                <w:spacing w:val="8"/>
                <w:sz w:val="24"/>
                <w:szCs w:val="24"/>
                <w:highlight w:val="none"/>
              </w:rPr>
              <w:t>土壤、地下水环境质量现状调查。</w:t>
            </w:r>
          </w:p>
          <w:p w14:paraId="3F6B935E">
            <w:pPr>
              <w:pStyle w:val="25"/>
              <w:keepNext w:val="0"/>
              <w:keepLines w:val="0"/>
              <w:pageBreakBefore w:val="0"/>
              <w:kinsoku/>
              <w:wordWrap w:val="0"/>
              <w:overflowPunct/>
              <w:topLinePunct/>
              <w:autoSpaceDE/>
              <w:autoSpaceDN/>
              <w:bidi w:val="0"/>
              <w:spacing w:line="360" w:lineRule="auto"/>
              <w:ind w:left="0" w:right="0" w:firstLine="500" w:firstLineChars="200"/>
              <w:jc w:val="both"/>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5"/>
                <w:sz w:val="24"/>
                <w:szCs w:val="24"/>
                <w:highlight w:val="none"/>
              </w:rPr>
              <w:t>3</w:t>
            </w:r>
            <w:r>
              <w:rPr>
                <w:rFonts w:hint="default" w:ascii="Times New Roman" w:hAnsi="Times New Roman" w:cs="Times New Roman"/>
                <w:b/>
                <w:bCs/>
                <w:color w:val="auto"/>
                <w:spacing w:val="5"/>
                <w:sz w:val="24"/>
                <w:szCs w:val="24"/>
                <w:highlight w:val="none"/>
              </w:rPr>
              <w:t>、声环境质量现状</w:t>
            </w:r>
          </w:p>
          <w:p w14:paraId="46D1B51D">
            <w:pPr>
              <w:pStyle w:val="25"/>
              <w:keepNext w:val="0"/>
              <w:keepLines w:val="0"/>
              <w:pageBreakBefore w:val="0"/>
              <w:kinsoku/>
              <w:wordWrap w:val="0"/>
              <w:overflowPunct/>
              <w:topLinePunct/>
              <w:autoSpaceDE/>
              <w:autoSpaceDN/>
              <w:bidi w:val="0"/>
              <w:spacing w:line="360" w:lineRule="auto"/>
              <w:ind w:left="0" w:right="0" w:firstLine="520"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0"/>
                <w:sz w:val="24"/>
                <w:szCs w:val="24"/>
                <w:highlight w:val="none"/>
              </w:rPr>
              <w:t>本项目位于</w:t>
            </w:r>
            <w:r>
              <w:rPr>
                <w:rFonts w:hint="default" w:ascii="Times New Roman" w:hAnsi="Times New Roman" w:eastAsia="宋体" w:cs="Times New Roman"/>
                <w:color w:val="auto"/>
                <w:spacing w:val="6"/>
                <w:sz w:val="24"/>
                <w:szCs w:val="24"/>
                <w:highlight w:val="none"/>
              </w:rPr>
              <w:t>昌吉回族自治州玛纳斯县</w:t>
            </w:r>
            <w:r>
              <w:rPr>
                <w:rFonts w:hint="default" w:ascii="Times New Roman" w:hAnsi="Times New Roman" w:eastAsia="宋体" w:cs="Times New Roman"/>
                <w:color w:val="auto"/>
                <w:spacing w:val="6"/>
                <w:sz w:val="24"/>
                <w:szCs w:val="24"/>
                <w:highlight w:val="none"/>
                <w:lang w:val="en-US" w:eastAsia="zh-CN"/>
              </w:rPr>
              <w:t>塔河工业园区新疆华房盛泰保温材料科技有限公司8#生产厂房</w:t>
            </w:r>
            <w:r>
              <w:rPr>
                <w:rFonts w:hint="default" w:ascii="Times New Roman" w:hAnsi="Times New Roman" w:cs="Times New Roman"/>
                <w:color w:val="auto"/>
                <w:spacing w:val="10"/>
                <w:sz w:val="24"/>
                <w:szCs w:val="24"/>
                <w:highlight w:val="none"/>
              </w:rPr>
              <w:t>，项目区属于</w:t>
            </w:r>
            <w:r>
              <w:rPr>
                <w:rFonts w:hint="default" w:ascii="Times New Roman" w:hAnsi="Times New Roman" w:eastAsia="Times New Roman" w:cs="Times New Roman"/>
                <w:color w:val="auto"/>
                <w:spacing w:val="10"/>
                <w:sz w:val="24"/>
                <w:szCs w:val="24"/>
                <w:highlight w:val="none"/>
              </w:rPr>
              <w:t>3</w:t>
            </w:r>
            <w:r>
              <w:rPr>
                <w:rFonts w:hint="default" w:ascii="Times New Roman" w:hAnsi="Times New Roman" w:cs="Times New Roman"/>
                <w:color w:val="auto"/>
                <w:spacing w:val="10"/>
                <w:sz w:val="24"/>
                <w:szCs w:val="24"/>
                <w:highlight w:val="none"/>
              </w:rPr>
              <w:t>类声环境功能区，厂界周边</w:t>
            </w:r>
            <w:r>
              <w:rPr>
                <w:rFonts w:hint="default" w:ascii="Times New Roman" w:hAnsi="Times New Roman" w:eastAsia="Times New Roman" w:cs="Times New Roman"/>
                <w:color w:val="auto"/>
                <w:spacing w:val="10"/>
                <w:sz w:val="24"/>
                <w:szCs w:val="24"/>
                <w:highlight w:val="none"/>
              </w:rPr>
              <w:t>50m</w:t>
            </w:r>
            <w:r>
              <w:rPr>
                <w:rFonts w:hint="default" w:ascii="Times New Roman" w:hAnsi="Times New Roman" w:cs="Times New Roman"/>
                <w:color w:val="auto"/>
                <w:spacing w:val="10"/>
                <w:sz w:val="24"/>
                <w:szCs w:val="24"/>
                <w:highlight w:val="none"/>
              </w:rPr>
              <w:t>范围内不存在声环境保护目标，本次</w:t>
            </w:r>
            <w:r>
              <w:rPr>
                <w:rFonts w:hint="default" w:ascii="Times New Roman" w:hAnsi="Times New Roman" w:cs="Times New Roman"/>
                <w:color w:val="auto"/>
                <w:spacing w:val="9"/>
                <w:sz w:val="24"/>
                <w:szCs w:val="24"/>
                <w:highlight w:val="none"/>
              </w:rPr>
              <w:t>环评</w:t>
            </w:r>
            <w:r>
              <w:rPr>
                <w:rFonts w:hint="default" w:ascii="Times New Roman" w:hAnsi="Times New Roman" w:cs="Times New Roman"/>
                <w:color w:val="auto"/>
                <w:spacing w:val="8"/>
                <w:sz w:val="24"/>
                <w:szCs w:val="24"/>
                <w:highlight w:val="none"/>
              </w:rPr>
              <w:t>不进行声环境质量现状调查。</w:t>
            </w:r>
          </w:p>
          <w:p w14:paraId="4BCC656F">
            <w:pPr>
              <w:pStyle w:val="25"/>
              <w:keepNext w:val="0"/>
              <w:keepLines w:val="0"/>
              <w:pageBreakBefore w:val="0"/>
              <w:kinsoku/>
              <w:wordWrap w:val="0"/>
              <w:overflowPunct/>
              <w:topLinePunct/>
              <w:autoSpaceDE/>
              <w:autoSpaceDN/>
              <w:bidi w:val="0"/>
              <w:spacing w:line="360" w:lineRule="auto"/>
              <w:ind w:left="0" w:right="0" w:firstLine="500" w:firstLineChars="200"/>
              <w:jc w:val="both"/>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5"/>
                <w:sz w:val="24"/>
                <w:szCs w:val="24"/>
                <w:highlight w:val="none"/>
              </w:rPr>
              <w:t>4</w:t>
            </w:r>
            <w:r>
              <w:rPr>
                <w:rFonts w:hint="default" w:ascii="Times New Roman" w:hAnsi="Times New Roman" w:cs="Times New Roman"/>
                <w:b/>
                <w:bCs/>
                <w:color w:val="auto"/>
                <w:spacing w:val="5"/>
                <w:sz w:val="24"/>
                <w:szCs w:val="24"/>
                <w:highlight w:val="none"/>
              </w:rPr>
              <w:t>、生态环境质量现状</w:t>
            </w:r>
          </w:p>
          <w:p w14:paraId="7E7FA8A6">
            <w:pPr>
              <w:pStyle w:val="25"/>
              <w:keepNext w:val="0"/>
              <w:keepLines w:val="0"/>
              <w:pageBreakBefore w:val="0"/>
              <w:kinsoku/>
              <w:wordWrap w:val="0"/>
              <w:overflowPunct/>
              <w:topLinePunct/>
              <w:autoSpaceDE/>
              <w:autoSpaceDN/>
              <w:bidi w:val="0"/>
              <w:spacing w:line="360" w:lineRule="auto"/>
              <w:ind w:left="0" w:right="0" w:firstLine="528"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2"/>
                <w:sz w:val="24"/>
                <w:szCs w:val="24"/>
                <w:highlight w:val="none"/>
              </w:rPr>
              <w:t>依据《建设项目环境影响报告表编制技术指南（污染影响类</w:t>
            </w:r>
            <w:r>
              <w:rPr>
                <w:rFonts w:hint="default" w:ascii="Times New Roman" w:hAnsi="Times New Roman" w:cs="Times New Roman"/>
                <w:color w:val="auto"/>
                <w:spacing w:val="1"/>
                <w:sz w:val="24"/>
                <w:szCs w:val="24"/>
                <w:highlight w:val="none"/>
              </w:rPr>
              <w:t>）（</w:t>
            </w:r>
            <w:r>
              <w:rPr>
                <w:rFonts w:hint="default" w:ascii="Times New Roman" w:hAnsi="Times New Roman" w:cs="Times New Roman"/>
                <w:color w:val="auto"/>
                <w:spacing w:val="12"/>
                <w:sz w:val="24"/>
                <w:szCs w:val="24"/>
                <w:highlight w:val="none"/>
              </w:rPr>
              <w:t>试行）》：产业园</w:t>
            </w:r>
            <w:r>
              <w:rPr>
                <w:rFonts w:hint="default" w:ascii="Times New Roman" w:hAnsi="Times New Roman" w:cs="Times New Roman"/>
                <w:color w:val="auto"/>
                <w:spacing w:val="9"/>
                <w:sz w:val="24"/>
                <w:szCs w:val="24"/>
                <w:highlight w:val="none"/>
              </w:rPr>
              <w:t>区外建设项目新增用地且用地范围内含有生态环境保护目标时，应进行生态现状调查。</w:t>
            </w:r>
          </w:p>
          <w:p w14:paraId="3906C206">
            <w:pPr>
              <w:pStyle w:val="25"/>
              <w:keepNext w:val="0"/>
              <w:keepLines w:val="0"/>
              <w:pageBreakBefore w:val="0"/>
              <w:kinsoku/>
              <w:wordWrap w:val="0"/>
              <w:overflowPunct/>
              <w:topLinePunct/>
              <w:autoSpaceDE/>
              <w:autoSpaceDN/>
              <w:bidi w:val="0"/>
              <w:spacing w:line="360" w:lineRule="auto"/>
              <w:ind w:left="0" w:right="0" w:firstLine="524" w:firstLineChars="200"/>
              <w:jc w:val="both"/>
              <w:rPr>
                <w:rFonts w:hint="default" w:ascii="Times New Roman" w:hAnsi="Times New Roman" w:cs="Times New Roman"/>
                <w:b/>
                <w:bCs/>
                <w:color w:val="auto"/>
                <w:spacing w:val="6"/>
                <w:sz w:val="24"/>
                <w:szCs w:val="24"/>
                <w:highlight w:val="none"/>
              </w:rPr>
            </w:pPr>
            <w:r>
              <w:rPr>
                <w:rFonts w:hint="default" w:ascii="Times New Roman" w:hAnsi="Times New Roman" w:cs="Times New Roman"/>
                <w:color w:val="auto"/>
                <w:spacing w:val="11"/>
                <w:sz w:val="24"/>
                <w:szCs w:val="24"/>
                <w:highlight w:val="none"/>
              </w:rPr>
              <w:t>本项目为</w:t>
            </w:r>
            <w:r>
              <w:rPr>
                <w:rFonts w:hint="default" w:ascii="Times New Roman" w:hAnsi="Times New Roman" w:cs="Times New Roman"/>
                <w:color w:val="auto"/>
                <w:spacing w:val="11"/>
                <w:sz w:val="24"/>
                <w:szCs w:val="24"/>
                <w:highlight w:val="none"/>
                <w:lang w:val="en-US" w:eastAsia="zh-CN"/>
              </w:rPr>
              <w:t>租赁已有厂房</w:t>
            </w:r>
            <w:r>
              <w:rPr>
                <w:rFonts w:hint="default" w:ascii="Times New Roman" w:hAnsi="Times New Roman" w:cs="Times New Roman"/>
                <w:color w:val="auto"/>
                <w:spacing w:val="11"/>
                <w:sz w:val="24"/>
                <w:szCs w:val="24"/>
                <w:highlight w:val="none"/>
              </w:rPr>
              <w:t>，不新增占地，对生态环境影响相对较小，故本次环评不开展生</w:t>
            </w:r>
            <w:r>
              <w:rPr>
                <w:rFonts w:hint="default" w:ascii="Times New Roman" w:hAnsi="Times New Roman" w:cs="Times New Roman"/>
                <w:color w:val="auto"/>
                <w:spacing w:val="7"/>
                <w:sz w:val="24"/>
                <w:szCs w:val="24"/>
                <w:highlight w:val="none"/>
              </w:rPr>
              <w:t>态环境现状调查。</w:t>
            </w:r>
          </w:p>
        </w:tc>
      </w:tr>
      <w:tr w14:paraId="3B9C1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88" w:type="pct"/>
            <w:tcBorders>
              <w:top w:val="single" w:color="auto" w:sz="4" w:space="0"/>
              <w:left w:val="single" w:color="000000" w:sz="6" w:space="0"/>
              <w:bottom w:val="single" w:color="auto" w:sz="4" w:space="0"/>
            </w:tcBorders>
            <w:vAlign w:val="center"/>
          </w:tcPr>
          <w:p w14:paraId="51019BA0">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4"/>
                <w:sz w:val="24"/>
                <w:szCs w:val="24"/>
                <w:highlight w:val="none"/>
              </w:rPr>
              <w:t>环境保护目标</w:t>
            </w:r>
          </w:p>
        </w:tc>
        <w:tc>
          <w:tcPr>
            <w:tcW w:w="4711" w:type="pct"/>
            <w:tcBorders>
              <w:top w:val="single" w:color="auto" w:sz="4" w:space="0"/>
              <w:bottom w:val="single" w:color="auto" w:sz="4" w:space="0"/>
              <w:right w:val="single" w:color="000000" w:sz="6" w:space="0"/>
            </w:tcBorders>
            <w:vAlign w:val="top"/>
          </w:tcPr>
          <w:p w14:paraId="3C56F357">
            <w:pPr>
              <w:pStyle w:val="25"/>
              <w:keepNext w:val="0"/>
              <w:keepLines w:val="0"/>
              <w:pageBreakBefore w:val="0"/>
              <w:kinsoku/>
              <w:wordWrap w:val="0"/>
              <w:overflowPunct/>
              <w:topLinePunct/>
              <w:autoSpaceDE/>
              <w:autoSpaceDN/>
              <w:bidi w:val="0"/>
              <w:spacing w:line="360" w:lineRule="auto"/>
              <w:ind w:left="0" w:right="0" w:firstLine="496" w:firstLineChars="200"/>
              <w:jc w:val="both"/>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4"/>
                <w:sz w:val="24"/>
                <w:szCs w:val="24"/>
                <w:highlight w:val="none"/>
              </w:rPr>
              <w:t>1</w:t>
            </w:r>
            <w:r>
              <w:rPr>
                <w:rFonts w:hint="default" w:ascii="Times New Roman" w:hAnsi="Times New Roman" w:cs="Times New Roman"/>
                <w:b/>
                <w:bCs/>
                <w:color w:val="auto"/>
                <w:spacing w:val="4"/>
                <w:sz w:val="24"/>
                <w:szCs w:val="24"/>
                <w:highlight w:val="none"/>
              </w:rPr>
              <w:t>、大气环境保护目标</w:t>
            </w:r>
          </w:p>
          <w:p w14:paraId="06FA04C4">
            <w:pPr>
              <w:pStyle w:val="25"/>
              <w:keepNext w:val="0"/>
              <w:keepLines w:val="0"/>
              <w:pageBreakBefore w:val="0"/>
              <w:kinsoku/>
              <w:wordWrap w:val="0"/>
              <w:overflowPunct/>
              <w:topLinePunct/>
              <w:autoSpaceDE/>
              <w:autoSpaceDN/>
              <w:bidi w:val="0"/>
              <w:spacing w:line="360" w:lineRule="auto"/>
              <w:ind w:left="0" w:right="0" w:firstLine="520"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0"/>
                <w:sz w:val="24"/>
                <w:szCs w:val="24"/>
                <w:highlight w:val="none"/>
              </w:rPr>
              <w:t>本项目位于</w:t>
            </w:r>
            <w:r>
              <w:rPr>
                <w:rFonts w:hint="default" w:ascii="Times New Roman" w:hAnsi="Times New Roman" w:eastAsia="宋体" w:cs="Times New Roman"/>
                <w:color w:val="auto"/>
                <w:spacing w:val="6"/>
                <w:sz w:val="24"/>
                <w:szCs w:val="24"/>
                <w:highlight w:val="none"/>
              </w:rPr>
              <w:t>昌吉回族自治州玛纳斯县</w:t>
            </w:r>
            <w:r>
              <w:rPr>
                <w:rFonts w:hint="default" w:ascii="Times New Roman" w:hAnsi="Times New Roman" w:eastAsia="宋体" w:cs="Times New Roman"/>
                <w:color w:val="auto"/>
                <w:spacing w:val="6"/>
                <w:sz w:val="24"/>
                <w:szCs w:val="24"/>
                <w:highlight w:val="none"/>
                <w:lang w:val="en-US" w:eastAsia="zh-CN"/>
              </w:rPr>
              <w:t>塔河工业园区新疆华房盛泰保温材料科技有限公司8#生产厂房</w:t>
            </w:r>
            <w:r>
              <w:rPr>
                <w:rFonts w:hint="default" w:ascii="Times New Roman" w:hAnsi="Times New Roman" w:cs="Times New Roman"/>
                <w:color w:val="auto"/>
                <w:spacing w:val="6"/>
                <w:sz w:val="24"/>
                <w:szCs w:val="24"/>
                <w:highlight w:val="none"/>
                <w:lang w:val="en-US" w:eastAsia="zh-CN"/>
              </w:rPr>
              <w:t>，</w:t>
            </w:r>
            <w:r>
              <w:rPr>
                <w:rFonts w:hint="default" w:ascii="Times New Roman" w:hAnsi="Times New Roman" w:cs="Times New Roman"/>
                <w:color w:val="auto"/>
                <w:spacing w:val="9"/>
                <w:sz w:val="24"/>
                <w:szCs w:val="24"/>
                <w:highlight w:val="none"/>
              </w:rPr>
              <w:t>根据现场踏勘和资料</w:t>
            </w:r>
            <w:r>
              <w:rPr>
                <w:rFonts w:hint="default" w:ascii="Times New Roman" w:hAnsi="Times New Roman" w:cs="Times New Roman"/>
                <w:color w:val="auto"/>
                <w:spacing w:val="8"/>
                <w:sz w:val="24"/>
                <w:szCs w:val="24"/>
                <w:highlight w:val="none"/>
              </w:rPr>
              <w:t>搜集，项目区所在区域周边无重点自然保护区、风景名胜区，厂界外</w:t>
            </w:r>
            <w:r>
              <w:rPr>
                <w:rFonts w:hint="default" w:ascii="Times New Roman" w:hAnsi="Times New Roman" w:eastAsia="Times New Roman" w:cs="Times New Roman"/>
                <w:color w:val="auto"/>
                <w:spacing w:val="8"/>
                <w:sz w:val="24"/>
                <w:szCs w:val="24"/>
                <w:highlight w:val="none"/>
              </w:rPr>
              <w:t>500m</w:t>
            </w:r>
            <w:r>
              <w:rPr>
                <w:rFonts w:hint="default" w:ascii="Times New Roman" w:hAnsi="Times New Roman" w:cs="Times New Roman"/>
                <w:color w:val="auto"/>
                <w:spacing w:val="8"/>
                <w:sz w:val="24"/>
                <w:szCs w:val="24"/>
                <w:highlight w:val="none"/>
              </w:rPr>
              <w:t>范围内无环境保护目标。</w:t>
            </w:r>
          </w:p>
          <w:p w14:paraId="3D66F157">
            <w:pPr>
              <w:pStyle w:val="25"/>
              <w:keepNext w:val="0"/>
              <w:keepLines w:val="0"/>
              <w:pageBreakBefore w:val="0"/>
              <w:kinsoku/>
              <w:wordWrap w:val="0"/>
              <w:overflowPunct/>
              <w:topLinePunct/>
              <w:autoSpaceDE/>
              <w:autoSpaceDN/>
              <w:bidi w:val="0"/>
              <w:spacing w:line="360" w:lineRule="auto"/>
              <w:ind w:left="0" w:right="0" w:firstLine="496" w:firstLineChars="200"/>
              <w:jc w:val="both"/>
              <w:outlineLvl w:val="1"/>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4"/>
                <w:sz w:val="24"/>
                <w:szCs w:val="24"/>
                <w:highlight w:val="none"/>
              </w:rPr>
              <w:t>2</w:t>
            </w:r>
            <w:r>
              <w:rPr>
                <w:rFonts w:hint="default" w:ascii="Times New Roman" w:hAnsi="Times New Roman" w:cs="Times New Roman"/>
                <w:b/>
                <w:bCs/>
                <w:color w:val="auto"/>
                <w:spacing w:val="4"/>
                <w:sz w:val="24"/>
                <w:szCs w:val="24"/>
                <w:highlight w:val="none"/>
              </w:rPr>
              <w:t>、声环境保护目标</w:t>
            </w:r>
          </w:p>
          <w:p w14:paraId="4B848DC2">
            <w:pPr>
              <w:pStyle w:val="25"/>
              <w:keepNext w:val="0"/>
              <w:keepLines w:val="0"/>
              <w:pageBreakBefore w:val="0"/>
              <w:kinsoku/>
              <w:wordWrap w:val="0"/>
              <w:overflowPunct/>
              <w:topLinePunct/>
              <w:autoSpaceDE/>
              <w:autoSpaceDN/>
              <w:bidi w:val="0"/>
              <w:spacing w:line="360" w:lineRule="auto"/>
              <w:ind w:left="0" w:right="0" w:firstLine="508" w:firstLineChars="200"/>
              <w:jc w:val="both"/>
              <w:outlineLvl w:val="1"/>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7"/>
                <w:position w:val="1"/>
                <w:sz w:val="24"/>
                <w:szCs w:val="24"/>
                <w:highlight w:val="none"/>
              </w:rPr>
              <w:t>厂界外</w:t>
            </w:r>
            <w:r>
              <w:rPr>
                <w:rFonts w:hint="default" w:ascii="Times New Roman" w:hAnsi="Times New Roman" w:eastAsia="Times New Roman" w:cs="Times New Roman"/>
                <w:color w:val="auto"/>
                <w:spacing w:val="7"/>
                <w:position w:val="1"/>
                <w:sz w:val="24"/>
                <w:szCs w:val="24"/>
                <w:highlight w:val="none"/>
              </w:rPr>
              <w:t>50m</w:t>
            </w:r>
            <w:r>
              <w:rPr>
                <w:rFonts w:hint="default" w:ascii="Times New Roman" w:hAnsi="Times New Roman" w:cs="Times New Roman"/>
                <w:color w:val="auto"/>
                <w:spacing w:val="7"/>
                <w:position w:val="1"/>
                <w:sz w:val="24"/>
                <w:szCs w:val="24"/>
                <w:highlight w:val="none"/>
              </w:rPr>
              <w:t>范围内无声环境保护目标。</w:t>
            </w:r>
          </w:p>
          <w:p w14:paraId="6232B505">
            <w:pPr>
              <w:pStyle w:val="25"/>
              <w:keepNext w:val="0"/>
              <w:keepLines w:val="0"/>
              <w:pageBreakBefore w:val="0"/>
              <w:kinsoku/>
              <w:wordWrap w:val="0"/>
              <w:overflowPunct/>
              <w:topLinePunct/>
              <w:autoSpaceDE/>
              <w:autoSpaceDN/>
              <w:bidi w:val="0"/>
              <w:spacing w:line="360" w:lineRule="auto"/>
              <w:ind w:left="0" w:right="0" w:firstLine="500" w:firstLineChars="200"/>
              <w:jc w:val="both"/>
              <w:outlineLvl w:val="1"/>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5"/>
                <w:sz w:val="24"/>
                <w:szCs w:val="24"/>
                <w:highlight w:val="none"/>
              </w:rPr>
              <w:t>3</w:t>
            </w:r>
            <w:r>
              <w:rPr>
                <w:rFonts w:hint="default" w:ascii="Times New Roman" w:hAnsi="Times New Roman" w:cs="Times New Roman"/>
                <w:b/>
                <w:bCs/>
                <w:color w:val="auto"/>
                <w:spacing w:val="5"/>
                <w:sz w:val="24"/>
                <w:szCs w:val="24"/>
                <w:highlight w:val="none"/>
              </w:rPr>
              <w:t>、地下水环境保护目标</w:t>
            </w:r>
          </w:p>
          <w:p w14:paraId="4FE8156D">
            <w:pPr>
              <w:pStyle w:val="25"/>
              <w:keepNext w:val="0"/>
              <w:keepLines w:val="0"/>
              <w:pageBreakBefore w:val="0"/>
              <w:kinsoku/>
              <w:wordWrap w:val="0"/>
              <w:overflowPunct/>
              <w:topLinePunct/>
              <w:autoSpaceDE/>
              <w:autoSpaceDN/>
              <w:bidi w:val="0"/>
              <w:spacing w:line="360" w:lineRule="auto"/>
              <w:ind w:left="0" w:right="0" w:firstLine="516" w:firstLineChars="200"/>
              <w:jc w:val="both"/>
              <w:outlineLvl w:val="1"/>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9"/>
                <w:sz w:val="24"/>
                <w:szCs w:val="24"/>
                <w:highlight w:val="none"/>
              </w:rPr>
              <w:t>厂界外</w:t>
            </w:r>
            <w:r>
              <w:rPr>
                <w:rFonts w:hint="default" w:ascii="Times New Roman" w:hAnsi="Times New Roman" w:eastAsia="Times New Roman" w:cs="Times New Roman"/>
                <w:color w:val="auto"/>
                <w:spacing w:val="9"/>
                <w:sz w:val="24"/>
                <w:szCs w:val="24"/>
                <w:highlight w:val="none"/>
              </w:rPr>
              <w:t>500m</w:t>
            </w:r>
            <w:r>
              <w:rPr>
                <w:rFonts w:hint="default" w:ascii="Times New Roman" w:hAnsi="Times New Roman" w:cs="Times New Roman"/>
                <w:color w:val="auto"/>
                <w:spacing w:val="9"/>
                <w:sz w:val="24"/>
                <w:szCs w:val="24"/>
                <w:highlight w:val="none"/>
              </w:rPr>
              <w:t>范围内无地下水集中式饮用水水源和热水、矿泉水、温</w:t>
            </w:r>
            <w:r>
              <w:rPr>
                <w:rFonts w:hint="default" w:ascii="Times New Roman" w:hAnsi="Times New Roman" w:cs="Times New Roman"/>
                <w:color w:val="auto"/>
                <w:spacing w:val="8"/>
                <w:sz w:val="24"/>
                <w:szCs w:val="24"/>
                <w:highlight w:val="none"/>
              </w:rPr>
              <w:t>泉等特殊地下</w:t>
            </w:r>
            <w:r>
              <w:rPr>
                <w:rFonts w:hint="default" w:ascii="Times New Roman" w:hAnsi="Times New Roman" w:cs="Times New Roman"/>
                <w:color w:val="auto"/>
                <w:spacing w:val="4"/>
                <w:sz w:val="24"/>
                <w:szCs w:val="24"/>
                <w:highlight w:val="none"/>
              </w:rPr>
              <w:t>水资源。</w:t>
            </w:r>
          </w:p>
          <w:p w14:paraId="5524682D">
            <w:pPr>
              <w:pStyle w:val="25"/>
              <w:keepNext w:val="0"/>
              <w:keepLines w:val="0"/>
              <w:pageBreakBefore w:val="0"/>
              <w:kinsoku/>
              <w:wordWrap w:val="0"/>
              <w:overflowPunct/>
              <w:topLinePunct/>
              <w:autoSpaceDE/>
              <w:autoSpaceDN/>
              <w:bidi w:val="0"/>
              <w:spacing w:line="360" w:lineRule="auto"/>
              <w:ind w:left="0" w:right="0" w:firstLine="500" w:firstLineChars="200"/>
              <w:jc w:val="both"/>
              <w:outlineLvl w:val="1"/>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5"/>
                <w:sz w:val="24"/>
                <w:szCs w:val="24"/>
                <w:highlight w:val="none"/>
              </w:rPr>
              <w:t>4</w:t>
            </w:r>
            <w:r>
              <w:rPr>
                <w:rFonts w:hint="default" w:ascii="Times New Roman" w:hAnsi="Times New Roman" w:cs="Times New Roman"/>
                <w:b/>
                <w:bCs/>
                <w:color w:val="auto"/>
                <w:spacing w:val="5"/>
                <w:sz w:val="24"/>
                <w:szCs w:val="24"/>
                <w:highlight w:val="none"/>
              </w:rPr>
              <w:t>、生态环境保护目标</w:t>
            </w:r>
          </w:p>
          <w:p w14:paraId="6285FC3B">
            <w:pPr>
              <w:pStyle w:val="25"/>
              <w:keepNext w:val="0"/>
              <w:keepLines w:val="0"/>
              <w:pageBreakBefore w:val="0"/>
              <w:kinsoku/>
              <w:wordWrap w:val="0"/>
              <w:overflowPunct/>
              <w:topLinePunct/>
              <w:autoSpaceDE/>
              <w:autoSpaceDN/>
              <w:bidi w:val="0"/>
              <w:spacing w:line="360" w:lineRule="auto"/>
              <w:ind w:left="0" w:right="0" w:firstLine="512" w:firstLineChars="200"/>
              <w:jc w:val="both"/>
              <w:outlineLvl w:val="1"/>
              <w:rPr>
                <w:rFonts w:hint="default" w:ascii="Times New Roman" w:hAnsi="Times New Roman" w:cs="Times New Roman"/>
                <w:color w:val="auto"/>
                <w:spacing w:val="11"/>
                <w:sz w:val="24"/>
                <w:szCs w:val="24"/>
                <w:highlight w:val="none"/>
              </w:rPr>
            </w:pPr>
            <w:r>
              <w:rPr>
                <w:rFonts w:hint="default" w:ascii="Times New Roman" w:hAnsi="Times New Roman" w:cs="Times New Roman"/>
                <w:color w:val="auto"/>
                <w:spacing w:val="8"/>
                <w:sz w:val="24"/>
                <w:szCs w:val="24"/>
                <w:highlight w:val="none"/>
              </w:rPr>
              <w:t>本项目用地范围内无生态环境保护目标。</w:t>
            </w:r>
          </w:p>
        </w:tc>
      </w:tr>
      <w:tr w14:paraId="28FEAB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88" w:type="pct"/>
            <w:tcBorders>
              <w:top w:val="single" w:color="auto" w:sz="4" w:space="0"/>
              <w:left w:val="single" w:color="000000" w:sz="6" w:space="0"/>
              <w:bottom w:val="single" w:color="auto" w:sz="4" w:space="0"/>
            </w:tcBorders>
            <w:vAlign w:val="center"/>
          </w:tcPr>
          <w:p w14:paraId="4A7DD6A8">
            <w:pPr>
              <w:pStyle w:val="25"/>
              <w:pageBreakBefore w:val="0"/>
              <w:kinsoku/>
              <w:wordWrap w:val="0"/>
              <w:overflowPunct/>
              <w:topLinePunct/>
              <w:autoSpaceDE/>
              <w:autoSpaceDN/>
              <w:bidi w:val="0"/>
              <w:spacing w:before="46" w:line="229" w:lineRule="auto"/>
              <w:ind w:left="194"/>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3"/>
                <w:sz w:val="24"/>
                <w:szCs w:val="24"/>
                <w:highlight w:val="none"/>
              </w:rPr>
              <w:t>污染</w:t>
            </w:r>
          </w:p>
          <w:p w14:paraId="0056B9B6">
            <w:pPr>
              <w:pStyle w:val="25"/>
              <w:pageBreakBefore w:val="0"/>
              <w:kinsoku/>
              <w:wordWrap w:val="0"/>
              <w:overflowPunct/>
              <w:topLinePunct/>
              <w:autoSpaceDE/>
              <w:autoSpaceDN/>
              <w:bidi w:val="0"/>
              <w:spacing w:before="25" w:line="229" w:lineRule="auto"/>
              <w:ind w:left="192"/>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4"/>
                <w:sz w:val="24"/>
                <w:szCs w:val="24"/>
                <w:highlight w:val="none"/>
              </w:rPr>
              <w:t>物排放控</w:t>
            </w:r>
          </w:p>
          <w:p w14:paraId="3EE5D188">
            <w:pPr>
              <w:pStyle w:val="25"/>
              <w:pageBreakBefore w:val="0"/>
              <w:kinsoku/>
              <w:wordWrap w:val="0"/>
              <w:overflowPunct/>
              <w:topLinePunct/>
              <w:autoSpaceDE/>
              <w:autoSpaceDN/>
              <w:bidi w:val="0"/>
              <w:spacing w:before="25" w:line="229" w:lineRule="auto"/>
              <w:ind w:left="193"/>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4"/>
                <w:sz w:val="24"/>
                <w:szCs w:val="24"/>
                <w:highlight w:val="none"/>
              </w:rPr>
              <w:t>制标</w:t>
            </w:r>
          </w:p>
          <w:p w14:paraId="7C773299">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cs="Times New Roman"/>
                <w:color w:val="auto"/>
                <w:spacing w:val="4"/>
                <w:sz w:val="24"/>
                <w:szCs w:val="24"/>
                <w:highlight w:val="none"/>
              </w:rPr>
            </w:pPr>
            <w:r>
              <w:rPr>
                <w:rFonts w:hint="default" w:ascii="Times New Roman" w:hAnsi="Times New Roman" w:cs="Times New Roman"/>
                <w:color w:val="auto"/>
                <w:sz w:val="24"/>
                <w:szCs w:val="24"/>
                <w:highlight w:val="none"/>
              </w:rPr>
              <w:t>准</w:t>
            </w:r>
          </w:p>
        </w:tc>
        <w:tc>
          <w:tcPr>
            <w:tcW w:w="4711" w:type="pct"/>
            <w:tcBorders>
              <w:top w:val="single" w:color="auto" w:sz="4" w:space="0"/>
              <w:bottom w:val="single" w:color="auto" w:sz="4" w:space="0"/>
              <w:right w:val="single" w:color="000000" w:sz="6" w:space="0"/>
            </w:tcBorders>
            <w:vAlign w:val="top"/>
          </w:tcPr>
          <w:p w14:paraId="78A18BB9">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92" w:firstLineChars="200"/>
              <w:textAlignment w:val="baseline"/>
              <w:rPr>
                <w:rFonts w:hint="default" w:ascii="Times New Roman" w:hAnsi="Times New Roman" w:cs="Times New Roman"/>
                <w:b/>
                <w:bCs/>
                <w:color w:val="auto"/>
                <w:spacing w:val="3"/>
                <w:sz w:val="24"/>
                <w:szCs w:val="24"/>
                <w:highlight w:val="none"/>
              </w:rPr>
            </w:pPr>
            <w:r>
              <w:rPr>
                <w:rFonts w:hint="default" w:ascii="Times New Roman" w:hAnsi="Times New Roman" w:eastAsia="Times New Roman" w:cs="Times New Roman"/>
                <w:b/>
                <w:bCs/>
                <w:color w:val="auto"/>
                <w:spacing w:val="3"/>
                <w:sz w:val="24"/>
                <w:szCs w:val="24"/>
                <w:highlight w:val="none"/>
              </w:rPr>
              <w:t>1</w:t>
            </w:r>
            <w:r>
              <w:rPr>
                <w:rFonts w:hint="default" w:ascii="Times New Roman" w:hAnsi="Times New Roman" w:cs="Times New Roman"/>
                <w:b/>
                <w:bCs/>
                <w:color w:val="auto"/>
                <w:spacing w:val="3"/>
                <w:sz w:val="24"/>
                <w:szCs w:val="24"/>
                <w:highlight w:val="none"/>
              </w:rPr>
              <w:t>、废气排放标准</w:t>
            </w:r>
          </w:p>
          <w:p w14:paraId="3039A28B">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4" w:firstLineChars="200"/>
              <w:jc w:val="both"/>
              <w:textAlignment w:val="baseline"/>
              <w:rPr>
                <w:rFonts w:hint="default" w:ascii="Times New Roman" w:hAnsi="Times New Roman" w:cs="Times New Roman"/>
                <w:color w:val="auto"/>
                <w:spacing w:val="4"/>
                <w:sz w:val="24"/>
                <w:szCs w:val="24"/>
                <w:highlight w:val="none"/>
              </w:rPr>
            </w:pPr>
            <w:r>
              <w:rPr>
                <w:rFonts w:hint="default" w:ascii="Times New Roman" w:hAnsi="Times New Roman" w:cs="Times New Roman"/>
                <w:color w:val="auto"/>
                <w:spacing w:val="11"/>
                <w:sz w:val="24"/>
                <w:szCs w:val="24"/>
                <w:highlight w:val="none"/>
              </w:rPr>
              <w:t>本项目废气污染物主要为粉尘，</w:t>
            </w:r>
            <w:r>
              <w:rPr>
                <w:rFonts w:hint="default" w:ascii="Times New Roman" w:hAnsi="Times New Roman" w:cs="Times New Roman"/>
                <w:color w:val="auto"/>
                <w:spacing w:val="8"/>
                <w:sz w:val="24"/>
                <w:szCs w:val="24"/>
                <w:highlight w:val="none"/>
              </w:rPr>
              <w:t>有组织</w:t>
            </w:r>
            <w:r>
              <w:rPr>
                <w:rFonts w:hint="default" w:ascii="Times New Roman" w:hAnsi="Times New Roman" w:cs="Times New Roman"/>
                <w:color w:val="auto"/>
                <w:spacing w:val="8"/>
                <w:sz w:val="24"/>
                <w:szCs w:val="24"/>
                <w:highlight w:val="none"/>
                <w:lang w:val="en-US" w:eastAsia="zh-CN"/>
              </w:rPr>
              <w:t>和</w:t>
            </w:r>
            <w:r>
              <w:rPr>
                <w:rFonts w:hint="default" w:ascii="Times New Roman" w:hAnsi="Times New Roman" w:cs="Times New Roman"/>
                <w:color w:val="auto"/>
                <w:spacing w:val="3"/>
                <w:sz w:val="24"/>
                <w:szCs w:val="24"/>
                <w:highlight w:val="none"/>
              </w:rPr>
              <w:t>无组织粉尘排</w:t>
            </w:r>
            <w:r>
              <w:rPr>
                <w:rFonts w:hint="default" w:ascii="Times New Roman" w:hAnsi="Times New Roman" w:cs="Times New Roman"/>
                <w:color w:val="auto"/>
                <w:spacing w:val="2"/>
                <w:sz w:val="24"/>
                <w:szCs w:val="24"/>
                <w:highlight w:val="none"/>
              </w:rPr>
              <w:t>放执行</w:t>
            </w:r>
            <w:r>
              <w:rPr>
                <w:rFonts w:hint="default" w:ascii="Times New Roman" w:hAnsi="Times New Roman" w:cs="Times New Roman"/>
                <w:color w:val="auto"/>
                <w:spacing w:val="2"/>
                <w:sz w:val="21"/>
                <w:szCs w:val="21"/>
                <w:highlight w:val="none"/>
              </w:rPr>
              <w:t>《大</w:t>
            </w:r>
            <w:r>
              <w:rPr>
                <w:rFonts w:hint="default" w:ascii="Times New Roman" w:hAnsi="Times New Roman" w:cs="Times New Roman"/>
                <w:color w:val="auto"/>
                <w:spacing w:val="9"/>
                <w:sz w:val="21"/>
                <w:szCs w:val="21"/>
                <w:highlight w:val="none"/>
              </w:rPr>
              <w:t>气污染物综合排放标准》（</w:t>
            </w:r>
            <w:r>
              <w:rPr>
                <w:rFonts w:hint="default" w:ascii="Times New Roman" w:hAnsi="Times New Roman" w:eastAsia="Times New Roman" w:cs="Times New Roman"/>
                <w:color w:val="auto"/>
                <w:sz w:val="21"/>
                <w:szCs w:val="21"/>
                <w:highlight w:val="none"/>
              </w:rPr>
              <w:t>GB</w:t>
            </w:r>
            <w:r>
              <w:rPr>
                <w:rFonts w:hint="default" w:ascii="Times New Roman" w:hAnsi="Times New Roman" w:eastAsia="Times New Roman" w:cs="Times New Roman"/>
                <w:color w:val="auto"/>
                <w:spacing w:val="9"/>
                <w:sz w:val="21"/>
                <w:szCs w:val="21"/>
                <w:highlight w:val="none"/>
              </w:rPr>
              <w:t>16297-1996</w:t>
            </w:r>
            <w:r>
              <w:rPr>
                <w:rFonts w:hint="default" w:ascii="Times New Roman" w:hAnsi="Times New Roman" w:cs="Times New Roman"/>
                <w:color w:val="auto"/>
                <w:spacing w:val="9"/>
                <w:sz w:val="21"/>
                <w:szCs w:val="21"/>
                <w:highlight w:val="none"/>
              </w:rPr>
              <w:t>）</w:t>
            </w:r>
            <w:r>
              <w:rPr>
                <w:rFonts w:hint="default" w:ascii="Times New Roman" w:hAnsi="Times New Roman" w:cs="Times New Roman"/>
                <w:color w:val="auto"/>
                <w:spacing w:val="9"/>
                <w:sz w:val="24"/>
                <w:szCs w:val="24"/>
                <w:highlight w:val="none"/>
              </w:rPr>
              <w:t>颗粒物排放限值，具体标准限值</w:t>
            </w:r>
            <w:r>
              <w:rPr>
                <w:rFonts w:hint="default" w:ascii="Times New Roman" w:hAnsi="Times New Roman" w:cs="Times New Roman"/>
                <w:color w:val="auto"/>
                <w:spacing w:val="4"/>
                <w:sz w:val="24"/>
                <w:szCs w:val="24"/>
                <w:highlight w:val="none"/>
              </w:rPr>
              <w:t>见表</w:t>
            </w:r>
            <w:r>
              <w:rPr>
                <w:rFonts w:hint="default" w:ascii="Times New Roman" w:hAnsi="Times New Roman" w:eastAsia="Times New Roman" w:cs="Times New Roman"/>
                <w:color w:val="auto"/>
                <w:spacing w:val="4"/>
                <w:sz w:val="24"/>
                <w:szCs w:val="24"/>
                <w:highlight w:val="none"/>
              </w:rPr>
              <w:t>3-</w:t>
            </w:r>
            <w:r>
              <w:rPr>
                <w:rFonts w:hint="eastAsia" w:ascii="Times New Roman" w:hAnsi="Times New Roman" w:eastAsia="宋体" w:cs="Times New Roman"/>
                <w:color w:val="auto"/>
                <w:spacing w:val="4"/>
                <w:sz w:val="24"/>
                <w:szCs w:val="24"/>
                <w:highlight w:val="none"/>
                <w:lang w:val="en-US" w:eastAsia="zh-CN"/>
              </w:rPr>
              <w:t>4</w:t>
            </w:r>
            <w:r>
              <w:rPr>
                <w:rFonts w:hint="default" w:ascii="Times New Roman" w:hAnsi="Times New Roman" w:cs="Times New Roman"/>
                <w:color w:val="auto"/>
                <w:spacing w:val="4"/>
                <w:sz w:val="24"/>
                <w:szCs w:val="24"/>
                <w:highlight w:val="none"/>
              </w:rPr>
              <w:t>。</w:t>
            </w:r>
          </w:p>
          <w:p w14:paraId="17F4284E">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b/>
                <w:bCs/>
                <w:snapToGrid w:val="0"/>
                <w:color w:val="auto"/>
                <w:kern w:val="0"/>
                <w:sz w:val="21"/>
                <w:szCs w:val="21"/>
                <w:highlight w:val="none"/>
                <w:lang w:val="en-US" w:eastAsia="zh-CN" w:bidi="ar-SA"/>
              </w:rPr>
            </w:pPr>
            <w:r>
              <w:rPr>
                <w:rFonts w:hint="default" w:ascii="Times New Roman" w:hAnsi="Times New Roman" w:eastAsia="宋体" w:cs="Times New Roman"/>
                <w:b/>
                <w:bCs/>
                <w:snapToGrid w:val="0"/>
                <w:color w:val="auto"/>
                <w:kern w:val="0"/>
                <w:sz w:val="21"/>
                <w:szCs w:val="21"/>
                <w:highlight w:val="none"/>
                <w:lang w:val="en-US" w:eastAsia="zh-CN" w:bidi="ar-SA"/>
              </w:rPr>
              <w:t>表3-</w:t>
            </w:r>
            <w:r>
              <w:rPr>
                <w:rFonts w:hint="eastAsia" w:ascii="Times New Roman" w:hAnsi="Times New Roman" w:cs="Times New Roman"/>
                <w:b/>
                <w:bCs/>
                <w:snapToGrid w:val="0"/>
                <w:color w:val="auto"/>
                <w:kern w:val="0"/>
                <w:sz w:val="21"/>
                <w:szCs w:val="21"/>
                <w:highlight w:val="none"/>
                <w:lang w:val="en-US" w:eastAsia="zh-CN" w:bidi="ar-SA"/>
              </w:rPr>
              <w:t>4</w:t>
            </w:r>
            <w:r>
              <w:rPr>
                <w:rFonts w:hint="default" w:ascii="Times New Roman" w:hAnsi="Times New Roman" w:eastAsia="宋体" w:cs="Times New Roman"/>
                <w:b/>
                <w:bCs/>
                <w:snapToGrid w:val="0"/>
                <w:color w:val="auto"/>
                <w:kern w:val="0"/>
                <w:sz w:val="21"/>
                <w:szCs w:val="21"/>
                <w:highlight w:val="none"/>
                <w:lang w:val="en-US" w:eastAsia="zh-CN" w:bidi="ar-SA"/>
              </w:rPr>
              <w:t>废气排放标准</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926"/>
              <w:gridCol w:w="1012"/>
              <w:gridCol w:w="2494"/>
              <w:gridCol w:w="3636"/>
            </w:tblGrid>
            <w:tr w14:paraId="0959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293" w:type="pct"/>
                  <w:tcBorders>
                    <w:tl2br w:val="nil"/>
                    <w:tr2bl w:val="nil"/>
                  </w:tcBorders>
                  <w:noWrap w:val="0"/>
                  <w:vAlign w:val="center"/>
                </w:tcPr>
                <w:p w14:paraId="3DB75D79">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序号</w:t>
                  </w:r>
                </w:p>
              </w:tc>
              <w:tc>
                <w:tcPr>
                  <w:tcW w:w="1130" w:type="pct"/>
                  <w:gridSpan w:val="2"/>
                  <w:tcBorders>
                    <w:tl2br w:val="nil"/>
                    <w:tr2bl w:val="nil"/>
                  </w:tcBorders>
                  <w:noWrap w:val="0"/>
                  <w:vAlign w:val="center"/>
                </w:tcPr>
                <w:p w14:paraId="68F64B31">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项目</w:t>
                  </w:r>
                </w:p>
              </w:tc>
              <w:tc>
                <w:tcPr>
                  <w:tcW w:w="1454" w:type="pct"/>
                  <w:tcBorders>
                    <w:tl2br w:val="nil"/>
                    <w:tr2bl w:val="nil"/>
                  </w:tcBorders>
                  <w:noWrap w:val="0"/>
                  <w:vAlign w:val="center"/>
                </w:tcPr>
                <w:p w14:paraId="0F8CB60C">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排放限值</w:t>
                  </w:r>
                </w:p>
              </w:tc>
              <w:tc>
                <w:tcPr>
                  <w:tcW w:w="2120" w:type="pct"/>
                  <w:tcBorders>
                    <w:tl2br w:val="nil"/>
                    <w:tr2bl w:val="nil"/>
                  </w:tcBorders>
                  <w:noWrap w:val="0"/>
                  <w:vAlign w:val="center"/>
                </w:tcPr>
                <w:p w14:paraId="22C44A1E">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执行标准</w:t>
                  </w:r>
                </w:p>
              </w:tc>
            </w:tr>
            <w:tr w14:paraId="53613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293" w:type="pct"/>
                  <w:tcBorders>
                    <w:tl2br w:val="nil"/>
                    <w:tr2bl w:val="nil"/>
                  </w:tcBorders>
                  <w:noWrap w:val="0"/>
                  <w:vAlign w:val="center"/>
                </w:tcPr>
                <w:p w14:paraId="1F9804A8">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w:t>
                  </w:r>
                </w:p>
              </w:tc>
              <w:tc>
                <w:tcPr>
                  <w:tcW w:w="540" w:type="pct"/>
                  <w:tcBorders>
                    <w:tl2br w:val="nil"/>
                    <w:tr2bl w:val="nil"/>
                  </w:tcBorders>
                  <w:noWrap w:val="0"/>
                  <w:vAlign w:val="center"/>
                </w:tcPr>
                <w:p w14:paraId="437BFA0D">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有组织废气</w:t>
                  </w:r>
                </w:p>
              </w:tc>
              <w:tc>
                <w:tcPr>
                  <w:tcW w:w="590" w:type="pct"/>
                  <w:tcBorders>
                    <w:tl2br w:val="nil"/>
                    <w:tr2bl w:val="nil"/>
                  </w:tcBorders>
                  <w:noWrap w:val="0"/>
                  <w:vAlign w:val="center"/>
                </w:tcPr>
                <w:p w14:paraId="72BCD8BA">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颗粒物</w:t>
                  </w:r>
                </w:p>
              </w:tc>
              <w:tc>
                <w:tcPr>
                  <w:tcW w:w="1454" w:type="pct"/>
                  <w:tcBorders>
                    <w:tl2br w:val="nil"/>
                    <w:tr2bl w:val="nil"/>
                  </w:tcBorders>
                  <w:noWrap w:val="0"/>
                  <w:vAlign w:val="center"/>
                </w:tcPr>
                <w:p w14:paraId="2D255BDE">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排放浓度120</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vertAlign w:val="baseline"/>
                      <w:lang w:val="en-US" w:eastAsia="zh-CN"/>
                    </w:rPr>
                    <w:t>、排放速率</w:t>
                  </w:r>
                  <w:r>
                    <w:rPr>
                      <w:rFonts w:hint="default" w:ascii="Times New Roman" w:hAnsi="Times New Roman" w:eastAsia="宋体" w:cs="Times New Roman"/>
                      <w:b w:val="0"/>
                      <w:bCs w:val="0"/>
                      <w:color w:val="auto"/>
                      <w:sz w:val="21"/>
                      <w:szCs w:val="21"/>
                      <w:highlight w:val="none"/>
                      <w:vertAlign w:val="baseline"/>
                      <w:lang w:val="en-US" w:eastAsia="zh-CN"/>
                    </w:rPr>
                    <w:t>3.5kg/h</w:t>
                  </w:r>
                </w:p>
              </w:tc>
              <w:tc>
                <w:tcPr>
                  <w:tcW w:w="2120" w:type="pct"/>
                  <w:tcBorders>
                    <w:tl2br w:val="nil"/>
                    <w:tr2bl w:val="nil"/>
                  </w:tcBorders>
                  <w:noWrap w:val="0"/>
                  <w:vAlign w:val="center"/>
                </w:tcPr>
                <w:p w14:paraId="59D26597">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leftChars="0" w:right="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vertAlign w:val="baseline"/>
                      <w:lang w:val="en-US" w:eastAsia="zh-CN"/>
                    </w:rPr>
                    <w:t>《大气污染物综合排放标准》（GB16297-1996）表2中二级标准</w:t>
                  </w:r>
                </w:p>
              </w:tc>
            </w:tr>
            <w:tr w14:paraId="36878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293" w:type="pct"/>
                  <w:tcBorders>
                    <w:tl2br w:val="nil"/>
                    <w:tr2bl w:val="nil"/>
                  </w:tcBorders>
                  <w:noWrap w:val="0"/>
                  <w:vAlign w:val="center"/>
                </w:tcPr>
                <w:p w14:paraId="09E1A025">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w:t>
                  </w:r>
                </w:p>
              </w:tc>
              <w:tc>
                <w:tcPr>
                  <w:tcW w:w="540" w:type="pct"/>
                  <w:vMerge w:val="restart"/>
                  <w:tcBorders>
                    <w:tl2br w:val="nil"/>
                    <w:tr2bl w:val="nil"/>
                  </w:tcBorders>
                  <w:noWrap w:val="0"/>
                  <w:vAlign w:val="center"/>
                </w:tcPr>
                <w:p w14:paraId="58BC8591">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无组织废气</w:t>
                  </w:r>
                </w:p>
              </w:tc>
              <w:tc>
                <w:tcPr>
                  <w:tcW w:w="590" w:type="pct"/>
                  <w:tcBorders>
                    <w:tl2br w:val="nil"/>
                    <w:tr2bl w:val="nil"/>
                  </w:tcBorders>
                  <w:noWrap w:val="0"/>
                  <w:vAlign w:val="center"/>
                </w:tcPr>
                <w:p w14:paraId="2A60CAC3">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颗粒物</w:t>
                  </w:r>
                </w:p>
              </w:tc>
              <w:tc>
                <w:tcPr>
                  <w:tcW w:w="1454" w:type="pct"/>
                  <w:tcBorders>
                    <w:tl2br w:val="nil"/>
                    <w:tr2bl w:val="nil"/>
                  </w:tcBorders>
                  <w:noWrap w:val="0"/>
                  <w:vAlign w:val="center"/>
                </w:tcPr>
                <w:p w14:paraId="422E36D1">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leftChars="0" w:right="0" w:rightChars="0" w:firstLine="0" w:firstLineChars="0"/>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1.0</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p>
              </w:tc>
              <w:tc>
                <w:tcPr>
                  <w:tcW w:w="2120" w:type="pct"/>
                  <w:tcBorders>
                    <w:tl2br w:val="nil"/>
                    <w:tr2bl w:val="nil"/>
                  </w:tcBorders>
                  <w:noWrap w:val="0"/>
                  <w:vAlign w:val="center"/>
                </w:tcPr>
                <w:p w14:paraId="6FB1EF4E">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leftChars="0" w:right="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vertAlign w:val="baseline"/>
                      <w:lang w:val="en-US" w:eastAsia="zh-CN"/>
                    </w:rPr>
                    <w:t>《大气污染物综合排放标准》（GB16297-1996）中无组织排放监控浓度限值</w:t>
                  </w:r>
                </w:p>
              </w:tc>
            </w:tr>
            <w:tr w14:paraId="275D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293" w:type="pct"/>
                  <w:tcBorders>
                    <w:tl2br w:val="nil"/>
                    <w:tr2bl w:val="nil"/>
                  </w:tcBorders>
                  <w:noWrap w:val="0"/>
                  <w:vAlign w:val="center"/>
                </w:tcPr>
                <w:p w14:paraId="62BA1AA4">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3</w:t>
                  </w:r>
                </w:p>
              </w:tc>
              <w:tc>
                <w:tcPr>
                  <w:tcW w:w="540" w:type="pct"/>
                  <w:vMerge w:val="continue"/>
                  <w:tcBorders>
                    <w:tl2br w:val="nil"/>
                    <w:tr2bl w:val="nil"/>
                  </w:tcBorders>
                  <w:noWrap w:val="0"/>
                  <w:vAlign w:val="center"/>
                </w:tcPr>
                <w:p w14:paraId="76833B2E">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firstLine="0" w:firstLineChars="0"/>
                    <w:jc w:val="center"/>
                    <w:rPr>
                      <w:rFonts w:hint="default" w:ascii="Times New Roman" w:hAnsi="Times New Roman" w:eastAsia="宋体" w:cs="Times New Roman"/>
                      <w:color w:val="auto"/>
                      <w:sz w:val="21"/>
                      <w:szCs w:val="21"/>
                      <w:highlight w:val="none"/>
                      <w:lang w:val="en-US" w:eastAsia="zh-CN"/>
                    </w:rPr>
                  </w:pPr>
                </w:p>
              </w:tc>
              <w:tc>
                <w:tcPr>
                  <w:tcW w:w="590" w:type="pct"/>
                  <w:tcBorders>
                    <w:tl2br w:val="nil"/>
                    <w:tr2bl w:val="nil"/>
                  </w:tcBorders>
                  <w:noWrap w:val="0"/>
                  <w:vAlign w:val="center"/>
                </w:tcPr>
                <w:p w14:paraId="35E35908">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leftChars="0" w:right="0" w:righ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p>
              </w:tc>
              <w:tc>
                <w:tcPr>
                  <w:tcW w:w="1454" w:type="pct"/>
                  <w:tcBorders>
                    <w:tl2br w:val="nil"/>
                    <w:tr2bl w:val="nil"/>
                  </w:tcBorders>
                  <w:noWrap w:val="0"/>
                  <w:vAlign w:val="center"/>
                </w:tcPr>
                <w:p w14:paraId="38B9068C">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leftChars="0" w:right="0" w:rightChars="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1.5</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p>
              </w:tc>
              <w:tc>
                <w:tcPr>
                  <w:tcW w:w="2120" w:type="pct"/>
                  <w:tcBorders>
                    <w:tl2br w:val="nil"/>
                    <w:tr2bl w:val="nil"/>
                  </w:tcBorders>
                  <w:noWrap w:val="0"/>
                  <w:vAlign w:val="center"/>
                </w:tcPr>
                <w:p w14:paraId="6E19C5DB">
                  <w:pPr>
                    <w:pStyle w:val="40"/>
                    <w:keepNext w:val="0"/>
                    <w:keepLines w:val="0"/>
                    <w:pageBreakBefore w:val="0"/>
                    <w:widowControl w:val="0"/>
                    <w:suppressLineNumbers w:val="0"/>
                    <w:kinsoku/>
                    <w:wordWrap w:val="0"/>
                    <w:overflowPunct/>
                    <w:topLinePunct/>
                    <w:autoSpaceDE/>
                    <w:autoSpaceDN/>
                    <w:bidi w:val="0"/>
                    <w:spacing w:before="0" w:beforeAutospacing="0" w:after="0" w:afterAutospacing="0"/>
                    <w:ind w:left="0" w:leftChars="0" w:right="0" w:firstLine="0" w:firstLine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《恶臭污染物排放标准》(GB14554-93)中表2新改扩建标准的二级标准限值。</w:t>
                  </w:r>
                </w:p>
              </w:tc>
            </w:tr>
          </w:tbl>
          <w:p w14:paraId="32444C36">
            <w:pPr>
              <w:pStyle w:val="25"/>
              <w:keepNext w:val="0"/>
              <w:keepLines w:val="0"/>
              <w:pageBreakBefore w:val="0"/>
              <w:widowControl/>
              <w:kinsoku/>
              <w:wordWrap w:val="0"/>
              <w:overflowPunct/>
              <w:topLinePunct/>
              <w:autoSpaceDE/>
              <w:autoSpaceDN/>
              <w:bidi w:val="0"/>
              <w:adjustRightInd w:val="0"/>
              <w:snapToGrid w:val="0"/>
              <w:spacing w:line="360" w:lineRule="auto"/>
              <w:ind w:left="0" w:firstLine="496"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4"/>
                <w:sz w:val="24"/>
                <w:szCs w:val="24"/>
                <w:highlight w:val="none"/>
              </w:rPr>
              <w:t>2</w:t>
            </w:r>
            <w:r>
              <w:rPr>
                <w:rFonts w:hint="default" w:ascii="Times New Roman" w:hAnsi="Times New Roman" w:cs="Times New Roman"/>
                <w:b/>
                <w:bCs/>
                <w:color w:val="auto"/>
                <w:spacing w:val="4"/>
                <w:sz w:val="24"/>
                <w:szCs w:val="24"/>
                <w:highlight w:val="none"/>
              </w:rPr>
              <w:t>、废水排放标准</w:t>
            </w:r>
          </w:p>
          <w:p w14:paraId="0B11DC1D">
            <w:pPr>
              <w:keepNext w:val="0"/>
              <w:keepLines w:val="0"/>
              <w:pageBreakBefore w:val="0"/>
              <w:widowControl/>
              <w:suppressLineNumbers w:val="0"/>
              <w:kinsoku/>
              <w:wordWrap w:val="0"/>
              <w:overflowPunct/>
              <w:topLinePunct/>
              <w:autoSpaceDE/>
              <w:autoSpaceDN/>
              <w:bidi w:val="0"/>
              <w:adjustRightInd w:val="0"/>
              <w:snapToGrid w:val="0"/>
              <w:spacing w:beforeAutospacing="0" w:after="0" w:afterAutospacing="0" w:line="360" w:lineRule="auto"/>
              <w:ind w:left="0" w:right="0" w:firstLine="508" w:firstLineChars="200"/>
              <w:jc w:val="both"/>
              <w:textAlignment w:val="baseline"/>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spacing w:val="7"/>
                <w:sz w:val="24"/>
                <w:szCs w:val="24"/>
                <w:highlight w:val="none"/>
                <w:lang w:val="en-US" w:eastAsia="zh-CN"/>
              </w:rPr>
              <w:t>生活污水排入市政污水管网，排入玛纳斯工业园区塔河产业园污水处理厂处理</w:t>
            </w:r>
            <w:r>
              <w:rPr>
                <w:rFonts w:hint="default" w:ascii="Times New Roman" w:hAnsi="Times New Roman" w:cs="Times New Roman"/>
                <w:color w:val="auto"/>
                <w:spacing w:val="7"/>
                <w:sz w:val="24"/>
                <w:szCs w:val="24"/>
                <w:highlight w:val="none"/>
                <w:lang w:val="en-US" w:eastAsia="zh-CN"/>
              </w:rPr>
              <w:t>生活污水排放</w:t>
            </w:r>
            <w:r>
              <w:rPr>
                <w:rFonts w:hint="default" w:ascii="Times New Roman" w:hAnsi="Times New Roman" w:eastAsia="宋体" w:cs="Times New Roman"/>
                <w:color w:val="auto"/>
                <w:kern w:val="0"/>
                <w:sz w:val="24"/>
                <w:szCs w:val="24"/>
                <w:highlight w:val="none"/>
                <w:lang w:val="en-US" w:eastAsia="zh-CN"/>
              </w:rPr>
              <w:t>满足《污水综合排放标准》（GB8978-1996）三级标准限值，见表3-</w:t>
            </w:r>
            <w:r>
              <w:rPr>
                <w:rFonts w:hint="default" w:ascii="Times New Roman" w:hAnsi="Times New Roman"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lang w:val="en-US" w:eastAsia="zh-CN"/>
              </w:rPr>
              <w:t>。</w:t>
            </w:r>
          </w:p>
          <w:p w14:paraId="18CBFC22">
            <w:pPr>
              <w:pStyle w:val="44"/>
              <w:keepNext w:val="0"/>
              <w:keepLines w:val="0"/>
              <w:pageBreakBefore w:val="0"/>
              <w:suppressLineNumbers w:val="0"/>
              <w:kinsoku/>
              <w:wordWrap w:val="0"/>
              <w:overflowPunct/>
              <w:topLinePunct/>
              <w:autoSpaceDE/>
              <w:autoSpaceDN/>
              <w:bidi w:val="0"/>
              <w:spacing w:before="0" w:beforeLines="0" w:beforeAutospacing="0" w:after="0" w:afterAutospacing="0" w:line="240" w:lineRule="auto"/>
              <w:ind w:left="0" w:right="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表3-4污水排放标准单位：mg/L</w:t>
            </w:r>
          </w:p>
          <w:tbl>
            <w:tblPr>
              <w:tblStyle w:val="18"/>
              <w:tblW w:w="4998"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2027"/>
              <w:gridCol w:w="1529"/>
              <w:gridCol w:w="4116"/>
            </w:tblGrid>
            <w:tr w14:paraId="28118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523" w:type="pct"/>
                  <w:tcBorders>
                    <w:tl2br w:val="nil"/>
                    <w:tr2bl w:val="nil"/>
                  </w:tcBorders>
                  <w:noWrap w:val="0"/>
                  <w:vAlign w:val="center"/>
                </w:tcPr>
                <w:p w14:paraId="36D37F59">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序号</w:t>
                  </w:r>
                </w:p>
              </w:tc>
              <w:tc>
                <w:tcPr>
                  <w:tcW w:w="1182" w:type="pct"/>
                  <w:tcBorders>
                    <w:tl2br w:val="nil"/>
                    <w:tr2bl w:val="nil"/>
                  </w:tcBorders>
                  <w:noWrap w:val="0"/>
                  <w:vAlign w:val="center"/>
                </w:tcPr>
                <w:p w14:paraId="6007E647">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污染物</w:t>
                  </w:r>
                </w:p>
              </w:tc>
              <w:tc>
                <w:tcPr>
                  <w:tcW w:w="892" w:type="pct"/>
                  <w:tcBorders>
                    <w:tl2br w:val="nil"/>
                    <w:tr2bl w:val="nil"/>
                  </w:tcBorders>
                  <w:noWrap w:val="0"/>
                  <w:vAlign w:val="center"/>
                </w:tcPr>
                <w:p w14:paraId="4808B48E">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三级标准</w:t>
                  </w:r>
                </w:p>
              </w:tc>
              <w:tc>
                <w:tcPr>
                  <w:tcW w:w="2401" w:type="pct"/>
                  <w:tcBorders>
                    <w:tl2br w:val="nil"/>
                    <w:tr2bl w:val="nil"/>
                  </w:tcBorders>
                  <w:noWrap w:val="0"/>
                  <w:vAlign w:val="center"/>
                </w:tcPr>
                <w:p w14:paraId="403544AA">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执行标准</w:t>
                  </w:r>
                </w:p>
              </w:tc>
            </w:tr>
            <w:tr w14:paraId="29A0E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23" w:type="pct"/>
                  <w:tcBorders>
                    <w:tl2br w:val="nil"/>
                    <w:tr2bl w:val="nil"/>
                  </w:tcBorders>
                  <w:noWrap w:val="0"/>
                  <w:vAlign w:val="center"/>
                </w:tcPr>
                <w:p w14:paraId="5D7F88A3">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1</w:t>
                  </w:r>
                </w:p>
              </w:tc>
              <w:tc>
                <w:tcPr>
                  <w:tcW w:w="1182" w:type="pct"/>
                  <w:tcBorders>
                    <w:tl2br w:val="nil"/>
                    <w:tr2bl w:val="nil"/>
                  </w:tcBorders>
                  <w:noWrap w:val="0"/>
                  <w:vAlign w:val="center"/>
                </w:tcPr>
                <w:p w14:paraId="6D007F0A">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pH</w:t>
                  </w:r>
                </w:p>
              </w:tc>
              <w:tc>
                <w:tcPr>
                  <w:tcW w:w="892" w:type="pct"/>
                  <w:tcBorders>
                    <w:tl2br w:val="nil"/>
                    <w:tr2bl w:val="nil"/>
                  </w:tcBorders>
                  <w:noWrap w:val="0"/>
                  <w:vAlign w:val="center"/>
                </w:tcPr>
                <w:p w14:paraId="22DF793B">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6-9</w:t>
                  </w:r>
                </w:p>
              </w:tc>
              <w:tc>
                <w:tcPr>
                  <w:tcW w:w="2401" w:type="pct"/>
                  <w:vMerge w:val="restart"/>
                  <w:tcBorders>
                    <w:tl2br w:val="nil"/>
                    <w:tr2bl w:val="nil"/>
                  </w:tcBorders>
                  <w:noWrap w:val="0"/>
                  <w:vAlign w:val="center"/>
                </w:tcPr>
                <w:p w14:paraId="62D2BAC2">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《污水综合排放标准》（GB8978-1996）中三级标准</w:t>
                  </w:r>
                </w:p>
              </w:tc>
            </w:tr>
            <w:tr w14:paraId="24E9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523" w:type="pct"/>
                  <w:tcBorders>
                    <w:tl2br w:val="nil"/>
                    <w:tr2bl w:val="nil"/>
                  </w:tcBorders>
                  <w:noWrap w:val="0"/>
                  <w:vAlign w:val="center"/>
                </w:tcPr>
                <w:p w14:paraId="3ECC91D1">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rPr>
                    <w:t>2</w:t>
                  </w:r>
                </w:p>
              </w:tc>
              <w:tc>
                <w:tcPr>
                  <w:tcW w:w="1182" w:type="pct"/>
                  <w:tcBorders>
                    <w:tl2br w:val="nil"/>
                    <w:tr2bl w:val="nil"/>
                  </w:tcBorders>
                  <w:noWrap w:val="0"/>
                  <w:vAlign w:val="center"/>
                </w:tcPr>
                <w:p w14:paraId="275A3288">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105" w:leftChars="-50" w:right="-105" w:rightChars="-50" w:firstLine="0" w:firstLineChars="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COD</w:t>
                  </w:r>
                </w:p>
              </w:tc>
              <w:tc>
                <w:tcPr>
                  <w:tcW w:w="892" w:type="pct"/>
                  <w:tcBorders>
                    <w:tl2br w:val="nil"/>
                    <w:tr2bl w:val="nil"/>
                  </w:tcBorders>
                  <w:noWrap w:val="0"/>
                  <w:vAlign w:val="center"/>
                </w:tcPr>
                <w:p w14:paraId="06EA0A8D">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105" w:leftChars="-50" w:right="-105" w:rightChars="-5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rPr>
                    <w:t>500</w:t>
                  </w:r>
                </w:p>
              </w:tc>
              <w:tc>
                <w:tcPr>
                  <w:tcW w:w="2401" w:type="pct"/>
                  <w:vMerge w:val="continue"/>
                  <w:tcBorders>
                    <w:tl2br w:val="nil"/>
                    <w:tr2bl w:val="nil"/>
                  </w:tcBorders>
                  <w:noWrap w:val="0"/>
                  <w:vAlign w:val="center"/>
                </w:tcPr>
                <w:p w14:paraId="59CD686E">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105" w:leftChars="-50" w:right="-105" w:rightChars="-50" w:firstLine="0" w:firstLineChars="0"/>
                    <w:jc w:val="center"/>
                    <w:rPr>
                      <w:rFonts w:hint="default" w:ascii="Times New Roman" w:hAnsi="Times New Roman" w:cs="Times New Roman"/>
                      <w:color w:val="auto"/>
                      <w:kern w:val="0"/>
                      <w:sz w:val="21"/>
                      <w:szCs w:val="21"/>
                      <w:highlight w:val="none"/>
                    </w:rPr>
                  </w:pPr>
                </w:p>
              </w:tc>
            </w:tr>
            <w:tr w14:paraId="1FE86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23" w:type="pct"/>
                  <w:tcBorders>
                    <w:tl2br w:val="nil"/>
                    <w:tr2bl w:val="nil"/>
                  </w:tcBorders>
                  <w:noWrap w:val="0"/>
                  <w:vAlign w:val="center"/>
                </w:tcPr>
                <w:p w14:paraId="6B46F212">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rPr>
                    <w:t>3</w:t>
                  </w:r>
                </w:p>
              </w:tc>
              <w:tc>
                <w:tcPr>
                  <w:tcW w:w="1182" w:type="pct"/>
                  <w:tcBorders>
                    <w:tl2br w:val="nil"/>
                    <w:tr2bl w:val="nil"/>
                  </w:tcBorders>
                  <w:noWrap w:val="0"/>
                  <w:vAlign w:val="center"/>
                </w:tcPr>
                <w:p w14:paraId="6A1E795D">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105" w:leftChars="-50" w:right="-105" w:rightChars="-50" w:firstLine="0" w:firstLineChars="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BOD</w:t>
                  </w:r>
                  <w:r>
                    <w:rPr>
                      <w:rFonts w:hint="default" w:ascii="Times New Roman" w:hAnsi="Times New Roman" w:cs="Times New Roman"/>
                      <w:color w:val="auto"/>
                      <w:kern w:val="0"/>
                      <w:sz w:val="21"/>
                      <w:szCs w:val="21"/>
                      <w:highlight w:val="none"/>
                      <w:vertAlign w:val="subscript"/>
                    </w:rPr>
                    <w:t>5</w:t>
                  </w:r>
                </w:p>
              </w:tc>
              <w:tc>
                <w:tcPr>
                  <w:tcW w:w="892" w:type="pct"/>
                  <w:tcBorders>
                    <w:tl2br w:val="nil"/>
                    <w:tr2bl w:val="nil"/>
                  </w:tcBorders>
                  <w:noWrap w:val="0"/>
                  <w:vAlign w:val="center"/>
                </w:tcPr>
                <w:p w14:paraId="31AFE535">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105" w:leftChars="-50" w:right="-105" w:rightChars="-50" w:firstLine="0" w:firstLineChars="0"/>
                    <w:jc w:val="center"/>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rPr>
                    <w:t>300</w:t>
                  </w:r>
                </w:p>
              </w:tc>
              <w:tc>
                <w:tcPr>
                  <w:tcW w:w="2401" w:type="pct"/>
                  <w:vMerge w:val="continue"/>
                  <w:tcBorders>
                    <w:tl2br w:val="nil"/>
                    <w:tr2bl w:val="nil"/>
                  </w:tcBorders>
                  <w:noWrap w:val="0"/>
                  <w:vAlign w:val="center"/>
                </w:tcPr>
                <w:p w14:paraId="196803E8">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105" w:leftChars="-50" w:right="-105" w:rightChars="-50" w:firstLine="0" w:firstLineChars="0"/>
                    <w:jc w:val="center"/>
                    <w:rPr>
                      <w:rFonts w:hint="default" w:ascii="Times New Roman" w:hAnsi="Times New Roman" w:cs="Times New Roman"/>
                      <w:color w:val="auto"/>
                      <w:kern w:val="0"/>
                      <w:sz w:val="21"/>
                      <w:szCs w:val="21"/>
                      <w:highlight w:val="none"/>
                    </w:rPr>
                  </w:pPr>
                </w:p>
              </w:tc>
            </w:tr>
            <w:tr w14:paraId="03BB2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23" w:type="pct"/>
                  <w:tcBorders>
                    <w:tl2br w:val="nil"/>
                    <w:tr2bl w:val="nil"/>
                  </w:tcBorders>
                  <w:noWrap w:val="0"/>
                  <w:vAlign w:val="center"/>
                </w:tcPr>
                <w:p w14:paraId="0333B80C">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rPr>
                    <w:t>4</w:t>
                  </w:r>
                </w:p>
              </w:tc>
              <w:tc>
                <w:tcPr>
                  <w:tcW w:w="1182" w:type="pct"/>
                  <w:tcBorders>
                    <w:tl2br w:val="nil"/>
                    <w:tr2bl w:val="nil"/>
                  </w:tcBorders>
                  <w:noWrap w:val="0"/>
                  <w:vAlign w:val="center"/>
                </w:tcPr>
                <w:p w14:paraId="43268D1B">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105" w:leftChars="-50" w:right="-105" w:rightChars="-50" w:firstLine="0" w:firstLineChars="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SS</w:t>
                  </w:r>
                </w:p>
              </w:tc>
              <w:tc>
                <w:tcPr>
                  <w:tcW w:w="892" w:type="pct"/>
                  <w:tcBorders>
                    <w:tl2br w:val="nil"/>
                    <w:tr2bl w:val="nil"/>
                  </w:tcBorders>
                  <w:noWrap w:val="0"/>
                  <w:vAlign w:val="center"/>
                </w:tcPr>
                <w:p w14:paraId="69BCA44A">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105" w:leftChars="-50" w:right="-105" w:rightChars="-50" w:firstLine="0" w:firstLineChars="0"/>
                    <w:jc w:val="center"/>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rPr>
                    <w:t>400</w:t>
                  </w:r>
                </w:p>
              </w:tc>
              <w:tc>
                <w:tcPr>
                  <w:tcW w:w="2401" w:type="pct"/>
                  <w:vMerge w:val="continue"/>
                  <w:tcBorders>
                    <w:tl2br w:val="nil"/>
                    <w:tr2bl w:val="nil"/>
                  </w:tcBorders>
                  <w:noWrap w:val="0"/>
                  <w:vAlign w:val="center"/>
                </w:tcPr>
                <w:p w14:paraId="5EE6E43F">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105" w:leftChars="-50" w:right="-105" w:rightChars="-50" w:firstLine="0" w:firstLineChars="0"/>
                    <w:jc w:val="center"/>
                    <w:rPr>
                      <w:rFonts w:hint="default" w:ascii="Times New Roman" w:hAnsi="Times New Roman" w:cs="Times New Roman"/>
                      <w:color w:val="auto"/>
                      <w:kern w:val="0"/>
                      <w:sz w:val="21"/>
                      <w:szCs w:val="21"/>
                      <w:highlight w:val="none"/>
                    </w:rPr>
                  </w:pPr>
                </w:p>
              </w:tc>
            </w:tr>
            <w:tr w14:paraId="2D14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trPr>
              <w:tc>
                <w:tcPr>
                  <w:tcW w:w="523" w:type="pct"/>
                  <w:tcBorders>
                    <w:tl2br w:val="nil"/>
                    <w:tr2bl w:val="nil"/>
                  </w:tcBorders>
                  <w:noWrap w:val="0"/>
                  <w:vAlign w:val="center"/>
                </w:tcPr>
                <w:p w14:paraId="0585B819">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5</w:t>
                  </w:r>
                </w:p>
              </w:tc>
              <w:tc>
                <w:tcPr>
                  <w:tcW w:w="1182" w:type="pct"/>
                  <w:tcBorders>
                    <w:tl2br w:val="nil"/>
                    <w:tr2bl w:val="nil"/>
                  </w:tcBorders>
                  <w:noWrap w:val="0"/>
                  <w:vAlign w:val="center"/>
                </w:tcPr>
                <w:p w14:paraId="66AB94AC">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NH</w:t>
                  </w:r>
                  <w:r>
                    <w:rPr>
                      <w:rFonts w:hint="default" w:ascii="Times New Roman" w:hAnsi="Times New Roman" w:eastAsia="宋体" w:cs="Times New Roman"/>
                      <w:color w:val="auto"/>
                      <w:kern w:val="0"/>
                      <w:sz w:val="21"/>
                      <w:szCs w:val="21"/>
                      <w:highlight w:val="none"/>
                      <w:vertAlign w:val="subscript"/>
                      <w:lang w:val="en-US" w:eastAsia="zh-CN"/>
                    </w:rPr>
                    <w:t>3</w:t>
                  </w:r>
                  <w:r>
                    <w:rPr>
                      <w:rFonts w:hint="default" w:ascii="Times New Roman" w:hAnsi="Times New Roman" w:eastAsia="宋体" w:cs="Times New Roman"/>
                      <w:color w:val="auto"/>
                      <w:kern w:val="0"/>
                      <w:sz w:val="21"/>
                      <w:szCs w:val="21"/>
                      <w:highlight w:val="none"/>
                      <w:lang w:val="en-US" w:eastAsia="zh-CN"/>
                    </w:rPr>
                    <w:t>-N</w:t>
                  </w:r>
                </w:p>
              </w:tc>
              <w:tc>
                <w:tcPr>
                  <w:tcW w:w="892" w:type="pct"/>
                  <w:tcBorders>
                    <w:tl2br w:val="nil"/>
                    <w:tr2bl w:val="nil"/>
                  </w:tcBorders>
                  <w:noWrap w:val="0"/>
                  <w:vAlign w:val="center"/>
                </w:tcPr>
                <w:p w14:paraId="537D5F3C">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w:t>
                  </w:r>
                </w:p>
              </w:tc>
              <w:tc>
                <w:tcPr>
                  <w:tcW w:w="2401" w:type="pct"/>
                  <w:vMerge w:val="continue"/>
                  <w:tcBorders>
                    <w:tl2br w:val="nil"/>
                    <w:tr2bl w:val="nil"/>
                  </w:tcBorders>
                  <w:noWrap w:val="0"/>
                  <w:vAlign w:val="center"/>
                </w:tcPr>
                <w:p w14:paraId="042A3B5D">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cs="Times New Roman"/>
                      <w:color w:val="auto"/>
                      <w:kern w:val="0"/>
                      <w:sz w:val="21"/>
                      <w:szCs w:val="21"/>
                      <w:highlight w:val="none"/>
                      <w:lang w:val="en-US" w:eastAsia="zh-CN"/>
                    </w:rPr>
                  </w:pPr>
                </w:p>
              </w:tc>
            </w:tr>
          </w:tbl>
          <w:p w14:paraId="04919CC4">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60" w:lineRule="auto"/>
              <w:ind w:right="0" w:firstLine="498" w:firstLineChars="200"/>
              <w:jc w:val="both"/>
              <w:textAlignment w:val="baseline"/>
              <w:rPr>
                <w:rFonts w:hint="default" w:ascii="Times New Roman" w:hAnsi="Times New Roman" w:eastAsia="宋体" w:cs="Times New Roman"/>
                <w:b/>
                <w:bCs/>
                <w:snapToGrid w:val="0"/>
                <w:color w:val="auto"/>
                <w:spacing w:val="4"/>
                <w:kern w:val="0"/>
                <w:sz w:val="24"/>
                <w:szCs w:val="24"/>
                <w:highlight w:val="none"/>
                <w:lang w:val="en-US" w:eastAsia="zh-CN" w:bidi="ar-SA"/>
              </w:rPr>
            </w:pPr>
            <w:r>
              <w:rPr>
                <w:rFonts w:hint="default" w:ascii="Times New Roman" w:hAnsi="Times New Roman" w:eastAsia="宋体" w:cs="Times New Roman"/>
                <w:b/>
                <w:bCs/>
                <w:snapToGrid w:val="0"/>
                <w:color w:val="auto"/>
                <w:spacing w:val="4"/>
                <w:kern w:val="0"/>
                <w:sz w:val="24"/>
                <w:szCs w:val="24"/>
                <w:highlight w:val="none"/>
                <w:lang w:val="en-US" w:eastAsia="zh-CN" w:bidi="ar-SA"/>
              </w:rPr>
              <w:t>3、噪声</w:t>
            </w:r>
          </w:p>
          <w:p w14:paraId="3BA0A01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60" w:lineRule="auto"/>
              <w:ind w:left="0" w:right="0" w:firstLine="524" w:firstLineChars="200"/>
              <w:jc w:val="both"/>
              <w:textAlignment w:val="baseline"/>
              <w:rPr>
                <w:rFonts w:hint="default" w:ascii="Times New Roman" w:hAnsi="Times New Roman" w:cs="Times New Roman"/>
                <w:color w:val="auto"/>
                <w:spacing w:val="11"/>
                <w:sz w:val="24"/>
                <w:szCs w:val="24"/>
                <w:highlight w:val="none"/>
                <w:lang w:val="en-US" w:eastAsia="zh-CN"/>
              </w:rPr>
            </w:pPr>
            <w:r>
              <w:rPr>
                <w:rFonts w:hint="default" w:ascii="Times New Roman" w:hAnsi="Times New Roman" w:cs="Times New Roman"/>
                <w:color w:val="auto"/>
                <w:spacing w:val="11"/>
                <w:sz w:val="24"/>
                <w:szCs w:val="24"/>
                <w:highlight w:val="none"/>
                <w:lang w:val="en-US" w:eastAsia="zh-CN"/>
              </w:rPr>
              <w:t>施工期执行《建筑施工场界环境噪声排放标准》（GB12523-2011）中排放限值标准；运营期执行《工业企业厂界环境噪声排放标准》（GB12348-2008）中3类标准，排放标准限值见表3-5。</w:t>
            </w:r>
          </w:p>
          <w:p w14:paraId="09E74782">
            <w:pPr>
              <w:pStyle w:val="46"/>
              <w:keepNext w:val="0"/>
              <w:keepLines w:val="0"/>
              <w:pageBreakBefore w:val="0"/>
              <w:suppressLineNumbers w:val="0"/>
              <w:kinsoku/>
              <w:wordWrap w:val="0"/>
              <w:overflowPunct/>
              <w:topLinePunct/>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表3-</w:t>
            </w:r>
            <w:r>
              <w:rPr>
                <w:rFonts w:hint="default" w:ascii="Times New Roman" w:hAnsi="Times New Roman" w:cs="Times New Roman"/>
                <w:b/>
                <w:bCs/>
                <w:color w:val="auto"/>
                <w:sz w:val="21"/>
                <w:szCs w:val="21"/>
                <w:highlight w:val="none"/>
                <w:lang w:val="en-US" w:eastAsia="zh-CN"/>
              </w:rPr>
              <w:t>5</w:t>
            </w:r>
            <w:r>
              <w:rPr>
                <w:rFonts w:hint="default" w:ascii="Times New Roman" w:hAnsi="Times New Roman" w:eastAsia="宋体" w:cs="Times New Roman"/>
                <w:b/>
                <w:bCs/>
                <w:color w:val="auto"/>
                <w:sz w:val="21"/>
                <w:szCs w:val="21"/>
                <w:highlight w:val="none"/>
                <w:lang w:val="en-US" w:eastAsia="zh-CN"/>
              </w:rPr>
              <w:t>噪声排放限值单位：dB（A）</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0"/>
              <w:gridCol w:w="4721"/>
              <w:gridCol w:w="2362"/>
            </w:tblGrid>
            <w:tr w14:paraId="12DD6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869" w:type="pct"/>
                  <w:tcBorders>
                    <w:tl2br w:val="nil"/>
                    <w:tr2bl w:val="nil"/>
                  </w:tcBorders>
                  <w:noWrap w:val="0"/>
                  <w:vAlign w:val="center"/>
                </w:tcPr>
                <w:p w14:paraId="6538E9A5">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b/>
                      <w:bCs/>
                      <w:color w:val="auto"/>
                      <w:kern w:val="0"/>
                      <w:sz w:val="21"/>
                      <w:szCs w:val="21"/>
                      <w:highlight w:val="none"/>
                      <w:lang w:eastAsia="zh-CN"/>
                    </w:rPr>
                  </w:pPr>
                  <w:r>
                    <w:rPr>
                      <w:rFonts w:hint="default" w:ascii="Times New Roman" w:hAnsi="Times New Roman" w:eastAsia="宋体" w:cs="Times New Roman"/>
                      <w:b/>
                      <w:bCs/>
                      <w:color w:val="auto"/>
                      <w:kern w:val="0"/>
                      <w:sz w:val="21"/>
                      <w:szCs w:val="21"/>
                      <w:highlight w:val="none"/>
                      <w:lang w:eastAsia="zh-CN"/>
                    </w:rPr>
                    <w:t>时期</w:t>
                  </w:r>
                </w:p>
              </w:tc>
              <w:tc>
                <w:tcPr>
                  <w:tcW w:w="2753" w:type="pct"/>
                  <w:tcBorders>
                    <w:tl2br w:val="nil"/>
                    <w:tr2bl w:val="nil"/>
                  </w:tcBorders>
                  <w:noWrap w:val="0"/>
                  <w:vAlign w:val="center"/>
                </w:tcPr>
                <w:p w14:paraId="48F980AF">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b/>
                      <w:bCs/>
                      <w:color w:val="auto"/>
                      <w:kern w:val="0"/>
                      <w:sz w:val="21"/>
                      <w:szCs w:val="21"/>
                      <w:highlight w:val="none"/>
                      <w:lang w:eastAsia="zh-CN"/>
                    </w:rPr>
                  </w:pPr>
                  <w:r>
                    <w:rPr>
                      <w:rFonts w:hint="default" w:ascii="Times New Roman" w:hAnsi="Times New Roman" w:eastAsia="宋体" w:cs="Times New Roman"/>
                      <w:b/>
                      <w:bCs/>
                      <w:color w:val="auto"/>
                      <w:kern w:val="0"/>
                      <w:sz w:val="21"/>
                      <w:szCs w:val="21"/>
                      <w:highlight w:val="none"/>
                      <w:lang w:eastAsia="zh-CN"/>
                    </w:rPr>
                    <w:t>标准</w:t>
                  </w:r>
                </w:p>
              </w:tc>
              <w:tc>
                <w:tcPr>
                  <w:tcW w:w="1377" w:type="pct"/>
                  <w:tcBorders>
                    <w:tl2br w:val="nil"/>
                    <w:tr2bl w:val="nil"/>
                  </w:tcBorders>
                  <w:noWrap w:val="0"/>
                  <w:vAlign w:val="center"/>
                </w:tcPr>
                <w:p w14:paraId="2AC14960">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both"/>
                    <w:rPr>
                      <w:rFonts w:hint="default" w:ascii="Times New Roman" w:hAnsi="Times New Roman" w:eastAsia="宋体" w:cs="Times New Roman"/>
                      <w:b/>
                      <w:bCs/>
                      <w:color w:val="auto"/>
                      <w:kern w:val="0"/>
                      <w:sz w:val="21"/>
                      <w:szCs w:val="21"/>
                      <w:highlight w:val="none"/>
                      <w:lang w:eastAsia="zh-CN"/>
                    </w:rPr>
                  </w:pPr>
                  <w:r>
                    <w:rPr>
                      <w:rFonts w:hint="default" w:ascii="Times New Roman" w:hAnsi="Times New Roman" w:eastAsia="宋体" w:cs="Times New Roman"/>
                      <w:b/>
                      <w:bCs/>
                      <w:color w:val="auto"/>
                      <w:kern w:val="0"/>
                      <w:sz w:val="21"/>
                      <w:szCs w:val="21"/>
                      <w:highlight w:val="none"/>
                      <w:lang w:eastAsia="zh-CN"/>
                    </w:rPr>
                    <w:t>限值</w:t>
                  </w:r>
                </w:p>
              </w:tc>
            </w:tr>
            <w:tr w14:paraId="566AF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69" w:type="pct"/>
                  <w:tcBorders>
                    <w:tl2br w:val="nil"/>
                    <w:tr2bl w:val="nil"/>
                  </w:tcBorders>
                  <w:noWrap w:val="0"/>
                  <w:vAlign w:val="center"/>
                </w:tcPr>
                <w:p w14:paraId="42B5CA58">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施工期</w:t>
                  </w:r>
                </w:p>
              </w:tc>
              <w:tc>
                <w:tcPr>
                  <w:tcW w:w="2753" w:type="pct"/>
                  <w:tcBorders>
                    <w:tl2br w:val="nil"/>
                    <w:tr2bl w:val="nil"/>
                  </w:tcBorders>
                  <w:noWrap w:val="0"/>
                  <w:vAlign w:val="center"/>
                </w:tcPr>
                <w:p w14:paraId="7BF85F1F">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lang w:eastAsia="zh-CN"/>
                    </w:rPr>
                    <w:t>《建筑施工场界环境噪声排放标准》</w:t>
                  </w:r>
                  <w:r>
                    <w:rPr>
                      <w:rFonts w:hint="default" w:ascii="Times New Roman" w:hAnsi="Times New Roman" w:eastAsia="宋体" w:cs="Times New Roman"/>
                      <w:b w:val="0"/>
                      <w:bCs w:val="0"/>
                      <w:color w:val="auto"/>
                      <w:kern w:val="0"/>
                      <w:sz w:val="21"/>
                      <w:szCs w:val="21"/>
                      <w:highlight w:val="none"/>
                    </w:rPr>
                    <w:t>（GB12523-2011）中排放限值标准</w:t>
                  </w:r>
                </w:p>
              </w:tc>
              <w:tc>
                <w:tcPr>
                  <w:tcW w:w="1377" w:type="pct"/>
                  <w:tcBorders>
                    <w:tl2br w:val="nil"/>
                    <w:tr2bl w:val="nil"/>
                  </w:tcBorders>
                  <w:noWrap w:val="0"/>
                  <w:vAlign w:val="center"/>
                </w:tcPr>
                <w:p w14:paraId="1A3A1986">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0"/>
                      <w:sz w:val="21"/>
                      <w:szCs w:val="21"/>
                      <w:highlight w:val="none"/>
                      <w:lang w:eastAsia="zh-CN"/>
                    </w:rPr>
                  </w:pPr>
                  <w:r>
                    <w:rPr>
                      <w:rFonts w:hint="default" w:ascii="Times New Roman" w:hAnsi="Times New Roman" w:eastAsia="宋体" w:cs="Times New Roman"/>
                      <w:b w:val="0"/>
                      <w:bCs w:val="0"/>
                      <w:color w:val="auto"/>
                      <w:kern w:val="0"/>
                      <w:sz w:val="21"/>
                      <w:szCs w:val="21"/>
                      <w:highlight w:val="none"/>
                    </w:rPr>
                    <w:t>昼间70dB（A）</w:t>
                  </w:r>
                </w:p>
                <w:p w14:paraId="69004E6F">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夜间55dB（A）</w:t>
                  </w:r>
                </w:p>
              </w:tc>
            </w:tr>
            <w:tr w14:paraId="2BC96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69" w:type="pct"/>
                  <w:tcBorders>
                    <w:tl2br w:val="nil"/>
                    <w:tr2bl w:val="nil"/>
                  </w:tcBorders>
                  <w:noWrap w:val="0"/>
                  <w:vAlign w:val="center"/>
                </w:tcPr>
                <w:p w14:paraId="3389BAC0">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运营期</w:t>
                  </w:r>
                </w:p>
              </w:tc>
              <w:tc>
                <w:tcPr>
                  <w:tcW w:w="2753" w:type="pct"/>
                  <w:tcBorders>
                    <w:tl2br w:val="nil"/>
                    <w:tr2bl w:val="nil"/>
                  </w:tcBorders>
                  <w:noWrap w:val="0"/>
                  <w:vAlign w:val="center"/>
                </w:tcPr>
                <w:p w14:paraId="6C635012">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《工业企业厂界环境噪声排放标准》（GB12348</w:t>
                  </w:r>
                  <w:r>
                    <w:rPr>
                      <w:rFonts w:hint="default" w:ascii="Times New Roman" w:hAnsi="Times New Roman" w:cs="Times New Roman"/>
                      <w:color w:val="auto"/>
                      <w:kern w:val="0"/>
                      <w:sz w:val="21"/>
                      <w:szCs w:val="21"/>
                      <w:highlight w:val="none"/>
                      <w:lang w:val="en-US" w:eastAsia="zh-CN"/>
                    </w:rPr>
                    <w:t>-</w:t>
                  </w:r>
                  <w:r>
                    <w:rPr>
                      <w:rFonts w:hint="default" w:ascii="Times New Roman" w:hAnsi="Times New Roman" w:eastAsia="宋体" w:cs="Times New Roman"/>
                      <w:color w:val="auto"/>
                      <w:kern w:val="0"/>
                      <w:sz w:val="21"/>
                      <w:szCs w:val="21"/>
                      <w:highlight w:val="none"/>
                      <w:lang w:val="en-US" w:eastAsia="zh-CN"/>
                    </w:rPr>
                    <w:t>2008）中3类标准</w:t>
                  </w:r>
                </w:p>
              </w:tc>
              <w:tc>
                <w:tcPr>
                  <w:tcW w:w="1377" w:type="pct"/>
                  <w:tcBorders>
                    <w:tl2br w:val="nil"/>
                    <w:tr2bl w:val="nil"/>
                  </w:tcBorders>
                  <w:noWrap w:val="0"/>
                  <w:vAlign w:val="center"/>
                </w:tcPr>
                <w:p w14:paraId="198DC9DF">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昼间65dB（A）</w:t>
                  </w:r>
                </w:p>
                <w:p w14:paraId="4A9D0829">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夜间55dB（A）</w:t>
                  </w:r>
                </w:p>
              </w:tc>
            </w:tr>
          </w:tbl>
          <w:p w14:paraId="5321B60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val="en-US" w:eastAsia="zh-CN"/>
              </w:rPr>
              <w:t>4、固体废物</w:t>
            </w:r>
          </w:p>
          <w:p w14:paraId="7E1F31B9">
            <w:pPr>
              <w:pStyle w:val="25"/>
              <w:keepNext w:val="0"/>
              <w:keepLines w:val="0"/>
              <w:pageBreakBefore w:val="0"/>
              <w:kinsoku/>
              <w:wordWrap w:val="0"/>
              <w:overflowPunct/>
              <w:topLinePunct/>
              <w:autoSpaceDE/>
              <w:autoSpaceDN/>
              <w:bidi w:val="0"/>
              <w:spacing w:line="360" w:lineRule="auto"/>
              <w:ind w:left="0" w:firstLine="524" w:firstLineChars="200"/>
              <w:jc w:val="both"/>
              <w:rPr>
                <w:rFonts w:hint="default" w:ascii="Times New Roman" w:hAnsi="Times New Roman" w:cs="Times New Roman"/>
                <w:color w:val="auto"/>
                <w:spacing w:val="11"/>
                <w:sz w:val="24"/>
                <w:szCs w:val="24"/>
                <w:highlight w:val="none"/>
              </w:rPr>
            </w:pPr>
            <w:r>
              <w:rPr>
                <w:rFonts w:hint="default" w:ascii="Times New Roman" w:hAnsi="Times New Roman" w:eastAsia="Arial" w:cs="Times New Roman"/>
                <w:snapToGrid w:val="0"/>
                <w:color w:val="auto"/>
                <w:spacing w:val="11"/>
                <w:kern w:val="0"/>
                <w:sz w:val="24"/>
                <w:szCs w:val="24"/>
                <w:highlight w:val="none"/>
                <w:lang w:val="en-US" w:eastAsia="zh-CN" w:bidi="ar-SA"/>
              </w:rPr>
              <w:t>项目生产过程产生的一般工业固体废物执行《一般工业固体废物贮存和填埋污染控制标准》（GB18599-2020）。危险废物执行《危险废物贮存污染控制标准》（GB18597-2023）</w:t>
            </w:r>
          </w:p>
        </w:tc>
      </w:tr>
      <w:tr w14:paraId="3FA8F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9" w:hRule="atLeast"/>
        </w:trPr>
        <w:tc>
          <w:tcPr>
            <w:tcW w:w="288" w:type="pct"/>
            <w:tcBorders>
              <w:top w:val="single" w:color="auto" w:sz="4" w:space="0"/>
              <w:left w:val="single" w:color="000000" w:sz="6" w:space="0"/>
              <w:bottom w:val="single" w:color="auto" w:sz="4" w:space="0"/>
            </w:tcBorders>
            <w:shd w:val="clear" w:color="auto" w:fill="auto"/>
            <w:vAlign w:val="center"/>
          </w:tcPr>
          <w:p w14:paraId="5743173F">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Arial" w:cs="Times New Roman"/>
                <w:snapToGrid w:val="0"/>
                <w:color w:val="auto"/>
                <w:spacing w:val="11"/>
                <w:kern w:val="0"/>
                <w:sz w:val="24"/>
                <w:szCs w:val="24"/>
                <w:highlight w:val="none"/>
                <w:lang w:val="en-US" w:eastAsia="en-US" w:bidi="ar-SA"/>
              </w:rPr>
            </w:pPr>
            <w:r>
              <w:rPr>
                <w:rFonts w:hint="default" w:ascii="Times New Roman" w:hAnsi="Times New Roman" w:eastAsia="Arial" w:cs="Times New Roman"/>
                <w:snapToGrid w:val="0"/>
                <w:color w:val="auto"/>
                <w:spacing w:val="11"/>
                <w:kern w:val="0"/>
                <w:sz w:val="24"/>
                <w:szCs w:val="24"/>
                <w:highlight w:val="none"/>
                <w:lang w:val="en-US" w:eastAsia="zh-CN" w:bidi="ar-SA"/>
              </w:rPr>
              <w:t>总量控制指标</w:t>
            </w:r>
          </w:p>
        </w:tc>
        <w:tc>
          <w:tcPr>
            <w:tcW w:w="4711" w:type="pct"/>
            <w:tcBorders>
              <w:top w:val="single" w:color="auto" w:sz="4" w:space="0"/>
              <w:bottom w:val="single" w:color="auto" w:sz="4" w:space="0"/>
              <w:right w:val="single" w:color="000000" w:sz="6" w:space="0"/>
            </w:tcBorders>
            <w:shd w:val="clear" w:color="auto" w:fill="auto"/>
            <w:vAlign w:val="center"/>
          </w:tcPr>
          <w:p w14:paraId="42BD61A2">
            <w:pPr>
              <w:pStyle w:val="41"/>
              <w:keepNext w:val="0"/>
              <w:keepLines w:val="0"/>
              <w:pageBreakBefore w:val="0"/>
              <w:widowControl w:val="0"/>
              <w:suppressLineNumbers w:val="0"/>
              <w:shd w:val="clear"/>
              <w:tabs>
                <w:tab w:val="left" w:pos="1845"/>
              </w:tabs>
              <w:kinsoku/>
              <w:wordWrap w:val="0"/>
              <w:overflowPunct/>
              <w:topLinePunct/>
              <w:autoSpaceDE/>
              <w:autoSpaceDN/>
              <w:bidi w:val="0"/>
              <w:adjustRightInd/>
              <w:snapToGrid/>
              <w:spacing w:before="0" w:beforeAutospacing="0" w:after="0" w:afterAutospacing="0" w:line="360" w:lineRule="auto"/>
              <w:ind w:left="0" w:right="0" w:firstLine="524" w:firstLineChars="200"/>
              <w:jc w:val="both"/>
              <w:textAlignment w:val="auto"/>
              <w:rPr>
                <w:rFonts w:hint="default" w:ascii="Times New Roman" w:hAnsi="Times New Roman" w:eastAsia="Arial" w:cs="Times New Roman"/>
                <w:b w:val="0"/>
                <w:bCs/>
                <w:snapToGrid w:val="0"/>
                <w:color w:val="auto"/>
                <w:spacing w:val="11"/>
                <w:kern w:val="0"/>
                <w:sz w:val="24"/>
                <w:szCs w:val="24"/>
                <w:highlight w:val="none"/>
                <w:lang w:val="en-US" w:eastAsia="zh-CN" w:bidi="ar-SA"/>
              </w:rPr>
            </w:pPr>
            <w:r>
              <w:rPr>
                <w:rFonts w:hint="default" w:ascii="Times New Roman" w:hAnsi="Times New Roman" w:eastAsia="Arial" w:cs="Times New Roman"/>
                <w:b w:val="0"/>
                <w:bCs/>
                <w:snapToGrid w:val="0"/>
                <w:color w:val="auto"/>
                <w:spacing w:val="11"/>
                <w:kern w:val="0"/>
                <w:sz w:val="24"/>
                <w:szCs w:val="24"/>
                <w:highlight w:val="none"/>
                <w:lang w:val="en-US" w:eastAsia="zh-CN" w:bidi="ar-SA"/>
              </w:rPr>
              <w:t>大气污染物总量</w:t>
            </w:r>
            <w:r>
              <w:rPr>
                <w:rFonts w:hint="default" w:ascii="Times New Roman" w:hAnsi="Times New Roman" w:eastAsia="Arial" w:cs="Times New Roman"/>
                <w:b w:val="0"/>
                <w:bCs/>
                <w:snapToGrid w:val="0"/>
                <w:color w:val="auto"/>
                <w:spacing w:val="11"/>
                <w:kern w:val="0"/>
                <w:sz w:val="24"/>
                <w:szCs w:val="24"/>
                <w:highlight w:val="none"/>
                <w:shd w:val="clear"/>
                <w:lang w:val="en-US" w:eastAsia="zh-CN" w:bidi="ar-SA"/>
              </w:rPr>
              <w:t>指标：颗粒物</w:t>
            </w:r>
            <w:r>
              <w:rPr>
                <w:rFonts w:hint="default" w:ascii="Times New Roman" w:hAnsi="Times New Roman" w:eastAsia="宋体" w:cs="Times New Roman"/>
                <w:b w:val="0"/>
                <w:bCs/>
                <w:color w:val="auto"/>
                <w:spacing w:val="2"/>
                <w:position w:val="1"/>
                <w:sz w:val="24"/>
                <w:szCs w:val="24"/>
                <w:highlight w:val="none"/>
                <w:shd w:val="clear"/>
                <w:lang w:val="en-US" w:eastAsia="zh-CN"/>
              </w:rPr>
              <w:t>0.009</w:t>
            </w:r>
            <w:r>
              <w:rPr>
                <w:rFonts w:hint="default" w:ascii="Times New Roman" w:hAnsi="Times New Roman" w:eastAsia="Arial" w:cs="Times New Roman"/>
                <w:b w:val="0"/>
                <w:bCs/>
                <w:snapToGrid w:val="0"/>
                <w:color w:val="auto"/>
                <w:spacing w:val="11"/>
                <w:kern w:val="0"/>
                <w:sz w:val="24"/>
                <w:szCs w:val="24"/>
                <w:highlight w:val="none"/>
                <w:shd w:val="clear"/>
                <w:lang w:val="en-US" w:eastAsia="zh-CN" w:bidi="ar-SA"/>
              </w:rPr>
              <w:t>t/a。由于</w:t>
            </w:r>
            <w:r>
              <w:rPr>
                <w:rFonts w:hint="eastAsia" w:ascii="Times New Roman" w:cs="Times New Roman"/>
                <w:b w:val="0"/>
                <w:bCs/>
                <w:snapToGrid w:val="0"/>
                <w:color w:val="auto"/>
                <w:spacing w:val="11"/>
                <w:kern w:val="0"/>
                <w:sz w:val="24"/>
                <w:szCs w:val="24"/>
                <w:highlight w:val="none"/>
                <w:shd w:val="clear"/>
                <w:lang w:val="en-US" w:eastAsia="zh-CN" w:bidi="ar-SA"/>
              </w:rPr>
              <w:t>玛纳斯县</w:t>
            </w:r>
            <w:r>
              <w:rPr>
                <w:rFonts w:hint="default" w:ascii="Times New Roman" w:hAnsi="Times New Roman" w:eastAsia="Arial" w:cs="Times New Roman"/>
                <w:b w:val="0"/>
                <w:bCs/>
                <w:snapToGrid w:val="0"/>
                <w:color w:val="auto"/>
                <w:spacing w:val="11"/>
                <w:kern w:val="0"/>
                <w:sz w:val="24"/>
                <w:szCs w:val="24"/>
                <w:highlight w:val="none"/>
                <w:shd w:val="clear"/>
                <w:lang w:val="en-US" w:eastAsia="zh-CN" w:bidi="ar-SA"/>
              </w:rPr>
              <w:t>为不达标区域，</w:t>
            </w:r>
            <w:r>
              <w:rPr>
                <w:rFonts w:hint="default" w:ascii="Times New Roman" w:hAnsi="Times New Roman" w:eastAsia="Arial" w:cs="Times New Roman"/>
                <w:b w:val="0"/>
                <w:bCs/>
                <w:snapToGrid w:val="0"/>
                <w:color w:val="auto"/>
                <w:spacing w:val="11"/>
                <w:kern w:val="0"/>
                <w:sz w:val="24"/>
                <w:szCs w:val="24"/>
                <w:highlight w:val="none"/>
                <w:lang w:val="en-US" w:eastAsia="zh-CN" w:bidi="ar-SA"/>
              </w:rPr>
              <w:t>本项目总量控制指标实行倍量替代，替代量为颗粒物：0.018t/a</w:t>
            </w:r>
          </w:p>
          <w:p w14:paraId="396EC178">
            <w:pPr>
              <w:pStyle w:val="41"/>
              <w:keepNext w:val="0"/>
              <w:keepLines w:val="0"/>
              <w:pageBreakBefore w:val="0"/>
              <w:widowControl w:val="0"/>
              <w:suppressLineNumbers w:val="0"/>
              <w:shd w:val="clear"/>
              <w:tabs>
                <w:tab w:val="left" w:pos="1845"/>
              </w:tabs>
              <w:kinsoku/>
              <w:wordWrap w:val="0"/>
              <w:overflowPunct/>
              <w:topLinePunct/>
              <w:autoSpaceDE/>
              <w:autoSpaceDN/>
              <w:bidi w:val="0"/>
              <w:adjustRightInd/>
              <w:snapToGrid/>
              <w:spacing w:before="0" w:beforeAutospacing="0" w:after="0" w:afterAutospacing="0" w:line="360" w:lineRule="auto"/>
              <w:ind w:left="0" w:right="0" w:firstLine="524" w:firstLineChars="200"/>
              <w:jc w:val="both"/>
              <w:textAlignment w:val="auto"/>
              <w:rPr>
                <w:rFonts w:hint="default" w:ascii="Times New Roman" w:hAnsi="Times New Roman" w:eastAsia="Arial" w:cs="Times New Roman"/>
                <w:b w:val="0"/>
                <w:bCs/>
                <w:snapToGrid w:val="0"/>
                <w:color w:val="auto"/>
                <w:spacing w:val="11"/>
                <w:kern w:val="0"/>
                <w:sz w:val="24"/>
                <w:szCs w:val="24"/>
                <w:highlight w:val="none"/>
                <w:lang w:val="en-US" w:eastAsia="zh-CN" w:bidi="ar-SA"/>
              </w:rPr>
            </w:pPr>
            <w:r>
              <w:rPr>
                <w:rFonts w:hint="default" w:ascii="Times New Roman" w:hAnsi="Times New Roman" w:eastAsia="Arial" w:cs="Times New Roman"/>
                <w:b w:val="0"/>
                <w:bCs/>
                <w:snapToGrid w:val="0"/>
                <w:color w:val="auto"/>
                <w:spacing w:val="11"/>
                <w:kern w:val="0"/>
                <w:sz w:val="24"/>
                <w:szCs w:val="24"/>
                <w:highlight w:val="none"/>
                <w:lang w:val="en-US" w:eastAsia="zh-CN" w:bidi="ar-SA"/>
              </w:rPr>
              <w:t>水污染物总量指标：项目</w:t>
            </w:r>
            <w:r>
              <w:rPr>
                <w:rFonts w:hint="eastAsia" w:ascii="Times New Roman" w:hAnsi="Times New Roman" w:eastAsia="Arial" w:cs="Times New Roman"/>
                <w:b w:val="0"/>
                <w:bCs/>
                <w:snapToGrid w:val="0"/>
                <w:color w:val="auto"/>
                <w:spacing w:val="11"/>
                <w:kern w:val="0"/>
                <w:sz w:val="24"/>
                <w:szCs w:val="24"/>
                <w:highlight w:val="none"/>
                <w:lang w:val="en-US" w:eastAsia="zh-CN" w:bidi="ar-SA"/>
              </w:rPr>
              <w:t>生活污水排入市政污水管网，最终进入玛纳斯工业园区塔河产业园污水处理厂处理</w:t>
            </w:r>
            <w:r>
              <w:rPr>
                <w:rFonts w:hint="default" w:ascii="Times New Roman" w:hAnsi="Times New Roman" w:eastAsia="Arial" w:cs="Times New Roman"/>
                <w:b w:val="0"/>
                <w:bCs/>
                <w:snapToGrid w:val="0"/>
                <w:color w:val="auto"/>
                <w:spacing w:val="11"/>
                <w:kern w:val="0"/>
                <w:sz w:val="24"/>
                <w:szCs w:val="24"/>
                <w:highlight w:val="none"/>
                <w:lang w:val="en-US" w:eastAsia="zh-CN" w:bidi="ar-SA"/>
              </w:rPr>
              <w:t>。不设置总量控制指标</w:t>
            </w:r>
          </w:p>
          <w:p w14:paraId="4BE9591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0" w:beforeAutospacing="0" w:after="0" w:afterAutospacing="0"/>
              <w:ind w:left="0" w:right="0" w:firstLine="524" w:firstLineChars="200"/>
              <w:jc w:val="both"/>
              <w:textAlignment w:val="auto"/>
              <w:rPr>
                <w:rFonts w:hint="default" w:ascii="Times New Roman" w:hAnsi="Times New Roman" w:eastAsia="Arial" w:cs="Times New Roman"/>
                <w:snapToGrid w:val="0"/>
                <w:color w:val="auto"/>
                <w:spacing w:val="11"/>
                <w:kern w:val="0"/>
                <w:sz w:val="24"/>
                <w:szCs w:val="24"/>
                <w:highlight w:val="none"/>
                <w:lang w:val="en-US" w:eastAsia="zh-CN" w:bidi="ar-SA"/>
              </w:rPr>
            </w:pPr>
          </w:p>
          <w:p w14:paraId="51DFF74B">
            <w:pPr>
              <w:keepNext w:val="0"/>
              <w:keepLines w:val="0"/>
              <w:pageBreakBefore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524" w:firstLineChars="200"/>
              <w:jc w:val="center"/>
              <w:rPr>
                <w:rFonts w:hint="default" w:ascii="Times New Roman" w:hAnsi="Times New Roman" w:eastAsia="Arial" w:cs="Times New Roman"/>
                <w:snapToGrid w:val="0"/>
                <w:color w:val="auto"/>
                <w:spacing w:val="11"/>
                <w:kern w:val="0"/>
                <w:sz w:val="24"/>
                <w:szCs w:val="24"/>
                <w:highlight w:val="none"/>
                <w:lang w:val="en-US" w:eastAsia="zh-CN" w:bidi="ar-SA"/>
              </w:rPr>
            </w:pPr>
          </w:p>
        </w:tc>
      </w:tr>
    </w:tbl>
    <w:p w14:paraId="1FE6D1C0">
      <w:pPr>
        <w:pageBreakBefore w:val="0"/>
        <w:kinsoku/>
        <w:wordWrap w:val="0"/>
        <w:overflowPunct/>
        <w:topLinePunct/>
        <w:autoSpaceDE/>
        <w:autoSpaceDN/>
        <w:bidi w:val="0"/>
        <w:rPr>
          <w:rFonts w:hint="default" w:ascii="Times New Roman" w:hAnsi="Times New Roman" w:eastAsia="黑体" w:cs="Times New Roman"/>
          <w:color w:val="auto"/>
          <w:spacing w:val="-3"/>
          <w:sz w:val="30"/>
          <w:szCs w:val="30"/>
          <w:highlight w:val="none"/>
        </w:rPr>
      </w:pPr>
      <w:r>
        <w:rPr>
          <w:rFonts w:hint="default" w:ascii="Times New Roman" w:hAnsi="Times New Roman" w:eastAsia="黑体" w:cs="Times New Roman"/>
          <w:color w:val="auto"/>
          <w:spacing w:val="-3"/>
          <w:sz w:val="30"/>
          <w:szCs w:val="30"/>
          <w:highlight w:val="none"/>
        </w:rPr>
        <w:br w:type="page"/>
      </w:r>
    </w:p>
    <w:p w14:paraId="19F9B551">
      <w:pPr>
        <w:pageBreakBefore w:val="0"/>
        <w:kinsoku/>
        <w:wordWrap w:val="0"/>
        <w:overflowPunct/>
        <w:topLinePunct/>
        <w:autoSpaceDE/>
        <w:autoSpaceDN/>
        <w:bidi w:val="0"/>
        <w:spacing w:before="98" w:line="222" w:lineRule="auto"/>
        <w:jc w:val="center"/>
        <w:outlineLvl w:val="1"/>
        <w:rPr>
          <w:rFonts w:hint="default" w:ascii="Times New Roman" w:hAnsi="Times New Roman" w:eastAsia="黑体" w:cs="Times New Roman"/>
          <w:color w:val="auto"/>
          <w:spacing w:val="-1"/>
          <w:sz w:val="30"/>
          <w:szCs w:val="30"/>
          <w:highlight w:val="none"/>
        </w:rPr>
      </w:pPr>
      <w:r>
        <w:rPr>
          <w:rFonts w:hint="default" w:ascii="Times New Roman" w:hAnsi="Times New Roman" w:eastAsia="黑体" w:cs="Times New Roman"/>
          <w:color w:val="auto"/>
          <w:spacing w:val="-1"/>
          <w:sz w:val="30"/>
          <w:szCs w:val="30"/>
          <w:highlight w:val="none"/>
        </w:rPr>
        <w:t>四、主要环境影响和保护措施</w:t>
      </w:r>
    </w:p>
    <w:tbl>
      <w:tblPr>
        <w:tblStyle w:val="24"/>
        <w:tblW w:w="89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1"/>
        <w:gridCol w:w="8231"/>
      </w:tblGrid>
      <w:tr w14:paraId="30E0F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9" w:hRule="atLeast"/>
        </w:trPr>
        <w:tc>
          <w:tcPr>
            <w:tcW w:w="472" w:type="dxa"/>
            <w:tcBorders>
              <w:right w:val="single" w:color="000000" w:sz="2" w:space="0"/>
            </w:tcBorders>
            <w:vAlign w:val="center"/>
          </w:tcPr>
          <w:p w14:paraId="5C5B3D24">
            <w:pPr>
              <w:pStyle w:val="25"/>
              <w:pageBreakBefore w:val="0"/>
              <w:kinsoku/>
              <w:wordWrap w:val="0"/>
              <w:overflowPunct/>
              <w:topLinePunct/>
              <w:autoSpaceDE/>
              <w:autoSpaceDN/>
              <w:bidi w:val="0"/>
              <w:spacing w:line="24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5"/>
                <w:sz w:val="24"/>
                <w:szCs w:val="24"/>
                <w:highlight w:val="none"/>
              </w:rPr>
              <w:t>施工</w:t>
            </w:r>
          </w:p>
          <w:p w14:paraId="47373E6F">
            <w:pPr>
              <w:pStyle w:val="25"/>
              <w:pageBreakBefore w:val="0"/>
              <w:kinsoku/>
              <w:wordWrap w:val="0"/>
              <w:overflowPunct/>
              <w:topLinePunct/>
              <w:autoSpaceDE/>
              <w:autoSpaceDN/>
              <w:bidi w:val="0"/>
              <w:spacing w:line="24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3"/>
                <w:sz w:val="24"/>
                <w:szCs w:val="24"/>
                <w:highlight w:val="none"/>
              </w:rPr>
              <w:t>期环</w:t>
            </w:r>
          </w:p>
          <w:p w14:paraId="48DE626B">
            <w:pPr>
              <w:pStyle w:val="25"/>
              <w:pageBreakBefore w:val="0"/>
              <w:kinsoku/>
              <w:wordWrap w:val="0"/>
              <w:overflowPunct/>
              <w:topLinePunct/>
              <w:autoSpaceDE/>
              <w:autoSpaceDN/>
              <w:bidi w:val="0"/>
              <w:spacing w:line="24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4"/>
                <w:sz w:val="24"/>
                <w:szCs w:val="24"/>
                <w:highlight w:val="none"/>
              </w:rPr>
              <w:t>境保</w:t>
            </w:r>
          </w:p>
          <w:p w14:paraId="45A8A54E">
            <w:pPr>
              <w:pStyle w:val="25"/>
              <w:pageBreakBefore w:val="0"/>
              <w:kinsoku/>
              <w:wordWrap w:val="0"/>
              <w:overflowPunct/>
              <w:topLinePunct/>
              <w:autoSpaceDE/>
              <w:autoSpaceDN/>
              <w:bidi w:val="0"/>
              <w:spacing w:line="24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4"/>
                <w:sz w:val="24"/>
                <w:szCs w:val="24"/>
                <w:highlight w:val="none"/>
              </w:rPr>
              <w:t>护措</w:t>
            </w:r>
          </w:p>
          <w:p w14:paraId="546332BF">
            <w:pPr>
              <w:pStyle w:val="25"/>
              <w:pageBreakBefore w:val="0"/>
              <w:kinsoku/>
              <w:wordWrap w:val="0"/>
              <w:overflowPunct/>
              <w:topLinePunct/>
              <w:autoSpaceDE/>
              <w:autoSpaceDN/>
              <w:bidi w:val="0"/>
              <w:spacing w:line="24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
                <w:sz w:val="24"/>
                <w:szCs w:val="24"/>
                <w:highlight w:val="none"/>
              </w:rPr>
              <w:t>施</w:t>
            </w:r>
          </w:p>
        </w:tc>
        <w:tc>
          <w:tcPr>
            <w:tcW w:w="8440" w:type="dxa"/>
            <w:tcBorders>
              <w:left w:val="single" w:color="000000" w:sz="2" w:space="0"/>
            </w:tcBorders>
            <w:vAlign w:val="top"/>
          </w:tcPr>
          <w:p w14:paraId="5C5160A2">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jc w:val="both"/>
              <w:textAlignment w:val="baseline"/>
              <w:rPr>
                <w:rFonts w:hint="default" w:ascii="Times New Roman" w:hAnsi="Times New Roman" w:eastAsia="宋体" w:cs="Times New Roman"/>
                <w:color w:val="auto"/>
                <w:spacing w:val="10"/>
                <w:sz w:val="24"/>
                <w:szCs w:val="24"/>
                <w:highlight w:val="none"/>
              </w:rPr>
            </w:pPr>
            <w:r>
              <w:rPr>
                <w:rFonts w:hint="default" w:ascii="Times New Roman" w:hAnsi="Times New Roman" w:eastAsia="宋体" w:cs="Times New Roman"/>
                <w:color w:val="auto"/>
                <w:spacing w:val="10"/>
                <w:sz w:val="24"/>
                <w:szCs w:val="24"/>
                <w:highlight w:val="none"/>
              </w:rPr>
              <w:t>本项目</w:t>
            </w:r>
            <w:r>
              <w:rPr>
                <w:rFonts w:hint="eastAsia" w:ascii="Times New Roman" w:hAnsi="Times New Roman" w:cs="Times New Roman"/>
                <w:color w:val="auto"/>
                <w:spacing w:val="10"/>
                <w:sz w:val="24"/>
                <w:szCs w:val="24"/>
                <w:highlight w:val="none"/>
                <w:lang w:val="en-US" w:eastAsia="zh-CN"/>
              </w:rPr>
              <w:t>租赁已有厂房，</w:t>
            </w:r>
            <w:r>
              <w:rPr>
                <w:rFonts w:hint="default" w:ascii="Times New Roman" w:hAnsi="Times New Roman" w:eastAsia="宋体" w:cs="Times New Roman"/>
                <w:color w:val="auto"/>
                <w:spacing w:val="10"/>
                <w:sz w:val="24"/>
                <w:szCs w:val="24"/>
                <w:highlight w:val="none"/>
              </w:rPr>
              <w:t>施工期仅为新设备的安装，未新增用地，无土建等其他工程。施工期主要环境影响为安装过程中的噪声及固体废物，该项目施工时间较短，施工单位应严格执行《中华人民共和国噪声污染防治法》和《建筑施工场界环境噪声排放标准》(GB12523-2011)、《建筑施工噪声管理办法》相关要求，做好以下几点:</w:t>
            </w:r>
          </w:p>
          <w:p w14:paraId="08528FF3">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jc w:val="both"/>
              <w:textAlignment w:val="baseline"/>
              <w:rPr>
                <w:rFonts w:hint="eastAsia" w:ascii="Times New Roman" w:hAnsi="Times New Roman" w:eastAsia="宋体" w:cs="Times New Roman"/>
                <w:color w:val="auto"/>
                <w:spacing w:val="10"/>
                <w:sz w:val="24"/>
                <w:szCs w:val="24"/>
                <w:highlight w:val="none"/>
                <w:lang w:eastAsia="zh-CN"/>
              </w:rPr>
            </w:pPr>
            <w:r>
              <w:rPr>
                <w:rFonts w:hint="eastAsia" w:ascii="Times New Roman" w:hAnsi="Times New Roman" w:cs="Times New Roman"/>
                <w:color w:val="auto"/>
                <w:spacing w:val="10"/>
                <w:sz w:val="24"/>
                <w:szCs w:val="24"/>
                <w:highlight w:val="none"/>
                <w:lang w:val="en-US" w:eastAsia="zh-CN"/>
              </w:rPr>
              <w:t>（1</w:t>
            </w:r>
            <w:r>
              <w:rPr>
                <w:rFonts w:hint="eastAsia" w:ascii="Times New Roman" w:hAnsi="Times New Roman"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高噪声源施工机械应尽量远离声环境敏感目标架设，不可避免时，对高噪声源机械临敏感点一侧处设置移动隔声屏</w:t>
            </w:r>
            <w:r>
              <w:rPr>
                <w:rFonts w:hint="eastAsia" w:ascii="Times New Roman" w:hAnsi="Times New Roman" w:cs="Times New Roman"/>
                <w:color w:val="auto"/>
                <w:spacing w:val="10"/>
                <w:sz w:val="24"/>
                <w:szCs w:val="24"/>
                <w:highlight w:val="none"/>
                <w:lang w:eastAsia="zh-CN"/>
              </w:rPr>
              <w:t>；</w:t>
            </w:r>
          </w:p>
          <w:p w14:paraId="68328FB8">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jc w:val="both"/>
              <w:textAlignment w:val="baseline"/>
              <w:rPr>
                <w:rFonts w:hint="default" w:ascii="Times New Roman" w:hAnsi="Times New Roman" w:eastAsia="宋体" w:cs="Times New Roman"/>
                <w:color w:val="auto"/>
                <w:spacing w:val="10"/>
                <w:sz w:val="24"/>
                <w:szCs w:val="24"/>
                <w:highlight w:val="none"/>
              </w:rPr>
            </w:pPr>
            <w:r>
              <w:rPr>
                <w:rFonts w:hint="eastAsia" w:ascii="Times New Roman" w:hAnsi="Times New Roman" w:cs="Times New Roman"/>
                <w:color w:val="auto"/>
                <w:spacing w:val="10"/>
                <w:sz w:val="24"/>
                <w:szCs w:val="24"/>
                <w:highlight w:val="none"/>
                <w:lang w:eastAsia="zh-CN"/>
              </w:rPr>
              <w:t>（</w:t>
            </w:r>
            <w:r>
              <w:rPr>
                <w:rFonts w:hint="eastAsia" w:ascii="Times New Roman" w:hAnsi="Times New Roman" w:cs="Times New Roman"/>
                <w:color w:val="auto"/>
                <w:spacing w:val="10"/>
                <w:sz w:val="24"/>
                <w:szCs w:val="24"/>
                <w:highlight w:val="none"/>
                <w:lang w:val="en-US" w:eastAsia="zh-CN"/>
              </w:rPr>
              <w:t>2</w:t>
            </w:r>
            <w:r>
              <w:rPr>
                <w:rFonts w:hint="eastAsia" w:ascii="Times New Roman" w:hAnsi="Times New Roman"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采用低噪声机械，工程施工所用的施工机械设备事先对其进行常规工作状态下的噪声测量，超过国家标准的机械禁止其入场施工。施工过程中经常对设备进行维护保养，避免由于设备性能差导致噪声增强现象的发生:</w:t>
            </w:r>
          </w:p>
          <w:p w14:paraId="4D5106D6">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jc w:val="both"/>
              <w:textAlignment w:val="baseline"/>
              <w:rPr>
                <w:rFonts w:hint="eastAsia" w:ascii="Times New Roman" w:hAnsi="Times New Roman" w:eastAsia="宋体" w:cs="Times New Roman"/>
                <w:color w:val="auto"/>
                <w:spacing w:val="10"/>
                <w:sz w:val="24"/>
                <w:szCs w:val="24"/>
                <w:highlight w:val="none"/>
                <w:lang w:eastAsia="zh-CN"/>
              </w:rPr>
            </w:pPr>
            <w:r>
              <w:rPr>
                <w:rFonts w:hint="eastAsia" w:ascii="Times New Roman" w:hAnsi="Times New Roman" w:cs="Times New Roman"/>
                <w:color w:val="auto"/>
                <w:spacing w:val="10"/>
                <w:sz w:val="24"/>
                <w:szCs w:val="24"/>
                <w:highlight w:val="none"/>
                <w:lang w:eastAsia="zh-CN"/>
              </w:rPr>
              <w:t>（</w:t>
            </w:r>
            <w:r>
              <w:rPr>
                <w:rFonts w:hint="eastAsia" w:ascii="Times New Roman" w:hAnsi="Times New Roman" w:cs="Times New Roman"/>
                <w:color w:val="auto"/>
                <w:spacing w:val="10"/>
                <w:sz w:val="24"/>
                <w:szCs w:val="24"/>
                <w:highlight w:val="none"/>
                <w:lang w:val="en-US" w:eastAsia="zh-CN"/>
              </w:rPr>
              <w:t>3</w:t>
            </w:r>
            <w:r>
              <w:rPr>
                <w:rFonts w:hint="eastAsia" w:ascii="Times New Roman" w:hAnsi="Times New Roman"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为避免施工期间的各类机械声源对环境的不利影响，要求各施工单位严格按照相关部门规定的作息时间，夜间禁止施工</w:t>
            </w:r>
            <w:r>
              <w:rPr>
                <w:rFonts w:hint="eastAsia" w:ascii="Times New Roman" w:hAnsi="Times New Roman" w:cs="Times New Roman"/>
                <w:color w:val="auto"/>
                <w:spacing w:val="10"/>
                <w:sz w:val="24"/>
                <w:szCs w:val="24"/>
                <w:highlight w:val="none"/>
                <w:lang w:eastAsia="zh-CN"/>
              </w:rPr>
              <w:t>；</w:t>
            </w:r>
          </w:p>
          <w:p w14:paraId="747318A8">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jc w:val="both"/>
              <w:textAlignment w:val="baseline"/>
              <w:rPr>
                <w:rFonts w:hint="default" w:ascii="Times New Roman" w:hAnsi="Times New Roman" w:eastAsia="宋体" w:cs="Times New Roman"/>
                <w:color w:val="auto"/>
                <w:spacing w:val="10"/>
                <w:sz w:val="24"/>
                <w:szCs w:val="24"/>
                <w:highlight w:val="none"/>
              </w:rPr>
            </w:pPr>
            <w:r>
              <w:rPr>
                <w:rFonts w:hint="eastAsia" w:ascii="Times New Roman" w:hAnsi="Times New Roman" w:cs="Times New Roman"/>
                <w:color w:val="auto"/>
                <w:spacing w:val="10"/>
                <w:sz w:val="24"/>
                <w:szCs w:val="24"/>
                <w:highlight w:val="none"/>
                <w:lang w:eastAsia="zh-CN"/>
              </w:rPr>
              <w:t>（</w:t>
            </w:r>
            <w:r>
              <w:rPr>
                <w:rFonts w:hint="eastAsia" w:ascii="Times New Roman" w:hAnsi="Times New Roman" w:cs="Times New Roman"/>
                <w:color w:val="auto"/>
                <w:spacing w:val="10"/>
                <w:sz w:val="24"/>
                <w:szCs w:val="24"/>
                <w:highlight w:val="none"/>
                <w:lang w:val="en-US" w:eastAsia="zh-CN"/>
              </w:rPr>
              <w:t>4</w:t>
            </w:r>
            <w:r>
              <w:rPr>
                <w:rFonts w:hint="eastAsia" w:ascii="Times New Roman" w:hAnsi="Times New Roman"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合理安排施工物料的运输时间，合理规划施工物料运输路线:</w:t>
            </w:r>
          </w:p>
          <w:p w14:paraId="28A3A0AA">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jc w:val="both"/>
              <w:textAlignment w:val="baseline"/>
              <w:rPr>
                <w:rFonts w:hint="default" w:ascii="Times New Roman" w:hAnsi="Times New Roman" w:eastAsia="宋体" w:cs="Times New Roman"/>
                <w:color w:val="auto"/>
                <w:spacing w:val="10"/>
                <w:sz w:val="24"/>
                <w:szCs w:val="24"/>
                <w:highlight w:val="none"/>
              </w:rPr>
            </w:pPr>
            <w:r>
              <w:rPr>
                <w:rFonts w:hint="eastAsia" w:ascii="Times New Roman" w:hAnsi="Times New Roman" w:cs="Times New Roman"/>
                <w:color w:val="auto"/>
                <w:spacing w:val="10"/>
                <w:sz w:val="24"/>
                <w:szCs w:val="24"/>
                <w:highlight w:val="none"/>
                <w:lang w:eastAsia="zh-CN"/>
              </w:rPr>
              <w:t>（</w:t>
            </w:r>
            <w:r>
              <w:rPr>
                <w:rFonts w:hint="eastAsia" w:ascii="Times New Roman" w:hAnsi="Times New Roman" w:cs="Times New Roman"/>
                <w:color w:val="auto"/>
                <w:spacing w:val="10"/>
                <w:sz w:val="24"/>
                <w:szCs w:val="24"/>
                <w:highlight w:val="none"/>
                <w:lang w:val="en-US" w:eastAsia="zh-CN"/>
              </w:rPr>
              <w:t>5</w:t>
            </w:r>
            <w:r>
              <w:rPr>
                <w:rFonts w:hint="eastAsia" w:ascii="Times New Roman" w:hAnsi="Times New Roman"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加强对各路段的施工管理，合理制定施工计划:</w:t>
            </w:r>
          </w:p>
          <w:p w14:paraId="7C2D7B21">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jc w:val="both"/>
              <w:textAlignment w:val="baseline"/>
              <w:rPr>
                <w:rFonts w:hint="default" w:ascii="Times New Roman" w:hAnsi="Times New Roman" w:eastAsia="宋体" w:cs="Times New Roman"/>
                <w:color w:val="auto"/>
                <w:spacing w:val="10"/>
                <w:sz w:val="24"/>
                <w:szCs w:val="24"/>
                <w:highlight w:val="none"/>
              </w:rPr>
            </w:pPr>
            <w:r>
              <w:rPr>
                <w:rFonts w:hint="default" w:ascii="Times New Roman" w:hAnsi="Times New Roman" w:eastAsia="宋体" w:cs="Times New Roman"/>
                <w:color w:val="auto"/>
                <w:spacing w:val="10"/>
                <w:sz w:val="24"/>
                <w:szCs w:val="24"/>
                <w:highlight w:val="none"/>
              </w:rPr>
              <w:t>采取上述措施后，施工期噪声对声环境敏感目标及区域声环境质量影响不</w:t>
            </w:r>
          </w:p>
          <w:p w14:paraId="0DF31B29">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eastAsia="宋体" w:cs="Times New Roman"/>
                <w:color w:val="auto"/>
                <w:spacing w:val="9"/>
                <w:sz w:val="24"/>
                <w:szCs w:val="24"/>
                <w:highlight w:val="none"/>
              </w:rPr>
            </w:pPr>
          </w:p>
        </w:tc>
      </w:tr>
      <w:tr w14:paraId="0E285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0" w:hRule="atLeast"/>
        </w:trPr>
        <w:tc>
          <w:tcPr>
            <w:tcW w:w="472" w:type="dxa"/>
            <w:tcBorders>
              <w:top w:val="single" w:color="auto" w:sz="4" w:space="0"/>
              <w:bottom w:val="single" w:color="auto" w:sz="4" w:space="0"/>
              <w:right w:val="single" w:color="000000" w:sz="2" w:space="0"/>
            </w:tcBorders>
            <w:shd w:val="clear" w:color="auto" w:fill="auto"/>
            <w:vAlign w:val="center"/>
          </w:tcPr>
          <w:p w14:paraId="02091631">
            <w:pPr>
              <w:pStyle w:val="25"/>
              <w:pageBreakBefore w:val="0"/>
              <w:kinsoku/>
              <w:wordWrap w:val="0"/>
              <w:overflowPunct/>
              <w:topLinePunct/>
              <w:autoSpaceDE/>
              <w:autoSpaceDN/>
              <w:bidi w:val="0"/>
              <w:spacing w:line="252" w:lineRule="auto"/>
              <w:ind w:left="0" w:leftChars="0" w:right="0" w:rightChars="0"/>
              <w:jc w:val="center"/>
              <w:rPr>
                <w:rFonts w:hint="default" w:ascii="Times New Roman" w:hAnsi="Times New Roman" w:eastAsia="宋体" w:cs="Times New Roman"/>
                <w:snapToGrid w:val="0"/>
                <w:color w:val="auto"/>
                <w:kern w:val="0"/>
                <w:sz w:val="24"/>
                <w:szCs w:val="24"/>
                <w:highlight w:val="none"/>
                <w:lang w:val="en-US" w:eastAsia="en-US" w:bidi="ar-SA"/>
              </w:rPr>
            </w:pPr>
            <w:r>
              <w:rPr>
                <w:rFonts w:hint="default" w:ascii="Times New Roman" w:hAnsi="Times New Roman" w:eastAsia="宋体" w:cs="Times New Roman"/>
                <w:color w:val="auto"/>
                <w:spacing w:val="4"/>
                <w:sz w:val="24"/>
                <w:szCs w:val="24"/>
                <w:highlight w:val="none"/>
              </w:rPr>
              <w:t>运营期环境影响和保护措施</w:t>
            </w:r>
          </w:p>
        </w:tc>
        <w:tc>
          <w:tcPr>
            <w:tcW w:w="8440" w:type="dxa"/>
            <w:tcBorders>
              <w:top w:val="single" w:color="auto" w:sz="4" w:space="0"/>
              <w:left w:val="single" w:color="000000" w:sz="2" w:space="0"/>
              <w:bottom w:val="single" w:color="auto" w:sz="4" w:space="0"/>
            </w:tcBorders>
            <w:shd w:val="clear" w:color="auto" w:fill="auto"/>
            <w:vAlign w:val="top"/>
          </w:tcPr>
          <w:p w14:paraId="1F8BB53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2" w:firstLineChars="200"/>
              <w:jc w:val="both"/>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5"/>
                <w:sz w:val="24"/>
                <w:szCs w:val="24"/>
                <w:highlight w:val="none"/>
              </w:rPr>
              <w:t>1、大气环境影响分析及防治措施</w:t>
            </w:r>
          </w:p>
          <w:p w14:paraId="396855A1">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2" w:firstLineChars="200"/>
              <w:jc w:val="both"/>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5"/>
                <w:sz w:val="24"/>
                <w:szCs w:val="24"/>
                <w:highlight w:val="none"/>
              </w:rPr>
              <w:t>1.1废气产生和排放情况</w:t>
            </w:r>
          </w:p>
          <w:p w14:paraId="24592B83">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jc w:val="both"/>
              <w:textAlignment w:val="baseline"/>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pacing w:val="10"/>
                <w:sz w:val="24"/>
                <w:szCs w:val="24"/>
                <w:highlight w:val="none"/>
              </w:rPr>
              <w:t>根据产污节点分析，本</w:t>
            </w:r>
            <w:r>
              <w:rPr>
                <w:rFonts w:hint="default" w:ascii="Times New Roman" w:hAnsi="Times New Roman" w:eastAsia="宋体" w:cs="Times New Roman"/>
                <w:color w:val="auto"/>
                <w:spacing w:val="10"/>
                <w:sz w:val="24"/>
                <w:szCs w:val="24"/>
                <w:highlight w:val="none"/>
                <w:lang w:val="en-US" w:eastAsia="zh-CN"/>
              </w:rPr>
              <w:t>项目</w:t>
            </w:r>
            <w:r>
              <w:rPr>
                <w:rFonts w:hint="default" w:ascii="Times New Roman" w:hAnsi="Times New Roman" w:eastAsia="宋体" w:cs="Times New Roman"/>
                <w:color w:val="auto"/>
                <w:spacing w:val="10"/>
                <w:sz w:val="24"/>
                <w:szCs w:val="24"/>
                <w:highlight w:val="none"/>
              </w:rPr>
              <w:t>运营期废气主要是</w:t>
            </w:r>
            <w:r>
              <w:rPr>
                <w:rFonts w:hint="default" w:ascii="Times New Roman" w:hAnsi="Times New Roman" w:eastAsia="宋体" w:cs="Times New Roman"/>
                <w:color w:val="auto"/>
                <w:spacing w:val="10"/>
                <w:sz w:val="24"/>
                <w:szCs w:val="24"/>
                <w:highlight w:val="none"/>
                <w:lang w:val="en-US" w:eastAsia="zh-CN"/>
              </w:rPr>
              <w:t>机制砂</w:t>
            </w:r>
            <w:r>
              <w:rPr>
                <w:rFonts w:hint="default" w:ascii="Times New Roman" w:hAnsi="Times New Roman" w:eastAsia="宋体" w:cs="Times New Roman"/>
                <w:color w:val="auto"/>
                <w:spacing w:val="10"/>
                <w:sz w:val="24"/>
                <w:szCs w:val="24"/>
                <w:highlight w:val="none"/>
              </w:rPr>
              <w:t>、炉渣</w:t>
            </w:r>
            <w:r>
              <w:rPr>
                <w:rFonts w:hint="default" w:ascii="Times New Roman" w:hAnsi="Times New Roman" w:eastAsia="宋体" w:cs="Times New Roman"/>
                <w:color w:val="auto"/>
                <w:spacing w:val="10"/>
                <w:sz w:val="24"/>
                <w:szCs w:val="24"/>
                <w:highlight w:val="none"/>
                <w:lang w:val="en-US" w:eastAsia="zh-CN"/>
              </w:rPr>
              <w:t>卸料</w:t>
            </w:r>
            <w:r>
              <w:rPr>
                <w:rFonts w:hint="default" w:ascii="Times New Roman" w:hAnsi="Times New Roman" w:eastAsia="宋体" w:cs="Times New Roman"/>
                <w:color w:val="auto"/>
                <w:spacing w:val="10"/>
                <w:sz w:val="24"/>
                <w:szCs w:val="24"/>
                <w:highlight w:val="none"/>
              </w:rPr>
              <w:t>粉尘、</w:t>
            </w:r>
            <w:r>
              <w:rPr>
                <w:rFonts w:hint="default" w:ascii="Times New Roman" w:hAnsi="Times New Roman" w:eastAsia="宋体" w:cs="Times New Roman"/>
                <w:color w:val="auto"/>
                <w:spacing w:val="10"/>
                <w:sz w:val="24"/>
                <w:szCs w:val="24"/>
                <w:highlight w:val="none"/>
                <w:lang w:val="en-US" w:eastAsia="zh-CN"/>
              </w:rPr>
              <w:t>机制砂</w:t>
            </w:r>
            <w:r>
              <w:rPr>
                <w:rFonts w:hint="default" w:ascii="Times New Roman" w:hAnsi="Times New Roman" w:eastAsia="宋体" w:cs="Times New Roman"/>
                <w:color w:val="auto"/>
                <w:spacing w:val="10"/>
                <w:sz w:val="24"/>
                <w:szCs w:val="24"/>
                <w:highlight w:val="none"/>
              </w:rPr>
              <w:t>、炉渣、元明粉上料混合过程中产生的粉尘</w:t>
            </w:r>
            <w:r>
              <w:rPr>
                <w:rFonts w:hint="default" w:ascii="Times New Roman" w:hAnsi="Times New Roman" w:eastAsia="宋体"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color w:val="auto"/>
                <w:spacing w:val="10"/>
                <w:sz w:val="24"/>
                <w:szCs w:val="24"/>
                <w:highlight w:val="none"/>
                <w:lang w:val="en-US" w:eastAsia="zh-CN"/>
              </w:rPr>
              <w:t>喷洒时产生的</w:t>
            </w:r>
            <w:r>
              <w:rPr>
                <w:rFonts w:hint="default" w:ascii="Times New Roman" w:hAnsi="Times New Roman" w:eastAsia="宋体" w:cs="Times New Roman"/>
                <w:b w:val="0"/>
                <w:bCs w:val="0"/>
                <w:color w:val="auto"/>
                <w:sz w:val="24"/>
                <w:szCs w:val="24"/>
                <w:highlight w:val="none"/>
                <w:vertAlign w:val="baseline"/>
                <w:lang w:val="en-US" w:eastAsia="zh-CN"/>
              </w:rPr>
              <w:t>NH</w:t>
            </w:r>
            <w:r>
              <w:rPr>
                <w:rFonts w:hint="default" w:ascii="Times New Roman" w:hAnsi="Times New Roman" w:eastAsia="宋体" w:cs="Times New Roman"/>
                <w:b w:val="0"/>
                <w:bCs w:val="0"/>
                <w:color w:val="auto"/>
                <w:sz w:val="24"/>
                <w:szCs w:val="24"/>
                <w:highlight w:val="none"/>
                <w:vertAlign w:val="subscript"/>
                <w:lang w:val="en-US" w:eastAsia="zh-CN"/>
              </w:rPr>
              <w:t>3</w:t>
            </w:r>
            <w:r>
              <w:rPr>
                <w:rFonts w:hint="default" w:ascii="Times New Roman" w:hAnsi="Times New Roman" w:eastAsia="宋体" w:cs="Times New Roman"/>
                <w:b w:val="0"/>
                <w:bCs w:val="0"/>
                <w:color w:val="auto"/>
                <w:sz w:val="24"/>
                <w:szCs w:val="24"/>
                <w:highlight w:val="none"/>
                <w:vertAlign w:val="baseline"/>
                <w:lang w:val="en-US" w:eastAsia="zh-CN"/>
              </w:rPr>
              <w:t>。</w:t>
            </w:r>
          </w:p>
          <w:p w14:paraId="5E19AEC3">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（1）</w:t>
            </w:r>
            <w:r>
              <w:rPr>
                <w:rFonts w:hint="default" w:ascii="Times New Roman" w:hAnsi="Times New Roman" w:eastAsia="宋体" w:cs="Times New Roman"/>
                <w:color w:val="auto"/>
                <w:spacing w:val="10"/>
                <w:sz w:val="24"/>
                <w:szCs w:val="24"/>
                <w:highlight w:val="none"/>
                <w:lang w:val="en-US" w:eastAsia="zh-CN"/>
              </w:rPr>
              <w:t>卸料</w:t>
            </w:r>
            <w:r>
              <w:rPr>
                <w:rFonts w:hint="default" w:ascii="Times New Roman" w:hAnsi="Times New Roman" w:eastAsia="宋体" w:cs="Times New Roman"/>
                <w:snapToGrid w:val="0"/>
                <w:color w:val="auto"/>
                <w:spacing w:val="9"/>
                <w:kern w:val="0"/>
                <w:sz w:val="24"/>
                <w:szCs w:val="24"/>
                <w:highlight w:val="none"/>
                <w:lang w:val="en-US" w:eastAsia="zh-CN" w:bidi="ar-SA"/>
              </w:rPr>
              <w:t>粉尘</w:t>
            </w:r>
          </w:p>
          <w:p w14:paraId="67C6D6F5">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依据《排放源统计调查产排污核算方法和系数手册》（生态环境部公告2021年第24号）附表2《固体物料堆存颗粒物产排污核算系数手册》中的公式进行堆场粉尘产生量和排放量计算。</w:t>
            </w:r>
          </w:p>
          <w:p w14:paraId="7D31455B">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1）堆场粉尘产生量</w:t>
            </w:r>
          </w:p>
          <w:p w14:paraId="1605A4B4">
            <w:pPr>
              <w:keepNext w:val="0"/>
              <w:keepLines w:val="0"/>
              <w:pageBreakBefore w:val="0"/>
              <w:widowControl/>
              <w:tabs>
                <w:tab w:val="center" w:pos="4194"/>
              </w:tabs>
              <w:kinsoku/>
              <w:wordWrap w:val="0"/>
              <w:overflowPunct/>
              <w:topLinePunct/>
              <w:autoSpaceDE/>
              <w:autoSpaceDN/>
              <w:bidi w:val="0"/>
              <w:adjustRightInd w:val="0"/>
              <w:snapToGrid w:val="0"/>
              <w:spacing w:line="360" w:lineRule="auto"/>
              <w:ind w:left="0" w:right="0" w:firstLine="516" w:firstLineChars="200"/>
              <w:contextualSpacing/>
              <w:jc w:val="center"/>
              <w:textAlignment w:val="baseline"/>
              <w:rPr>
                <w:rFonts w:hint="default" w:ascii="Times New Roman" w:hAnsi="Times New Roman" w:eastAsia="宋体" w:cs="Times New Roman"/>
                <w:snapToGrid w:val="0"/>
                <w:color w:val="auto"/>
                <w:spacing w:val="9"/>
                <w:kern w:val="0"/>
                <w:sz w:val="24"/>
                <w:szCs w:val="24"/>
                <w:highlight w:val="none"/>
                <w:lang w:val="en-US" w:eastAsia="en-US" w:bidi="ar-SA"/>
              </w:rPr>
            </w:pPr>
            <w:r>
              <w:rPr>
                <w:rFonts w:hint="default" w:ascii="Times New Roman" w:hAnsi="Times New Roman" w:eastAsia="宋体" w:cs="Times New Roman"/>
                <w:snapToGrid w:val="0"/>
                <w:color w:val="auto"/>
                <w:spacing w:val="9"/>
                <w:kern w:val="0"/>
                <w:sz w:val="24"/>
                <w:szCs w:val="24"/>
                <w:highlight w:val="none"/>
                <w:lang w:val="en-US" w:eastAsia="en-US" w:bidi="ar-SA"/>
              </w:rPr>
              <w:fldChar w:fldCharType="begin"/>
            </w:r>
            <w:r>
              <w:rPr>
                <w:rFonts w:hint="default" w:ascii="Times New Roman" w:hAnsi="Times New Roman" w:eastAsia="宋体" w:cs="Times New Roman"/>
                <w:snapToGrid w:val="0"/>
                <w:color w:val="auto"/>
                <w:spacing w:val="9"/>
                <w:kern w:val="0"/>
                <w:sz w:val="24"/>
                <w:szCs w:val="24"/>
                <w:highlight w:val="none"/>
                <w:lang w:val="en-US" w:eastAsia="en-US" w:bidi="ar-SA"/>
              </w:rPr>
              <w:instrText xml:space="preserve">INCLUDEPICTURE \d "D:\\QQ\\1298748425\\Image\\C2C\\1W91(]GR(H4~WVFDD%}T]ES.png" \* MERGEFORMATINET </w:instrText>
            </w:r>
            <w:r>
              <w:rPr>
                <w:rFonts w:hint="default" w:ascii="Times New Roman" w:hAnsi="Times New Roman" w:eastAsia="宋体" w:cs="Times New Roman"/>
                <w:snapToGrid w:val="0"/>
                <w:color w:val="auto"/>
                <w:spacing w:val="9"/>
                <w:kern w:val="0"/>
                <w:sz w:val="24"/>
                <w:szCs w:val="24"/>
                <w:highlight w:val="none"/>
                <w:lang w:val="en-US" w:eastAsia="en-US" w:bidi="ar-SA"/>
              </w:rPr>
              <w:fldChar w:fldCharType="separate"/>
            </w:r>
            <w:r>
              <w:rPr>
                <w:rFonts w:hint="default" w:ascii="Times New Roman" w:hAnsi="Times New Roman" w:eastAsia="宋体" w:cs="Times New Roman"/>
                <w:snapToGrid w:val="0"/>
                <w:color w:val="auto"/>
                <w:spacing w:val="9"/>
                <w:kern w:val="0"/>
                <w:sz w:val="24"/>
                <w:szCs w:val="24"/>
                <w:highlight w:val="none"/>
                <w:lang w:val="en-US" w:eastAsia="en-US" w:bidi="ar-SA"/>
              </w:rPr>
              <w:drawing>
                <wp:inline distT="0" distB="0" distL="114300" distR="114300">
                  <wp:extent cx="3617595" cy="384175"/>
                  <wp:effectExtent l="0" t="0" r="1905" b="15875"/>
                  <wp:docPr id="1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IMG_256"/>
                          <pic:cNvPicPr>
                            <a:picLocks noChangeAspect="1"/>
                          </pic:cNvPicPr>
                        </pic:nvPicPr>
                        <pic:blipFill>
                          <a:blip r:embed="rId27"/>
                          <a:stretch>
                            <a:fillRect/>
                          </a:stretch>
                        </pic:blipFill>
                        <pic:spPr>
                          <a:xfrm>
                            <a:off x="0" y="0"/>
                            <a:ext cx="3617595" cy="384175"/>
                          </a:xfrm>
                          <a:prstGeom prst="rect">
                            <a:avLst/>
                          </a:prstGeom>
                          <a:noFill/>
                          <a:ln>
                            <a:noFill/>
                          </a:ln>
                        </pic:spPr>
                      </pic:pic>
                    </a:graphicData>
                  </a:graphic>
                </wp:inline>
              </w:drawing>
            </w:r>
            <w:r>
              <w:rPr>
                <w:rFonts w:hint="default" w:ascii="Times New Roman" w:hAnsi="Times New Roman" w:eastAsia="宋体" w:cs="Times New Roman"/>
                <w:snapToGrid w:val="0"/>
                <w:color w:val="auto"/>
                <w:spacing w:val="9"/>
                <w:kern w:val="0"/>
                <w:sz w:val="24"/>
                <w:szCs w:val="24"/>
                <w:highlight w:val="none"/>
                <w:lang w:val="en-US" w:eastAsia="en-US" w:bidi="ar-SA"/>
              </w:rPr>
              <w:fldChar w:fldCharType="end"/>
            </w:r>
          </w:p>
          <w:p w14:paraId="5B686AA5">
            <w:pPr>
              <w:keepNext w:val="0"/>
              <w:keepLines w:val="0"/>
              <w:pageBreakBefore w:val="0"/>
              <w:widowControl/>
              <w:tabs>
                <w:tab w:val="center" w:pos="4194"/>
              </w:tabs>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式中：P指颗粒物产生量（单位：吨）；</w:t>
            </w:r>
          </w:p>
          <w:p w14:paraId="0E0D04E3">
            <w:pPr>
              <w:keepNext w:val="0"/>
              <w:keepLines w:val="0"/>
              <w:pageBreakBefore w:val="0"/>
              <w:widowControl/>
              <w:tabs>
                <w:tab w:val="center" w:pos="4194"/>
              </w:tabs>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ZCy指装卸扬尘产生量（单位：吨）：</w:t>
            </w:r>
          </w:p>
          <w:p w14:paraId="4965DA90">
            <w:pPr>
              <w:keepNext w:val="0"/>
              <w:keepLines w:val="0"/>
              <w:pageBreakBefore w:val="0"/>
              <w:widowControl/>
              <w:tabs>
                <w:tab w:val="left" w:pos="6426"/>
              </w:tabs>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FCy指风蚀扬尘产生量（单位：吨）；</w:t>
            </w:r>
          </w:p>
          <w:p w14:paraId="20D99674">
            <w:pPr>
              <w:keepNext w:val="0"/>
              <w:keepLines w:val="0"/>
              <w:pageBreakBefore w:val="0"/>
              <w:widowControl/>
              <w:tabs>
                <w:tab w:val="left" w:pos="6426"/>
              </w:tabs>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Nc指年物料运载车次（单位：车)，按1820车次计；</w:t>
            </w:r>
          </w:p>
          <w:p w14:paraId="68943C54">
            <w:pPr>
              <w:keepNext w:val="0"/>
              <w:keepLines w:val="0"/>
              <w:pageBreakBefore w:val="0"/>
              <w:widowControl/>
              <w:tabs>
                <w:tab w:val="center" w:pos="4194"/>
              </w:tabs>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D指单车平均运载量(单位：吨/车)，按50t/辆计；</w:t>
            </w:r>
          </w:p>
          <w:p w14:paraId="50C3C1C7">
            <w:pPr>
              <w:keepNext w:val="0"/>
              <w:keepLines w:val="0"/>
              <w:pageBreakBefore w:val="0"/>
              <w:widowControl/>
              <w:tabs>
                <w:tab w:val="left" w:pos="6426"/>
              </w:tabs>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(a/b)指装卸扬尘概化系数(单位：千克/吨)，a指各省风速概化系数，b指物料含水率概化系数。根据附录1，b取0.0005，本项目原料堆场位于密闭厂房内，a取0。</w:t>
            </w:r>
          </w:p>
          <w:p w14:paraId="38430CA3">
            <w:pPr>
              <w:keepNext w:val="0"/>
              <w:keepLines w:val="0"/>
              <w:pageBreakBefore w:val="0"/>
              <w:widowControl/>
              <w:tabs>
                <w:tab w:val="left" w:pos="6426"/>
              </w:tabs>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Ef指堆场风蚀扬尘概化系数，(单位：千克/平方米)，原料堆存在密闭车间，则风蚀扬尘概化系数为46.1652；</w:t>
            </w:r>
          </w:p>
          <w:p w14:paraId="115CA676">
            <w:pPr>
              <w:keepNext w:val="0"/>
              <w:keepLines w:val="0"/>
              <w:pageBreakBefore w:val="0"/>
              <w:widowControl/>
              <w:tabs>
                <w:tab w:val="left" w:pos="6426"/>
              </w:tabs>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S指堆场占地面积(单位：平方米)，产品及原料堆场面积为400m</w:t>
            </w:r>
            <w:r>
              <w:rPr>
                <w:rFonts w:hint="default" w:ascii="Times New Roman" w:hAnsi="Times New Roman" w:eastAsia="宋体" w:cs="Times New Roman"/>
                <w:snapToGrid w:val="0"/>
                <w:color w:val="auto"/>
                <w:spacing w:val="9"/>
                <w:kern w:val="0"/>
                <w:sz w:val="24"/>
                <w:szCs w:val="24"/>
                <w:highlight w:val="none"/>
                <w:vertAlign w:val="superscript"/>
                <w:lang w:val="en-US" w:eastAsia="zh-CN" w:bidi="ar-SA"/>
              </w:rPr>
              <w:t>2</w:t>
            </w:r>
            <w:r>
              <w:rPr>
                <w:rFonts w:hint="default" w:ascii="Times New Roman" w:hAnsi="Times New Roman" w:eastAsia="宋体" w:cs="Times New Roman"/>
                <w:snapToGrid w:val="0"/>
                <w:color w:val="auto"/>
                <w:spacing w:val="9"/>
                <w:kern w:val="0"/>
                <w:sz w:val="24"/>
                <w:szCs w:val="24"/>
                <w:highlight w:val="none"/>
                <w:lang w:val="en-US" w:eastAsia="zh-CN" w:bidi="ar-SA"/>
              </w:rPr>
              <w:t>。</w:t>
            </w:r>
          </w:p>
          <w:p w14:paraId="0BAE4251">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经计算堆场扬尘产生量为36.93t/a(21.98kg/h)。</w:t>
            </w:r>
          </w:p>
          <w:p w14:paraId="24C72B45">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2）堆场粉尘排放量</w:t>
            </w:r>
          </w:p>
          <w:p w14:paraId="55AF2461">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center"/>
              <w:textAlignment w:val="baseline"/>
              <w:rPr>
                <w:rFonts w:hint="default" w:ascii="Times New Roman" w:hAnsi="Times New Roman" w:eastAsia="宋体" w:cs="Times New Roman"/>
                <w:snapToGrid w:val="0"/>
                <w:color w:val="auto"/>
                <w:spacing w:val="9"/>
                <w:kern w:val="0"/>
                <w:sz w:val="24"/>
                <w:szCs w:val="24"/>
                <w:highlight w:val="none"/>
                <w:lang w:val="en-US" w:eastAsia="en-US" w:bidi="ar-SA"/>
              </w:rPr>
            </w:pPr>
            <w:r>
              <w:rPr>
                <w:rFonts w:hint="default" w:ascii="Times New Roman" w:hAnsi="Times New Roman" w:eastAsia="宋体" w:cs="Times New Roman"/>
                <w:snapToGrid w:val="0"/>
                <w:color w:val="auto"/>
                <w:spacing w:val="9"/>
                <w:kern w:val="0"/>
                <w:sz w:val="24"/>
                <w:szCs w:val="24"/>
                <w:highlight w:val="none"/>
                <w:lang w:val="en-US" w:eastAsia="en-US" w:bidi="ar-SA"/>
              </w:rPr>
              <w:fldChar w:fldCharType="begin"/>
            </w:r>
            <w:r>
              <w:rPr>
                <w:rFonts w:hint="default" w:ascii="Times New Roman" w:hAnsi="Times New Roman" w:eastAsia="宋体" w:cs="Times New Roman"/>
                <w:snapToGrid w:val="0"/>
                <w:color w:val="auto"/>
                <w:spacing w:val="9"/>
                <w:kern w:val="0"/>
                <w:sz w:val="24"/>
                <w:szCs w:val="24"/>
                <w:highlight w:val="none"/>
                <w:lang w:val="en-US" w:eastAsia="en-US" w:bidi="ar-SA"/>
              </w:rPr>
              <w:instrText xml:space="preserve">INCLUDEPICTURE \d "D:\\QQ\\1298748425\\Image\\C2C\\B9)E%~Z7~0BK1TPCI2VMIGI.png" \* MERGEFORMATINET </w:instrText>
            </w:r>
            <w:r>
              <w:rPr>
                <w:rFonts w:hint="default" w:ascii="Times New Roman" w:hAnsi="Times New Roman" w:eastAsia="宋体" w:cs="Times New Roman"/>
                <w:snapToGrid w:val="0"/>
                <w:color w:val="auto"/>
                <w:spacing w:val="9"/>
                <w:kern w:val="0"/>
                <w:sz w:val="24"/>
                <w:szCs w:val="24"/>
                <w:highlight w:val="none"/>
                <w:lang w:val="en-US" w:eastAsia="en-US" w:bidi="ar-SA"/>
              </w:rPr>
              <w:fldChar w:fldCharType="separate"/>
            </w:r>
            <w:r>
              <w:rPr>
                <w:rFonts w:hint="default" w:ascii="Times New Roman" w:hAnsi="Times New Roman" w:eastAsia="宋体" w:cs="Times New Roman"/>
                <w:snapToGrid w:val="0"/>
                <w:color w:val="auto"/>
                <w:spacing w:val="9"/>
                <w:kern w:val="0"/>
                <w:sz w:val="24"/>
                <w:szCs w:val="24"/>
                <w:highlight w:val="none"/>
                <w:lang w:val="en-US" w:eastAsia="en-US" w:bidi="ar-SA"/>
              </w:rPr>
              <w:drawing>
                <wp:inline distT="0" distB="0" distL="114300" distR="114300">
                  <wp:extent cx="2124075" cy="307975"/>
                  <wp:effectExtent l="0" t="0" r="9525" b="15875"/>
                  <wp:docPr id="19"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descr="IMG_256"/>
                          <pic:cNvPicPr>
                            <a:picLocks noChangeAspect="1"/>
                          </pic:cNvPicPr>
                        </pic:nvPicPr>
                        <pic:blipFill>
                          <a:blip r:embed="rId28"/>
                          <a:stretch>
                            <a:fillRect/>
                          </a:stretch>
                        </pic:blipFill>
                        <pic:spPr>
                          <a:xfrm>
                            <a:off x="0" y="0"/>
                            <a:ext cx="2124075" cy="307975"/>
                          </a:xfrm>
                          <a:prstGeom prst="rect">
                            <a:avLst/>
                          </a:prstGeom>
                          <a:noFill/>
                          <a:ln>
                            <a:noFill/>
                          </a:ln>
                        </pic:spPr>
                      </pic:pic>
                    </a:graphicData>
                  </a:graphic>
                </wp:inline>
              </w:drawing>
            </w:r>
            <w:r>
              <w:rPr>
                <w:rFonts w:hint="default" w:ascii="Times New Roman" w:hAnsi="Times New Roman" w:eastAsia="宋体" w:cs="Times New Roman"/>
                <w:snapToGrid w:val="0"/>
                <w:color w:val="auto"/>
                <w:spacing w:val="9"/>
                <w:kern w:val="0"/>
                <w:sz w:val="24"/>
                <w:szCs w:val="24"/>
                <w:highlight w:val="none"/>
                <w:lang w:val="en-US" w:eastAsia="en-US" w:bidi="ar-SA"/>
              </w:rPr>
              <w:fldChar w:fldCharType="end"/>
            </w:r>
          </w:p>
          <w:p w14:paraId="09ADB0EA">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en-US" w:bidi="ar-SA"/>
              </w:rPr>
            </w:pPr>
            <w:r>
              <w:rPr>
                <w:rFonts w:hint="default" w:ascii="Times New Roman" w:hAnsi="Times New Roman" w:eastAsia="宋体" w:cs="Times New Roman"/>
                <w:snapToGrid w:val="0"/>
                <w:color w:val="auto"/>
                <w:spacing w:val="9"/>
                <w:kern w:val="0"/>
                <w:sz w:val="24"/>
                <w:szCs w:val="24"/>
                <w:highlight w:val="none"/>
                <w:lang w:val="en-US" w:eastAsia="en-US" w:bidi="ar-SA"/>
              </w:rPr>
              <w:t>式中</w:t>
            </w:r>
            <w:r>
              <w:rPr>
                <w:rFonts w:hint="default" w:ascii="Times New Roman" w:hAnsi="Times New Roman" w:eastAsia="宋体" w:cs="Times New Roman"/>
                <w:snapToGrid w:val="0"/>
                <w:color w:val="auto"/>
                <w:spacing w:val="9"/>
                <w:kern w:val="0"/>
                <w:sz w:val="24"/>
                <w:szCs w:val="24"/>
                <w:highlight w:val="none"/>
                <w:lang w:val="en-US" w:eastAsia="zh-CN" w:bidi="ar-SA"/>
              </w:rPr>
              <w:t>：</w:t>
            </w:r>
            <w:r>
              <w:rPr>
                <w:rFonts w:hint="default" w:ascii="Times New Roman" w:hAnsi="Times New Roman" w:eastAsia="宋体" w:cs="Times New Roman"/>
                <w:snapToGrid w:val="0"/>
                <w:color w:val="auto"/>
                <w:spacing w:val="9"/>
                <w:kern w:val="0"/>
                <w:sz w:val="24"/>
                <w:szCs w:val="24"/>
                <w:highlight w:val="none"/>
                <w:lang w:val="en-US" w:eastAsia="en-US" w:bidi="ar-SA"/>
              </w:rPr>
              <w:t>P指颗粒物产生量</w:t>
            </w:r>
            <w:r>
              <w:rPr>
                <w:rFonts w:hint="default" w:ascii="Times New Roman" w:hAnsi="Times New Roman" w:eastAsia="宋体" w:cs="Times New Roman"/>
                <w:snapToGrid w:val="0"/>
                <w:color w:val="auto"/>
                <w:spacing w:val="9"/>
                <w:kern w:val="0"/>
                <w:sz w:val="24"/>
                <w:szCs w:val="24"/>
                <w:highlight w:val="none"/>
                <w:lang w:val="en-US" w:eastAsia="zh-CN" w:bidi="ar-SA"/>
              </w:rPr>
              <w:t>（</w:t>
            </w:r>
            <w:r>
              <w:rPr>
                <w:rFonts w:hint="default" w:ascii="Times New Roman" w:hAnsi="Times New Roman" w:eastAsia="宋体" w:cs="Times New Roman"/>
                <w:snapToGrid w:val="0"/>
                <w:color w:val="auto"/>
                <w:spacing w:val="9"/>
                <w:kern w:val="0"/>
                <w:sz w:val="24"/>
                <w:szCs w:val="24"/>
                <w:highlight w:val="none"/>
                <w:lang w:val="en-US" w:eastAsia="en-US" w:bidi="ar-SA"/>
              </w:rPr>
              <w:t>单位</w:t>
            </w:r>
            <w:r>
              <w:rPr>
                <w:rFonts w:hint="default" w:ascii="Times New Roman" w:hAnsi="Times New Roman" w:eastAsia="宋体" w:cs="Times New Roman"/>
                <w:snapToGrid w:val="0"/>
                <w:color w:val="auto"/>
                <w:spacing w:val="9"/>
                <w:kern w:val="0"/>
                <w:sz w:val="24"/>
                <w:szCs w:val="24"/>
                <w:highlight w:val="none"/>
                <w:lang w:val="en-US" w:eastAsia="zh-CN" w:bidi="ar-SA"/>
              </w:rPr>
              <w:t>：</w:t>
            </w:r>
            <w:r>
              <w:rPr>
                <w:rFonts w:hint="default" w:ascii="Times New Roman" w:hAnsi="Times New Roman" w:eastAsia="宋体" w:cs="Times New Roman"/>
                <w:snapToGrid w:val="0"/>
                <w:color w:val="auto"/>
                <w:spacing w:val="9"/>
                <w:kern w:val="0"/>
                <w:sz w:val="24"/>
                <w:szCs w:val="24"/>
                <w:highlight w:val="none"/>
                <w:lang w:val="en-US" w:eastAsia="en-US" w:bidi="ar-SA"/>
              </w:rPr>
              <w:t>吨</w:t>
            </w:r>
            <w:r>
              <w:rPr>
                <w:rFonts w:hint="default" w:ascii="Times New Roman" w:hAnsi="Times New Roman" w:eastAsia="宋体" w:cs="Times New Roman"/>
                <w:snapToGrid w:val="0"/>
                <w:color w:val="auto"/>
                <w:spacing w:val="9"/>
                <w:kern w:val="0"/>
                <w:sz w:val="24"/>
                <w:szCs w:val="24"/>
                <w:highlight w:val="none"/>
                <w:lang w:val="en-US" w:eastAsia="zh-CN" w:bidi="ar-SA"/>
              </w:rPr>
              <w:t>）；</w:t>
            </w:r>
          </w:p>
          <w:p w14:paraId="2574372D">
            <w:pPr>
              <w:keepNext w:val="0"/>
              <w:keepLines w:val="0"/>
              <w:pageBreakBefore w:val="0"/>
              <w:widowControl/>
              <w:tabs>
                <w:tab w:val="center" w:pos="4194"/>
              </w:tabs>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en-US" w:bidi="ar-SA"/>
              </w:rPr>
              <w:t>Uc指颗粒物排放量</w:t>
            </w:r>
            <w:r>
              <w:rPr>
                <w:rFonts w:hint="default" w:ascii="Times New Roman" w:hAnsi="Times New Roman" w:eastAsia="宋体" w:cs="Times New Roman"/>
                <w:snapToGrid w:val="0"/>
                <w:color w:val="auto"/>
                <w:spacing w:val="9"/>
                <w:kern w:val="0"/>
                <w:sz w:val="24"/>
                <w:szCs w:val="24"/>
                <w:highlight w:val="none"/>
                <w:lang w:val="en-US" w:eastAsia="zh-CN" w:bidi="ar-SA"/>
              </w:rPr>
              <w:t>（</w:t>
            </w:r>
            <w:r>
              <w:rPr>
                <w:rFonts w:hint="default" w:ascii="Times New Roman" w:hAnsi="Times New Roman" w:eastAsia="宋体" w:cs="Times New Roman"/>
                <w:snapToGrid w:val="0"/>
                <w:color w:val="auto"/>
                <w:spacing w:val="9"/>
                <w:kern w:val="0"/>
                <w:sz w:val="24"/>
                <w:szCs w:val="24"/>
                <w:highlight w:val="none"/>
                <w:lang w:val="en-US" w:eastAsia="en-US" w:bidi="ar-SA"/>
              </w:rPr>
              <w:t>单位</w:t>
            </w:r>
            <w:r>
              <w:rPr>
                <w:rFonts w:hint="default" w:ascii="Times New Roman" w:hAnsi="Times New Roman" w:eastAsia="宋体" w:cs="Times New Roman"/>
                <w:snapToGrid w:val="0"/>
                <w:color w:val="auto"/>
                <w:spacing w:val="9"/>
                <w:kern w:val="0"/>
                <w:sz w:val="24"/>
                <w:szCs w:val="24"/>
                <w:highlight w:val="none"/>
                <w:lang w:val="en-US" w:eastAsia="zh-CN" w:bidi="ar-SA"/>
              </w:rPr>
              <w:t>：</w:t>
            </w:r>
            <w:r>
              <w:rPr>
                <w:rFonts w:hint="default" w:ascii="Times New Roman" w:hAnsi="Times New Roman" w:eastAsia="宋体" w:cs="Times New Roman"/>
                <w:snapToGrid w:val="0"/>
                <w:color w:val="auto"/>
                <w:spacing w:val="9"/>
                <w:kern w:val="0"/>
                <w:sz w:val="24"/>
                <w:szCs w:val="24"/>
                <w:highlight w:val="none"/>
                <w:lang w:val="en-US" w:eastAsia="en-US" w:bidi="ar-SA"/>
              </w:rPr>
              <w:t>吨</w:t>
            </w:r>
            <w:r>
              <w:rPr>
                <w:rFonts w:hint="default" w:ascii="Times New Roman" w:hAnsi="Times New Roman" w:eastAsia="宋体" w:cs="Times New Roman"/>
                <w:snapToGrid w:val="0"/>
                <w:color w:val="auto"/>
                <w:spacing w:val="9"/>
                <w:kern w:val="0"/>
                <w:sz w:val="24"/>
                <w:szCs w:val="24"/>
                <w:highlight w:val="none"/>
                <w:lang w:val="en-US" w:eastAsia="zh-CN" w:bidi="ar-SA"/>
              </w:rPr>
              <w:t>）：</w:t>
            </w:r>
          </w:p>
          <w:p w14:paraId="1993E646">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en-US" w:bidi="ar-SA"/>
              </w:rPr>
              <w:t>Cm指颗粒物控制措施控制效率</w:t>
            </w:r>
            <w:r>
              <w:rPr>
                <w:rFonts w:hint="default" w:ascii="Times New Roman" w:hAnsi="Times New Roman" w:eastAsia="宋体" w:cs="Times New Roman"/>
                <w:snapToGrid w:val="0"/>
                <w:color w:val="auto"/>
                <w:spacing w:val="9"/>
                <w:kern w:val="0"/>
                <w:sz w:val="24"/>
                <w:szCs w:val="24"/>
                <w:highlight w:val="none"/>
                <w:lang w:val="en-US" w:eastAsia="zh-CN" w:bidi="ar-SA"/>
              </w:rPr>
              <w:t>（</w:t>
            </w:r>
            <w:r>
              <w:rPr>
                <w:rFonts w:hint="default" w:ascii="Times New Roman" w:hAnsi="Times New Roman" w:eastAsia="宋体" w:cs="Times New Roman"/>
                <w:snapToGrid w:val="0"/>
                <w:color w:val="auto"/>
                <w:spacing w:val="9"/>
                <w:kern w:val="0"/>
                <w:sz w:val="24"/>
                <w:szCs w:val="24"/>
                <w:highlight w:val="none"/>
                <w:lang w:val="en-US" w:eastAsia="en-US" w:bidi="ar-SA"/>
              </w:rPr>
              <w:t>单位</w:t>
            </w:r>
            <w:r>
              <w:rPr>
                <w:rFonts w:hint="default" w:ascii="Times New Roman" w:hAnsi="Times New Roman" w:eastAsia="宋体" w:cs="Times New Roman"/>
                <w:snapToGrid w:val="0"/>
                <w:color w:val="auto"/>
                <w:spacing w:val="9"/>
                <w:kern w:val="0"/>
                <w:sz w:val="24"/>
                <w:szCs w:val="24"/>
                <w:highlight w:val="none"/>
                <w:lang w:val="en-US" w:eastAsia="zh-CN" w:bidi="ar-SA"/>
              </w:rPr>
              <w:t>：</w:t>
            </w:r>
            <w:r>
              <w:rPr>
                <w:rFonts w:hint="default" w:ascii="Times New Roman" w:hAnsi="Times New Roman" w:eastAsia="宋体" w:cs="Times New Roman"/>
                <w:snapToGrid w:val="0"/>
                <w:color w:val="auto"/>
                <w:spacing w:val="9"/>
                <w:kern w:val="0"/>
                <w:sz w:val="24"/>
                <w:szCs w:val="24"/>
                <w:highlight w:val="none"/>
                <w:lang w:val="en-US" w:eastAsia="en-US" w:bidi="ar-SA"/>
              </w:rPr>
              <w:t>%</w:t>
            </w:r>
            <w:r>
              <w:rPr>
                <w:rFonts w:hint="default" w:ascii="Times New Roman" w:hAnsi="Times New Roman" w:eastAsia="宋体" w:cs="Times New Roman"/>
                <w:snapToGrid w:val="0"/>
                <w:color w:val="auto"/>
                <w:spacing w:val="9"/>
                <w:kern w:val="0"/>
                <w:sz w:val="24"/>
                <w:szCs w:val="24"/>
                <w:highlight w:val="none"/>
                <w:lang w:val="en-US" w:eastAsia="zh-CN" w:bidi="ar-SA"/>
              </w:rPr>
              <w:t>），本项目原料堆场采用洒水措施，依据</w:t>
            </w:r>
            <w:r>
              <w:rPr>
                <w:rFonts w:hint="default" w:ascii="Times New Roman" w:hAnsi="Times New Roman" w:eastAsia="宋体" w:cs="Times New Roman"/>
                <w:snapToGrid w:val="0"/>
                <w:color w:val="auto"/>
                <w:spacing w:val="9"/>
                <w:kern w:val="0"/>
                <w:sz w:val="24"/>
                <w:szCs w:val="24"/>
                <w:highlight w:val="none"/>
                <w:lang w:val="en-US" w:eastAsia="en-US" w:bidi="ar-SA"/>
              </w:rPr>
              <w:t>附录4</w:t>
            </w:r>
            <w:r>
              <w:rPr>
                <w:rFonts w:hint="default" w:ascii="Times New Roman" w:hAnsi="Times New Roman" w:eastAsia="宋体" w:cs="Times New Roman"/>
                <w:snapToGrid w:val="0"/>
                <w:color w:val="auto"/>
                <w:spacing w:val="9"/>
                <w:kern w:val="0"/>
                <w:sz w:val="24"/>
                <w:szCs w:val="24"/>
                <w:highlight w:val="none"/>
                <w:lang w:val="en-US" w:eastAsia="zh-CN" w:bidi="ar-SA"/>
              </w:rPr>
              <w:t>洒水</w:t>
            </w:r>
            <w:r>
              <w:rPr>
                <w:rFonts w:hint="default" w:ascii="Times New Roman" w:hAnsi="Times New Roman" w:eastAsia="宋体" w:cs="Times New Roman"/>
                <w:snapToGrid w:val="0"/>
                <w:color w:val="auto"/>
                <w:spacing w:val="9"/>
                <w:kern w:val="0"/>
                <w:sz w:val="24"/>
                <w:szCs w:val="24"/>
                <w:highlight w:val="none"/>
                <w:lang w:val="en-US" w:eastAsia="en-US" w:bidi="ar-SA"/>
              </w:rPr>
              <w:t>控制效率</w:t>
            </w:r>
            <w:r>
              <w:rPr>
                <w:rFonts w:hint="default" w:ascii="Times New Roman" w:hAnsi="Times New Roman" w:eastAsia="宋体" w:cs="Times New Roman"/>
                <w:snapToGrid w:val="0"/>
                <w:color w:val="auto"/>
                <w:spacing w:val="9"/>
                <w:kern w:val="0"/>
                <w:sz w:val="24"/>
                <w:szCs w:val="24"/>
                <w:highlight w:val="none"/>
                <w:lang w:val="en-US" w:eastAsia="zh-CN" w:bidi="ar-SA"/>
              </w:rPr>
              <w:t>为74%。</w:t>
            </w:r>
          </w:p>
          <w:p w14:paraId="1C953F6A">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en-US" w:bidi="ar-SA"/>
              </w:rPr>
            </w:pPr>
            <w:r>
              <w:rPr>
                <w:rFonts w:hint="default" w:ascii="Times New Roman" w:hAnsi="Times New Roman" w:eastAsia="宋体" w:cs="Times New Roman"/>
                <w:snapToGrid w:val="0"/>
                <w:color w:val="auto"/>
                <w:spacing w:val="9"/>
                <w:kern w:val="0"/>
                <w:sz w:val="24"/>
                <w:szCs w:val="24"/>
                <w:highlight w:val="none"/>
                <w:lang w:val="en-US" w:eastAsia="en-US" w:bidi="ar-SA"/>
              </w:rPr>
              <w:t>Tm指堆场类型控制效率(单位</w:t>
            </w:r>
            <w:r>
              <w:rPr>
                <w:rFonts w:hint="default" w:ascii="Times New Roman" w:hAnsi="Times New Roman" w:eastAsia="宋体" w:cs="Times New Roman"/>
                <w:snapToGrid w:val="0"/>
                <w:color w:val="auto"/>
                <w:spacing w:val="9"/>
                <w:kern w:val="0"/>
                <w:sz w:val="24"/>
                <w:szCs w:val="24"/>
                <w:highlight w:val="none"/>
                <w:lang w:val="en-US" w:eastAsia="zh-CN" w:bidi="ar-SA"/>
              </w:rPr>
              <w:t>：</w:t>
            </w:r>
            <w:r>
              <w:rPr>
                <w:rFonts w:hint="default" w:ascii="Times New Roman" w:hAnsi="Times New Roman" w:eastAsia="宋体" w:cs="Times New Roman"/>
                <w:snapToGrid w:val="0"/>
                <w:color w:val="auto"/>
                <w:spacing w:val="9"/>
                <w:kern w:val="0"/>
                <w:sz w:val="24"/>
                <w:szCs w:val="24"/>
                <w:highlight w:val="none"/>
                <w:lang w:val="en-US" w:eastAsia="en-US" w:bidi="ar-SA"/>
              </w:rPr>
              <w:t>%)，</w:t>
            </w:r>
            <w:r>
              <w:rPr>
                <w:rFonts w:hint="default" w:ascii="Times New Roman" w:hAnsi="Times New Roman" w:eastAsia="宋体" w:cs="Times New Roman"/>
                <w:snapToGrid w:val="0"/>
                <w:color w:val="auto"/>
                <w:spacing w:val="9"/>
                <w:kern w:val="0"/>
                <w:sz w:val="24"/>
                <w:szCs w:val="24"/>
                <w:highlight w:val="none"/>
                <w:lang w:val="en-US" w:eastAsia="zh-CN" w:bidi="ar-SA"/>
              </w:rPr>
              <w:t>本项目原料堆存在封闭车间内，依据</w:t>
            </w:r>
            <w:r>
              <w:rPr>
                <w:rFonts w:hint="default" w:ascii="Times New Roman" w:hAnsi="Times New Roman" w:eastAsia="宋体" w:cs="Times New Roman"/>
                <w:snapToGrid w:val="0"/>
                <w:color w:val="auto"/>
                <w:spacing w:val="9"/>
                <w:kern w:val="0"/>
                <w:sz w:val="24"/>
                <w:szCs w:val="24"/>
                <w:highlight w:val="none"/>
                <w:lang w:val="en-US" w:eastAsia="en-US" w:bidi="ar-SA"/>
              </w:rPr>
              <w:t>附录5</w:t>
            </w:r>
            <w:r>
              <w:rPr>
                <w:rFonts w:hint="default" w:ascii="Times New Roman" w:hAnsi="Times New Roman" w:eastAsia="宋体" w:cs="Times New Roman"/>
                <w:snapToGrid w:val="0"/>
                <w:color w:val="auto"/>
                <w:spacing w:val="9"/>
                <w:kern w:val="0"/>
                <w:sz w:val="24"/>
                <w:szCs w:val="24"/>
                <w:highlight w:val="none"/>
                <w:lang w:val="en-US" w:eastAsia="zh-CN" w:bidi="ar-SA"/>
              </w:rPr>
              <w:t>全封闭</w:t>
            </w:r>
            <w:r>
              <w:rPr>
                <w:rFonts w:hint="default" w:ascii="Times New Roman" w:hAnsi="Times New Roman" w:eastAsia="宋体" w:cs="Times New Roman"/>
                <w:snapToGrid w:val="0"/>
                <w:color w:val="auto"/>
                <w:spacing w:val="9"/>
                <w:kern w:val="0"/>
                <w:sz w:val="24"/>
                <w:szCs w:val="24"/>
                <w:highlight w:val="none"/>
                <w:lang w:val="en-US" w:eastAsia="en-US" w:bidi="ar-SA"/>
              </w:rPr>
              <w:t>堆场类型控制效率</w:t>
            </w:r>
            <w:r>
              <w:rPr>
                <w:rFonts w:hint="default" w:ascii="Times New Roman" w:hAnsi="Times New Roman" w:eastAsia="宋体" w:cs="Times New Roman"/>
                <w:snapToGrid w:val="0"/>
                <w:color w:val="auto"/>
                <w:spacing w:val="9"/>
                <w:kern w:val="0"/>
                <w:sz w:val="24"/>
                <w:szCs w:val="24"/>
                <w:highlight w:val="none"/>
                <w:lang w:val="en-US" w:eastAsia="zh-CN" w:bidi="ar-SA"/>
              </w:rPr>
              <w:t>为99%</w:t>
            </w:r>
            <w:r>
              <w:rPr>
                <w:rFonts w:hint="default" w:ascii="Times New Roman" w:hAnsi="Times New Roman" w:eastAsia="宋体" w:cs="Times New Roman"/>
                <w:snapToGrid w:val="0"/>
                <w:color w:val="auto"/>
                <w:spacing w:val="9"/>
                <w:kern w:val="0"/>
                <w:sz w:val="24"/>
                <w:szCs w:val="24"/>
                <w:highlight w:val="none"/>
                <w:lang w:val="en-US" w:eastAsia="en-US" w:bidi="ar-SA"/>
              </w:rPr>
              <w:t>。</w:t>
            </w:r>
          </w:p>
          <w:p w14:paraId="1A8ECEF4">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经计算堆场扬尘排放量为0.095t/a(0.055kg/h)。以无组织形式排放。</w:t>
            </w:r>
          </w:p>
          <w:p w14:paraId="545741B5">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（2）上料粉尘</w:t>
            </w:r>
          </w:p>
          <w:p w14:paraId="11D8DE94">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参考《逸散性工业粉尘控制技术》“第十八章、粒料加工厂”表18-1，上料粉尘排放系数取0.0029kg/t原料。本项目原料用量为9.6万t/a，上料粉尘产生量为0.28t/a（0.16kg/h）。</w:t>
            </w:r>
          </w:p>
          <w:p w14:paraId="52255068">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（3）混合</w:t>
            </w:r>
            <w:r>
              <w:rPr>
                <w:rFonts w:hint="default" w:ascii="Times New Roman" w:hAnsi="Times New Roman" w:eastAsia="宋体" w:cs="Times New Roman"/>
                <w:color w:val="auto"/>
                <w:spacing w:val="10"/>
                <w:sz w:val="24"/>
                <w:szCs w:val="24"/>
                <w:highlight w:val="none"/>
              </w:rPr>
              <w:t>搅拌</w:t>
            </w:r>
            <w:r>
              <w:rPr>
                <w:rFonts w:hint="default" w:ascii="Times New Roman" w:hAnsi="Times New Roman" w:eastAsia="宋体" w:cs="Times New Roman"/>
                <w:snapToGrid w:val="0"/>
                <w:color w:val="auto"/>
                <w:spacing w:val="9"/>
                <w:kern w:val="0"/>
                <w:sz w:val="24"/>
                <w:szCs w:val="24"/>
                <w:highlight w:val="none"/>
                <w:lang w:val="en-US" w:eastAsia="zh-CN" w:bidi="ar-SA"/>
              </w:rPr>
              <w:t>废气</w:t>
            </w:r>
          </w:p>
          <w:p w14:paraId="08A44669">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distribute"/>
              <w:textAlignment w:val="baseline"/>
              <w:rPr>
                <w:rFonts w:hint="default" w:ascii="Times New Roman" w:hAnsi="Times New Roman" w:eastAsia="宋体" w:cs="Times New Roman"/>
                <w:color w:val="auto"/>
                <w:spacing w:val="4"/>
                <w:sz w:val="24"/>
                <w:szCs w:val="24"/>
                <w:highlight w:val="none"/>
              </w:rPr>
            </w:pPr>
            <w:r>
              <w:rPr>
                <w:rFonts w:hint="default" w:ascii="Times New Roman" w:hAnsi="Times New Roman" w:eastAsia="宋体" w:cs="Times New Roman"/>
                <w:color w:val="auto"/>
                <w:spacing w:val="9"/>
                <w:sz w:val="24"/>
                <w:szCs w:val="24"/>
                <w:highlight w:val="none"/>
              </w:rPr>
              <w:t>本项目</w:t>
            </w:r>
            <w:r>
              <w:rPr>
                <w:rFonts w:hint="default" w:ascii="Times New Roman" w:hAnsi="Times New Roman" w:eastAsia="宋体" w:cs="Times New Roman"/>
                <w:color w:val="auto"/>
                <w:spacing w:val="10"/>
                <w:sz w:val="24"/>
                <w:szCs w:val="24"/>
                <w:highlight w:val="none"/>
                <w:lang w:eastAsia="zh-CN"/>
              </w:rPr>
              <w:t>机制砂</w:t>
            </w:r>
            <w:r>
              <w:rPr>
                <w:rFonts w:hint="default" w:ascii="Times New Roman" w:hAnsi="Times New Roman" w:eastAsia="宋体" w:cs="Times New Roman"/>
                <w:color w:val="auto"/>
                <w:spacing w:val="10"/>
                <w:sz w:val="24"/>
                <w:szCs w:val="24"/>
                <w:highlight w:val="none"/>
              </w:rPr>
              <w:t>、炉渣、元明粉</w:t>
            </w:r>
            <w:r>
              <w:rPr>
                <w:rFonts w:hint="default" w:ascii="Times New Roman" w:hAnsi="Times New Roman" w:eastAsia="宋体" w:cs="Times New Roman"/>
                <w:color w:val="auto"/>
                <w:spacing w:val="9"/>
                <w:sz w:val="24"/>
                <w:szCs w:val="24"/>
                <w:highlight w:val="none"/>
              </w:rPr>
              <w:t>等物料在</w:t>
            </w:r>
            <w:r>
              <w:rPr>
                <w:rFonts w:hint="default" w:ascii="Times New Roman" w:hAnsi="Times New Roman" w:eastAsia="宋体" w:cs="Times New Roman"/>
                <w:color w:val="auto"/>
                <w:spacing w:val="9"/>
                <w:sz w:val="24"/>
                <w:szCs w:val="24"/>
                <w:highlight w:val="none"/>
                <w:lang w:val="en-US" w:eastAsia="zh-CN"/>
              </w:rPr>
              <w:t>混合</w:t>
            </w:r>
            <w:r>
              <w:rPr>
                <w:rFonts w:hint="default" w:ascii="Times New Roman" w:hAnsi="Times New Roman" w:eastAsia="宋体" w:cs="Times New Roman"/>
                <w:color w:val="auto"/>
                <w:spacing w:val="8"/>
                <w:sz w:val="24"/>
                <w:szCs w:val="24"/>
                <w:highlight w:val="none"/>
              </w:rPr>
              <w:t>过程中会产生</w:t>
            </w:r>
            <w:r>
              <w:rPr>
                <w:rFonts w:hint="default" w:ascii="Times New Roman" w:hAnsi="Times New Roman" w:eastAsia="宋体" w:cs="Times New Roman"/>
                <w:color w:val="auto"/>
                <w:spacing w:val="10"/>
                <w:sz w:val="24"/>
                <w:szCs w:val="24"/>
                <w:highlight w:val="none"/>
              </w:rPr>
              <w:t>混合搅拌</w:t>
            </w:r>
            <w:r>
              <w:rPr>
                <w:rFonts w:hint="default" w:ascii="Times New Roman" w:hAnsi="Times New Roman" w:eastAsia="宋体" w:cs="Times New Roman"/>
                <w:color w:val="auto"/>
                <w:spacing w:val="10"/>
                <w:sz w:val="24"/>
                <w:szCs w:val="24"/>
                <w:highlight w:val="none"/>
                <w:lang w:val="en-US" w:eastAsia="zh-CN"/>
              </w:rPr>
              <w:t>粉尘</w:t>
            </w:r>
            <w:r>
              <w:rPr>
                <w:rFonts w:hint="default" w:ascii="Times New Roman" w:hAnsi="Times New Roman" w:eastAsia="宋体" w:cs="Times New Roman"/>
                <w:color w:val="auto"/>
                <w:spacing w:val="10"/>
                <w:sz w:val="24"/>
                <w:szCs w:val="24"/>
                <w:highlight w:val="none"/>
              </w:rPr>
              <w:t>，</w:t>
            </w:r>
            <w:r>
              <w:rPr>
                <w:rFonts w:hint="default" w:ascii="Times New Roman" w:hAnsi="Times New Roman" w:eastAsia="宋体" w:cs="Times New Roman"/>
                <w:color w:val="auto"/>
                <w:spacing w:val="10"/>
                <w:sz w:val="24"/>
                <w:szCs w:val="24"/>
                <w:highlight w:val="none"/>
                <w:lang w:val="en-US" w:eastAsia="zh-CN"/>
              </w:rPr>
              <w:t>参照</w:t>
            </w:r>
            <w:r>
              <w:rPr>
                <w:rFonts w:hint="default" w:ascii="Times New Roman" w:hAnsi="Times New Roman" w:eastAsia="宋体" w:cs="Times New Roman"/>
                <w:color w:val="auto"/>
                <w:spacing w:val="10"/>
                <w:sz w:val="24"/>
                <w:szCs w:val="24"/>
                <w:highlight w:val="none"/>
              </w:rPr>
              <w:t>《排放源统计调查产排污核算方法和系数</w:t>
            </w:r>
            <w:r>
              <w:rPr>
                <w:rFonts w:hint="default" w:ascii="Times New Roman" w:hAnsi="Times New Roman" w:eastAsia="宋体" w:cs="Times New Roman"/>
                <w:color w:val="auto"/>
                <w:spacing w:val="2"/>
                <w:sz w:val="24"/>
                <w:szCs w:val="24"/>
                <w:highlight w:val="none"/>
              </w:rPr>
              <w:t>手册》（公告2021年第24号）中3021水泥制品制造（含3022砼结构构建件制造、3029</w:t>
            </w:r>
            <w:r>
              <w:rPr>
                <w:rFonts w:hint="default" w:ascii="Times New Roman" w:hAnsi="Times New Roman" w:eastAsia="宋体" w:cs="Times New Roman"/>
                <w:color w:val="auto"/>
                <w:spacing w:val="10"/>
                <w:sz w:val="24"/>
                <w:szCs w:val="24"/>
                <w:highlight w:val="none"/>
              </w:rPr>
              <w:t>其他水泥类似制品制造）行业系数手册，</w:t>
            </w:r>
            <w:r>
              <w:rPr>
                <w:rFonts w:hint="default" w:ascii="Times New Roman" w:hAnsi="Times New Roman" w:eastAsia="宋体" w:cs="Times New Roman"/>
                <w:color w:val="auto"/>
                <w:spacing w:val="10"/>
                <w:sz w:val="24"/>
                <w:szCs w:val="24"/>
                <w:highlight w:val="none"/>
                <w:lang w:val="en-US" w:eastAsia="zh-CN"/>
              </w:rPr>
              <w:t>混凝土</w:t>
            </w:r>
            <w:r>
              <w:rPr>
                <w:rFonts w:hint="default" w:ascii="Times New Roman" w:hAnsi="Times New Roman" w:eastAsia="宋体" w:cs="Times New Roman"/>
                <w:color w:val="auto"/>
                <w:spacing w:val="10"/>
                <w:sz w:val="24"/>
                <w:szCs w:val="24"/>
                <w:highlight w:val="none"/>
              </w:rPr>
              <w:t>制品物料混合搅拌工业废气量产污系</w:t>
            </w:r>
            <w:r>
              <w:rPr>
                <w:rFonts w:hint="default" w:ascii="Times New Roman" w:hAnsi="Times New Roman" w:eastAsia="宋体" w:cs="Times New Roman"/>
                <w:color w:val="auto"/>
                <w:spacing w:val="8"/>
                <w:sz w:val="24"/>
                <w:szCs w:val="24"/>
                <w:highlight w:val="none"/>
              </w:rPr>
              <w:t>数为</w:t>
            </w:r>
            <w:r>
              <w:rPr>
                <w:rFonts w:hint="default" w:ascii="Times New Roman" w:hAnsi="Times New Roman" w:eastAsia="宋体" w:cs="Times New Roman"/>
                <w:color w:val="auto"/>
                <w:spacing w:val="8"/>
                <w:sz w:val="24"/>
                <w:szCs w:val="24"/>
                <w:highlight w:val="none"/>
                <w:lang w:val="en-US" w:eastAsia="zh-CN"/>
              </w:rPr>
              <w:t>25</w:t>
            </w:r>
            <w:r>
              <w:rPr>
                <w:rFonts w:hint="default" w:ascii="Times New Roman" w:hAnsi="Times New Roman" w:eastAsia="宋体" w:cs="Times New Roman"/>
                <w:color w:val="auto"/>
                <w:spacing w:val="8"/>
                <w:sz w:val="24"/>
                <w:szCs w:val="24"/>
                <w:highlight w:val="none"/>
              </w:rPr>
              <w:t>标立方米/吨-产品，颗粒物产污系数为0.</w:t>
            </w:r>
            <w:r>
              <w:rPr>
                <w:rFonts w:hint="default" w:ascii="Times New Roman" w:hAnsi="Times New Roman" w:eastAsia="宋体" w:cs="Times New Roman"/>
                <w:color w:val="auto"/>
                <w:spacing w:val="8"/>
                <w:sz w:val="24"/>
                <w:szCs w:val="24"/>
                <w:highlight w:val="none"/>
                <w:lang w:val="en-US" w:eastAsia="zh-CN"/>
              </w:rPr>
              <w:t>13</w:t>
            </w:r>
            <w:r>
              <w:rPr>
                <w:rFonts w:hint="default" w:ascii="Times New Roman" w:hAnsi="Times New Roman" w:eastAsia="宋体" w:cs="Times New Roman"/>
                <w:color w:val="auto"/>
                <w:sz w:val="24"/>
                <w:szCs w:val="24"/>
                <w:highlight w:val="none"/>
              </w:rPr>
              <w:t>kg</w:t>
            </w:r>
            <w:r>
              <w:rPr>
                <w:rFonts w:hint="default" w:ascii="Times New Roman" w:hAnsi="Times New Roman" w:eastAsia="宋体" w:cs="Times New Roman"/>
                <w:color w:val="auto"/>
                <w:spacing w:val="8"/>
                <w:sz w:val="24"/>
                <w:szCs w:val="24"/>
                <w:highlight w:val="none"/>
              </w:rPr>
              <w:t>/t-产品，本项目年</w:t>
            </w:r>
            <w:r>
              <w:rPr>
                <w:rFonts w:hint="default" w:ascii="Times New Roman" w:hAnsi="Times New Roman" w:eastAsia="宋体" w:cs="Times New Roman"/>
                <w:color w:val="auto"/>
                <w:spacing w:val="7"/>
                <w:sz w:val="24"/>
                <w:szCs w:val="24"/>
                <w:highlight w:val="none"/>
              </w:rPr>
              <w:t>产</w:t>
            </w:r>
            <w:r>
              <w:rPr>
                <w:rFonts w:hint="default" w:ascii="Times New Roman" w:hAnsi="Times New Roman" w:eastAsia="宋体" w:cs="Times New Roman"/>
                <w:b w:val="0"/>
                <w:bCs w:val="0"/>
                <w:color w:val="auto"/>
                <w:sz w:val="24"/>
                <w:szCs w:val="24"/>
                <w:highlight w:val="none"/>
                <w:lang w:val="en-US" w:eastAsia="zh-CN"/>
              </w:rPr>
              <w:t>矿化料</w:t>
            </w:r>
            <w:r>
              <w:rPr>
                <w:rFonts w:hint="default" w:ascii="Times New Roman" w:hAnsi="Times New Roman" w:eastAsia="宋体" w:cs="Times New Roman"/>
                <w:color w:val="auto"/>
                <w:spacing w:val="10"/>
                <w:sz w:val="24"/>
                <w:szCs w:val="24"/>
                <w:highlight w:val="none"/>
                <w:lang w:val="en-US" w:eastAsia="zh-CN"/>
              </w:rPr>
              <w:t>10</w:t>
            </w:r>
            <w:r>
              <w:rPr>
                <w:rFonts w:hint="default" w:ascii="Times New Roman" w:hAnsi="Times New Roman" w:eastAsia="宋体" w:cs="Times New Roman"/>
                <w:color w:val="auto"/>
                <w:spacing w:val="10"/>
                <w:sz w:val="24"/>
                <w:szCs w:val="24"/>
                <w:highlight w:val="none"/>
              </w:rPr>
              <w:t>0000</w:t>
            </w:r>
            <w:r>
              <w:rPr>
                <w:rFonts w:hint="default" w:ascii="Times New Roman" w:hAnsi="Times New Roman" w:eastAsia="宋体" w:cs="Times New Roman"/>
                <w:color w:val="auto"/>
                <w:spacing w:val="8"/>
                <w:sz w:val="24"/>
                <w:szCs w:val="24"/>
                <w:highlight w:val="none"/>
              </w:rPr>
              <w:t>t</w:t>
            </w:r>
            <w:r>
              <w:rPr>
                <w:rFonts w:hint="default" w:ascii="Times New Roman" w:hAnsi="Times New Roman" w:eastAsia="宋体" w:cs="Times New Roman"/>
                <w:color w:val="auto"/>
                <w:spacing w:val="20"/>
                <w:sz w:val="24"/>
                <w:szCs w:val="24"/>
                <w:highlight w:val="none"/>
              </w:rPr>
              <w:t>，</w:t>
            </w:r>
            <w:r>
              <w:rPr>
                <w:rFonts w:hint="default" w:ascii="Times New Roman" w:hAnsi="Times New Roman" w:eastAsia="宋体" w:cs="Times New Roman"/>
                <w:color w:val="auto"/>
                <w:spacing w:val="7"/>
                <w:sz w:val="24"/>
                <w:szCs w:val="24"/>
                <w:highlight w:val="none"/>
              </w:rPr>
              <w:t>则核算出工业废气量为</w:t>
            </w:r>
            <w:r>
              <w:rPr>
                <w:rFonts w:hint="default" w:ascii="Times New Roman" w:hAnsi="Times New Roman" w:eastAsia="宋体" w:cs="Times New Roman"/>
                <w:color w:val="auto"/>
                <w:spacing w:val="7"/>
                <w:sz w:val="24"/>
                <w:szCs w:val="24"/>
                <w:highlight w:val="none"/>
                <w:lang w:val="en-US" w:eastAsia="zh-CN"/>
              </w:rPr>
              <w:t>250</w:t>
            </w:r>
            <w:r>
              <w:rPr>
                <w:rFonts w:hint="default" w:ascii="Times New Roman" w:hAnsi="Times New Roman" w:eastAsia="宋体" w:cs="Times New Roman"/>
                <w:color w:val="auto"/>
                <w:spacing w:val="7"/>
                <w:sz w:val="24"/>
                <w:szCs w:val="24"/>
                <w:highlight w:val="none"/>
              </w:rPr>
              <w:t>万m</w:t>
            </w:r>
            <w:r>
              <w:rPr>
                <w:rFonts w:hint="eastAsia" w:ascii="Times New Roman" w:hAnsi="Times New Roman" w:eastAsia="宋体" w:cs="Times New Roman"/>
                <w:color w:val="auto"/>
                <w:spacing w:val="7"/>
                <w:sz w:val="24"/>
                <w:szCs w:val="24"/>
                <w:highlight w:val="none"/>
                <w:vertAlign w:val="superscript"/>
                <w:lang w:val="en-US" w:eastAsia="zh-CN"/>
              </w:rPr>
              <w:t>3</w:t>
            </w:r>
            <w:r>
              <w:rPr>
                <w:rFonts w:hint="default" w:ascii="Times New Roman" w:hAnsi="Times New Roman" w:eastAsia="宋体" w:cs="Times New Roman"/>
                <w:color w:val="auto"/>
                <w:spacing w:val="7"/>
                <w:sz w:val="24"/>
                <w:szCs w:val="24"/>
                <w:highlight w:val="none"/>
              </w:rPr>
              <w:t>/a，</w:t>
            </w:r>
            <w:r>
              <w:rPr>
                <w:rFonts w:hint="default" w:ascii="Times New Roman" w:hAnsi="Times New Roman" w:eastAsia="宋体" w:cs="Times New Roman"/>
                <w:color w:val="auto"/>
                <w:spacing w:val="10"/>
                <w:sz w:val="24"/>
                <w:szCs w:val="24"/>
                <w:highlight w:val="none"/>
              </w:rPr>
              <w:t>混合</w:t>
            </w:r>
            <w:r>
              <w:rPr>
                <w:rFonts w:hint="default" w:ascii="Times New Roman" w:hAnsi="Times New Roman" w:eastAsia="宋体" w:cs="Times New Roman"/>
                <w:color w:val="auto"/>
                <w:spacing w:val="7"/>
                <w:sz w:val="24"/>
                <w:szCs w:val="24"/>
                <w:highlight w:val="none"/>
              </w:rPr>
              <w:t>搅拌工序在全封闭</w:t>
            </w:r>
            <w:r>
              <w:rPr>
                <w:rFonts w:hint="default" w:ascii="Times New Roman" w:hAnsi="Times New Roman" w:eastAsia="宋体" w:cs="Times New Roman"/>
                <w:color w:val="auto"/>
                <w:spacing w:val="10"/>
                <w:sz w:val="24"/>
                <w:szCs w:val="24"/>
                <w:highlight w:val="none"/>
              </w:rPr>
              <w:t>输送</w:t>
            </w:r>
            <w:r>
              <w:rPr>
                <w:rFonts w:hint="default" w:ascii="Times New Roman" w:hAnsi="Times New Roman" w:eastAsia="宋体" w:cs="Times New Roman"/>
                <w:color w:val="auto"/>
                <w:spacing w:val="10"/>
                <w:sz w:val="24"/>
                <w:szCs w:val="24"/>
                <w:highlight w:val="none"/>
                <w:lang w:val="en-US" w:eastAsia="zh-CN"/>
              </w:rPr>
              <w:t>带</w:t>
            </w:r>
            <w:r>
              <w:rPr>
                <w:rFonts w:hint="default" w:ascii="Times New Roman" w:hAnsi="Times New Roman" w:eastAsia="宋体" w:cs="Times New Roman"/>
                <w:color w:val="auto"/>
                <w:spacing w:val="7"/>
                <w:sz w:val="24"/>
                <w:szCs w:val="24"/>
                <w:highlight w:val="none"/>
              </w:rPr>
              <w:t>中</w:t>
            </w:r>
            <w:r>
              <w:rPr>
                <w:rFonts w:hint="default" w:ascii="Times New Roman" w:hAnsi="Times New Roman" w:eastAsia="宋体" w:cs="Times New Roman"/>
                <w:color w:val="auto"/>
                <w:spacing w:val="6"/>
                <w:sz w:val="24"/>
                <w:szCs w:val="24"/>
                <w:highlight w:val="none"/>
              </w:rPr>
              <w:t>进行，且</w:t>
            </w:r>
            <w:r>
              <w:rPr>
                <w:rFonts w:hint="default" w:ascii="Times New Roman" w:hAnsi="Times New Roman" w:eastAsia="宋体" w:cs="Times New Roman"/>
                <w:color w:val="auto"/>
                <w:spacing w:val="10"/>
                <w:sz w:val="24"/>
                <w:szCs w:val="24"/>
                <w:highlight w:val="none"/>
              </w:rPr>
              <w:t>混合</w:t>
            </w:r>
            <w:r>
              <w:rPr>
                <w:rFonts w:hint="default" w:ascii="Times New Roman" w:hAnsi="Times New Roman" w:eastAsia="宋体" w:cs="Times New Roman"/>
                <w:color w:val="auto"/>
                <w:spacing w:val="9"/>
                <w:sz w:val="24"/>
                <w:szCs w:val="24"/>
                <w:highlight w:val="none"/>
              </w:rPr>
              <w:t>搅拌过程中</w:t>
            </w:r>
            <w:r>
              <w:rPr>
                <w:rFonts w:hint="default" w:ascii="Times New Roman" w:hAnsi="Times New Roman" w:eastAsia="宋体" w:cs="Times New Roman"/>
                <w:color w:val="auto"/>
                <w:spacing w:val="9"/>
                <w:sz w:val="24"/>
                <w:szCs w:val="24"/>
                <w:highlight w:val="none"/>
                <w:lang w:val="en-US" w:eastAsia="zh-CN"/>
              </w:rPr>
              <w:t>喷洒</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color w:val="auto"/>
                <w:spacing w:val="10"/>
                <w:sz w:val="24"/>
                <w:szCs w:val="24"/>
                <w:highlight w:val="none"/>
                <w:lang w:eastAsia="zh-CN"/>
              </w:rPr>
              <w:t>。</w:t>
            </w:r>
            <w:r>
              <w:rPr>
                <w:rFonts w:hint="default" w:ascii="Times New Roman" w:hAnsi="Times New Roman" w:eastAsia="宋体" w:cs="Times New Roman"/>
                <w:color w:val="auto"/>
                <w:spacing w:val="9"/>
                <w:sz w:val="24"/>
                <w:szCs w:val="24"/>
                <w:highlight w:val="none"/>
                <w:lang w:val="en-US" w:eastAsia="zh-CN"/>
              </w:rPr>
              <w:t>喷洒</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snapToGrid w:val="0"/>
                <w:color w:val="auto"/>
                <w:spacing w:val="9"/>
                <w:kern w:val="0"/>
                <w:sz w:val="24"/>
                <w:szCs w:val="24"/>
                <w:highlight w:val="none"/>
                <w:lang w:val="en-US" w:eastAsia="en-US" w:bidi="ar-SA"/>
              </w:rPr>
              <w:t>控制效率</w:t>
            </w:r>
            <w:r>
              <w:rPr>
                <w:rFonts w:hint="default" w:ascii="Times New Roman" w:hAnsi="Times New Roman" w:eastAsia="宋体" w:cs="Times New Roman"/>
                <w:snapToGrid w:val="0"/>
                <w:color w:val="auto"/>
                <w:spacing w:val="9"/>
                <w:kern w:val="0"/>
                <w:sz w:val="24"/>
                <w:szCs w:val="24"/>
                <w:highlight w:val="none"/>
                <w:lang w:val="en-US" w:eastAsia="zh-CN" w:bidi="ar-SA"/>
              </w:rPr>
              <w:t>参</w:t>
            </w:r>
            <w:r>
              <w:rPr>
                <w:rFonts w:hint="default" w:ascii="Times New Roman" w:hAnsi="Times New Roman" w:eastAsia="宋体" w:cs="Times New Roman"/>
                <w:color w:val="auto"/>
                <w:spacing w:val="10"/>
                <w:sz w:val="24"/>
                <w:szCs w:val="24"/>
                <w:highlight w:val="none"/>
                <w:lang w:val="en-US" w:eastAsia="zh-CN"/>
              </w:rPr>
              <w:t>照</w:t>
            </w:r>
            <w:r>
              <w:rPr>
                <w:rFonts w:hint="default" w:ascii="Times New Roman" w:hAnsi="Times New Roman" w:eastAsia="宋体" w:cs="Times New Roman"/>
                <w:snapToGrid w:val="0"/>
                <w:color w:val="auto"/>
                <w:spacing w:val="9"/>
                <w:kern w:val="0"/>
                <w:sz w:val="24"/>
                <w:szCs w:val="24"/>
                <w:highlight w:val="none"/>
                <w:lang w:val="en-US" w:eastAsia="zh-CN" w:bidi="ar-SA"/>
              </w:rPr>
              <w:t>洒水</w:t>
            </w:r>
            <w:r>
              <w:rPr>
                <w:rFonts w:hint="default" w:ascii="Times New Roman" w:hAnsi="Times New Roman" w:eastAsia="宋体" w:cs="Times New Roman"/>
                <w:snapToGrid w:val="0"/>
                <w:color w:val="auto"/>
                <w:spacing w:val="9"/>
                <w:kern w:val="0"/>
                <w:sz w:val="24"/>
                <w:szCs w:val="24"/>
                <w:highlight w:val="none"/>
                <w:lang w:val="en-US" w:eastAsia="en-US" w:bidi="ar-SA"/>
              </w:rPr>
              <w:t>控制效率</w:t>
            </w:r>
            <w:r>
              <w:rPr>
                <w:rFonts w:hint="default" w:ascii="Times New Roman" w:hAnsi="Times New Roman" w:eastAsia="宋体" w:cs="Times New Roman"/>
                <w:snapToGrid w:val="0"/>
                <w:color w:val="auto"/>
                <w:spacing w:val="9"/>
                <w:kern w:val="0"/>
                <w:sz w:val="24"/>
                <w:szCs w:val="24"/>
                <w:highlight w:val="none"/>
                <w:lang w:val="en-US" w:eastAsia="zh-CN" w:bidi="ar-SA"/>
              </w:rPr>
              <w:t>，确定为74%。</w:t>
            </w:r>
            <w:r>
              <w:rPr>
                <w:rFonts w:hint="default" w:ascii="Times New Roman" w:hAnsi="Times New Roman" w:eastAsia="宋体" w:cs="Times New Roman"/>
                <w:color w:val="auto"/>
                <w:spacing w:val="10"/>
                <w:sz w:val="24"/>
                <w:szCs w:val="24"/>
                <w:highlight w:val="none"/>
              </w:rPr>
              <w:t>混合</w:t>
            </w:r>
            <w:r>
              <w:rPr>
                <w:rFonts w:hint="default" w:ascii="Times New Roman" w:hAnsi="Times New Roman" w:eastAsia="宋体" w:cs="Times New Roman"/>
                <w:color w:val="auto"/>
                <w:spacing w:val="9"/>
                <w:sz w:val="24"/>
                <w:szCs w:val="24"/>
                <w:highlight w:val="none"/>
              </w:rPr>
              <w:t>搅拌工序颗</w:t>
            </w:r>
            <w:r>
              <w:rPr>
                <w:rFonts w:hint="default" w:ascii="Times New Roman" w:hAnsi="Times New Roman" w:eastAsia="宋体" w:cs="Times New Roman"/>
                <w:color w:val="auto"/>
                <w:spacing w:val="4"/>
                <w:sz w:val="24"/>
                <w:szCs w:val="24"/>
                <w:highlight w:val="none"/>
              </w:rPr>
              <w:t>粒物产生量为3.38‬t/a</w:t>
            </w:r>
          </w:p>
          <w:p w14:paraId="6434D69E">
            <w:pPr>
              <w:keepNext w:val="0"/>
              <w:keepLines w:val="0"/>
              <w:pageBreakBefore w:val="0"/>
              <w:widowControl/>
              <w:kinsoku/>
              <w:wordWrap w:val="0"/>
              <w:overflowPunct/>
              <w:topLinePunct/>
              <w:autoSpaceDE/>
              <w:autoSpaceDN/>
              <w:bidi w:val="0"/>
              <w:adjustRightInd w:val="0"/>
              <w:snapToGrid w:val="0"/>
              <w:spacing w:line="360" w:lineRule="auto"/>
              <w:ind w:right="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color w:val="auto"/>
                <w:spacing w:val="4"/>
                <w:sz w:val="24"/>
                <w:szCs w:val="24"/>
                <w:highlight w:val="none"/>
                <w:lang w:eastAsia="zh-CN"/>
              </w:rPr>
              <w:t>（</w:t>
            </w:r>
            <w:r>
              <w:rPr>
                <w:rFonts w:hint="eastAsia" w:ascii="Times New Roman" w:hAnsi="Times New Roman" w:eastAsia="宋体" w:cs="Times New Roman"/>
                <w:color w:val="auto"/>
                <w:spacing w:val="4"/>
                <w:sz w:val="24"/>
                <w:szCs w:val="24"/>
                <w:highlight w:val="none"/>
                <w:lang w:val="en-US" w:eastAsia="zh-CN"/>
              </w:rPr>
              <w:t>2.01</w:t>
            </w:r>
            <w:r>
              <w:rPr>
                <w:rFonts w:hint="default" w:ascii="Times New Roman" w:hAnsi="Times New Roman" w:eastAsia="宋体" w:cs="Times New Roman"/>
                <w:snapToGrid w:val="0"/>
                <w:color w:val="auto"/>
                <w:spacing w:val="9"/>
                <w:kern w:val="0"/>
                <w:sz w:val="24"/>
                <w:szCs w:val="24"/>
                <w:highlight w:val="none"/>
                <w:lang w:val="en-US" w:eastAsia="zh-CN" w:bidi="ar-SA"/>
              </w:rPr>
              <w:t>kg/h</w:t>
            </w:r>
            <w:r>
              <w:rPr>
                <w:rFonts w:hint="default" w:ascii="Times New Roman" w:hAnsi="Times New Roman" w:eastAsia="宋体" w:cs="Times New Roman"/>
                <w:color w:val="auto"/>
                <w:spacing w:val="4"/>
                <w:sz w:val="24"/>
                <w:szCs w:val="24"/>
                <w:highlight w:val="none"/>
                <w:lang w:eastAsia="zh-CN"/>
              </w:rPr>
              <w:t>）</w:t>
            </w:r>
            <w:r>
              <w:rPr>
                <w:rFonts w:hint="default" w:ascii="Times New Roman" w:hAnsi="Times New Roman" w:eastAsia="宋体" w:cs="Times New Roman"/>
                <w:color w:val="auto"/>
                <w:spacing w:val="4"/>
                <w:sz w:val="24"/>
                <w:szCs w:val="24"/>
                <w:highlight w:val="none"/>
              </w:rPr>
              <w:t>。</w:t>
            </w:r>
          </w:p>
          <w:p w14:paraId="06A58022">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distribute"/>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上料口和产品出口上方均设集气罩，收集的粉尘由同一个布袋除尘器处理后经15m高排气筒排放，集气罩的收集效率为90%，收集的粉尘为</w:t>
            </w:r>
          </w:p>
          <w:p w14:paraId="208026DB">
            <w:pPr>
              <w:keepNext w:val="0"/>
              <w:keepLines w:val="0"/>
              <w:pageBreakBefore w:val="0"/>
              <w:widowControl/>
              <w:kinsoku/>
              <w:wordWrap w:val="0"/>
              <w:overflowPunct/>
              <w:topLinePunct/>
              <w:autoSpaceDE/>
              <w:autoSpaceDN/>
              <w:bidi w:val="0"/>
              <w:adjustRightInd w:val="0"/>
              <w:snapToGrid w:val="0"/>
              <w:spacing w:line="360" w:lineRule="auto"/>
              <w:ind w:right="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3.042t/a（1.81kg/h）。布袋除尘器的除尘效率以99.7%计，风量为1500m</w:t>
            </w:r>
            <w:r>
              <w:rPr>
                <w:rFonts w:hint="default" w:ascii="Times New Roman" w:hAnsi="Times New Roman" w:eastAsia="宋体" w:cs="Times New Roman"/>
                <w:snapToGrid w:val="0"/>
                <w:color w:val="auto"/>
                <w:spacing w:val="9"/>
                <w:kern w:val="0"/>
                <w:sz w:val="24"/>
                <w:szCs w:val="24"/>
                <w:highlight w:val="none"/>
                <w:vertAlign w:val="superscript"/>
                <w:lang w:val="en-US" w:eastAsia="zh-CN" w:bidi="ar-SA"/>
              </w:rPr>
              <w:t>3</w:t>
            </w:r>
            <w:r>
              <w:rPr>
                <w:rFonts w:hint="default" w:ascii="Times New Roman" w:hAnsi="Times New Roman" w:eastAsia="宋体" w:cs="Times New Roman"/>
                <w:snapToGrid w:val="0"/>
                <w:color w:val="auto"/>
                <w:spacing w:val="9"/>
                <w:kern w:val="0"/>
                <w:sz w:val="24"/>
                <w:szCs w:val="24"/>
                <w:highlight w:val="none"/>
                <w:lang w:val="en-US" w:eastAsia="zh-CN" w:bidi="ar-SA"/>
              </w:rPr>
              <w:t>/h，上料、</w:t>
            </w:r>
            <w:r>
              <w:rPr>
                <w:rFonts w:hint="default" w:ascii="Times New Roman" w:hAnsi="Times New Roman" w:eastAsia="宋体" w:cs="Times New Roman"/>
                <w:color w:val="auto"/>
                <w:spacing w:val="10"/>
                <w:sz w:val="24"/>
                <w:szCs w:val="24"/>
                <w:highlight w:val="none"/>
              </w:rPr>
              <w:t>混合搅拌</w:t>
            </w:r>
            <w:r>
              <w:rPr>
                <w:rFonts w:hint="default" w:ascii="Times New Roman" w:hAnsi="Times New Roman" w:eastAsia="宋体" w:cs="Times New Roman"/>
                <w:snapToGrid w:val="0"/>
                <w:color w:val="auto"/>
                <w:spacing w:val="9"/>
                <w:kern w:val="0"/>
                <w:sz w:val="24"/>
                <w:szCs w:val="24"/>
                <w:highlight w:val="none"/>
                <w:lang w:val="en-US" w:eastAsia="zh-CN" w:bidi="ar-SA"/>
              </w:rPr>
              <w:t>粉尘有组织排放量为0.009t/a（0.005kg/h），排放浓度为</w:t>
            </w:r>
            <w:r>
              <w:rPr>
                <w:rFonts w:hint="eastAsia" w:ascii="Times New Roman" w:hAnsi="Times New Roman" w:eastAsia="宋体" w:cs="Times New Roman"/>
                <w:snapToGrid w:val="0"/>
                <w:color w:val="auto"/>
                <w:spacing w:val="9"/>
                <w:kern w:val="0"/>
                <w:sz w:val="24"/>
                <w:szCs w:val="24"/>
                <w:highlight w:val="none"/>
                <w:lang w:val="en-US" w:eastAsia="zh-CN" w:bidi="ar-SA"/>
              </w:rPr>
              <w:t>3</w:t>
            </w:r>
            <w:r>
              <w:rPr>
                <w:rFonts w:hint="default" w:ascii="Times New Roman" w:hAnsi="Times New Roman" w:eastAsia="宋体" w:cs="Times New Roman"/>
                <w:snapToGrid w:val="0"/>
                <w:color w:val="auto"/>
                <w:spacing w:val="9"/>
                <w:kern w:val="0"/>
                <w:sz w:val="24"/>
                <w:szCs w:val="24"/>
                <w:highlight w:val="none"/>
                <w:lang w:val="en-US" w:eastAsia="zh-CN" w:bidi="ar-SA"/>
              </w:rPr>
              <w:t>.3</w:t>
            </w:r>
            <w:r>
              <w:rPr>
                <w:rFonts w:hint="eastAsia" w:ascii="Times New Roman" w:hAnsi="Times New Roman" w:eastAsia="宋体" w:cs="Times New Roman"/>
                <w:snapToGrid w:val="0"/>
                <w:color w:val="auto"/>
                <w:spacing w:val="9"/>
                <w:kern w:val="0"/>
                <w:sz w:val="24"/>
                <w:szCs w:val="24"/>
                <w:highlight w:val="none"/>
                <w:lang w:val="en-US" w:eastAsia="zh-CN" w:bidi="ar-SA"/>
              </w:rPr>
              <w:t>3</w:t>
            </w:r>
            <w:r>
              <w:rPr>
                <w:rFonts w:hint="default" w:ascii="Times New Roman" w:hAnsi="Times New Roman" w:eastAsia="宋体" w:cs="Times New Roman"/>
                <w:snapToGrid w:val="0"/>
                <w:color w:val="auto"/>
                <w:spacing w:val="9"/>
                <w:kern w:val="0"/>
                <w:sz w:val="24"/>
                <w:szCs w:val="24"/>
                <w:highlight w:val="none"/>
                <w:lang w:val="en-US" w:eastAsia="zh-CN" w:bidi="ar-SA"/>
              </w:rPr>
              <w:t>mg/m</w:t>
            </w:r>
            <w:r>
              <w:rPr>
                <w:rFonts w:hint="default" w:ascii="Times New Roman" w:hAnsi="Times New Roman" w:eastAsia="宋体" w:cs="Times New Roman"/>
                <w:snapToGrid w:val="0"/>
                <w:color w:val="auto"/>
                <w:spacing w:val="9"/>
                <w:kern w:val="0"/>
                <w:sz w:val="24"/>
                <w:szCs w:val="24"/>
                <w:highlight w:val="none"/>
                <w:vertAlign w:val="superscript"/>
                <w:lang w:val="en-US" w:eastAsia="zh-CN" w:bidi="ar-SA"/>
              </w:rPr>
              <w:t>3</w:t>
            </w:r>
            <w:r>
              <w:rPr>
                <w:rFonts w:hint="default" w:ascii="Times New Roman" w:hAnsi="Times New Roman" w:eastAsia="宋体" w:cs="Times New Roman"/>
                <w:snapToGrid w:val="0"/>
                <w:color w:val="auto"/>
                <w:spacing w:val="9"/>
                <w:kern w:val="0"/>
                <w:sz w:val="24"/>
                <w:szCs w:val="24"/>
                <w:highlight w:val="none"/>
                <w:lang w:val="en-US" w:eastAsia="zh-CN" w:bidi="ar-SA"/>
              </w:rPr>
              <w:t>；上料、</w:t>
            </w:r>
            <w:r>
              <w:rPr>
                <w:rFonts w:hint="default" w:ascii="Times New Roman" w:hAnsi="Times New Roman" w:eastAsia="宋体" w:cs="Times New Roman"/>
                <w:color w:val="auto"/>
                <w:spacing w:val="10"/>
                <w:sz w:val="24"/>
                <w:szCs w:val="24"/>
                <w:highlight w:val="none"/>
              </w:rPr>
              <w:t>混合搅拌</w:t>
            </w:r>
            <w:r>
              <w:rPr>
                <w:rFonts w:hint="default" w:ascii="Times New Roman" w:hAnsi="Times New Roman" w:eastAsia="宋体" w:cs="Times New Roman"/>
                <w:snapToGrid w:val="0"/>
                <w:color w:val="auto"/>
                <w:spacing w:val="9"/>
                <w:kern w:val="0"/>
                <w:sz w:val="24"/>
                <w:szCs w:val="24"/>
                <w:highlight w:val="none"/>
                <w:lang w:val="en-US" w:eastAsia="zh-CN" w:bidi="ar-SA"/>
              </w:rPr>
              <w:t>未被收集的粉尘为0.338t/a（</w:t>
            </w:r>
            <w:r>
              <w:rPr>
                <w:rFonts w:hint="eastAsia" w:ascii="Times New Roman" w:hAnsi="Times New Roman" w:eastAsia="宋体" w:cs="Times New Roman"/>
                <w:snapToGrid w:val="0"/>
                <w:color w:val="auto"/>
                <w:spacing w:val="9"/>
                <w:kern w:val="0"/>
                <w:sz w:val="24"/>
                <w:szCs w:val="24"/>
                <w:highlight w:val="none"/>
                <w:lang w:val="en-US" w:eastAsia="zh-CN" w:bidi="ar-SA"/>
              </w:rPr>
              <w:t>0.201</w:t>
            </w:r>
            <w:r>
              <w:rPr>
                <w:rFonts w:hint="default" w:ascii="Times New Roman" w:hAnsi="Times New Roman" w:eastAsia="宋体" w:cs="Times New Roman"/>
                <w:snapToGrid w:val="0"/>
                <w:color w:val="auto"/>
                <w:spacing w:val="9"/>
                <w:kern w:val="0"/>
                <w:sz w:val="24"/>
                <w:szCs w:val="24"/>
                <w:highlight w:val="none"/>
                <w:lang w:val="en-US" w:eastAsia="zh-CN" w:bidi="ar-SA"/>
              </w:rPr>
              <w:t>kg/h），粉尘在封闭车间内，封闭车间</w:t>
            </w:r>
            <w:r>
              <w:rPr>
                <w:rFonts w:hint="default" w:ascii="Times New Roman" w:hAnsi="Times New Roman" w:eastAsia="宋体" w:cs="Times New Roman"/>
                <w:snapToGrid w:val="0"/>
                <w:color w:val="auto"/>
                <w:spacing w:val="9"/>
                <w:kern w:val="0"/>
                <w:sz w:val="24"/>
                <w:szCs w:val="24"/>
                <w:highlight w:val="none"/>
                <w:lang w:val="en-US" w:eastAsia="en-US" w:bidi="ar-SA"/>
              </w:rPr>
              <w:t>控制效率</w:t>
            </w:r>
            <w:r>
              <w:rPr>
                <w:rFonts w:hint="default" w:ascii="Times New Roman" w:hAnsi="Times New Roman" w:eastAsia="宋体" w:cs="Times New Roman"/>
                <w:snapToGrid w:val="0"/>
                <w:color w:val="auto"/>
                <w:spacing w:val="9"/>
                <w:kern w:val="0"/>
                <w:sz w:val="24"/>
                <w:szCs w:val="24"/>
                <w:highlight w:val="none"/>
                <w:lang w:val="en-US" w:eastAsia="zh-CN" w:bidi="ar-SA"/>
              </w:rPr>
              <w:t>为99%</w:t>
            </w:r>
            <w:r>
              <w:rPr>
                <w:rFonts w:hint="default" w:ascii="Times New Roman" w:hAnsi="Times New Roman" w:eastAsia="宋体" w:cs="Times New Roman"/>
                <w:snapToGrid w:val="0"/>
                <w:color w:val="auto"/>
                <w:spacing w:val="9"/>
                <w:kern w:val="0"/>
                <w:sz w:val="24"/>
                <w:szCs w:val="24"/>
                <w:highlight w:val="none"/>
                <w:lang w:val="en-US" w:eastAsia="en-US" w:bidi="ar-SA"/>
              </w:rPr>
              <w:t>。</w:t>
            </w:r>
            <w:r>
              <w:rPr>
                <w:rFonts w:hint="default" w:ascii="Times New Roman" w:hAnsi="Times New Roman" w:eastAsia="宋体" w:cs="Times New Roman"/>
                <w:snapToGrid w:val="0"/>
                <w:color w:val="auto"/>
                <w:spacing w:val="9"/>
                <w:kern w:val="0"/>
                <w:sz w:val="24"/>
                <w:szCs w:val="24"/>
                <w:highlight w:val="none"/>
                <w:lang w:val="en-US" w:eastAsia="zh-CN" w:bidi="ar-SA"/>
              </w:rPr>
              <w:t>无组织排放的粉尘为0.003t/a（0.00</w:t>
            </w:r>
            <w:r>
              <w:rPr>
                <w:rFonts w:hint="eastAsia" w:ascii="Times New Roman" w:hAnsi="Times New Roman" w:eastAsia="宋体" w:cs="Times New Roman"/>
                <w:snapToGrid w:val="0"/>
                <w:color w:val="auto"/>
                <w:spacing w:val="9"/>
                <w:kern w:val="0"/>
                <w:sz w:val="24"/>
                <w:szCs w:val="24"/>
                <w:highlight w:val="none"/>
                <w:lang w:val="en-US" w:eastAsia="zh-CN" w:bidi="ar-SA"/>
              </w:rPr>
              <w:t>2</w:t>
            </w:r>
            <w:r>
              <w:rPr>
                <w:rFonts w:hint="default" w:ascii="Times New Roman" w:hAnsi="Times New Roman" w:eastAsia="宋体" w:cs="Times New Roman"/>
                <w:snapToGrid w:val="0"/>
                <w:color w:val="auto"/>
                <w:spacing w:val="9"/>
                <w:kern w:val="0"/>
                <w:sz w:val="24"/>
                <w:szCs w:val="24"/>
                <w:highlight w:val="none"/>
                <w:lang w:val="en-US" w:eastAsia="zh-CN" w:bidi="ar-SA"/>
              </w:rPr>
              <w:t>kg/h）。</w:t>
            </w:r>
          </w:p>
          <w:p w14:paraId="2DCFA38A">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（4）</w:t>
            </w:r>
            <w:r>
              <w:rPr>
                <w:rFonts w:hint="default" w:ascii="Times New Roman" w:hAnsi="Times New Roman" w:eastAsia="宋体" w:cs="Times New Roman"/>
                <w:b w:val="0"/>
                <w:bCs w:val="0"/>
                <w:color w:val="auto"/>
                <w:sz w:val="24"/>
                <w:szCs w:val="24"/>
                <w:highlight w:val="none"/>
                <w:vertAlign w:val="baseline"/>
                <w:lang w:val="en-US" w:eastAsia="zh-CN"/>
              </w:rPr>
              <w:t>NH</w:t>
            </w:r>
            <w:r>
              <w:rPr>
                <w:rFonts w:hint="default" w:ascii="Times New Roman" w:hAnsi="Times New Roman" w:eastAsia="宋体" w:cs="Times New Roman"/>
                <w:b w:val="0"/>
                <w:bCs w:val="0"/>
                <w:color w:val="auto"/>
                <w:sz w:val="24"/>
                <w:szCs w:val="24"/>
                <w:highlight w:val="none"/>
                <w:vertAlign w:val="subscript"/>
                <w:lang w:val="en-US" w:eastAsia="zh-CN"/>
              </w:rPr>
              <w:t>3</w:t>
            </w:r>
          </w:p>
          <w:p w14:paraId="2D19B19E">
            <w:pPr>
              <w:keepNext w:val="0"/>
              <w:keepLines w:val="0"/>
              <w:pageBreakBefore w:val="0"/>
              <w:widowControl/>
              <w:kinsoku/>
              <w:wordWrap w:val="0"/>
              <w:overflowPunct/>
              <w:topLinePunct/>
              <w:autoSpaceDE/>
              <w:autoSpaceDN/>
              <w:bidi w:val="0"/>
              <w:adjustRightInd w:val="0"/>
              <w:snapToGrid w:val="0"/>
              <w:spacing w:line="360" w:lineRule="auto"/>
              <w:ind w:left="0" w:right="0" w:firstLine="520"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b w:val="0"/>
                <w:bCs w:val="0"/>
                <w:snapToGrid w:val="0"/>
                <w:color w:val="auto"/>
                <w:spacing w:val="7"/>
                <w:kern w:val="0"/>
                <w:sz w:val="24"/>
                <w:szCs w:val="24"/>
                <w:highlight w:val="none"/>
                <w:lang w:val="en-US" w:eastAsia="en-US" w:bidi="ar-SA"/>
              </w:rPr>
              <w:t>稍有氨味，在空气中稳定</w:t>
            </w:r>
            <w:r>
              <w:rPr>
                <w:rFonts w:hint="default" w:ascii="Times New Roman" w:hAnsi="Times New Roman" w:eastAsia="宋体" w:cs="Times New Roman"/>
                <w:b w:val="0"/>
                <w:bCs w:val="0"/>
                <w:snapToGrid w:val="0"/>
                <w:color w:val="auto"/>
                <w:spacing w:val="7"/>
                <w:kern w:val="0"/>
                <w:sz w:val="24"/>
                <w:szCs w:val="24"/>
                <w:highlight w:val="none"/>
                <w:lang w:val="en-US" w:eastAsia="zh-CN" w:bidi="ar-SA"/>
              </w:rPr>
              <w:t>，</w:t>
            </w:r>
            <w:r>
              <w:rPr>
                <w:rFonts w:hint="default" w:ascii="Times New Roman" w:hAnsi="Times New Roman" w:eastAsia="宋体" w:cs="Times New Roman"/>
                <w:color w:val="auto"/>
                <w:spacing w:val="9"/>
                <w:sz w:val="24"/>
                <w:szCs w:val="24"/>
                <w:highlight w:val="none"/>
                <w:lang w:val="en-US" w:eastAsia="zh-CN"/>
              </w:rPr>
              <w:t>喷洒</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color w:val="auto"/>
                <w:spacing w:val="10"/>
                <w:sz w:val="24"/>
                <w:szCs w:val="24"/>
                <w:highlight w:val="none"/>
                <w:lang w:val="en-US" w:eastAsia="zh-CN"/>
              </w:rPr>
              <w:t>有少量</w:t>
            </w:r>
            <w:r>
              <w:rPr>
                <w:rFonts w:hint="default" w:ascii="Times New Roman" w:hAnsi="Times New Roman" w:eastAsia="宋体" w:cs="Times New Roman"/>
                <w:b w:val="0"/>
                <w:bCs w:val="0"/>
                <w:color w:val="auto"/>
                <w:sz w:val="24"/>
                <w:szCs w:val="24"/>
                <w:highlight w:val="none"/>
                <w:vertAlign w:val="baseline"/>
                <w:lang w:val="en-US" w:eastAsia="zh-CN"/>
              </w:rPr>
              <w:t>NH</w:t>
            </w:r>
            <w:r>
              <w:rPr>
                <w:rFonts w:hint="default" w:ascii="Times New Roman" w:hAnsi="Times New Roman" w:eastAsia="宋体" w:cs="Times New Roman"/>
                <w:b w:val="0"/>
                <w:bCs w:val="0"/>
                <w:color w:val="auto"/>
                <w:sz w:val="24"/>
                <w:szCs w:val="24"/>
                <w:highlight w:val="none"/>
                <w:vertAlign w:val="subscript"/>
                <w:lang w:val="en-US" w:eastAsia="zh-CN"/>
              </w:rPr>
              <w:t>3</w:t>
            </w:r>
            <w:r>
              <w:rPr>
                <w:rFonts w:hint="default" w:ascii="Times New Roman" w:hAnsi="Times New Roman" w:eastAsia="宋体" w:cs="Times New Roman"/>
                <w:b w:val="0"/>
                <w:bCs w:val="0"/>
                <w:color w:val="auto"/>
                <w:sz w:val="24"/>
                <w:szCs w:val="24"/>
                <w:highlight w:val="none"/>
                <w:vertAlign w:val="baseline"/>
                <w:lang w:val="en-US" w:eastAsia="zh-CN"/>
              </w:rPr>
              <w:t>产生。产生量很少，可忽略不计。</w:t>
            </w:r>
          </w:p>
          <w:p w14:paraId="051665D4">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（5）运输扬尘</w:t>
            </w:r>
          </w:p>
          <w:p w14:paraId="0ADA8434">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本工程外购原材料采用汽车运输。车辆行驶产生的扬尘，在道路完全干燥的情况下，可按下列经验公式计算：</w:t>
            </w:r>
          </w:p>
          <w:p w14:paraId="70CE500B">
            <w:pPr>
              <w:keepNext w:val="0"/>
              <w:keepLines w:val="0"/>
              <w:pageBreakBefore w:val="0"/>
              <w:widowControl/>
              <w:kinsoku/>
              <w:wordWrap w:val="0"/>
              <w:overflowPunct/>
              <w:topLinePunct/>
              <w:autoSpaceDE/>
              <w:autoSpaceDN/>
              <w:bidi w:val="0"/>
              <w:adjustRightInd w:val="0"/>
              <w:snapToGrid w:val="0"/>
              <w:spacing w:line="360" w:lineRule="auto"/>
              <w:ind w:left="0" w:right="0" w:firstLine="1548" w:firstLineChars="6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Q=0.123×（V/5）×（W/6.8）</w:t>
            </w:r>
            <w:r>
              <w:rPr>
                <w:rFonts w:hint="default" w:ascii="Times New Roman" w:hAnsi="Times New Roman" w:eastAsia="宋体" w:cs="Times New Roman"/>
                <w:snapToGrid w:val="0"/>
                <w:color w:val="auto"/>
                <w:spacing w:val="9"/>
                <w:kern w:val="0"/>
                <w:sz w:val="24"/>
                <w:szCs w:val="24"/>
                <w:highlight w:val="none"/>
                <w:vertAlign w:val="superscript"/>
                <w:lang w:val="en-US" w:eastAsia="zh-CN" w:bidi="ar-SA"/>
              </w:rPr>
              <w:t>0.85</w:t>
            </w:r>
            <w:r>
              <w:rPr>
                <w:rFonts w:hint="default" w:ascii="Times New Roman" w:hAnsi="Times New Roman" w:eastAsia="宋体" w:cs="Times New Roman"/>
                <w:snapToGrid w:val="0"/>
                <w:color w:val="auto"/>
                <w:spacing w:val="9"/>
                <w:kern w:val="0"/>
                <w:sz w:val="24"/>
                <w:szCs w:val="24"/>
                <w:highlight w:val="none"/>
                <w:lang w:val="en-US" w:eastAsia="zh-CN" w:bidi="ar-SA"/>
              </w:rPr>
              <w:t>×（P/0.5）</w:t>
            </w:r>
            <w:r>
              <w:rPr>
                <w:rFonts w:hint="default" w:ascii="Times New Roman" w:hAnsi="Times New Roman" w:eastAsia="宋体" w:cs="Times New Roman"/>
                <w:snapToGrid w:val="0"/>
                <w:color w:val="auto"/>
                <w:spacing w:val="9"/>
                <w:kern w:val="0"/>
                <w:sz w:val="24"/>
                <w:szCs w:val="24"/>
                <w:highlight w:val="none"/>
                <w:vertAlign w:val="superscript"/>
                <w:lang w:val="en-US" w:eastAsia="zh-CN" w:bidi="ar-SA"/>
              </w:rPr>
              <w:t>0.75</w:t>
            </w:r>
          </w:p>
          <w:p w14:paraId="1AAAF973">
            <w:pPr>
              <w:keepNext w:val="0"/>
              <w:keepLines w:val="0"/>
              <w:pageBreakBefore w:val="0"/>
              <w:widowControl/>
              <w:kinsoku/>
              <w:wordWrap w:val="0"/>
              <w:overflowPunct/>
              <w:topLinePunct/>
              <w:autoSpaceDE/>
              <w:autoSpaceDN/>
              <w:bidi w:val="0"/>
              <w:adjustRightInd w:val="0"/>
              <w:snapToGrid w:val="0"/>
              <w:spacing w:line="360" w:lineRule="auto"/>
              <w:ind w:left="0" w:right="0" w:firstLine="480" w:firstLineChars="200"/>
              <w:contextualSpacing/>
              <w:jc w:val="center"/>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color w:val="auto"/>
                <w:sz w:val="24"/>
                <w:szCs w:val="24"/>
                <w:highlight w:val="none"/>
              </w:rPr>
              <w:drawing>
                <wp:inline distT="0" distB="0" distL="0" distR="0">
                  <wp:extent cx="1090295" cy="404495"/>
                  <wp:effectExtent l="0" t="0" r="14605" b="1460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1090295" cy="404495"/>
                          </a:xfrm>
                          <a:prstGeom prst="rect">
                            <a:avLst/>
                          </a:prstGeom>
                          <a:noFill/>
                          <a:ln>
                            <a:noFill/>
                          </a:ln>
                        </pic:spPr>
                      </pic:pic>
                    </a:graphicData>
                  </a:graphic>
                </wp:inline>
              </w:drawing>
            </w:r>
          </w:p>
          <w:p w14:paraId="708AF233">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式中：Q：汽车行驶时的扬尘，kg/km·辆；</w:t>
            </w:r>
          </w:p>
          <w:p w14:paraId="6EB30B1A">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V：汽车速度，km/h；</w:t>
            </w:r>
          </w:p>
          <w:p w14:paraId="545694A5">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W：汽车载重量，吨；</w:t>
            </w:r>
          </w:p>
          <w:p w14:paraId="3BEFB048">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P：道路表面粉尘量，kg/m</w:t>
            </w:r>
            <w:r>
              <w:rPr>
                <w:rFonts w:hint="default" w:ascii="Times New Roman" w:hAnsi="Times New Roman" w:eastAsia="宋体" w:cs="Times New Roman"/>
                <w:snapToGrid w:val="0"/>
                <w:color w:val="auto"/>
                <w:spacing w:val="9"/>
                <w:kern w:val="0"/>
                <w:sz w:val="24"/>
                <w:szCs w:val="24"/>
                <w:highlight w:val="none"/>
                <w:vertAlign w:val="superscript"/>
                <w:lang w:val="en-US" w:eastAsia="zh-CN" w:bidi="ar-SA"/>
              </w:rPr>
              <w:t>2</w:t>
            </w:r>
            <w:r>
              <w:rPr>
                <w:rFonts w:hint="default" w:ascii="Times New Roman" w:hAnsi="Times New Roman" w:eastAsia="宋体" w:cs="Times New Roman"/>
                <w:snapToGrid w:val="0"/>
                <w:color w:val="auto"/>
                <w:spacing w:val="9"/>
                <w:kern w:val="0"/>
                <w:sz w:val="24"/>
                <w:szCs w:val="24"/>
                <w:highlight w:val="none"/>
                <w:lang w:val="en-US" w:eastAsia="zh-CN" w:bidi="ar-SA"/>
              </w:rPr>
              <w:t>。</w:t>
            </w:r>
          </w:p>
          <w:p w14:paraId="2598B7B9">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本项目车辆在厂区行驶距离约为100m，道路宽3.5m，项目运输车辆载重50t/辆，平均每天发车空重载各20辆·次，空车重约10t，重车重约60t。以速度4km/h行驶，道路表面粉尘量以0.4kg/m</w:t>
            </w:r>
            <w:r>
              <w:rPr>
                <w:rFonts w:hint="default" w:ascii="Times New Roman" w:hAnsi="Times New Roman" w:eastAsia="宋体" w:cs="Times New Roman"/>
                <w:snapToGrid w:val="0"/>
                <w:color w:val="auto"/>
                <w:spacing w:val="9"/>
                <w:kern w:val="0"/>
                <w:sz w:val="24"/>
                <w:szCs w:val="24"/>
                <w:highlight w:val="none"/>
                <w:vertAlign w:val="superscript"/>
                <w:lang w:val="en-US" w:eastAsia="zh-CN" w:bidi="ar-SA"/>
              </w:rPr>
              <w:t>2</w:t>
            </w:r>
            <w:r>
              <w:rPr>
                <w:rFonts w:hint="default" w:ascii="Times New Roman" w:hAnsi="Times New Roman" w:eastAsia="宋体" w:cs="Times New Roman"/>
                <w:snapToGrid w:val="0"/>
                <w:color w:val="auto"/>
                <w:spacing w:val="9"/>
                <w:kern w:val="0"/>
                <w:sz w:val="24"/>
                <w:szCs w:val="24"/>
                <w:highlight w:val="none"/>
                <w:lang w:val="en-US" w:eastAsia="zh-CN" w:bidi="ar-SA"/>
              </w:rPr>
              <w:t>计，运输扬尘产生量为0.26t/a（0.155kg/h）。</w:t>
            </w:r>
          </w:p>
          <w:p w14:paraId="36A17A0D">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道路进行硬化处理，并采取洒水降尘措施。洒水降尘效率可达74%，经洒水降尘后运输扬尘排放量为0.068t/a（0.04kg/h）。以无组织形式排放。</w:t>
            </w:r>
          </w:p>
          <w:p w14:paraId="78C7A287">
            <w:pPr>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contextualSpacing/>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（6）汽车尾气</w:t>
            </w:r>
          </w:p>
          <w:p w14:paraId="4EABFFB5">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eastAsia="宋体" w:cs="Times New Roman"/>
                <w:color w:val="auto"/>
                <w:spacing w:val="5"/>
                <w:sz w:val="24"/>
                <w:szCs w:val="24"/>
                <w:highlight w:val="none"/>
              </w:rPr>
            </w:pPr>
            <w:r>
              <w:rPr>
                <w:rFonts w:hint="default" w:ascii="Times New Roman" w:hAnsi="Times New Roman" w:eastAsia="宋体" w:cs="Times New Roman"/>
                <w:snapToGrid w:val="0"/>
                <w:color w:val="auto"/>
                <w:spacing w:val="9"/>
                <w:kern w:val="0"/>
                <w:sz w:val="24"/>
                <w:szCs w:val="24"/>
                <w:highlight w:val="none"/>
                <w:lang w:val="en-US" w:eastAsia="zh-CN" w:bidi="ar-SA"/>
              </w:rPr>
              <w:t>根据本项目的原料用量及产量，输车需要运送4000次/年，在启动与行驶过程中会产生汽车尾气，主要污染物是CO、NO</w:t>
            </w:r>
            <w:r>
              <w:rPr>
                <w:rFonts w:hint="default" w:ascii="Times New Roman" w:hAnsi="Times New Roman" w:eastAsia="宋体" w:cs="Times New Roman"/>
                <w:snapToGrid w:val="0"/>
                <w:color w:val="auto"/>
                <w:spacing w:val="9"/>
                <w:kern w:val="0"/>
                <w:sz w:val="24"/>
                <w:szCs w:val="24"/>
                <w:highlight w:val="none"/>
                <w:vertAlign w:val="subscript"/>
                <w:lang w:val="en-US" w:eastAsia="zh-CN" w:bidi="ar-SA"/>
              </w:rPr>
              <w:t>X</w:t>
            </w:r>
            <w:r>
              <w:rPr>
                <w:rFonts w:hint="default" w:ascii="Times New Roman" w:hAnsi="Times New Roman" w:eastAsia="宋体" w:cs="Times New Roman"/>
                <w:snapToGrid w:val="0"/>
                <w:color w:val="auto"/>
                <w:spacing w:val="9"/>
                <w:kern w:val="0"/>
                <w:sz w:val="24"/>
                <w:szCs w:val="24"/>
                <w:highlight w:val="none"/>
                <w:lang w:val="en-US" w:eastAsia="zh-CN" w:bidi="ar-SA"/>
              </w:rPr>
              <w:t>和THC，项目区周围无高大建筑，有利于汽车尾气的稀释和扩散，对周边环境的影响不大。</w:t>
            </w:r>
          </w:p>
          <w:p w14:paraId="3262F354">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0" w:firstLineChars="200"/>
              <w:jc w:val="both"/>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5"/>
                <w:sz w:val="24"/>
                <w:szCs w:val="24"/>
                <w:highlight w:val="none"/>
                <w:lang w:val="en-US" w:eastAsia="zh-CN"/>
              </w:rPr>
              <w:t>本项目</w:t>
            </w:r>
            <w:r>
              <w:rPr>
                <w:rFonts w:hint="default" w:ascii="Times New Roman" w:hAnsi="Times New Roman" w:eastAsia="宋体" w:cs="Times New Roman"/>
                <w:color w:val="auto"/>
                <w:spacing w:val="5"/>
                <w:sz w:val="24"/>
                <w:szCs w:val="24"/>
                <w:highlight w:val="none"/>
              </w:rPr>
              <w:t>废</w:t>
            </w:r>
            <w:r>
              <w:rPr>
                <w:rFonts w:hint="default" w:ascii="Times New Roman" w:hAnsi="Times New Roman" w:eastAsia="宋体" w:cs="Times New Roman"/>
                <w:color w:val="auto"/>
                <w:spacing w:val="10"/>
                <w:sz w:val="24"/>
                <w:szCs w:val="24"/>
                <w:highlight w:val="none"/>
              </w:rPr>
              <w:t>气产生及排放情况一览表见表4-</w:t>
            </w:r>
            <w:r>
              <w:rPr>
                <w:rFonts w:hint="default" w:ascii="Times New Roman" w:hAnsi="Times New Roman" w:eastAsia="宋体" w:cs="Times New Roman"/>
                <w:color w:val="auto"/>
                <w:spacing w:val="10"/>
                <w:sz w:val="24"/>
                <w:szCs w:val="24"/>
                <w:highlight w:val="none"/>
                <w:lang w:val="en-US" w:eastAsia="zh-CN"/>
              </w:rPr>
              <w:t>1</w:t>
            </w:r>
            <w:r>
              <w:rPr>
                <w:rFonts w:hint="default" w:ascii="Times New Roman" w:hAnsi="Times New Roman" w:eastAsia="宋体" w:cs="Times New Roman"/>
                <w:color w:val="auto"/>
                <w:spacing w:val="10"/>
                <w:sz w:val="24"/>
                <w:szCs w:val="24"/>
                <w:highlight w:val="none"/>
              </w:rPr>
              <w:t>。</w:t>
            </w:r>
          </w:p>
          <w:p w14:paraId="60832A59">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b/>
                <w:bCs/>
                <w:color w:val="auto"/>
                <w:spacing w:val="6"/>
                <w:sz w:val="21"/>
                <w:szCs w:val="21"/>
                <w:highlight w:val="none"/>
              </w:rPr>
            </w:pPr>
            <w:r>
              <w:rPr>
                <w:rFonts w:hint="default" w:ascii="Times New Roman" w:hAnsi="Times New Roman" w:eastAsia="宋体" w:cs="Times New Roman"/>
                <w:b/>
                <w:bCs/>
                <w:color w:val="auto"/>
                <w:spacing w:val="6"/>
                <w:sz w:val="21"/>
                <w:szCs w:val="21"/>
                <w:highlight w:val="none"/>
              </w:rPr>
              <w:t>表4-</w:t>
            </w:r>
            <w:r>
              <w:rPr>
                <w:rFonts w:hint="default" w:ascii="Times New Roman" w:hAnsi="Times New Roman" w:eastAsia="宋体" w:cs="Times New Roman"/>
                <w:b/>
                <w:bCs/>
                <w:color w:val="auto"/>
                <w:spacing w:val="6"/>
                <w:sz w:val="21"/>
                <w:szCs w:val="21"/>
                <w:highlight w:val="none"/>
                <w:lang w:val="en-US" w:eastAsia="zh-CN"/>
              </w:rPr>
              <w:t>1</w:t>
            </w:r>
            <w:r>
              <w:rPr>
                <w:rFonts w:hint="default" w:ascii="Times New Roman" w:hAnsi="Times New Roman" w:eastAsia="宋体" w:cs="Times New Roman"/>
                <w:b/>
                <w:bCs/>
                <w:color w:val="auto"/>
                <w:spacing w:val="6"/>
                <w:sz w:val="21"/>
                <w:szCs w:val="21"/>
                <w:highlight w:val="none"/>
              </w:rPr>
              <w:t>本项目废气产生及排放情况汇总表</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87"/>
              <w:gridCol w:w="420"/>
              <w:gridCol w:w="667"/>
              <w:gridCol w:w="577"/>
              <w:gridCol w:w="465"/>
              <w:gridCol w:w="577"/>
              <w:gridCol w:w="577"/>
              <w:gridCol w:w="540"/>
              <w:gridCol w:w="1193"/>
              <w:gridCol w:w="483"/>
              <w:gridCol w:w="450"/>
              <w:gridCol w:w="583"/>
              <w:gridCol w:w="644"/>
              <w:gridCol w:w="644"/>
            </w:tblGrid>
            <w:tr w14:paraId="1EC45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jc w:val="center"/>
              </w:trPr>
              <w:tc>
                <w:tcPr>
                  <w:tcW w:w="236" w:type="pct"/>
                  <w:vMerge w:val="restart"/>
                  <w:vAlign w:val="center"/>
                </w:tcPr>
                <w:p w14:paraId="6CBA3CB3">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bookmarkStart w:id="4" w:name="_Hlk185532138"/>
                  <w:r>
                    <w:rPr>
                      <w:rFonts w:hint="default" w:ascii="Times New Roman" w:hAnsi="Times New Roman" w:eastAsia="宋体" w:cs="Times New Roman"/>
                      <w:color w:val="auto"/>
                      <w:sz w:val="21"/>
                      <w:szCs w:val="21"/>
                      <w:highlight w:val="none"/>
                    </w:rPr>
                    <w:t>类别</w:t>
                  </w:r>
                </w:p>
              </w:tc>
              <w:tc>
                <w:tcPr>
                  <w:tcW w:w="256" w:type="pct"/>
                  <w:vMerge w:val="restart"/>
                  <w:vAlign w:val="center"/>
                </w:tcPr>
                <w:p w14:paraId="5F05443A">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编号</w:t>
                  </w:r>
                </w:p>
              </w:tc>
              <w:tc>
                <w:tcPr>
                  <w:tcW w:w="406" w:type="pct"/>
                  <w:vMerge w:val="restart"/>
                  <w:vAlign w:val="center"/>
                </w:tcPr>
                <w:p w14:paraId="269B5703">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污染源名称</w:t>
                  </w:r>
                </w:p>
              </w:tc>
              <w:tc>
                <w:tcPr>
                  <w:tcW w:w="350" w:type="pct"/>
                  <w:vMerge w:val="restart"/>
                  <w:vAlign w:val="center"/>
                </w:tcPr>
                <w:p w14:paraId="3213A9FE">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废气排放量（m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283" w:type="pct"/>
                  <w:vMerge w:val="restart"/>
                  <w:vAlign w:val="center"/>
                </w:tcPr>
                <w:p w14:paraId="50408EC4">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w:t>
                  </w:r>
                </w:p>
              </w:tc>
              <w:tc>
                <w:tcPr>
                  <w:tcW w:w="1031" w:type="pct"/>
                  <w:gridSpan w:val="3"/>
                  <w:vAlign w:val="center"/>
                </w:tcPr>
                <w:p w14:paraId="2E5361A1">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污染物产生情况</w:t>
                  </w:r>
                </w:p>
              </w:tc>
              <w:tc>
                <w:tcPr>
                  <w:tcW w:w="726" w:type="pct"/>
                  <w:vMerge w:val="restart"/>
                  <w:vAlign w:val="center"/>
                </w:tcPr>
                <w:p w14:paraId="316B6F10">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治理措施</w:t>
                  </w:r>
                </w:p>
              </w:tc>
              <w:tc>
                <w:tcPr>
                  <w:tcW w:w="294" w:type="pct"/>
                  <w:vMerge w:val="restart"/>
                  <w:vAlign w:val="center"/>
                </w:tcPr>
                <w:p w14:paraId="22DA3D04">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处理效率（%）</w:t>
                  </w:r>
                </w:p>
              </w:tc>
              <w:tc>
                <w:tcPr>
                  <w:tcW w:w="274" w:type="pct"/>
                  <w:vMerge w:val="restart"/>
                  <w:vAlign w:val="center"/>
                </w:tcPr>
                <w:p w14:paraId="1E8ED0A2">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工作时间</w:t>
                  </w:r>
                </w:p>
                <w:p w14:paraId="3A397703">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h</w:t>
                  </w:r>
                </w:p>
              </w:tc>
              <w:tc>
                <w:tcPr>
                  <w:tcW w:w="1139" w:type="pct"/>
                  <w:gridSpan w:val="3"/>
                  <w:vAlign w:val="center"/>
                </w:tcPr>
                <w:p w14:paraId="0700F0E6">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污染物排放情况</w:t>
                  </w:r>
                </w:p>
              </w:tc>
            </w:tr>
            <w:tr w14:paraId="7084A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8" w:hRule="atLeast"/>
                <w:jc w:val="center"/>
              </w:trPr>
              <w:tc>
                <w:tcPr>
                  <w:tcW w:w="236" w:type="pct"/>
                  <w:vMerge w:val="continue"/>
                  <w:vAlign w:val="center"/>
                </w:tcPr>
                <w:p w14:paraId="6A2713EB">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256" w:type="pct"/>
                  <w:vMerge w:val="continue"/>
                  <w:textDirection w:val="tbRlV"/>
                  <w:vAlign w:val="center"/>
                </w:tcPr>
                <w:p w14:paraId="77401802">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406" w:type="pct"/>
                  <w:vMerge w:val="continue"/>
                  <w:vAlign w:val="center"/>
                </w:tcPr>
                <w:p w14:paraId="02FBA1D0">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350" w:type="pct"/>
                  <w:vMerge w:val="continue"/>
                  <w:vAlign w:val="center"/>
                </w:tcPr>
                <w:p w14:paraId="5E37111E">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283" w:type="pct"/>
                  <w:vMerge w:val="continue"/>
                  <w:vAlign w:val="center"/>
                </w:tcPr>
                <w:p w14:paraId="22ECDB85">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351" w:type="pct"/>
                  <w:vAlign w:val="center"/>
                </w:tcPr>
                <w:p w14:paraId="262170D3">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产生浓度</w:t>
                  </w:r>
                </w:p>
                <w:p w14:paraId="17362BFD">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351" w:type="pct"/>
                  <w:vAlign w:val="center"/>
                </w:tcPr>
                <w:p w14:paraId="724FD036">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产生速率</w:t>
                  </w:r>
                </w:p>
                <w:p w14:paraId="4C13CF0D">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kg/h</w:t>
                  </w:r>
                </w:p>
              </w:tc>
              <w:tc>
                <w:tcPr>
                  <w:tcW w:w="328" w:type="pct"/>
                  <w:vAlign w:val="center"/>
                </w:tcPr>
                <w:p w14:paraId="246BD6AD">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产生量</w:t>
                  </w:r>
                </w:p>
                <w:p w14:paraId="0129D915">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726" w:type="pct"/>
                  <w:vMerge w:val="continue"/>
                  <w:vAlign w:val="center"/>
                </w:tcPr>
                <w:p w14:paraId="2A09D790">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294" w:type="pct"/>
                  <w:vMerge w:val="continue"/>
                  <w:vAlign w:val="center"/>
                </w:tcPr>
                <w:p w14:paraId="04209FF2">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274" w:type="pct"/>
                  <w:vMerge w:val="continue"/>
                  <w:vAlign w:val="center"/>
                </w:tcPr>
                <w:p w14:paraId="2ACF1671">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355" w:type="pct"/>
                  <w:vAlign w:val="center"/>
                </w:tcPr>
                <w:p w14:paraId="6D59E752">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排放浓度</w:t>
                  </w:r>
                </w:p>
                <w:p w14:paraId="1F222268">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392" w:type="pct"/>
                  <w:vAlign w:val="center"/>
                </w:tcPr>
                <w:p w14:paraId="45D296C9">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排放速率</w:t>
                  </w:r>
                </w:p>
                <w:p w14:paraId="136BA453">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kg/h</w:t>
                  </w:r>
                </w:p>
              </w:tc>
              <w:tc>
                <w:tcPr>
                  <w:tcW w:w="392" w:type="pct"/>
                  <w:vAlign w:val="center"/>
                </w:tcPr>
                <w:p w14:paraId="65D3E2B7">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排放量</w:t>
                  </w:r>
                </w:p>
                <w:p w14:paraId="5A57B22E">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r>
            <w:tr w14:paraId="174C6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jc w:val="center"/>
              </w:trPr>
              <w:tc>
                <w:tcPr>
                  <w:tcW w:w="236" w:type="pct"/>
                  <w:vAlign w:val="center"/>
                </w:tcPr>
                <w:p w14:paraId="13592535">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有组织</w:t>
                  </w:r>
                </w:p>
              </w:tc>
              <w:tc>
                <w:tcPr>
                  <w:tcW w:w="256" w:type="pct"/>
                  <w:vAlign w:val="center"/>
                </w:tcPr>
                <w:p w14:paraId="428613C9">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DA001</w:t>
                  </w:r>
                </w:p>
              </w:tc>
              <w:tc>
                <w:tcPr>
                  <w:tcW w:w="406" w:type="pct"/>
                  <w:vAlign w:val="center"/>
                </w:tcPr>
                <w:p w14:paraId="6C0F15AE">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上料、混合搅拌</w:t>
                  </w:r>
                </w:p>
              </w:tc>
              <w:tc>
                <w:tcPr>
                  <w:tcW w:w="350" w:type="pct"/>
                  <w:vAlign w:val="center"/>
                </w:tcPr>
                <w:p w14:paraId="7A580275">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15</w:t>
                  </w:r>
                  <w:r>
                    <w:rPr>
                      <w:rFonts w:hint="default" w:ascii="Times New Roman" w:hAnsi="Times New Roman" w:eastAsia="宋体" w:cs="Times New Roman"/>
                      <w:color w:val="auto"/>
                      <w:sz w:val="21"/>
                      <w:szCs w:val="21"/>
                      <w:highlight w:val="none"/>
                    </w:rPr>
                    <w:t>00</w:t>
                  </w:r>
                </w:p>
              </w:tc>
              <w:tc>
                <w:tcPr>
                  <w:tcW w:w="283" w:type="pct"/>
                  <w:vAlign w:val="center"/>
                </w:tcPr>
                <w:p w14:paraId="004503FA">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351" w:type="pct"/>
                  <w:shd w:val="clear" w:color="auto" w:fill="auto"/>
                  <w:vAlign w:val="center"/>
                </w:tcPr>
                <w:p w14:paraId="2B3C4991">
                  <w:pPr>
                    <w:pStyle w:val="47"/>
                    <w:pageBreakBefore w:val="0"/>
                    <w:kinsoku/>
                    <w:wordWrap w:val="0"/>
                    <w:overflowPunct/>
                    <w:topLinePunct/>
                    <w:autoSpaceDE/>
                    <w:autoSpaceDN/>
                    <w:bidi w:val="0"/>
                    <w:ind w:left="0" w:leftChars="0" w:right="0" w:rightChars="0"/>
                    <w:rPr>
                      <w:rFonts w:hint="default" w:ascii="Times New Roman" w:hAnsi="Times New Roman" w:eastAsia="宋体" w:cs="Times New Roman"/>
                      <w:snapToGrid w:val="0"/>
                      <w:color w:val="auto"/>
                      <w:spacing w:val="9"/>
                      <w:kern w:val="0"/>
                      <w:sz w:val="21"/>
                      <w:szCs w:val="21"/>
                      <w:highlight w:val="none"/>
                      <w:lang w:val="en-US" w:eastAsia="zh-CN" w:bidi="ar-SA"/>
                    </w:rPr>
                  </w:pPr>
                  <w:r>
                    <w:rPr>
                      <w:rFonts w:hint="eastAsia" w:ascii="Times New Roman" w:hAnsi="Times New Roman" w:eastAsia="宋体" w:cs="Times New Roman"/>
                      <w:snapToGrid w:val="0"/>
                      <w:color w:val="auto"/>
                      <w:spacing w:val="9"/>
                      <w:kern w:val="0"/>
                      <w:sz w:val="21"/>
                      <w:szCs w:val="21"/>
                      <w:highlight w:val="none"/>
                      <w:lang w:val="en-US" w:eastAsia="zh-CN" w:bidi="ar-SA"/>
                    </w:rPr>
                    <w:t>1206</w:t>
                  </w:r>
                </w:p>
              </w:tc>
              <w:tc>
                <w:tcPr>
                  <w:tcW w:w="351" w:type="pct"/>
                  <w:shd w:val="clear" w:color="auto" w:fill="auto"/>
                  <w:vAlign w:val="center"/>
                </w:tcPr>
                <w:p w14:paraId="71A3C8D7">
                  <w:pPr>
                    <w:pStyle w:val="47"/>
                    <w:pageBreakBefore w:val="0"/>
                    <w:kinsoku/>
                    <w:wordWrap w:val="0"/>
                    <w:overflowPunct/>
                    <w:topLinePunct/>
                    <w:autoSpaceDE/>
                    <w:autoSpaceDN/>
                    <w:bidi w:val="0"/>
                    <w:ind w:left="0" w:leftChars="0" w:right="0" w:rightChars="0"/>
                    <w:rPr>
                      <w:rFonts w:hint="default" w:ascii="Times New Roman" w:hAnsi="Times New Roman" w:eastAsia="宋体" w:cs="Times New Roman"/>
                      <w:snapToGrid w:val="0"/>
                      <w:color w:val="auto"/>
                      <w:spacing w:val="9"/>
                      <w:kern w:val="0"/>
                      <w:sz w:val="21"/>
                      <w:szCs w:val="21"/>
                      <w:highlight w:val="none"/>
                      <w:lang w:val="en-US" w:eastAsia="en-US" w:bidi="ar-SA"/>
                    </w:rPr>
                  </w:pPr>
                  <w:r>
                    <w:rPr>
                      <w:rFonts w:hint="default" w:ascii="Times New Roman" w:hAnsi="Times New Roman" w:eastAsia="宋体" w:cs="Times New Roman"/>
                      <w:snapToGrid w:val="0"/>
                      <w:color w:val="auto"/>
                      <w:spacing w:val="9"/>
                      <w:kern w:val="0"/>
                      <w:sz w:val="21"/>
                      <w:szCs w:val="21"/>
                      <w:highlight w:val="none"/>
                      <w:lang w:val="en-US" w:eastAsia="zh-CN" w:bidi="ar-SA"/>
                    </w:rPr>
                    <w:t>1.81</w:t>
                  </w:r>
                </w:p>
              </w:tc>
              <w:tc>
                <w:tcPr>
                  <w:tcW w:w="328" w:type="pct"/>
                  <w:shd w:val="clear" w:color="auto" w:fill="auto"/>
                  <w:vAlign w:val="center"/>
                </w:tcPr>
                <w:p w14:paraId="14A77F68">
                  <w:pPr>
                    <w:pStyle w:val="47"/>
                    <w:pageBreakBefore w:val="0"/>
                    <w:kinsoku/>
                    <w:wordWrap w:val="0"/>
                    <w:overflowPunct/>
                    <w:topLinePunct/>
                    <w:autoSpaceDE/>
                    <w:autoSpaceDN/>
                    <w:bidi w:val="0"/>
                    <w:ind w:left="0" w:leftChars="0" w:right="0" w:rightChars="0"/>
                    <w:rPr>
                      <w:rFonts w:hint="default" w:ascii="Times New Roman" w:hAnsi="Times New Roman" w:eastAsia="宋体" w:cs="Times New Roman"/>
                      <w:snapToGrid w:val="0"/>
                      <w:color w:val="auto"/>
                      <w:spacing w:val="9"/>
                      <w:kern w:val="0"/>
                      <w:sz w:val="21"/>
                      <w:szCs w:val="21"/>
                      <w:highlight w:val="none"/>
                      <w:lang w:val="en-US" w:eastAsia="zh-CN" w:bidi="ar-SA"/>
                    </w:rPr>
                  </w:pPr>
                  <w:r>
                    <w:rPr>
                      <w:rFonts w:hint="default" w:ascii="Times New Roman" w:hAnsi="Times New Roman" w:eastAsia="宋体" w:cs="Times New Roman"/>
                      <w:snapToGrid w:val="0"/>
                      <w:color w:val="auto"/>
                      <w:spacing w:val="9"/>
                      <w:kern w:val="0"/>
                      <w:sz w:val="21"/>
                      <w:szCs w:val="21"/>
                      <w:highlight w:val="none"/>
                      <w:lang w:val="en-US" w:eastAsia="zh-CN" w:bidi="ar-SA"/>
                    </w:rPr>
                    <w:t>3.042</w:t>
                  </w:r>
                </w:p>
              </w:tc>
              <w:tc>
                <w:tcPr>
                  <w:tcW w:w="726" w:type="pct"/>
                  <w:vAlign w:val="center"/>
                </w:tcPr>
                <w:p w14:paraId="1B6F0E0B">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袋式除尘后经一根15m高排气筒排放</w:t>
                  </w:r>
                </w:p>
              </w:tc>
              <w:tc>
                <w:tcPr>
                  <w:tcW w:w="294" w:type="pct"/>
                  <w:vAlign w:val="center"/>
                </w:tcPr>
                <w:p w14:paraId="1D274003">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99.7</w:t>
                  </w:r>
                </w:p>
              </w:tc>
              <w:tc>
                <w:tcPr>
                  <w:tcW w:w="274" w:type="pct"/>
                  <w:vMerge w:val="restart"/>
                  <w:vAlign w:val="center"/>
                </w:tcPr>
                <w:p w14:paraId="21FCB72C">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1680</w:t>
                  </w:r>
                </w:p>
              </w:tc>
              <w:tc>
                <w:tcPr>
                  <w:tcW w:w="355" w:type="pct"/>
                  <w:shd w:val="clear" w:color="auto" w:fill="auto"/>
                  <w:vAlign w:val="center"/>
                </w:tcPr>
                <w:p w14:paraId="5F4BA6D3">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snapToGrid w:val="0"/>
                      <w:color w:val="auto"/>
                      <w:spacing w:val="9"/>
                      <w:kern w:val="0"/>
                      <w:sz w:val="21"/>
                      <w:szCs w:val="21"/>
                      <w:highlight w:val="none"/>
                      <w:lang w:val="en-US" w:eastAsia="zh-CN" w:bidi="ar-SA"/>
                    </w:rPr>
                    <w:t>3</w:t>
                  </w:r>
                  <w:r>
                    <w:rPr>
                      <w:rFonts w:hint="default" w:ascii="Times New Roman" w:hAnsi="Times New Roman" w:eastAsia="宋体" w:cs="Times New Roman"/>
                      <w:snapToGrid w:val="0"/>
                      <w:color w:val="auto"/>
                      <w:spacing w:val="9"/>
                      <w:kern w:val="0"/>
                      <w:sz w:val="21"/>
                      <w:szCs w:val="21"/>
                      <w:highlight w:val="none"/>
                      <w:lang w:val="en-US" w:eastAsia="zh-CN" w:bidi="ar-SA"/>
                    </w:rPr>
                    <w:t>.3</w:t>
                  </w:r>
                  <w:r>
                    <w:rPr>
                      <w:rFonts w:hint="eastAsia" w:ascii="Times New Roman" w:hAnsi="Times New Roman" w:eastAsia="宋体" w:cs="Times New Roman"/>
                      <w:snapToGrid w:val="0"/>
                      <w:color w:val="auto"/>
                      <w:spacing w:val="9"/>
                      <w:kern w:val="0"/>
                      <w:sz w:val="21"/>
                      <w:szCs w:val="21"/>
                      <w:highlight w:val="none"/>
                      <w:lang w:val="en-US" w:eastAsia="zh-CN" w:bidi="ar-SA"/>
                    </w:rPr>
                    <w:t>3</w:t>
                  </w:r>
                </w:p>
              </w:tc>
              <w:tc>
                <w:tcPr>
                  <w:tcW w:w="392" w:type="pct"/>
                  <w:shd w:val="clear" w:color="auto" w:fill="auto"/>
                  <w:vAlign w:val="center"/>
                </w:tcPr>
                <w:p w14:paraId="2C34B1FE">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spacing w:val="9"/>
                      <w:kern w:val="0"/>
                      <w:sz w:val="21"/>
                      <w:szCs w:val="21"/>
                      <w:highlight w:val="none"/>
                      <w:lang w:val="en-US" w:eastAsia="zh-CN" w:bidi="ar-SA"/>
                    </w:rPr>
                    <w:t>0.005</w:t>
                  </w:r>
                </w:p>
              </w:tc>
              <w:tc>
                <w:tcPr>
                  <w:tcW w:w="392" w:type="pct"/>
                  <w:shd w:val="clear" w:color="auto" w:fill="auto"/>
                  <w:vAlign w:val="center"/>
                </w:tcPr>
                <w:p w14:paraId="57358498">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spacing w:val="9"/>
                      <w:kern w:val="0"/>
                      <w:sz w:val="21"/>
                      <w:szCs w:val="21"/>
                      <w:highlight w:val="none"/>
                      <w:lang w:val="en-US" w:eastAsia="zh-CN" w:bidi="ar-SA"/>
                    </w:rPr>
                    <w:t>0.009</w:t>
                  </w:r>
                </w:p>
              </w:tc>
            </w:tr>
            <w:tr w14:paraId="4FA69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236" w:type="pct"/>
                  <w:vMerge w:val="restart"/>
                  <w:vAlign w:val="center"/>
                </w:tcPr>
                <w:p w14:paraId="3234A672">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无</w:t>
                  </w:r>
                  <w:r>
                    <w:rPr>
                      <w:rFonts w:hint="default" w:ascii="Times New Roman" w:hAnsi="Times New Roman" w:eastAsia="宋体" w:cs="Times New Roman"/>
                      <w:color w:val="auto"/>
                      <w:sz w:val="21"/>
                      <w:szCs w:val="21"/>
                      <w:highlight w:val="none"/>
                    </w:rPr>
                    <w:t>组织</w:t>
                  </w:r>
                </w:p>
              </w:tc>
              <w:tc>
                <w:tcPr>
                  <w:tcW w:w="1013" w:type="pct"/>
                  <w:gridSpan w:val="3"/>
                  <w:vAlign w:val="center"/>
                </w:tcPr>
                <w:p w14:paraId="237BF428">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0"/>
                      <w:sz w:val="21"/>
                      <w:szCs w:val="21"/>
                      <w:highlight w:val="none"/>
                      <w:lang w:val="en-US" w:eastAsia="zh-CN"/>
                    </w:rPr>
                    <w:t>卸料</w:t>
                  </w:r>
                </w:p>
              </w:tc>
              <w:tc>
                <w:tcPr>
                  <w:tcW w:w="283" w:type="pct"/>
                  <w:vAlign w:val="center"/>
                </w:tcPr>
                <w:p w14:paraId="7E58770D">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351" w:type="pct"/>
                  <w:shd w:val="clear" w:color="auto" w:fill="auto"/>
                  <w:vAlign w:val="center"/>
                </w:tcPr>
                <w:p w14:paraId="4B041BFF">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51" w:type="pct"/>
                  <w:shd w:val="clear" w:color="auto" w:fill="auto"/>
                  <w:vAlign w:val="center"/>
                </w:tcPr>
                <w:p w14:paraId="5B820FB3">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21.98</w:t>
                  </w:r>
                </w:p>
              </w:tc>
              <w:tc>
                <w:tcPr>
                  <w:tcW w:w="328" w:type="pct"/>
                  <w:shd w:val="clear" w:color="auto" w:fill="auto"/>
                  <w:vAlign w:val="center"/>
                </w:tcPr>
                <w:p w14:paraId="62E994C8">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spacing w:val="9"/>
                      <w:kern w:val="0"/>
                      <w:sz w:val="21"/>
                      <w:szCs w:val="21"/>
                      <w:highlight w:val="none"/>
                      <w:lang w:val="en-US" w:eastAsia="zh-CN" w:bidi="ar-SA"/>
                    </w:rPr>
                    <w:t>36.93</w:t>
                  </w:r>
                </w:p>
              </w:tc>
              <w:tc>
                <w:tcPr>
                  <w:tcW w:w="726" w:type="pct"/>
                  <w:vAlign w:val="center"/>
                </w:tcPr>
                <w:p w14:paraId="1ACC06AB">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封闭</w:t>
                  </w:r>
                  <w:r>
                    <w:rPr>
                      <w:rFonts w:hint="default" w:ascii="Times New Roman" w:hAnsi="Times New Roman" w:eastAsia="宋体" w:cs="Times New Roman"/>
                      <w:color w:val="auto"/>
                      <w:sz w:val="21"/>
                      <w:szCs w:val="21"/>
                      <w:highlight w:val="none"/>
                      <w:lang w:val="en-US" w:eastAsia="zh-CN"/>
                    </w:rPr>
                    <w:t>车间</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洒水</w:t>
                  </w:r>
                </w:p>
              </w:tc>
              <w:tc>
                <w:tcPr>
                  <w:tcW w:w="294" w:type="pct"/>
                  <w:vAlign w:val="center"/>
                </w:tcPr>
                <w:p w14:paraId="3461974C">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97.4</w:t>
                  </w:r>
                </w:p>
              </w:tc>
              <w:tc>
                <w:tcPr>
                  <w:tcW w:w="274" w:type="pct"/>
                  <w:vMerge w:val="continue"/>
                  <w:vAlign w:val="center"/>
                </w:tcPr>
                <w:p w14:paraId="499257EE">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355" w:type="pct"/>
                  <w:shd w:val="clear" w:color="auto" w:fill="auto"/>
                  <w:vAlign w:val="center"/>
                </w:tcPr>
                <w:p w14:paraId="7FD78081">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92" w:type="pct"/>
                  <w:shd w:val="clear" w:color="auto" w:fill="auto"/>
                  <w:vAlign w:val="center"/>
                </w:tcPr>
                <w:p w14:paraId="1E57E4F8">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spacing w:val="9"/>
                      <w:kern w:val="0"/>
                      <w:sz w:val="21"/>
                      <w:szCs w:val="21"/>
                      <w:highlight w:val="none"/>
                      <w:lang w:val="en-US" w:eastAsia="zh-CN" w:bidi="ar-SA"/>
                    </w:rPr>
                    <w:t>0.055</w:t>
                  </w:r>
                </w:p>
              </w:tc>
              <w:tc>
                <w:tcPr>
                  <w:tcW w:w="392" w:type="pct"/>
                  <w:shd w:val="clear" w:color="auto" w:fill="auto"/>
                  <w:vAlign w:val="center"/>
                </w:tcPr>
                <w:p w14:paraId="5B977A57">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spacing w:val="9"/>
                      <w:kern w:val="0"/>
                      <w:sz w:val="21"/>
                      <w:szCs w:val="21"/>
                      <w:highlight w:val="none"/>
                      <w:lang w:val="en-US" w:eastAsia="zh-CN" w:bidi="ar-SA"/>
                    </w:rPr>
                    <w:t>0.095</w:t>
                  </w:r>
                </w:p>
              </w:tc>
            </w:tr>
            <w:tr w14:paraId="50A8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6" w:hRule="atLeast"/>
                <w:jc w:val="center"/>
              </w:trPr>
              <w:tc>
                <w:tcPr>
                  <w:tcW w:w="236" w:type="pct"/>
                  <w:vMerge w:val="continue"/>
                  <w:vAlign w:val="center"/>
                </w:tcPr>
                <w:p w14:paraId="7FFC16C8">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1013" w:type="pct"/>
                  <w:gridSpan w:val="3"/>
                  <w:vAlign w:val="center"/>
                </w:tcPr>
                <w:p w14:paraId="6E861EBD">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spacing w:val="9"/>
                      <w:kern w:val="0"/>
                      <w:sz w:val="21"/>
                      <w:szCs w:val="21"/>
                      <w:highlight w:val="none"/>
                      <w:lang w:val="en-US" w:eastAsia="zh-CN" w:bidi="ar-SA"/>
                    </w:rPr>
                    <w:t>上料、</w:t>
                  </w:r>
                  <w:r>
                    <w:rPr>
                      <w:rFonts w:hint="default" w:ascii="Times New Roman" w:hAnsi="Times New Roman" w:eastAsia="宋体" w:cs="Times New Roman"/>
                      <w:color w:val="auto"/>
                      <w:spacing w:val="10"/>
                      <w:sz w:val="21"/>
                      <w:szCs w:val="21"/>
                      <w:highlight w:val="none"/>
                    </w:rPr>
                    <w:t>混合搅拌</w:t>
                  </w:r>
                </w:p>
              </w:tc>
              <w:tc>
                <w:tcPr>
                  <w:tcW w:w="283" w:type="pct"/>
                  <w:vAlign w:val="center"/>
                </w:tcPr>
                <w:p w14:paraId="1691BE01">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351" w:type="pct"/>
                  <w:shd w:val="clear" w:color="auto" w:fill="auto"/>
                  <w:vAlign w:val="center"/>
                </w:tcPr>
                <w:p w14:paraId="2C72F486">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51" w:type="pct"/>
                  <w:shd w:val="clear" w:color="auto" w:fill="auto"/>
                  <w:vAlign w:val="center"/>
                </w:tcPr>
                <w:p w14:paraId="0F612BDD">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snapToGrid w:val="0"/>
                      <w:color w:val="auto"/>
                      <w:spacing w:val="9"/>
                      <w:kern w:val="0"/>
                      <w:sz w:val="21"/>
                      <w:szCs w:val="21"/>
                      <w:highlight w:val="none"/>
                      <w:lang w:val="en-US" w:eastAsia="zh-CN" w:bidi="ar-SA"/>
                    </w:rPr>
                    <w:t>0.</w:t>
                  </w:r>
                  <w:r>
                    <w:rPr>
                      <w:rFonts w:hint="eastAsia" w:ascii="Times New Roman" w:hAnsi="Times New Roman" w:eastAsia="宋体" w:cs="Times New Roman"/>
                      <w:snapToGrid w:val="0"/>
                      <w:color w:val="auto"/>
                      <w:spacing w:val="9"/>
                      <w:kern w:val="0"/>
                      <w:sz w:val="21"/>
                      <w:szCs w:val="21"/>
                      <w:highlight w:val="none"/>
                      <w:lang w:val="en-US" w:eastAsia="zh-CN" w:bidi="ar-SA"/>
                    </w:rPr>
                    <w:t>201</w:t>
                  </w:r>
                </w:p>
              </w:tc>
              <w:tc>
                <w:tcPr>
                  <w:tcW w:w="328" w:type="pct"/>
                  <w:shd w:val="clear" w:color="auto" w:fill="auto"/>
                  <w:vAlign w:val="center"/>
                </w:tcPr>
                <w:p w14:paraId="791DCCA2">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snapToGrid w:val="0"/>
                      <w:color w:val="auto"/>
                      <w:spacing w:val="9"/>
                      <w:kern w:val="0"/>
                      <w:sz w:val="21"/>
                      <w:szCs w:val="21"/>
                      <w:highlight w:val="none"/>
                      <w:lang w:val="en-US" w:eastAsia="zh-CN" w:bidi="ar-SA"/>
                    </w:rPr>
                    <w:t>0.03</w:t>
                  </w:r>
                  <w:r>
                    <w:rPr>
                      <w:rFonts w:hint="eastAsia" w:ascii="Times New Roman" w:hAnsi="Times New Roman" w:eastAsia="宋体" w:cs="Times New Roman"/>
                      <w:snapToGrid w:val="0"/>
                      <w:color w:val="auto"/>
                      <w:spacing w:val="9"/>
                      <w:kern w:val="0"/>
                      <w:sz w:val="21"/>
                      <w:szCs w:val="21"/>
                      <w:highlight w:val="none"/>
                      <w:lang w:val="en-US" w:eastAsia="zh-CN" w:bidi="ar-SA"/>
                    </w:rPr>
                    <w:t>4</w:t>
                  </w:r>
                </w:p>
              </w:tc>
              <w:tc>
                <w:tcPr>
                  <w:tcW w:w="726" w:type="pct"/>
                  <w:vAlign w:val="center"/>
                </w:tcPr>
                <w:p w14:paraId="049952CB">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封闭</w:t>
                  </w:r>
                  <w:r>
                    <w:rPr>
                      <w:rFonts w:hint="default" w:ascii="Times New Roman" w:hAnsi="Times New Roman" w:eastAsia="宋体" w:cs="Times New Roman"/>
                      <w:color w:val="auto"/>
                      <w:sz w:val="21"/>
                      <w:szCs w:val="21"/>
                      <w:highlight w:val="none"/>
                      <w:lang w:val="en-US" w:eastAsia="zh-CN"/>
                    </w:rPr>
                    <w:t>车间</w:t>
                  </w:r>
                  <w:r>
                    <w:rPr>
                      <w:rFonts w:hint="default" w:ascii="Times New Roman" w:hAnsi="Times New Roman" w:eastAsia="宋体" w:cs="Times New Roman"/>
                      <w:color w:val="auto"/>
                      <w:sz w:val="21"/>
                      <w:szCs w:val="21"/>
                      <w:highlight w:val="none"/>
                      <w:lang w:eastAsia="zh-CN"/>
                    </w:rPr>
                    <w:t>，</w:t>
                  </w:r>
                </w:p>
              </w:tc>
              <w:tc>
                <w:tcPr>
                  <w:tcW w:w="294" w:type="pct"/>
                  <w:vAlign w:val="center"/>
                </w:tcPr>
                <w:p w14:paraId="5F45EF21">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99</w:t>
                  </w:r>
                </w:p>
              </w:tc>
              <w:tc>
                <w:tcPr>
                  <w:tcW w:w="274" w:type="pct"/>
                  <w:vMerge w:val="continue"/>
                  <w:vAlign w:val="center"/>
                </w:tcPr>
                <w:p w14:paraId="166280D9">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355" w:type="pct"/>
                  <w:shd w:val="clear" w:color="auto" w:fill="auto"/>
                  <w:vAlign w:val="center"/>
                </w:tcPr>
                <w:p w14:paraId="36C5B3B7">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92" w:type="pct"/>
                  <w:shd w:val="clear" w:color="auto" w:fill="auto"/>
                  <w:vAlign w:val="center"/>
                </w:tcPr>
                <w:p w14:paraId="0B633CC9">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snapToGrid w:val="0"/>
                      <w:color w:val="auto"/>
                      <w:spacing w:val="9"/>
                      <w:kern w:val="0"/>
                      <w:sz w:val="21"/>
                      <w:szCs w:val="21"/>
                      <w:highlight w:val="none"/>
                      <w:lang w:val="en-US" w:eastAsia="zh-CN" w:bidi="ar-SA"/>
                    </w:rPr>
                    <w:t>0.00</w:t>
                  </w:r>
                  <w:r>
                    <w:rPr>
                      <w:rFonts w:hint="eastAsia" w:ascii="Times New Roman" w:hAnsi="Times New Roman" w:eastAsia="宋体" w:cs="Times New Roman"/>
                      <w:snapToGrid w:val="0"/>
                      <w:color w:val="auto"/>
                      <w:spacing w:val="9"/>
                      <w:kern w:val="0"/>
                      <w:sz w:val="21"/>
                      <w:szCs w:val="21"/>
                      <w:highlight w:val="none"/>
                      <w:lang w:val="en-US" w:eastAsia="zh-CN" w:bidi="ar-SA"/>
                    </w:rPr>
                    <w:t>2</w:t>
                  </w:r>
                </w:p>
              </w:tc>
              <w:tc>
                <w:tcPr>
                  <w:tcW w:w="392" w:type="pct"/>
                  <w:shd w:val="clear" w:color="auto" w:fill="auto"/>
                  <w:vAlign w:val="center"/>
                </w:tcPr>
                <w:p w14:paraId="113CD224">
                  <w:pPr>
                    <w:pStyle w:val="47"/>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snapToGrid w:val="0"/>
                      <w:color w:val="auto"/>
                      <w:spacing w:val="9"/>
                      <w:kern w:val="0"/>
                      <w:sz w:val="21"/>
                      <w:szCs w:val="21"/>
                      <w:highlight w:val="none"/>
                      <w:lang w:val="en-US" w:eastAsia="zh-CN" w:bidi="ar-SA"/>
                    </w:rPr>
                    <w:t>0.00</w:t>
                  </w:r>
                  <w:r>
                    <w:rPr>
                      <w:rFonts w:hint="eastAsia" w:ascii="Times New Roman" w:hAnsi="Times New Roman" w:eastAsia="宋体" w:cs="Times New Roman"/>
                      <w:snapToGrid w:val="0"/>
                      <w:color w:val="auto"/>
                      <w:spacing w:val="9"/>
                      <w:kern w:val="0"/>
                      <w:sz w:val="21"/>
                      <w:szCs w:val="21"/>
                      <w:highlight w:val="none"/>
                      <w:lang w:val="en-US" w:eastAsia="zh-CN" w:bidi="ar-SA"/>
                    </w:rPr>
                    <w:t>3</w:t>
                  </w:r>
                </w:p>
              </w:tc>
            </w:tr>
            <w:tr w14:paraId="5AEA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jc w:val="center"/>
              </w:trPr>
              <w:tc>
                <w:tcPr>
                  <w:tcW w:w="236" w:type="pct"/>
                  <w:vMerge w:val="continue"/>
                  <w:vAlign w:val="center"/>
                </w:tcPr>
                <w:p w14:paraId="4DB22A8A">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1013" w:type="pct"/>
                  <w:gridSpan w:val="3"/>
                  <w:vAlign w:val="center"/>
                </w:tcPr>
                <w:p w14:paraId="1731B4C8">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道路运输扬尘</w:t>
                  </w:r>
                </w:p>
              </w:tc>
              <w:tc>
                <w:tcPr>
                  <w:tcW w:w="283" w:type="pct"/>
                  <w:vAlign w:val="center"/>
                </w:tcPr>
                <w:p w14:paraId="3E7B0398">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351" w:type="pct"/>
                  <w:vAlign w:val="center"/>
                </w:tcPr>
                <w:p w14:paraId="35183A02">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51" w:type="pct"/>
                  <w:vAlign w:val="center"/>
                </w:tcPr>
                <w:p w14:paraId="42D9985C">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spacing w:val="9"/>
                      <w:kern w:val="0"/>
                      <w:sz w:val="21"/>
                      <w:szCs w:val="21"/>
                      <w:highlight w:val="none"/>
                      <w:lang w:val="en-US" w:eastAsia="zh-CN" w:bidi="ar-SA"/>
                    </w:rPr>
                    <w:t>0.155</w:t>
                  </w:r>
                </w:p>
              </w:tc>
              <w:tc>
                <w:tcPr>
                  <w:tcW w:w="328" w:type="pct"/>
                  <w:vAlign w:val="center"/>
                </w:tcPr>
                <w:p w14:paraId="063A3EBD">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spacing w:val="9"/>
                      <w:kern w:val="0"/>
                      <w:sz w:val="21"/>
                      <w:szCs w:val="21"/>
                      <w:highlight w:val="none"/>
                      <w:lang w:val="en-US" w:eastAsia="zh-CN" w:bidi="ar-SA"/>
                    </w:rPr>
                    <w:t>0.26</w:t>
                  </w:r>
                </w:p>
              </w:tc>
              <w:tc>
                <w:tcPr>
                  <w:tcW w:w="726" w:type="pct"/>
                  <w:vAlign w:val="center"/>
                </w:tcPr>
                <w:p w14:paraId="4E869539">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洒水降尘，</w:t>
                  </w:r>
                </w:p>
              </w:tc>
              <w:tc>
                <w:tcPr>
                  <w:tcW w:w="294" w:type="pct"/>
                  <w:vAlign w:val="center"/>
                </w:tcPr>
                <w:p w14:paraId="30ED7154">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74</w:t>
                  </w:r>
                </w:p>
              </w:tc>
              <w:tc>
                <w:tcPr>
                  <w:tcW w:w="274" w:type="pct"/>
                  <w:vMerge w:val="continue"/>
                  <w:vAlign w:val="center"/>
                </w:tcPr>
                <w:p w14:paraId="44EB29FE">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355" w:type="pct"/>
                  <w:vAlign w:val="center"/>
                </w:tcPr>
                <w:p w14:paraId="635F3544">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92" w:type="pct"/>
                  <w:vAlign w:val="center"/>
                </w:tcPr>
                <w:p w14:paraId="0B6579B1">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spacing w:val="9"/>
                      <w:kern w:val="0"/>
                      <w:sz w:val="21"/>
                      <w:szCs w:val="21"/>
                      <w:highlight w:val="none"/>
                      <w:lang w:val="en-US" w:eastAsia="zh-CN" w:bidi="ar-SA"/>
                    </w:rPr>
                    <w:t>0.04</w:t>
                  </w:r>
                </w:p>
              </w:tc>
              <w:tc>
                <w:tcPr>
                  <w:tcW w:w="392" w:type="pct"/>
                  <w:vAlign w:val="center"/>
                </w:tcPr>
                <w:p w14:paraId="7C9ED3EF">
                  <w:pPr>
                    <w:keepNext w:val="0"/>
                    <w:keepLines w:val="0"/>
                    <w:pageBreakBefore w:val="0"/>
                    <w:widowControl/>
                    <w:kinsoku/>
                    <w:wordWrap w:val="0"/>
                    <w:overflowPunct/>
                    <w:topLinePunct/>
                    <w:autoSpaceDE/>
                    <w:autoSpaceDN/>
                    <w:bidi w:val="0"/>
                    <w:adjustRightInd w:val="0"/>
                    <w:snapToGrid w:val="0"/>
                    <w:spacing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spacing w:val="9"/>
                      <w:kern w:val="0"/>
                      <w:sz w:val="21"/>
                      <w:szCs w:val="21"/>
                      <w:highlight w:val="none"/>
                      <w:lang w:val="en-US" w:eastAsia="zh-CN" w:bidi="ar-SA"/>
                    </w:rPr>
                    <w:t>0.068</w:t>
                  </w:r>
                </w:p>
              </w:tc>
            </w:tr>
            <w:bookmarkEnd w:id="4"/>
          </w:tbl>
          <w:p w14:paraId="23521E2D">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eastAsia="宋体" w:cs="Times New Roman"/>
                <w:snapToGrid w:val="0"/>
                <w:color w:val="auto"/>
                <w:spacing w:val="9"/>
                <w:kern w:val="0"/>
                <w:sz w:val="24"/>
                <w:szCs w:val="24"/>
                <w:highlight w:val="none"/>
                <w:lang w:val="en-US" w:eastAsia="zh-CN" w:bidi="ar-SA"/>
              </w:rPr>
            </w:pPr>
            <w:r>
              <w:rPr>
                <w:rFonts w:hint="default" w:ascii="Times New Roman" w:hAnsi="Times New Roman" w:eastAsia="宋体" w:cs="Times New Roman"/>
                <w:snapToGrid w:val="0"/>
                <w:color w:val="auto"/>
                <w:spacing w:val="9"/>
                <w:kern w:val="0"/>
                <w:sz w:val="24"/>
                <w:szCs w:val="24"/>
                <w:highlight w:val="none"/>
                <w:lang w:val="en-US" w:eastAsia="zh-CN" w:bidi="ar-SA"/>
              </w:rPr>
              <w:t>根据以上分析可知，本项目上料、混合搅拌废气通过采用布袋除尘器+15m高排气筒处理后，能够满足《大气污染物综合排放标准》（GB16297-1996）表2中二级标准排放限值（颗粒物≤120mg/m</w:t>
            </w:r>
            <w:r>
              <w:rPr>
                <w:rFonts w:hint="default" w:ascii="Times New Roman" w:hAnsi="Times New Roman" w:eastAsia="宋体" w:cs="Times New Roman"/>
                <w:snapToGrid w:val="0"/>
                <w:color w:val="auto"/>
                <w:spacing w:val="9"/>
                <w:kern w:val="0"/>
                <w:sz w:val="24"/>
                <w:szCs w:val="24"/>
                <w:highlight w:val="none"/>
                <w:vertAlign w:val="superscript"/>
                <w:lang w:val="en-US" w:eastAsia="zh-CN" w:bidi="ar-SA"/>
              </w:rPr>
              <w:t>3</w:t>
            </w:r>
            <w:r>
              <w:rPr>
                <w:rFonts w:hint="default" w:ascii="Times New Roman" w:hAnsi="Times New Roman" w:eastAsia="宋体" w:cs="Times New Roman"/>
                <w:snapToGrid w:val="0"/>
                <w:color w:val="auto"/>
                <w:spacing w:val="9"/>
                <w:kern w:val="0"/>
                <w:sz w:val="24"/>
                <w:szCs w:val="24"/>
                <w:highlight w:val="none"/>
                <w:lang w:val="en-US" w:eastAsia="zh-CN" w:bidi="ar-SA"/>
              </w:rPr>
              <w:t>）。</w:t>
            </w:r>
          </w:p>
          <w:p w14:paraId="5BDA40A4">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80" w:firstLineChars="200"/>
              <w:jc w:val="both"/>
              <w:textAlignment w:val="baseline"/>
              <w:rPr>
                <w:rFonts w:hint="default" w:ascii="Times New Roman" w:hAnsi="Times New Roman" w:eastAsia="宋体" w:cs="Times New Roman"/>
                <w:snapToGrid w:val="0"/>
                <w:color w:val="auto"/>
                <w:kern w:val="0"/>
                <w:sz w:val="24"/>
                <w:szCs w:val="24"/>
                <w:highlight w:val="none"/>
                <w:lang w:val="en-US" w:eastAsia="en-US" w:bidi="ar-SA"/>
              </w:rPr>
            </w:pPr>
          </w:p>
        </w:tc>
      </w:tr>
      <w:tr w14:paraId="11139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01" w:hRule="atLeast"/>
        </w:trPr>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4A60E1A0">
            <w:pPr>
              <w:pStyle w:val="25"/>
              <w:pageBreakBefore w:val="0"/>
              <w:kinsoku/>
              <w:wordWrap w:val="0"/>
              <w:overflowPunct/>
              <w:topLinePunct/>
              <w:autoSpaceDE/>
              <w:autoSpaceDN/>
              <w:bidi w:val="0"/>
              <w:spacing w:line="252" w:lineRule="auto"/>
              <w:ind w:left="0" w:leftChars="0" w:right="0" w:rightChars="0"/>
              <w:jc w:val="center"/>
              <w:rPr>
                <w:rFonts w:hint="default" w:ascii="Times New Roman" w:hAnsi="Times New Roman" w:eastAsia="宋体" w:cs="Times New Roman"/>
                <w:color w:val="auto"/>
                <w:spacing w:val="4"/>
                <w:sz w:val="24"/>
                <w:szCs w:val="24"/>
                <w:highlight w:val="none"/>
              </w:rPr>
            </w:pPr>
          </w:p>
        </w:tc>
        <w:tc>
          <w:tcPr>
            <w:tcW w:w="8214" w:type="dxa"/>
            <w:tcBorders>
              <w:top w:val="single" w:color="auto" w:sz="4" w:space="0"/>
              <w:left w:val="single" w:color="auto" w:sz="4" w:space="0"/>
              <w:bottom w:val="single" w:color="auto" w:sz="4" w:space="0"/>
              <w:right w:val="single" w:color="auto" w:sz="4" w:space="0"/>
            </w:tcBorders>
            <w:shd w:val="clear" w:color="auto" w:fill="auto"/>
            <w:vAlign w:val="top"/>
          </w:tcPr>
          <w:p w14:paraId="66FF3966">
            <w:pPr>
              <w:keepNext w:val="0"/>
              <w:keepLines w:val="0"/>
              <w:pageBreakBefore w:val="0"/>
              <w:widowControl/>
              <w:kinsoku/>
              <w:wordWrap w:val="0"/>
              <w:overflowPunct/>
              <w:topLinePunct/>
              <w:autoSpaceDE/>
              <w:autoSpaceDN/>
              <w:bidi w:val="0"/>
              <w:adjustRightInd w:val="0"/>
              <w:snapToGrid w:val="0"/>
              <w:spacing w:line="360" w:lineRule="auto"/>
              <w:ind w:left="0" w:right="0" w:firstLine="526" w:firstLineChars="200"/>
              <w:textAlignment w:val="baseline"/>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pacing w:val="11"/>
                <w:sz w:val="24"/>
                <w:szCs w:val="24"/>
                <w:highlight w:val="none"/>
              </w:rPr>
              <w:t>1</w:t>
            </w:r>
            <w:r>
              <w:rPr>
                <w:rFonts w:hint="default" w:ascii="Times New Roman" w:hAnsi="Times New Roman" w:eastAsia="宋体" w:cs="Times New Roman"/>
                <w:b/>
                <w:bCs/>
                <w:color w:val="auto"/>
                <w:sz w:val="24"/>
                <w:szCs w:val="24"/>
                <w:highlight w:val="none"/>
              </w:rPr>
              <w:t>.2废气非正常排放</w:t>
            </w:r>
          </w:p>
          <w:p w14:paraId="2B241FA8">
            <w:pPr>
              <w:pStyle w:val="48"/>
              <w:keepNext w:val="0"/>
              <w:keepLines w:val="0"/>
              <w:pageBreakBefore w:val="0"/>
              <w:widowControl/>
              <w:kinsoku/>
              <w:wordWrap w:val="0"/>
              <w:overflowPunct/>
              <w:topLinePunct/>
              <w:autoSpaceDE/>
              <w:autoSpaceDN/>
              <w:bidi w:val="0"/>
              <w:adjustRightInd w:val="0"/>
              <w:snapToGrid w:val="0"/>
              <w:spacing w:line="360" w:lineRule="auto"/>
              <w:ind w:left="0" w:leftChars="0" w:right="0" w:firstLine="524" w:firstLineChars="200"/>
              <w:jc w:val="both"/>
              <w:textAlignment w:val="baseline"/>
              <w:rPr>
                <w:rFonts w:hint="default" w:ascii="Times New Roman" w:hAnsi="Times New Roman" w:eastAsia="宋体" w:cs="Times New Roman"/>
                <w:snapToGrid w:val="0"/>
                <w:color w:val="auto"/>
                <w:spacing w:val="11"/>
                <w:kern w:val="0"/>
                <w:sz w:val="24"/>
                <w:szCs w:val="24"/>
                <w:highlight w:val="none"/>
                <w:lang w:val="en-US" w:eastAsia="zh-CN" w:bidi="ar-SA"/>
              </w:rPr>
            </w:pPr>
            <w:r>
              <w:rPr>
                <w:rFonts w:hint="default" w:ascii="Times New Roman" w:hAnsi="Times New Roman" w:eastAsia="宋体" w:cs="Times New Roman"/>
                <w:snapToGrid w:val="0"/>
                <w:color w:val="auto"/>
                <w:spacing w:val="11"/>
                <w:kern w:val="0"/>
                <w:sz w:val="24"/>
                <w:szCs w:val="24"/>
                <w:highlight w:val="none"/>
                <w:lang w:val="en-US" w:eastAsia="en-US" w:bidi="ar-SA"/>
              </w:rPr>
              <w:t>非正常排放主要是指生产过程中开、停车、检修、发生故障情况下污染物的排放，不包括事故。非正常排放大小及频率与生产装置的工艺水平、操作管理水平等因素有密切关系，若没有严格的处理措施，往往是造成污染的重要因素。本项目非正常工况主要包括开、停车，检修；电力供应突然中断；废气处理设施故障。项目非正常工况会引起污染物的非正常排放。本项目非正常工况下主要为袋式除尘器损坏等导致废气处置效率降低。</w:t>
            </w:r>
            <w:r>
              <w:rPr>
                <w:rFonts w:hint="default" w:ascii="Times New Roman" w:hAnsi="Times New Roman" w:eastAsia="宋体" w:cs="Times New Roman"/>
                <w:snapToGrid w:val="0"/>
                <w:color w:val="auto"/>
                <w:spacing w:val="11"/>
                <w:kern w:val="0"/>
                <w:sz w:val="24"/>
                <w:szCs w:val="24"/>
                <w:highlight w:val="none"/>
                <w:lang w:val="en-US" w:eastAsia="zh-CN" w:bidi="ar-SA"/>
              </w:rPr>
              <w:t>详见表4-2.</w:t>
            </w:r>
          </w:p>
          <w:p w14:paraId="225D7F5D">
            <w:pPr>
              <w:pStyle w:val="48"/>
              <w:pageBreakBefore w:val="0"/>
              <w:kinsoku/>
              <w:wordWrap w:val="0"/>
              <w:overflowPunct/>
              <w:topLinePunct/>
              <w:autoSpaceDE/>
              <w:autoSpaceDN/>
              <w:bidi w:val="0"/>
              <w:ind w:left="0" w:leftChars="0" w:right="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表4-2项目事故状态下大气污染物排放情况</w:t>
            </w:r>
          </w:p>
          <w:tbl>
            <w:tblPr>
              <w:tblStyle w:val="18"/>
              <w:tblW w:w="48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940"/>
              <w:gridCol w:w="914"/>
              <w:gridCol w:w="826"/>
              <w:gridCol w:w="890"/>
              <w:gridCol w:w="1038"/>
              <w:gridCol w:w="1353"/>
              <w:gridCol w:w="960"/>
            </w:tblGrid>
            <w:tr w14:paraId="1BDE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697" w:type="pct"/>
                  <w:shd w:val="clear" w:color="auto" w:fill="auto"/>
                  <w:vAlign w:val="center"/>
                </w:tcPr>
                <w:p w14:paraId="44FB366C">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非正常排放源</w:t>
                  </w:r>
                </w:p>
              </w:tc>
              <w:tc>
                <w:tcPr>
                  <w:tcW w:w="584" w:type="pct"/>
                  <w:shd w:val="clear" w:color="auto" w:fill="auto"/>
                  <w:vAlign w:val="center"/>
                </w:tcPr>
                <w:p w14:paraId="2C039725">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年发生频次（次）</w:t>
                  </w:r>
                </w:p>
              </w:tc>
              <w:tc>
                <w:tcPr>
                  <w:tcW w:w="568" w:type="pct"/>
                  <w:shd w:val="clear" w:color="auto" w:fill="auto"/>
                  <w:vAlign w:val="center"/>
                </w:tcPr>
                <w:p w14:paraId="0F80A919">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非正常排放原因</w:t>
                  </w:r>
                </w:p>
              </w:tc>
              <w:tc>
                <w:tcPr>
                  <w:tcW w:w="513" w:type="pct"/>
                  <w:shd w:val="clear" w:color="auto" w:fill="auto"/>
                  <w:vAlign w:val="center"/>
                </w:tcPr>
                <w:p w14:paraId="514DE55D">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污染物</w:t>
                  </w:r>
                </w:p>
              </w:tc>
              <w:tc>
                <w:tcPr>
                  <w:tcW w:w="553" w:type="pct"/>
                  <w:shd w:val="clear" w:color="auto" w:fill="auto"/>
                  <w:vAlign w:val="center"/>
                </w:tcPr>
                <w:p w14:paraId="4DEE8F70">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排放浓度（mg/m</w:t>
                  </w:r>
                  <w:r>
                    <w:rPr>
                      <w:rFonts w:hint="default" w:ascii="Times New Roman" w:hAnsi="Times New Roman" w:eastAsia="宋体" w:cs="Times New Roman"/>
                      <w:color w:val="auto"/>
                      <w:kern w:val="0"/>
                      <w:sz w:val="21"/>
                      <w:szCs w:val="21"/>
                      <w:highlight w:val="none"/>
                      <w:vertAlign w:val="superscript"/>
                    </w:rPr>
                    <w:t>3</w:t>
                  </w:r>
                  <w:r>
                    <w:rPr>
                      <w:rFonts w:hint="default" w:ascii="Times New Roman" w:hAnsi="Times New Roman" w:eastAsia="宋体" w:cs="Times New Roman"/>
                      <w:color w:val="auto"/>
                      <w:kern w:val="0"/>
                      <w:sz w:val="21"/>
                      <w:szCs w:val="21"/>
                      <w:highlight w:val="none"/>
                    </w:rPr>
                    <w:t>）</w:t>
                  </w:r>
                </w:p>
              </w:tc>
              <w:tc>
                <w:tcPr>
                  <w:tcW w:w="645" w:type="pct"/>
                  <w:shd w:val="clear" w:color="auto" w:fill="auto"/>
                  <w:vAlign w:val="center"/>
                </w:tcPr>
                <w:p w14:paraId="397272F2">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非正常排放量（kg/h）</w:t>
                  </w:r>
                </w:p>
              </w:tc>
              <w:tc>
                <w:tcPr>
                  <w:tcW w:w="840" w:type="pct"/>
                  <w:shd w:val="clear" w:color="auto" w:fill="auto"/>
                  <w:vAlign w:val="center"/>
                </w:tcPr>
                <w:p w14:paraId="6698D03B">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措施</w:t>
                  </w:r>
                </w:p>
              </w:tc>
              <w:tc>
                <w:tcPr>
                  <w:tcW w:w="596" w:type="pct"/>
                  <w:shd w:val="clear" w:color="auto" w:fill="auto"/>
                  <w:vAlign w:val="center"/>
                </w:tcPr>
                <w:p w14:paraId="62B86019">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单次持续时间/h</w:t>
                  </w:r>
                </w:p>
              </w:tc>
            </w:tr>
            <w:tr w14:paraId="5D6EC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697" w:type="pct"/>
                  <w:shd w:val="clear" w:color="auto" w:fill="auto"/>
                  <w:vAlign w:val="center"/>
                </w:tcPr>
                <w:p w14:paraId="0D84D766">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上料、混合</w:t>
                  </w:r>
                  <w:r>
                    <w:rPr>
                      <w:rFonts w:hint="default" w:ascii="Times New Roman" w:hAnsi="Times New Roman" w:eastAsia="宋体" w:cs="Times New Roman"/>
                      <w:color w:val="auto"/>
                      <w:kern w:val="0"/>
                      <w:sz w:val="21"/>
                      <w:szCs w:val="21"/>
                      <w:highlight w:val="none"/>
                    </w:rPr>
                    <w:t>搅拌粉尘</w:t>
                  </w:r>
                </w:p>
              </w:tc>
              <w:tc>
                <w:tcPr>
                  <w:tcW w:w="584" w:type="pct"/>
                  <w:shd w:val="clear" w:color="auto" w:fill="auto"/>
                  <w:vAlign w:val="center"/>
                </w:tcPr>
                <w:p w14:paraId="6C278F05">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w:t>
                  </w:r>
                </w:p>
              </w:tc>
              <w:tc>
                <w:tcPr>
                  <w:tcW w:w="568" w:type="pct"/>
                  <w:shd w:val="clear" w:color="auto" w:fill="auto"/>
                  <w:vAlign w:val="center"/>
                </w:tcPr>
                <w:p w14:paraId="5A25D53E">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袋式除尘器破损</w:t>
                  </w:r>
                </w:p>
              </w:tc>
              <w:tc>
                <w:tcPr>
                  <w:tcW w:w="513" w:type="pct"/>
                  <w:shd w:val="clear" w:color="auto" w:fill="auto"/>
                  <w:vAlign w:val="center"/>
                </w:tcPr>
                <w:p w14:paraId="5217A5E7">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颗粒物</w:t>
                  </w:r>
                </w:p>
              </w:tc>
              <w:tc>
                <w:tcPr>
                  <w:tcW w:w="553" w:type="pct"/>
                  <w:shd w:val="clear" w:color="auto" w:fill="auto"/>
                  <w:vAlign w:val="center"/>
                </w:tcPr>
                <w:p w14:paraId="731E4810">
                  <w:pPr>
                    <w:pStyle w:val="47"/>
                    <w:pageBreakBefore w:val="0"/>
                    <w:kinsoku/>
                    <w:wordWrap w:val="0"/>
                    <w:overflowPunct/>
                    <w:topLinePunct/>
                    <w:autoSpaceDE/>
                    <w:autoSpaceDN/>
                    <w:bidi w:val="0"/>
                    <w:ind w:left="0" w:right="0"/>
                    <w:rPr>
                      <w:rFonts w:hint="default" w:ascii="Times New Roman" w:hAnsi="Times New Roman" w:eastAsia="宋体" w:cs="Times New Roman"/>
                      <w:snapToGrid w:val="0"/>
                      <w:color w:val="auto"/>
                      <w:kern w:val="0"/>
                      <w:sz w:val="21"/>
                      <w:szCs w:val="21"/>
                      <w:highlight w:val="none"/>
                      <w:lang w:val="en-US" w:eastAsia="zh-CN" w:bidi="ar-SA"/>
                    </w:rPr>
                  </w:pPr>
                  <w:r>
                    <w:rPr>
                      <w:rFonts w:hint="eastAsia" w:ascii="Times New Roman" w:hAnsi="Times New Roman" w:eastAsia="宋体" w:cs="Times New Roman"/>
                      <w:snapToGrid w:val="0"/>
                      <w:color w:val="auto"/>
                      <w:kern w:val="0"/>
                      <w:sz w:val="21"/>
                      <w:szCs w:val="21"/>
                      <w:highlight w:val="none"/>
                      <w:lang w:val="en-US" w:eastAsia="zh-CN" w:bidi="ar-SA"/>
                    </w:rPr>
                    <w:t>1206</w:t>
                  </w:r>
                </w:p>
              </w:tc>
              <w:tc>
                <w:tcPr>
                  <w:tcW w:w="645" w:type="pct"/>
                  <w:shd w:val="clear" w:color="auto" w:fill="auto"/>
                  <w:vAlign w:val="center"/>
                </w:tcPr>
                <w:p w14:paraId="747E80B7">
                  <w:pPr>
                    <w:pStyle w:val="47"/>
                    <w:pageBreakBefore w:val="0"/>
                    <w:kinsoku/>
                    <w:wordWrap w:val="0"/>
                    <w:overflowPunct/>
                    <w:topLinePunct/>
                    <w:autoSpaceDE/>
                    <w:autoSpaceDN/>
                    <w:bidi w:val="0"/>
                    <w:ind w:left="0" w:right="0"/>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9"/>
                      <w:kern w:val="0"/>
                      <w:sz w:val="21"/>
                      <w:szCs w:val="21"/>
                      <w:highlight w:val="none"/>
                      <w:lang w:val="en-US" w:eastAsia="zh-CN" w:bidi="ar-SA"/>
                    </w:rPr>
                    <w:t>1.81</w:t>
                  </w:r>
                </w:p>
              </w:tc>
              <w:tc>
                <w:tcPr>
                  <w:tcW w:w="840" w:type="pct"/>
                  <w:shd w:val="clear" w:color="auto" w:fill="auto"/>
                  <w:vAlign w:val="center"/>
                </w:tcPr>
                <w:p w14:paraId="7F655B6F">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及时停止生产，对故障部位进行维修</w:t>
                  </w:r>
                </w:p>
              </w:tc>
              <w:tc>
                <w:tcPr>
                  <w:tcW w:w="596" w:type="pct"/>
                  <w:shd w:val="clear" w:color="auto" w:fill="auto"/>
                  <w:vAlign w:val="center"/>
                </w:tcPr>
                <w:p w14:paraId="169C4E20">
                  <w:pPr>
                    <w:pageBreakBefore w:val="0"/>
                    <w:widowControl/>
                    <w:kinsoku/>
                    <w:wordWrap w:val="0"/>
                    <w:overflowPunct/>
                    <w:topLinePunct/>
                    <w:autoSpaceDE/>
                    <w:autoSpaceDN/>
                    <w:bidi w:val="0"/>
                    <w:ind w:left="0" w:right="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w:t>
                  </w:r>
                </w:p>
              </w:tc>
            </w:tr>
          </w:tbl>
          <w:p w14:paraId="0C63612D">
            <w:pPr>
              <w:keepNext/>
              <w:keepLines/>
              <w:pageBreakBefore w:val="0"/>
              <w:widowControl/>
              <w:kinsoku/>
              <w:wordWrap w:val="0"/>
              <w:overflowPunct/>
              <w:topLinePunct/>
              <w:autoSpaceDE/>
              <w:autoSpaceDN/>
              <w:bidi w:val="0"/>
              <w:spacing w:line="360" w:lineRule="auto"/>
              <w:ind w:left="0" w:right="0" w:firstLine="482" w:firstLineChars="200"/>
              <w:rPr>
                <w:rFonts w:hint="default" w:ascii="Times New Roman" w:hAnsi="Times New Roman" w:eastAsia="宋体" w:cs="Times New Roman"/>
                <w:b/>
                <w:bCs/>
                <w:snapToGrid w:val="0"/>
                <w:color w:val="auto"/>
                <w:spacing w:val="11"/>
                <w:kern w:val="0"/>
                <w:sz w:val="24"/>
                <w:szCs w:val="24"/>
                <w:highlight w:val="none"/>
                <w:lang w:val="en-US" w:eastAsia="en-US" w:bidi="ar-SA"/>
              </w:rPr>
            </w:pPr>
            <w:r>
              <w:rPr>
                <w:rFonts w:hint="default" w:ascii="Times New Roman" w:hAnsi="Times New Roman" w:eastAsia="宋体" w:cs="Times New Roman"/>
                <w:b/>
                <w:bCs/>
                <w:color w:val="auto"/>
                <w:sz w:val="24"/>
                <w:szCs w:val="24"/>
                <w:highlight w:val="none"/>
              </w:rPr>
              <w:t>1</w:t>
            </w:r>
            <w:r>
              <w:rPr>
                <w:rFonts w:hint="default" w:ascii="Times New Roman" w:hAnsi="Times New Roman" w:eastAsia="宋体" w:cs="Times New Roman"/>
                <w:b/>
                <w:bCs/>
                <w:snapToGrid w:val="0"/>
                <w:color w:val="auto"/>
                <w:spacing w:val="11"/>
                <w:kern w:val="0"/>
                <w:sz w:val="24"/>
                <w:szCs w:val="24"/>
                <w:highlight w:val="none"/>
                <w:lang w:val="en-US" w:eastAsia="en-US" w:bidi="ar-SA"/>
              </w:rPr>
              <w:t>.3污染治理设施可行性分析</w:t>
            </w:r>
          </w:p>
          <w:p w14:paraId="455E1A45">
            <w:pPr>
              <w:keepNext w:val="0"/>
              <w:keepLines w:val="0"/>
              <w:pageBreakBefore w:val="0"/>
              <w:widowControl/>
              <w:suppressLineNumbers w:val="0"/>
              <w:kinsoku/>
              <w:wordWrap w:val="0"/>
              <w:overflowPunct/>
              <w:topLinePunct/>
              <w:autoSpaceDE/>
              <w:autoSpaceDN/>
              <w:bidi w:val="0"/>
              <w:spacing w:line="360" w:lineRule="auto"/>
              <w:ind w:left="0" w:right="0" w:firstLine="524" w:firstLineChars="200"/>
              <w:jc w:val="both"/>
              <w:rPr>
                <w:rFonts w:hint="default" w:ascii="Times New Roman" w:hAnsi="Times New Roman" w:eastAsia="宋体" w:cs="Times New Roman"/>
                <w:snapToGrid w:val="0"/>
                <w:color w:val="auto"/>
                <w:spacing w:val="11"/>
                <w:kern w:val="0"/>
                <w:sz w:val="24"/>
                <w:szCs w:val="24"/>
                <w:highlight w:val="none"/>
                <w:lang w:val="en-US" w:eastAsia="zh-CN" w:bidi="ar-SA"/>
              </w:rPr>
            </w:pPr>
            <w:r>
              <w:rPr>
                <w:rFonts w:hint="default" w:ascii="Times New Roman" w:hAnsi="Times New Roman" w:eastAsia="宋体" w:cs="Times New Roman"/>
                <w:snapToGrid w:val="0"/>
                <w:color w:val="auto"/>
                <w:spacing w:val="11"/>
                <w:kern w:val="0"/>
                <w:sz w:val="24"/>
                <w:szCs w:val="24"/>
                <w:highlight w:val="none"/>
                <w:lang w:val="en-US" w:eastAsia="zh-CN" w:bidi="ar-SA"/>
              </w:rPr>
              <w:t>根据《工业料堆场扬尘整治规范》（DB65T4061-2017）要求：5.8对工业料堆场内装卸、运输等作业过程中，易产生扬尘污染的物料必须采取封闭、遮盖、洒水降尘措施，密闭输送物料必须在装料、卸料处配备吸尘、喷淋防尘措施。</w:t>
            </w:r>
          </w:p>
          <w:p w14:paraId="653DBEF7">
            <w:pPr>
              <w:pStyle w:val="49"/>
              <w:pageBreakBefore w:val="0"/>
              <w:widowControl/>
              <w:kinsoku/>
              <w:wordWrap w:val="0"/>
              <w:overflowPunct/>
              <w:topLinePunct/>
              <w:autoSpaceDE/>
              <w:autoSpaceDN/>
              <w:bidi w:val="0"/>
              <w:spacing w:line="360" w:lineRule="auto"/>
              <w:ind w:left="0" w:right="0" w:firstLine="524" w:firstLineChars="200"/>
              <w:rPr>
                <w:rFonts w:hint="default" w:ascii="Times New Roman" w:hAnsi="Times New Roman" w:eastAsia="宋体" w:cs="Times New Roman"/>
                <w:snapToGrid w:val="0"/>
                <w:color w:val="auto"/>
                <w:spacing w:val="11"/>
                <w:kern w:val="0"/>
                <w:sz w:val="24"/>
                <w:szCs w:val="24"/>
                <w:highlight w:val="none"/>
                <w:lang w:val="en-US" w:eastAsia="en-US" w:bidi="ar-SA"/>
              </w:rPr>
            </w:pPr>
            <w:r>
              <w:rPr>
                <w:rFonts w:hint="default" w:ascii="Times New Roman" w:hAnsi="Times New Roman" w:eastAsia="宋体" w:cs="Times New Roman"/>
                <w:snapToGrid w:val="0"/>
                <w:color w:val="auto"/>
                <w:spacing w:val="11"/>
                <w:kern w:val="0"/>
                <w:sz w:val="24"/>
                <w:szCs w:val="24"/>
                <w:highlight w:val="none"/>
                <w:lang w:val="en-US" w:eastAsia="zh-CN" w:bidi="ar-SA"/>
              </w:rPr>
              <w:t>本项目场地进行硬化处理，减少场内及运输途中运输扬尘，车间全封闭（仅留进出口），地面硬化，原料堆并设置喷淋设施。符合规范要求，扬尘治理措施可行。</w:t>
            </w:r>
          </w:p>
          <w:p w14:paraId="46B2CF7A">
            <w:pPr>
              <w:pStyle w:val="49"/>
              <w:pageBreakBefore w:val="0"/>
              <w:widowControl/>
              <w:kinsoku/>
              <w:wordWrap w:val="0"/>
              <w:overflowPunct/>
              <w:topLinePunct/>
              <w:autoSpaceDE/>
              <w:autoSpaceDN/>
              <w:bidi w:val="0"/>
              <w:spacing w:line="360" w:lineRule="auto"/>
              <w:ind w:left="0" w:right="0" w:firstLine="524" w:firstLineChars="200"/>
              <w:rPr>
                <w:rFonts w:hint="default" w:ascii="Times New Roman" w:hAnsi="Times New Roman" w:eastAsia="宋体" w:cs="Times New Roman"/>
                <w:snapToGrid w:val="0"/>
                <w:color w:val="auto"/>
                <w:spacing w:val="11"/>
                <w:kern w:val="0"/>
                <w:sz w:val="24"/>
                <w:szCs w:val="24"/>
                <w:highlight w:val="none"/>
                <w:lang w:val="en-US" w:eastAsia="zh-CN" w:bidi="ar-SA"/>
              </w:rPr>
            </w:pPr>
            <w:r>
              <w:rPr>
                <w:rFonts w:hint="default" w:ascii="Times New Roman" w:hAnsi="Times New Roman" w:eastAsia="宋体" w:cs="Times New Roman"/>
                <w:snapToGrid w:val="0"/>
                <w:color w:val="auto"/>
                <w:spacing w:val="11"/>
                <w:kern w:val="0"/>
                <w:sz w:val="24"/>
                <w:szCs w:val="24"/>
                <w:highlight w:val="none"/>
                <w:lang w:val="en-US" w:eastAsia="zh-CN" w:bidi="ar-SA"/>
              </w:rPr>
              <w:t>根据《排污许可证申请与核发技术规范总则》（HJ942-2018）4.5.2.1废气污染治理设施工艺包括除尘设施包含：袋式除尘器、电除尘器、电袋复合除尘器、其他，本项目袋式除尘器以及仓顶滤芯除尘器均属于可行性技术。</w:t>
            </w:r>
          </w:p>
          <w:p w14:paraId="700D88D5">
            <w:pPr>
              <w:pStyle w:val="49"/>
              <w:pageBreakBefore w:val="0"/>
              <w:widowControl/>
              <w:kinsoku/>
              <w:wordWrap w:val="0"/>
              <w:overflowPunct/>
              <w:topLinePunct/>
              <w:autoSpaceDE/>
              <w:autoSpaceDN/>
              <w:bidi w:val="0"/>
              <w:spacing w:line="360" w:lineRule="auto"/>
              <w:ind w:left="0" w:right="0" w:firstLine="482" w:firstLineChars="200"/>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rPr>
              <w:t>1.4监测</w:t>
            </w:r>
            <w:r>
              <w:rPr>
                <w:rFonts w:hint="default" w:ascii="Times New Roman" w:hAnsi="Times New Roman" w:eastAsia="宋体" w:cs="Times New Roman"/>
                <w:b/>
                <w:color w:val="auto"/>
                <w:sz w:val="24"/>
                <w:szCs w:val="24"/>
                <w:highlight w:val="none"/>
                <w:lang w:val="en-US" w:eastAsia="zh-CN"/>
              </w:rPr>
              <w:t>计划</w:t>
            </w:r>
          </w:p>
          <w:p w14:paraId="6FAF6EDE">
            <w:pPr>
              <w:keepNext w:val="0"/>
              <w:keepLines w:val="0"/>
              <w:pageBreakBefore w:val="0"/>
              <w:widowControl/>
              <w:suppressLineNumbers w:val="0"/>
              <w:kinsoku/>
              <w:wordWrap w:val="0"/>
              <w:overflowPunct/>
              <w:topLinePunct/>
              <w:autoSpaceDE/>
              <w:autoSpaceDN/>
              <w:bidi w:val="0"/>
              <w:spacing w:line="360" w:lineRule="auto"/>
              <w:ind w:left="0" w:right="0"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snapToGrid w:val="0"/>
                <w:color w:val="auto"/>
                <w:kern w:val="0"/>
                <w:sz w:val="24"/>
                <w:szCs w:val="24"/>
                <w:highlight w:val="none"/>
                <w:lang w:val="en-US" w:eastAsia="zh-CN" w:bidi="ar"/>
              </w:rPr>
              <w:t>本项目属于其他建筑材料制造3039，</w:t>
            </w:r>
            <w:r>
              <w:rPr>
                <w:rFonts w:hint="default" w:ascii="Times New Roman" w:hAnsi="Times New Roman" w:eastAsia="宋体" w:cs="Times New Roman"/>
                <w:color w:val="auto"/>
                <w:spacing w:val="9"/>
                <w:sz w:val="24"/>
                <w:szCs w:val="24"/>
                <w:highlight w:val="none"/>
              </w:rPr>
              <w:t>根据《固定污染源排污许可分类管理名录》（2019年</w:t>
            </w:r>
            <w:r>
              <w:rPr>
                <w:rFonts w:hint="default" w:ascii="Times New Roman" w:hAnsi="Times New Roman" w:eastAsia="宋体" w:cs="Times New Roman"/>
                <w:color w:val="auto"/>
                <w:spacing w:val="19"/>
                <w:sz w:val="24"/>
                <w:szCs w:val="24"/>
                <w:highlight w:val="none"/>
              </w:rPr>
              <w:t>），</w:t>
            </w:r>
            <w:r>
              <w:rPr>
                <w:rFonts w:hint="default" w:ascii="Times New Roman" w:hAnsi="Times New Roman" w:eastAsia="宋体" w:cs="Times New Roman"/>
                <w:color w:val="auto"/>
                <w:spacing w:val="9"/>
                <w:sz w:val="24"/>
                <w:szCs w:val="24"/>
                <w:highlight w:val="none"/>
              </w:rPr>
              <w:t>本项目属于</w:t>
            </w:r>
            <w:r>
              <w:rPr>
                <w:rFonts w:hint="default" w:ascii="Times New Roman" w:hAnsi="Times New Roman" w:eastAsia="宋体" w:cs="Times New Roman"/>
                <w:color w:val="auto"/>
                <w:spacing w:val="9"/>
                <w:sz w:val="24"/>
                <w:szCs w:val="24"/>
                <w:highlight w:val="none"/>
                <w:lang w:val="en-US" w:eastAsia="zh-CN"/>
              </w:rPr>
              <w:t>简化管理。根据</w:t>
            </w:r>
            <w:r>
              <w:rPr>
                <w:rFonts w:hint="default" w:ascii="Times New Roman" w:hAnsi="Times New Roman" w:eastAsia="宋体" w:cs="Times New Roman"/>
                <w:color w:val="auto"/>
                <w:sz w:val="24"/>
                <w:szCs w:val="24"/>
                <w:highlight w:val="none"/>
              </w:rPr>
              <w:t>《排污单位自行监测技术指南总则》（HJ819-2017）、《排污许可证申请与核发技术规范总则》（HJ942-2018）</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项目应对主要排放源定期进行自行监测，并委托有资质的检测单位定期进行监测。本项目运营期环境监测计划见下表4-3。</w:t>
            </w:r>
          </w:p>
          <w:p w14:paraId="26F463FC">
            <w:pPr>
              <w:pStyle w:val="48"/>
              <w:pageBreakBefore w:val="0"/>
              <w:kinsoku/>
              <w:wordWrap w:val="0"/>
              <w:overflowPunct/>
              <w:topLinePunct/>
              <w:autoSpaceDE/>
              <w:autoSpaceDN/>
              <w:bidi w:val="0"/>
              <w:ind w:left="0" w:leftChars="0" w:right="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表4-3废气监测计划一览表</w:t>
            </w:r>
          </w:p>
          <w:tbl>
            <w:tblPr>
              <w:tblStyle w:val="18"/>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900"/>
              <w:gridCol w:w="1399"/>
              <w:gridCol w:w="751"/>
              <w:gridCol w:w="700"/>
              <w:gridCol w:w="730"/>
              <w:gridCol w:w="2906"/>
            </w:tblGrid>
            <w:tr w14:paraId="3B54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8" w:hRule="atLeast"/>
                <w:jc w:val="center"/>
              </w:trPr>
              <w:tc>
                <w:tcPr>
                  <w:tcW w:w="689" w:type="dxa"/>
                  <w:tcBorders>
                    <w:tl2br w:val="nil"/>
                    <w:tr2bl w:val="nil"/>
                  </w:tcBorders>
                  <w:vAlign w:val="center"/>
                </w:tcPr>
                <w:p w14:paraId="570F154E">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排放形式</w:t>
                  </w:r>
                </w:p>
              </w:tc>
              <w:tc>
                <w:tcPr>
                  <w:tcW w:w="900" w:type="dxa"/>
                  <w:tcBorders>
                    <w:tl2br w:val="nil"/>
                    <w:tr2bl w:val="nil"/>
                  </w:tcBorders>
                  <w:vAlign w:val="center"/>
                </w:tcPr>
                <w:p w14:paraId="206FDF67">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排放口类型</w:t>
                  </w:r>
                </w:p>
              </w:tc>
              <w:tc>
                <w:tcPr>
                  <w:tcW w:w="1399" w:type="dxa"/>
                  <w:tcBorders>
                    <w:tl2br w:val="nil"/>
                    <w:tr2bl w:val="nil"/>
                  </w:tcBorders>
                  <w:shd w:val="clear" w:color="auto" w:fill="auto"/>
                  <w:vAlign w:val="center"/>
                </w:tcPr>
                <w:p w14:paraId="2256BE5D">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监测位置</w:t>
                  </w:r>
                </w:p>
              </w:tc>
              <w:tc>
                <w:tcPr>
                  <w:tcW w:w="751" w:type="dxa"/>
                  <w:tcBorders>
                    <w:tl2br w:val="nil"/>
                    <w:tr2bl w:val="nil"/>
                  </w:tcBorders>
                  <w:shd w:val="clear" w:color="auto" w:fill="auto"/>
                  <w:vAlign w:val="center"/>
                </w:tcPr>
                <w:p w14:paraId="6AD68EA3">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监测项目</w:t>
                  </w:r>
                </w:p>
              </w:tc>
              <w:tc>
                <w:tcPr>
                  <w:tcW w:w="700" w:type="dxa"/>
                  <w:tcBorders>
                    <w:tl2br w:val="nil"/>
                    <w:tr2bl w:val="nil"/>
                  </w:tcBorders>
                  <w:shd w:val="clear" w:color="auto" w:fill="auto"/>
                  <w:vAlign w:val="center"/>
                </w:tcPr>
                <w:p w14:paraId="5CBE4204">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监测频次</w:t>
                  </w:r>
                </w:p>
              </w:tc>
              <w:tc>
                <w:tcPr>
                  <w:tcW w:w="730" w:type="dxa"/>
                  <w:tcBorders>
                    <w:tl2br w:val="nil"/>
                    <w:tr2bl w:val="nil"/>
                  </w:tcBorders>
                  <w:shd w:val="clear" w:color="auto" w:fill="auto"/>
                  <w:vAlign w:val="center"/>
                </w:tcPr>
                <w:p w14:paraId="31C35CD0">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监测单位</w:t>
                  </w:r>
                </w:p>
              </w:tc>
              <w:tc>
                <w:tcPr>
                  <w:tcW w:w="2906" w:type="dxa"/>
                  <w:tcBorders>
                    <w:tl2br w:val="nil"/>
                    <w:tr2bl w:val="nil"/>
                  </w:tcBorders>
                  <w:shd w:val="clear" w:color="auto" w:fill="auto"/>
                  <w:vAlign w:val="center"/>
                </w:tcPr>
                <w:p w14:paraId="211DA09B">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执行标准</w:t>
                  </w:r>
                </w:p>
              </w:tc>
            </w:tr>
            <w:tr w14:paraId="38A97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689" w:type="dxa"/>
                  <w:tcBorders>
                    <w:tl2br w:val="nil"/>
                    <w:tr2bl w:val="nil"/>
                  </w:tcBorders>
                  <w:vAlign w:val="center"/>
                </w:tcPr>
                <w:p w14:paraId="182B818E">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有组织</w:t>
                  </w:r>
                </w:p>
              </w:tc>
              <w:tc>
                <w:tcPr>
                  <w:tcW w:w="900" w:type="dxa"/>
                  <w:tcBorders>
                    <w:tl2br w:val="nil"/>
                    <w:tr2bl w:val="nil"/>
                  </w:tcBorders>
                  <w:vAlign w:val="center"/>
                </w:tcPr>
                <w:p w14:paraId="4638DA1E">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rPr>
                    <w:t>一般排放口</w:t>
                  </w:r>
                </w:p>
              </w:tc>
              <w:tc>
                <w:tcPr>
                  <w:tcW w:w="1399" w:type="dxa"/>
                  <w:tcBorders>
                    <w:tl2br w:val="nil"/>
                    <w:tr2bl w:val="nil"/>
                  </w:tcBorders>
                  <w:shd w:val="clear" w:color="auto" w:fill="auto"/>
                  <w:vAlign w:val="center"/>
                </w:tcPr>
                <w:p w14:paraId="2C123316">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上料、</w:t>
                  </w:r>
                  <w:r>
                    <w:rPr>
                      <w:rFonts w:hint="default" w:ascii="Times New Roman" w:hAnsi="Times New Roman" w:eastAsia="宋体" w:cs="Times New Roman"/>
                      <w:color w:val="auto"/>
                      <w:sz w:val="21"/>
                      <w:szCs w:val="21"/>
                      <w:highlight w:val="none"/>
                    </w:rPr>
                    <w:t>搅拌</w:t>
                  </w:r>
                  <w:r>
                    <w:rPr>
                      <w:rFonts w:hint="default" w:ascii="Times New Roman" w:hAnsi="Times New Roman" w:eastAsia="宋体" w:cs="Times New Roman"/>
                      <w:color w:val="auto"/>
                      <w:sz w:val="21"/>
                      <w:szCs w:val="21"/>
                      <w:highlight w:val="none"/>
                      <w:lang w:val="en-US" w:eastAsia="zh-CN"/>
                    </w:rPr>
                    <w:t>混合</w:t>
                  </w:r>
                  <w:r>
                    <w:rPr>
                      <w:rFonts w:hint="default" w:ascii="Times New Roman" w:hAnsi="Times New Roman" w:eastAsia="宋体" w:cs="Times New Roman"/>
                      <w:color w:val="auto"/>
                      <w:sz w:val="21"/>
                      <w:szCs w:val="21"/>
                      <w:highlight w:val="none"/>
                    </w:rPr>
                    <w:t>粉尘排气筒（DA001）</w:t>
                  </w:r>
                </w:p>
              </w:tc>
              <w:tc>
                <w:tcPr>
                  <w:tcW w:w="751" w:type="dxa"/>
                  <w:tcBorders>
                    <w:tl2br w:val="nil"/>
                    <w:tr2bl w:val="nil"/>
                  </w:tcBorders>
                  <w:shd w:val="clear" w:color="auto" w:fill="auto"/>
                  <w:vAlign w:val="center"/>
                </w:tcPr>
                <w:p w14:paraId="2486DB46">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700" w:type="dxa"/>
                  <w:tcBorders>
                    <w:tl2br w:val="nil"/>
                    <w:tr2bl w:val="nil"/>
                  </w:tcBorders>
                  <w:shd w:val="clear" w:color="auto" w:fill="auto"/>
                  <w:vAlign w:val="center"/>
                </w:tcPr>
                <w:p w14:paraId="03621591">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1次/年</w:t>
                  </w:r>
                </w:p>
              </w:tc>
              <w:tc>
                <w:tcPr>
                  <w:tcW w:w="730" w:type="dxa"/>
                  <w:vMerge w:val="restart"/>
                  <w:tcBorders>
                    <w:tl2br w:val="nil"/>
                    <w:tr2bl w:val="nil"/>
                  </w:tcBorders>
                  <w:shd w:val="clear" w:color="auto" w:fill="auto"/>
                  <w:vAlign w:val="center"/>
                </w:tcPr>
                <w:p w14:paraId="1D1175C0">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委托有资质的单位</w:t>
                  </w:r>
                </w:p>
              </w:tc>
              <w:tc>
                <w:tcPr>
                  <w:tcW w:w="2906" w:type="dxa"/>
                  <w:tcBorders>
                    <w:tl2br w:val="nil"/>
                    <w:tr2bl w:val="nil"/>
                  </w:tcBorders>
                  <w:shd w:val="clear" w:color="auto" w:fill="auto"/>
                  <w:vAlign w:val="center"/>
                </w:tcPr>
                <w:p w14:paraId="605C9156">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《大气污染物综合排放标准》（GB16297-1996）表2</w:t>
                  </w:r>
                  <w:r>
                    <w:rPr>
                      <w:rFonts w:hint="default" w:ascii="Times New Roman" w:hAnsi="Times New Roman" w:eastAsia="宋体" w:cs="Times New Roman"/>
                      <w:b w:val="0"/>
                      <w:bCs w:val="0"/>
                      <w:color w:val="auto"/>
                      <w:sz w:val="21"/>
                      <w:szCs w:val="21"/>
                      <w:highlight w:val="none"/>
                      <w:vertAlign w:val="baseline"/>
                      <w:lang w:val="en-US" w:eastAsia="zh-CN"/>
                    </w:rPr>
                    <w:t>二级</w:t>
                  </w:r>
                  <w:r>
                    <w:rPr>
                      <w:rFonts w:hint="default" w:ascii="Times New Roman" w:hAnsi="Times New Roman" w:eastAsia="宋体" w:cs="Times New Roman"/>
                      <w:color w:val="auto"/>
                      <w:sz w:val="21"/>
                      <w:szCs w:val="21"/>
                      <w:highlight w:val="none"/>
                    </w:rPr>
                    <w:t>排放限值要求</w:t>
                  </w:r>
                </w:p>
              </w:tc>
            </w:tr>
            <w:tr w14:paraId="3E521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1589" w:type="dxa"/>
                  <w:gridSpan w:val="2"/>
                  <w:vMerge w:val="restart"/>
                  <w:tcBorders>
                    <w:tl2br w:val="nil"/>
                    <w:tr2bl w:val="nil"/>
                  </w:tcBorders>
                  <w:vAlign w:val="center"/>
                </w:tcPr>
                <w:p w14:paraId="73BB669F">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无组织</w:t>
                  </w:r>
                </w:p>
              </w:tc>
              <w:tc>
                <w:tcPr>
                  <w:tcW w:w="1399" w:type="dxa"/>
                  <w:vMerge w:val="restart"/>
                  <w:tcBorders>
                    <w:tl2br w:val="nil"/>
                    <w:tr2bl w:val="nil"/>
                  </w:tcBorders>
                  <w:shd w:val="clear" w:color="auto" w:fill="auto"/>
                  <w:vAlign w:val="center"/>
                </w:tcPr>
                <w:p w14:paraId="66A1610A">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厂界</w:t>
                  </w:r>
                </w:p>
              </w:tc>
              <w:tc>
                <w:tcPr>
                  <w:tcW w:w="751" w:type="dxa"/>
                  <w:tcBorders>
                    <w:tl2br w:val="nil"/>
                    <w:tr2bl w:val="nil"/>
                  </w:tcBorders>
                  <w:shd w:val="clear" w:color="auto" w:fill="auto"/>
                  <w:vAlign w:val="center"/>
                </w:tcPr>
                <w:p w14:paraId="2432073F">
                  <w:pPr>
                    <w:pageBreakBefore w:val="0"/>
                    <w:kinsoku/>
                    <w:wordWrap w:val="0"/>
                    <w:overflowPunct/>
                    <w:topLinePunct/>
                    <w:autoSpaceDE/>
                    <w:autoSpaceDN/>
                    <w:bidi w:val="0"/>
                    <w:ind w:left="0" w:right="0"/>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颗粒物</w:t>
                  </w:r>
                  <w:r>
                    <w:rPr>
                      <w:rFonts w:hint="eastAsia" w:ascii="Times New Roman" w:hAnsi="Times New Roman" w:eastAsia="宋体" w:cs="Times New Roman"/>
                      <w:color w:val="auto"/>
                      <w:sz w:val="21"/>
                      <w:szCs w:val="21"/>
                      <w:highlight w:val="none"/>
                      <w:lang w:eastAsia="zh-CN"/>
                    </w:rPr>
                    <w:t>、</w:t>
                  </w:r>
                </w:p>
              </w:tc>
              <w:tc>
                <w:tcPr>
                  <w:tcW w:w="700" w:type="dxa"/>
                  <w:vMerge w:val="restart"/>
                  <w:tcBorders>
                    <w:tl2br w:val="nil"/>
                    <w:tr2bl w:val="nil"/>
                  </w:tcBorders>
                  <w:shd w:val="clear" w:color="auto" w:fill="auto"/>
                  <w:vAlign w:val="center"/>
                </w:tcPr>
                <w:p w14:paraId="4E4CB12C">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1次/</w:t>
                  </w:r>
                  <w:r>
                    <w:rPr>
                      <w:rFonts w:hint="default" w:ascii="Times New Roman" w:hAnsi="Times New Roman" w:eastAsia="宋体" w:cs="Times New Roman"/>
                      <w:color w:val="auto"/>
                      <w:sz w:val="21"/>
                      <w:szCs w:val="21"/>
                      <w:highlight w:val="none"/>
                      <w:lang w:val="en-US" w:eastAsia="zh-CN"/>
                    </w:rPr>
                    <w:t>年</w:t>
                  </w:r>
                </w:p>
              </w:tc>
              <w:tc>
                <w:tcPr>
                  <w:tcW w:w="730" w:type="dxa"/>
                  <w:vMerge w:val="continue"/>
                  <w:tcBorders>
                    <w:tl2br w:val="nil"/>
                    <w:tr2bl w:val="nil"/>
                  </w:tcBorders>
                  <w:shd w:val="clear" w:color="auto" w:fill="auto"/>
                  <w:vAlign w:val="center"/>
                </w:tcPr>
                <w:p w14:paraId="1B42777D">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p>
              </w:tc>
              <w:tc>
                <w:tcPr>
                  <w:tcW w:w="2906" w:type="dxa"/>
                  <w:tcBorders>
                    <w:tl2br w:val="nil"/>
                    <w:tr2bl w:val="nil"/>
                  </w:tcBorders>
                  <w:shd w:val="clear" w:color="auto" w:fill="auto"/>
                  <w:vAlign w:val="center"/>
                </w:tcPr>
                <w:p w14:paraId="358B3234">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《大气污染物综合排放标准》（GB16297-1996）表2</w:t>
                  </w:r>
                  <w:r>
                    <w:rPr>
                      <w:rFonts w:hint="default" w:ascii="Times New Roman" w:hAnsi="Times New Roman" w:eastAsia="宋体" w:cs="Times New Roman"/>
                      <w:color w:val="auto"/>
                      <w:sz w:val="21"/>
                      <w:szCs w:val="21"/>
                      <w:highlight w:val="none"/>
                      <w:lang w:val="en-US" w:eastAsia="zh-CN"/>
                    </w:rPr>
                    <w:t>周界外浓度</w:t>
                  </w:r>
                  <w:r>
                    <w:rPr>
                      <w:rFonts w:hint="default" w:ascii="Times New Roman" w:hAnsi="Times New Roman" w:eastAsia="宋体" w:cs="Times New Roman"/>
                      <w:color w:val="auto"/>
                      <w:sz w:val="21"/>
                      <w:szCs w:val="21"/>
                      <w:highlight w:val="none"/>
                    </w:rPr>
                    <w:t>排放限值要求</w:t>
                  </w:r>
                </w:p>
              </w:tc>
            </w:tr>
            <w:tr w14:paraId="6E930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589" w:type="dxa"/>
                  <w:gridSpan w:val="2"/>
                  <w:vMerge w:val="continue"/>
                  <w:tcBorders>
                    <w:tl2br w:val="nil"/>
                    <w:tr2bl w:val="nil"/>
                  </w:tcBorders>
                  <w:vAlign w:val="center"/>
                </w:tcPr>
                <w:p w14:paraId="39C9349E">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p>
              </w:tc>
              <w:tc>
                <w:tcPr>
                  <w:tcW w:w="1399" w:type="dxa"/>
                  <w:vMerge w:val="continue"/>
                  <w:tcBorders>
                    <w:tl2br w:val="nil"/>
                    <w:tr2bl w:val="nil"/>
                  </w:tcBorders>
                  <w:shd w:val="clear" w:color="auto" w:fill="auto"/>
                  <w:vAlign w:val="center"/>
                </w:tcPr>
                <w:p w14:paraId="48E80C86">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p>
              </w:tc>
              <w:tc>
                <w:tcPr>
                  <w:tcW w:w="751" w:type="dxa"/>
                  <w:tcBorders>
                    <w:tl2br w:val="nil"/>
                    <w:tr2bl w:val="nil"/>
                  </w:tcBorders>
                  <w:shd w:val="clear" w:color="auto" w:fill="auto"/>
                  <w:vAlign w:val="center"/>
                </w:tcPr>
                <w:p w14:paraId="44A8C3A9">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p>
              </w:tc>
              <w:tc>
                <w:tcPr>
                  <w:tcW w:w="700" w:type="dxa"/>
                  <w:vMerge w:val="continue"/>
                  <w:tcBorders>
                    <w:tl2br w:val="nil"/>
                    <w:tr2bl w:val="nil"/>
                  </w:tcBorders>
                  <w:shd w:val="clear" w:color="auto" w:fill="auto"/>
                  <w:vAlign w:val="center"/>
                </w:tcPr>
                <w:p w14:paraId="74053CD3">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p>
              </w:tc>
              <w:tc>
                <w:tcPr>
                  <w:tcW w:w="730" w:type="dxa"/>
                  <w:vMerge w:val="continue"/>
                  <w:tcBorders>
                    <w:tl2br w:val="nil"/>
                    <w:tr2bl w:val="nil"/>
                  </w:tcBorders>
                  <w:shd w:val="clear" w:color="auto" w:fill="auto"/>
                  <w:vAlign w:val="center"/>
                </w:tcPr>
                <w:p w14:paraId="0C0E30B0">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p>
              </w:tc>
              <w:tc>
                <w:tcPr>
                  <w:tcW w:w="2906" w:type="dxa"/>
                  <w:tcBorders>
                    <w:tl2br w:val="nil"/>
                    <w:tr2bl w:val="nil"/>
                  </w:tcBorders>
                  <w:shd w:val="clear" w:color="auto" w:fill="auto"/>
                  <w:vAlign w:val="center"/>
                </w:tcPr>
                <w:p w14:paraId="1507DD96">
                  <w:pPr>
                    <w:pageBreakBefore w:val="0"/>
                    <w:kinsoku/>
                    <w:wordWrap w:val="0"/>
                    <w:overflowPunct/>
                    <w:topLinePunct/>
                    <w:autoSpaceDE/>
                    <w:autoSpaceDN/>
                    <w:bidi w:val="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vertAlign w:val="baseline"/>
                      <w:lang w:val="en-US" w:eastAsia="zh-CN"/>
                    </w:rPr>
                    <w:t>《恶臭污染物排放标准》(GB14554-93)中表2新改扩建标准的二级标准限值</w:t>
                  </w:r>
                </w:p>
              </w:tc>
            </w:tr>
          </w:tbl>
          <w:p w14:paraId="5626F54C">
            <w:pPr>
              <w:keepNext w:val="0"/>
              <w:keepLines w:val="0"/>
              <w:pageBreakBefore w:val="0"/>
              <w:wordWrap/>
              <w:overflowPunct/>
              <w:topLinePunct w:val="0"/>
              <w:bidi w:val="0"/>
              <w:adjustRightInd w:val="0"/>
              <w:snapToGrid w:val="0"/>
              <w:spacing w:line="360" w:lineRule="auto"/>
              <w:ind w:left="0" w:right="0" w:firstLine="482" w:firstLineChars="200"/>
              <w:jc w:val="left"/>
              <w:rPr>
                <w:rFonts w:hint="default" w:ascii="Times New Roman" w:hAnsi="Times New Roman" w:eastAsia="宋体" w:cs="Times New Roman"/>
                <w:bCs/>
                <w:color w:val="auto"/>
                <w:spacing w:val="0"/>
                <w:sz w:val="24"/>
                <w:szCs w:val="24"/>
                <w:highlight w:val="none"/>
                <w:lang w:val="en-US" w:eastAsia="zh-CN"/>
              </w:rPr>
            </w:pPr>
            <w:r>
              <w:rPr>
                <w:rFonts w:hint="default" w:ascii="Times New Roman" w:hAnsi="Times New Roman" w:eastAsia="宋体" w:cs="Times New Roman"/>
                <w:b/>
                <w:bCs w:val="0"/>
                <w:color w:val="auto"/>
                <w:spacing w:val="0"/>
                <w:sz w:val="24"/>
                <w:szCs w:val="24"/>
                <w:highlight w:val="none"/>
                <w:lang w:val="en-US" w:eastAsia="zh-CN"/>
              </w:rPr>
              <w:t>1.4、排放口设置情况</w:t>
            </w:r>
          </w:p>
          <w:p w14:paraId="06DF9E31">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rPr>
                <w:rFonts w:hint="default" w:ascii="Times New Roman" w:hAnsi="Times New Roman" w:eastAsia="宋体" w:cs="Times New Roman"/>
                <w:bCs/>
                <w:color w:val="auto"/>
                <w:spacing w:val="0"/>
                <w:sz w:val="24"/>
                <w:szCs w:val="24"/>
                <w:highlight w:val="none"/>
                <w:lang w:val="en-US" w:eastAsia="zh-CN"/>
              </w:rPr>
            </w:pPr>
            <w:r>
              <w:rPr>
                <w:rFonts w:hint="default" w:ascii="Times New Roman" w:hAnsi="Times New Roman" w:eastAsia="宋体" w:cs="Times New Roman"/>
                <w:bCs/>
                <w:color w:val="auto"/>
                <w:spacing w:val="0"/>
                <w:sz w:val="24"/>
                <w:szCs w:val="24"/>
                <w:highlight w:val="none"/>
                <w:lang w:val="en-US" w:eastAsia="zh-CN"/>
              </w:rPr>
              <w:t>本项目废气排放口情况见下表。</w:t>
            </w:r>
          </w:p>
          <w:p w14:paraId="68805BCC">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eastAsia="宋体" w:cs="Times New Roman"/>
                <w:b/>
                <w:bCs w:val="0"/>
                <w:color w:val="auto"/>
                <w:spacing w:val="0"/>
                <w:sz w:val="21"/>
                <w:szCs w:val="21"/>
                <w:highlight w:val="none"/>
                <w:lang w:val="en-US" w:eastAsia="zh-CN"/>
              </w:rPr>
            </w:pPr>
            <w:r>
              <w:rPr>
                <w:rFonts w:hint="default" w:ascii="Times New Roman" w:hAnsi="Times New Roman" w:eastAsia="宋体" w:cs="Times New Roman"/>
                <w:b/>
                <w:bCs w:val="0"/>
                <w:color w:val="auto"/>
                <w:spacing w:val="0"/>
                <w:sz w:val="21"/>
                <w:szCs w:val="21"/>
                <w:highlight w:val="none"/>
                <w:lang w:val="en-US" w:eastAsia="zh-CN"/>
              </w:rPr>
              <w:t>表4-21废气排放口设置情况一览表</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832"/>
              <w:gridCol w:w="914"/>
              <w:gridCol w:w="1077"/>
              <w:gridCol w:w="900"/>
              <w:gridCol w:w="1064"/>
              <w:gridCol w:w="954"/>
              <w:gridCol w:w="955"/>
              <w:gridCol w:w="940"/>
            </w:tblGrid>
            <w:tr w14:paraId="1324F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0" w:type="pct"/>
                  <w:vMerge w:val="restart"/>
                  <w:noWrap w:val="0"/>
                  <w:vAlign w:val="center"/>
                </w:tcPr>
                <w:p w14:paraId="315B126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编号</w:t>
                  </w:r>
                </w:p>
              </w:tc>
              <w:tc>
                <w:tcPr>
                  <w:tcW w:w="1063" w:type="pct"/>
                  <w:gridSpan w:val="2"/>
                  <w:noWrap w:val="0"/>
                  <w:vAlign w:val="center"/>
                </w:tcPr>
                <w:p w14:paraId="59E6BE7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排气筒底部坐标</w:t>
                  </w:r>
                </w:p>
              </w:tc>
              <w:tc>
                <w:tcPr>
                  <w:tcW w:w="655" w:type="pct"/>
                  <w:vMerge w:val="restart"/>
                  <w:noWrap w:val="0"/>
                  <w:vAlign w:val="center"/>
                </w:tcPr>
                <w:p w14:paraId="3644146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排气筒底部海拔高度（m）</w:t>
                  </w:r>
                </w:p>
              </w:tc>
              <w:tc>
                <w:tcPr>
                  <w:tcW w:w="2358" w:type="pct"/>
                  <w:gridSpan w:val="4"/>
                  <w:noWrap w:val="0"/>
                  <w:vAlign w:val="center"/>
                </w:tcPr>
                <w:p w14:paraId="7A0E1B7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排气筒参数</w:t>
                  </w:r>
                </w:p>
              </w:tc>
              <w:tc>
                <w:tcPr>
                  <w:tcW w:w="572" w:type="pct"/>
                  <w:vMerge w:val="restart"/>
                  <w:noWrap w:val="0"/>
                  <w:vAlign w:val="center"/>
                </w:tcPr>
                <w:p w14:paraId="066BDDA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排放口类型</w:t>
                  </w:r>
                </w:p>
              </w:tc>
            </w:tr>
            <w:tr w14:paraId="7525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350" w:type="pct"/>
                  <w:vMerge w:val="continue"/>
                  <w:noWrap w:val="0"/>
                  <w:vAlign w:val="center"/>
                </w:tcPr>
                <w:p w14:paraId="33D3A4B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506" w:type="pct"/>
                  <w:noWrap w:val="0"/>
                  <w:vAlign w:val="center"/>
                </w:tcPr>
                <w:p w14:paraId="57A455C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经度</w:t>
                  </w:r>
                </w:p>
              </w:tc>
              <w:tc>
                <w:tcPr>
                  <w:tcW w:w="556" w:type="pct"/>
                  <w:noWrap w:val="0"/>
                  <w:vAlign w:val="center"/>
                </w:tcPr>
                <w:p w14:paraId="342E350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纬度</w:t>
                  </w:r>
                </w:p>
              </w:tc>
              <w:tc>
                <w:tcPr>
                  <w:tcW w:w="655" w:type="pct"/>
                  <w:vMerge w:val="continue"/>
                  <w:noWrap w:val="0"/>
                  <w:vAlign w:val="center"/>
                </w:tcPr>
                <w:p w14:paraId="45CE4F3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548" w:type="pct"/>
                  <w:noWrap w:val="0"/>
                  <w:vAlign w:val="center"/>
                </w:tcPr>
                <w:p w14:paraId="61EDE4E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排气筒高度（m）</w:t>
                  </w:r>
                </w:p>
              </w:tc>
              <w:tc>
                <w:tcPr>
                  <w:tcW w:w="647" w:type="pct"/>
                  <w:noWrap w:val="0"/>
                  <w:vAlign w:val="center"/>
                </w:tcPr>
                <w:p w14:paraId="16A7A0E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排气筒出口内径（m）</w:t>
                  </w:r>
                </w:p>
              </w:tc>
              <w:tc>
                <w:tcPr>
                  <w:tcW w:w="580" w:type="pct"/>
                  <w:noWrap w:val="0"/>
                  <w:vAlign w:val="center"/>
                </w:tcPr>
                <w:p w14:paraId="6D4E86C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烟气流速（m/s）</w:t>
                  </w:r>
                </w:p>
              </w:tc>
              <w:tc>
                <w:tcPr>
                  <w:tcW w:w="581" w:type="pct"/>
                  <w:noWrap w:val="0"/>
                  <w:vAlign w:val="center"/>
                </w:tcPr>
                <w:p w14:paraId="340030E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烟气温度（℃）</w:t>
                  </w:r>
                </w:p>
              </w:tc>
              <w:tc>
                <w:tcPr>
                  <w:tcW w:w="572" w:type="pct"/>
                  <w:vMerge w:val="continue"/>
                  <w:noWrap w:val="0"/>
                  <w:vAlign w:val="center"/>
                </w:tcPr>
                <w:p w14:paraId="49525FD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r>
            <w:tr w14:paraId="773DB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350" w:type="pct"/>
                  <w:tcBorders>
                    <w:tl2br w:val="nil"/>
                    <w:tr2bl w:val="nil"/>
                  </w:tcBorders>
                  <w:noWrap w:val="0"/>
                  <w:vAlign w:val="center"/>
                </w:tcPr>
                <w:p w14:paraId="2C385A5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DA001</w:t>
                  </w:r>
                </w:p>
              </w:tc>
              <w:tc>
                <w:tcPr>
                  <w:tcW w:w="506" w:type="pct"/>
                  <w:tcBorders>
                    <w:tl2br w:val="nil"/>
                    <w:tr2bl w:val="nil"/>
                  </w:tcBorders>
                  <w:noWrap w:val="0"/>
                  <w:vAlign w:val="center"/>
                </w:tcPr>
                <w:p w14:paraId="54B410C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86°20′4.513"</w:t>
                  </w:r>
                </w:p>
              </w:tc>
              <w:tc>
                <w:tcPr>
                  <w:tcW w:w="556" w:type="pct"/>
                  <w:tcBorders>
                    <w:tl2br w:val="nil"/>
                    <w:tr2bl w:val="nil"/>
                  </w:tcBorders>
                  <w:noWrap w:val="0"/>
                  <w:vAlign w:val="center"/>
                </w:tcPr>
                <w:p w14:paraId="4773B6E2">
                  <w:pPr>
                    <w:keepNext w:val="0"/>
                    <w:keepLines w:val="0"/>
                    <w:pageBreakBefore w:val="0"/>
                    <w:widowControl w:val="0"/>
                    <w:kinsoku/>
                    <w:wordWrap/>
                    <w:overflowPunct/>
                    <w:topLinePunct w:val="0"/>
                    <w:autoSpaceDE/>
                    <w:autoSpaceDN/>
                    <w:bidi w:val="0"/>
                    <w:adjustRightInd/>
                    <w:snapToGrid/>
                    <w:spacing w:line="240" w:lineRule="auto"/>
                    <w:ind w:left="0" w:right="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44°12′41.926"</w:t>
                  </w:r>
                </w:p>
              </w:tc>
              <w:tc>
                <w:tcPr>
                  <w:tcW w:w="655" w:type="pct"/>
                  <w:tcBorders>
                    <w:tl2br w:val="nil"/>
                    <w:tr2bl w:val="nil"/>
                  </w:tcBorders>
                  <w:noWrap w:val="0"/>
                  <w:vAlign w:val="center"/>
                </w:tcPr>
                <w:p w14:paraId="6BCA429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461</w:t>
                  </w:r>
                </w:p>
              </w:tc>
              <w:tc>
                <w:tcPr>
                  <w:tcW w:w="548" w:type="pct"/>
                  <w:tcBorders>
                    <w:tl2br w:val="nil"/>
                    <w:tr2bl w:val="nil"/>
                  </w:tcBorders>
                  <w:noWrap w:val="0"/>
                  <w:vAlign w:val="center"/>
                </w:tcPr>
                <w:p w14:paraId="78E44E9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15</w:t>
                  </w:r>
                </w:p>
              </w:tc>
              <w:tc>
                <w:tcPr>
                  <w:tcW w:w="647" w:type="pct"/>
                  <w:tcBorders>
                    <w:tl2br w:val="nil"/>
                    <w:tr2bl w:val="nil"/>
                  </w:tcBorders>
                  <w:noWrap w:val="0"/>
                  <w:vAlign w:val="center"/>
                </w:tcPr>
                <w:p w14:paraId="38FFC0D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0.3</w:t>
                  </w:r>
                </w:p>
              </w:tc>
              <w:tc>
                <w:tcPr>
                  <w:tcW w:w="580" w:type="pct"/>
                  <w:tcBorders>
                    <w:tl2br w:val="nil"/>
                    <w:tr2bl w:val="nil"/>
                  </w:tcBorders>
                  <w:noWrap w:val="0"/>
                  <w:vAlign w:val="center"/>
                </w:tcPr>
                <w:p w14:paraId="11F5C48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5.95</w:t>
                  </w:r>
                </w:p>
              </w:tc>
              <w:tc>
                <w:tcPr>
                  <w:tcW w:w="581" w:type="pct"/>
                  <w:tcBorders>
                    <w:tl2br w:val="nil"/>
                    <w:tr2bl w:val="nil"/>
                  </w:tcBorders>
                  <w:shd w:val="clear" w:color="auto" w:fill="auto"/>
                  <w:noWrap w:val="0"/>
                  <w:vAlign w:val="center"/>
                </w:tcPr>
                <w:p w14:paraId="685EC2A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28</w:t>
                  </w:r>
                </w:p>
              </w:tc>
              <w:tc>
                <w:tcPr>
                  <w:tcW w:w="572" w:type="pct"/>
                  <w:tcBorders>
                    <w:tl2br w:val="nil"/>
                    <w:tr2bl w:val="nil"/>
                  </w:tcBorders>
                  <w:noWrap w:val="0"/>
                  <w:vAlign w:val="center"/>
                </w:tcPr>
                <w:p w14:paraId="1B0AEC3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一般排放口</w:t>
                  </w:r>
                </w:p>
              </w:tc>
            </w:tr>
          </w:tbl>
          <w:p w14:paraId="7686E751">
            <w:pPr>
              <w:keepNext/>
              <w:keepLines/>
              <w:pageBreakBefore w:val="0"/>
              <w:widowControl/>
              <w:overflowPunct/>
              <w:bidi w:val="0"/>
              <w:adjustRightInd w:val="0"/>
              <w:snapToGrid w:val="0"/>
              <w:spacing w:line="360" w:lineRule="auto"/>
              <w:ind w:left="0" w:right="0" w:firstLine="482" w:firstLineChars="200"/>
              <w:textAlignment w:val="baseline"/>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w:t>
            </w:r>
            <w:r>
              <w:rPr>
                <w:rFonts w:hint="default" w:ascii="Times New Roman" w:hAnsi="Times New Roman" w:eastAsia="宋体" w:cs="Times New Roman"/>
                <w:b/>
                <w:bCs/>
                <w:color w:val="auto"/>
                <w:sz w:val="24"/>
                <w:szCs w:val="24"/>
                <w:highlight w:val="none"/>
                <w:lang w:val="en-US" w:eastAsia="zh-CN"/>
              </w:rPr>
              <w:t>5</w:t>
            </w:r>
            <w:r>
              <w:rPr>
                <w:rFonts w:hint="default" w:ascii="Times New Roman" w:hAnsi="Times New Roman" w:eastAsia="宋体" w:cs="Times New Roman"/>
                <w:b/>
                <w:bCs/>
                <w:color w:val="auto"/>
                <w:sz w:val="24"/>
                <w:szCs w:val="24"/>
                <w:highlight w:val="none"/>
              </w:rPr>
              <w:t>小结</w:t>
            </w:r>
          </w:p>
          <w:p w14:paraId="30650BEF">
            <w:pPr>
              <w:pageBreakBefore w:val="0"/>
              <w:widowControl/>
              <w:overflowPunct/>
              <w:bidi w:val="0"/>
              <w:adjustRightInd w:val="0"/>
              <w:snapToGrid w:val="0"/>
              <w:spacing w:line="360" w:lineRule="auto"/>
              <w:ind w:left="0" w:right="0" w:firstLine="480"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项目位于</w:t>
            </w:r>
            <w:r>
              <w:rPr>
                <w:rFonts w:hint="default" w:ascii="Times New Roman" w:hAnsi="Times New Roman" w:eastAsia="宋体" w:cs="Times New Roman"/>
                <w:color w:val="auto"/>
                <w:spacing w:val="6"/>
                <w:sz w:val="24"/>
                <w:szCs w:val="24"/>
                <w:highlight w:val="none"/>
              </w:rPr>
              <w:t>纳斯县</w:t>
            </w:r>
            <w:r>
              <w:rPr>
                <w:rFonts w:hint="default" w:ascii="Times New Roman" w:hAnsi="Times New Roman" w:eastAsia="宋体" w:cs="Times New Roman"/>
                <w:color w:val="auto"/>
                <w:spacing w:val="6"/>
                <w:sz w:val="24"/>
                <w:szCs w:val="24"/>
                <w:highlight w:val="none"/>
                <w:lang w:val="en-US" w:eastAsia="zh-CN"/>
              </w:rPr>
              <w:t>塔河工业园区新疆华房盛泰保温材料科技有限公司8#生产厂房</w:t>
            </w:r>
            <w:r>
              <w:rPr>
                <w:rFonts w:hint="default" w:ascii="Times New Roman" w:hAnsi="Times New Roman" w:eastAsia="宋体" w:cs="Times New Roman"/>
                <w:color w:val="auto"/>
                <w:sz w:val="24"/>
                <w:szCs w:val="24"/>
                <w:highlight w:val="none"/>
              </w:rPr>
              <w:t>，周围500m范围内无环境保护目标分布，项目产生有组织污染物颗粒物采取的袋式除尘器为目前国内成熟应用技术，无组织采取洒水降尘等措施，污染防治措施可行，经过处理后可以确保各类污染物达标排放，对大气环境的影响可以接受。</w:t>
            </w:r>
          </w:p>
          <w:p w14:paraId="4A406568">
            <w:pPr>
              <w:pStyle w:val="25"/>
              <w:pageBreakBefore w:val="0"/>
              <w:widowControl/>
              <w:kinsoku/>
              <w:wordWrap w:val="0"/>
              <w:overflowPunct/>
              <w:topLinePunct/>
              <w:autoSpaceDE/>
              <w:autoSpaceDN/>
              <w:bidi w:val="0"/>
              <w:adjustRightInd w:val="0"/>
              <w:snapToGrid w:val="0"/>
              <w:spacing w:line="360" w:lineRule="auto"/>
              <w:ind w:left="0" w:right="0" w:firstLine="506"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6"/>
                <w:sz w:val="24"/>
                <w:szCs w:val="24"/>
                <w:highlight w:val="none"/>
              </w:rPr>
              <w:t>2、废水环境影响分析及防治措施</w:t>
            </w:r>
          </w:p>
          <w:p w14:paraId="6665260D">
            <w:pPr>
              <w:pStyle w:val="25"/>
              <w:pageBreakBefore w:val="0"/>
              <w:widowControl/>
              <w:kinsoku/>
              <w:wordWrap w:val="0"/>
              <w:overflowPunct/>
              <w:topLinePunct/>
              <w:autoSpaceDE/>
              <w:autoSpaceDN/>
              <w:bidi w:val="0"/>
              <w:adjustRightInd w:val="0"/>
              <w:snapToGrid w:val="0"/>
              <w:spacing w:line="360" w:lineRule="auto"/>
              <w:ind w:left="0" w:right="0" w:firstLine="510"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7"/>
                <w:sz w:val="24"/>
                <w:szCs w:val="24"/>
                <w:highlight w:val="none"/>
              </w:rPr>
              <w:t>2.1</w:t>
            </w:r>
            <w:r>
              <w:rPr>
                <w:rFonts w:hint="default" w:ascii="Times New Roman" w:hAnsi="Times New Roman" w:eastAsia="宋体" w:cs="Times New Roman"/>
                <w:b/>
                <w:bCs/>
                <w:color w:val="auto"/>
                <w:spacing w:val="7"/>
                <w:sz w:val="24"/>
                <w:szCs w:val="24"/>
                <w:highlight w:val="none"/>
                <w:lang w:eastAsia="zh-CN"/>
              </w:rPr>
              <w:t>、</w:t>
            </w:r>
            <w:r>
              <w:rPr>
                <w:rFonts w:hint="default" w:ascii="Times New Roman" w:hAnsi="Times New Roman" w:eastAsia="宋体" w:cs="Times New Roman"/>
                <w:b/>
                <w:bCs/>
                <w:color w:val="auto"/>
                <w:spacing w:val="7"/>
                <w:sz w:val="24"/>
                <w:szCs w:val="24"/>
                <w:highlight w:val="none"/>
              </w:rPr>
              <w:t>废水环境影响分析及防治措施</w:t>
            </w:r>
          </w:p>
          <w:p w14:paraId="4A6387EC">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eastAsia="宋体" w:cs="Times New Roman"/>
                <w:color w:val="auto"/>
                <w:spacing w:val="12"/>
                <w:sz w:val="24"/>
                <w:szCs w:val="24"/>
                <w:highlight w:val="none"/>
                <w:lang w:val="en-US" w:eastAsia="zh-CN"/>
              </w:rPr>
            </w:pPr>
            <w:r>
              <w:rPr>
                <w:rFonts w:hint="default" w:ascii="Times New Roman" w:hAnsi="Times New Roman" w:eastAsia="宋体" w:cs="Times New Roman"/>
                <w:color w:val="auto"/>
                <w:spacing w:val="12"/>
                <w:sz w:val="24"/>
                <w:szCs w:val="24"/>
                <w:highlight w:val="none"/>
              </w:rPr>
              <w:t>本项目运营期废水主要为生活污水。</w:t>
            </w:r>
            <w:r>
              <w:rPr>
                <w:rFonts w:hint="default" w:ascii="Times New Roman" w:hAnsi="Times New Roman" w:eastAsia="宋体" w:cs="Times New Roman"/>
                <w:color w:val="auto"/>
                <w:spacing w:val="9"/>
                <w:sz w:val="24"/>
                <w:szCs w:val="24"/>
                <w:highlight w:val="none"/>
              </w:rPr>
              <w:t>项目生活用水量</w:t>
            </w:r>
            <w:r>
              <w:rPr>
                <w:rFonts w:hint="default" w:ascii="Times New Roman" w:hAnsi="Times New Roman" w:eastAsia="宋体" w:cs="Times New Roman"/>
                <w:color w:val="auto"/>
                <w:spacing w:val="9"/>
                <w:sz w:val="24"/>
                <w:szCs w:val="24"/>
                <w:highlight w:val="none"/>
                <w:lang w:val="en-US" w:eastAsia="zh-CN"/>
              </w:rPr>
              <w:t>0.8</w:t>
            </w:r>
            <w:r>
              <w:rPr>
                <w:rFonts w:hint="default" w:ascii="Times New Roman" w:hAnsi="Times New Roman" w:eastAsia="宋体" w:cs="Times New Roman"/>
                <w:color w:val="auto"/>
                <w:spacing w:val="9"/>
                <w:sz w:val="24"/>
                <w:szCs w:val="24"/>
                <w:highlight w:val="none"/>
              </w:rPr>
              <w:t>m</w:t>
            </w:r>
            <w:r>
              <w:rPr>
                <w:rFonts w:hint="default" w:ascii="Times New Roman" w:hAnsi="Times New Roman" w:eastAsia="宋体" w:cs="Times New Roman"/>
                <w:color w:val="auto"/>
                <w:spacing w:val="9"/>
                <w:sz w:val="24"/>
                <w:szCs w:val="24"/>
                <w:highlight w:val="none"/>
                <w:vertAlign w:val="superscript"/>
                <w:lang w:val="en-US" w:eastAsia="zh-CN"/>
              </w:rPr>
              <w:t>3</w:t>
            </w:r>
            <w:r>
              <w:rPr>
                <w:rFonts w:hint="default" w:ascii="Times New Roman" w:hAnsi="Times New Roman" w:eastAsia="宋体" w:cs="Times New Roman"/>
                <w:color w:val="auto"/>
                <w:spacing w:val="9"/>
                <w:sz w:val="24"/>
                <w:szCs w:val="24"/>
                <w:highlight w:val="none"/>
              </w:rPr>
              <w:t>/d（168m</w:t>
            </w:r>
            <w:r>
              <w:rPr>
                <w:rFonts w:hint="default" w:ascii="Times New Roman" w:hAnsi="Times New Roman" w:eastAsia="宋体" w:cs="Times New Roman"/>
                <w:color w:val="auto"/>
                <w:spacing w:val="9"/>
                <w:sz w:val="24"/>
                <w:szCs w:val="24"/>
                <w:highlight w:val="none"/>
                <w:vertAlign w:val="superscript"/>
                <w:lang w:val="en-US" w:eastAsia="zh-CN"/>
              </w:rPr>
              <w:t>3</w:t>
            </w:r>
            <w:r>
              <w:rPr>
                <w:rFonts w:hint="default" w:ascii="Times New Roman" w:hAnsi="Times New Roman" w:eastAsia="宋体" w:cs="Times New Roman"/>
                <w:color w:val="auto"/>
                <w:spacing w:val="9"/>
                <w:sz w:val="24"/>
                <w:szCs w:val="24"/>
                <w:highlight w:val="none"/>
              </w:rPr>
              <w:t>/a）。</w:t>
            </w:r>
            <w:r>
              <w:rPr>
                <w:rFonts w:hint="default" w:ascii="Times New Roman" w:hAnsi="Times New Roman" w:eastAsia="宋体" w:cs="Times New Roman"/>
                <w:color w:val="auto"/>
                <w:sz w:val="24"/>
                <w:szCs w:val="24"/>
                <w:highlight w:val="none"/>
                <w:lang w:eastAsia="zh-CN"/>
              </w:rPr>
              <w:t>排水系</w:t>
            </w:r>
            <w:r>
              <w:rPr>
                <w:rFonts w:hint="default" w:ascii="Times New Roman" w:hAnsi="Times New Roman" w:eastAsia="宋体" w:cs="Times New Roman"/>
                <w:color w:val="auto"/>
                <w:spacing w:val="12"/>
                <w:sz w:val="24"/>
                <w:szCs w:val="24"/>
                <w:highlight w:val="none"/>
                <w:lang w:eastAsia="zh-CN"/>
              </w:rPr>
              <w:t>数取0.</w:t>
            </w:r>
            <w:r>
              <w:rPr>
                <w:rFonts w:hint="default" w:ascii="Times New Roman" w:hAnsi="Times New Roman" w:eastAsia="宋体" w:cs="Times New Roman"/>
                <w:color w:val="auto"/>
                <w:spacing w:val="12"/>
                <w:sz w:val="24"/>
                <w:szCs w:val="24"/>
                <w:highlight w:val="none"/>
                <w:lang w:val="en-US" w:eastAsia="zh-CN"/>
              </w:rPr>
              <w:t>8</w:t>
            </w:r>
            <w:r>
              <w:rPr>
                <w:rFonts w:hint="default" w:ascii="Times New Roman" w:hAnsi="Times New Roman" w:eastAsia="宋体" w:cs="Times New Roman"/>
                <w:color w:val="auto"/>
                <w:spacing w:val="12"/>
                <w:sz w:val="24"/>
                <w:szCs w:val="24"/>
                <w:highlight w:val="none"/>
                <w:lang w:eastAsia="zh-CN"/>
              </w:rPr>
              <w:t>，则</w:t>
            </w:r>
            <w:r>
              <w:rPr>
                <w:rFonts w:hint="default" w:ascii="Times New Roman" w:hAnsi="Times New Roman" w:eastAsia="宋体" w:cs="Times New Roman"/>
                <w:color w:val="auto"/>
                <w:spacing w:val="12"/>
                <w:sz w:val="24"/>
                <w:szCs w:val="24"/>
                <w:highlight w:val="none"/>
              </w:rPr>
              <w:t>生活污</w:t>
            </w:r>
            <w:r>
              <w:rPr>
                <w:rFonts w:hint="default" w:ascii="Times New Roman" w:hAnsi="Times New Roman" w:eastAsia="宋体" w:cs="Times New Roman"/>
                <w:color w:val="auto"/>
                <w:spacing w:val="12"/>
                <w:sz w:val="24"/>
                <w:szCs w:val="24"/>
                <w:highlight w:val="none"/>
                <w:lang w:eastAsia="zh-CN"/>
              </w:rPr>
              <w:t>水量</w:t>
            </w:r>
            <w:r>
              <w:rPr>
                <w:rFonts w:hint="default" w:ascii="Times New Roman" w:hAnsi="Times New Roman" w:eastAsia="宋体" w:cs="Times New Roman"/>
                <w:color w:val="auto"/>
                <w:spacing w:val="12"/>
                <w:sz w:val="24"/>
                <w:szCs w:val="24"/>
                <w:highlight w:val="none"/>
                <w:lang w:val="en-US" w:eastAsia="zh-CN"/>
              </w:rPr>
              <w:t>0.64</w:t>
            </w:r>
            <w:r>
              <w:rPr>
                <w:rFonts w:hint="default" w:ascii="Times New Roman" w:hAnsi="Times New Roman" w:eastAsia="宋体" w:cs="Times New Roman"/>
                <w:color w:val="auto"/>
                <w:spacing w:val="12"/>
                <w:sz w:val="24"/>
                <w:szCs w:val="24"/>
                <w:highlight w:val="none"/>
              </w:rPr>
              <w:t>m</w:t>
            </w:r>
            <w:r>
              <w:rPr>
                <w:rFonts w:hint="default" w:ascii="Times New Roman" w:hAnsi="Times New Roman" w:eastAsia="宋体" w:cs="Times New Roman"/>
                <w:color w:val="auto"/>
                <w:spacing w:val="12"/>
                <w:sz w:val="24"/>
                <w:szCs w:val="24"/>
                <w:highlight w:val="none"/>
                <w:vertAlign w:val="superscript"/>
              </w:rPr>
              <w:t>3</w:t>
            </w:r>
            <w:r>
              <w:rPr>
                <w:rFonts w:hint="default" w:ascii="Times New Roman" w:hAnsi="Times New Roman" w:eastAsia="宋体" w:cs="Times New Roman"/>
                <w:color w:val="auto"/>
                <w:spacing w:val="12"/>
                <w:sz w:val="24"/>
                <w:szCs w:val="24"/>
                <w:highlight w:val="none"/>
              </w:rPr>
              <w:t>/d</w:t>
            </w:r>
            <w:r>
              <w:rPr>
                <w:rFonts w:hint="default" w:ascii="Times New Roman" w:hAnsi="Times New Roman" w:eastAsia="宋体" w:cs="Times New Roman"/>
                <w:color w:val="auto"/>
                <w:spacing w:val="12"/>
                <w:sz w:val="24"/>
                <w:szCs w:val="24"/>
                <w:highlight w:val="none"/>
                <w:lang w:eastAsia="zh-CN"/>
              </w:rPr>
              <w:t>（</w:t>
            </w:r>
            <w:r>
              <w:rPr>
                <w:rFonts w:hint="default" w:ascii="Times New Roman" w:hAnsi="Times New Roman" w:eastAsia="宋体" w:cs="Times New Roman"/>
                <w:color w:val="auto"/>
                <w:spacing w:val="12"/>
                <w:sz w:val="24"/>
                <w:szCs w:val="24"/>
                <w:highlight w:val="none"/>
                <w:lang w:val="en-US" w:eastAsia="zh-CN"/>
              </w:rPr>
              <w:t>134.4t/a</w:t>
            </w:r>
            <w:r>
              <w:rPr>
                <w:rFonts w:hint="default" w:ascii="Times New Roman" w:hAnsi="Times New Roman" w:eastAsia="宋体" w:cs="Times New Roman"/>
                <w:color w:val="auto"/>
                <w:spacing w:val="12"/>
                <w:sz w:val="24"/>
                <w:szCs w:val="24"/>
                <w:highlight w:val="none"/>
                <w:lang w:eastAsia="zh-CN"/>
              </w:rPr>
              <w:t>）。</w:t>
            </w:r>
            <w:r>
              <w:rPr>
                <w:rFonts w:hint="eastAsia" w:ascii="Times New Roman" w:hAnsi="Times New Roman" w:eastAsia="宋体" w:cs="Times New Roman"/>
                <w:color w:val="auto"/>
                <w:spacing w:val="12"/>
                <w:sz w:val="24"/>
                <w:szCs w:val="24"/>
                <w:highlight w:val="none"/>
                <w:lang w:val="en-US" w:eastAsia="zh-CN"/>
              </w:rPr>
              <w:t>生活污水排入市政污水管网，最终进入玛纳斯工业园区塔河产业园污水处理厂处理</w:t>
            </w:r>
            <w:r>
              <w:rPr>
                <w:rFonts w:hint="default" w:ascii="Times New Roman" w:hAnsi="Times New Roman" w:eastAsia="宋体" w:cs="Times New Roman"/>
                <w:color w:val="auto"/>
                <w:spacing w:val="12"/>
                <w:sz w:val="24"/>
                <w:szCs w:val="24"/>
                <w:highlight w:val="none"/>
              </w:rPr>
              <w:t>。</w:t>
            </w:r>
            <w:r>
              <w:rPr>
                <w:rFonts w:hint="default" w:ascii="Times New Roman" w:hAnsi="Times New Roman" w:eastAsia="宋体" w:cs="Times New Roman"/>
                <w:color w:val="auto"/>
                <w:spacing w:val="12"/>
                <w:sz w:val="24"/>
                <w:szCs w:val="24"/>
                <w:highlight w:val="none"/>
                <w:lang w:val="en-US" w:eastAsia="zh-CN"/>
              </w:rPr>
              <w:t>项目生活污水排放情况见表4-4。</w:t>
            </w:r>
          </w:p>
          <w:p w14:paraId="130E589D">
            <w:pPr>
              <w:pStyle w:val="44"/>
              <w:pageBreakBefore w:val="0"/>
              <w:kinsoku/>
              <w:wordWrap w:val="0"/>
              <w:overflowPunct/>
              <w:topLinePunct/>
              <w:autoSpaceDE/>
              <w:autoSpaceDN/>
              <w:bidi w:val="0"/>
              <w:spacing w:before="0" w:beforeLines="0" w:after="0" w:line="240" w:lineRule="auto"/>
              <w:ind w:right="0" w:firstLine="0" w:firstLineChars="0"/>
              <w:rPr>
                <w:rFonts w:hint="default" w:ascii="Times New Roman" w:hAnsi="Times New Roman" w:eastAsia="宋体" w:cs="Times New Roman"/>
                <w:b/>
                <w:bCs/>
                <w:snapToGrid w:val="0"/>
                <w:color w:val="auto"/>
                <w:spacing w:val="6"/>
                <w:kern w:val="0"/>
                <w:sz w:val="21"/>
                <w:szCs w:val="21"/>
                <w:highlight w:val="none"/>
                <w:lang w:val="en-US" w:eastAsia="zh-CN" w:bidi="ar-SA"/>
              </w:rPr>
            </w:pPr>
            <w:r>
              <w:rPr>
                <w:rFonts w:hint="default" w:ascii="Times New Roman" w:hAnsi="Times New Roman" w:eastAsia="宋体" w:cs="Times New Roman"/>
                <w:b/>
                <w:bCs/>
                <w:snapToGrid w:val="0"/>
                <w:color w:val="auto"/>
                <w:spacing w:val="6"/>
                <w:kern w:val="0"/>
                <w:sz w:val="21"/>
                <w:szCs w:val="21"/>
                <w:highlight w:val="none"/>
                <w:lang w:val="en-US" w:eastAsia="zh-CN" w:bidi="ar-SA"/>
              </w:rPr>
              <w:t>表4-4废水排放情况一览表</w:t>
            </w:r>
          </w:p>
          <w:tbl>
            <w:tblPr>
              <w:tblStyle w:val="18"/>
              <w:tblW w:w="49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042"/>
              <w:gridCol w:w="1024"/>
              <w:gridCol w:w="1118"/>
              <w:gridCol w:w="757"/>
              <w:gridCol w:w="991"/>
              <w:gridCol w:w="865"/>
              <w:gridCol w:w="1125"/>
            </w:tblGrid>
            <w:tr w14:paraId="7F2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738" w:type="pct"/>
                  <w:vMerge w:val="restart"/>
                  <w:noWrap w:val="0"/>
                  <w:vAlign w:val="center"/>
                </w:tcPr>
                <w:p w14:paraId="62A518A8">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污染源</w:t>
                  </w:r>
                </w:p>
              </w:tc>
              <w:tc>
                <w:tcPr>
                  <w:tcW w:w="641" w:type="pct"/>
                  <w:vMerge w:val="restart"/>
                  <w:noWrap w:val="0"/>
                  <w:vAlign w:val="center"/>
                </w:tcPr>
                <w:p w14:paraId="790BA64F">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污染物</w:t>
                  </w:r>
                </w:p>
              </w:tc>
              <w:tc>
                <w:tcPr>
                  <w:tcW w:w="1318" w:type="pct"/>
                  <w:gridSpan w:val="2"/>
                  <w:noWrap w:val="0"/>
                  <w:vAlign w:val="center"/>
                </w:tcPr>
                <w:p w14:paraId="63185121">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产生情况</w:t>
                  </w:r>
                </w:p>
              </w:tc>
              <w:tc>
                <w:tcPr>
                  <w:tcW w:w="466" w:type="pct"/>
                  <w:vMerge w:val="restart"/>
                  <w:noWrap w:val="0"/>
                  <w:vAlign w:val="center"/>
                </w:tcPr>
                <w:p w14:paraId="719720D0">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治理措施</w:t>
                  </w:r>
                </w:p>
              </w:tc>
              <w:tc>
                <w:tcPr>
                  <w:tcW w:w="1142" w:type="pct"/>
                  <w:gridSpan w:val="2"/>
                  <w:noWrap w:val="0"/>
                  <w:vAlign w:val="center"/>
                </w:tcPr>
                <w:p w14:paraId="2467769F">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排放情况</w:t>
                  </w:r>
                </w:p>
              </w:tc>
              <w:tc>
                <w:tcPr>
                  <w:tcW w:w="692" w:type="pct"/>
                  <w:vMerge w:val="restart"/>
                  <w:noWrap w:val="0"/>
                  <w:vAlign w:val="center"/>
                </w:tcPr>
                <w:p w14:paraId="10015AAF">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排放标准</w:t>
                  </w:r>
                </w:p>
                <w:p w14:paraId="259A26E0">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mg/L</w:t>
                  </w:r>
                </w:p>
              </w:tc>
            </w:tr>
            <w:tr w14:paraId="3D22B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38" w:type="pct"/>
                  <w:vMerge w:val="continue"/>
                  <w:noWrap w:val="0"/>
                  <w:vAlign w:val="center"/>
                </w:tcPr>
                <w:p w14:paraId="5837D04F">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p>
              </w:tc>
              <w:tc>
                <w:tcPr>
                  <w:tcW w:w="641" w:type="pct"/>
                  <w:vMerge w:val="continue"/>
                  <w:noWrap w:val="0"/>
                  <w:vAlign w:val="center"/>
                </w:tcPr>
                <w:p w14:paraId="6E3C538B">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p>
              </w:tc>
              <w:tc>
                <w:tcPr>
                  <w:tcW w:w="630" w:type="pct"/>
                  <w:noWrap w:val="0"/>
                  <w:vAlign w:val="center"/>
                </w:tcPr>
                <w:p w14:paraId="79CC3C19">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产生量</w:t>
                  </w:r>
                </w:p>
                <w:p w14:paraId="1CE25B3B">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t/a</w:t>
                  </w:r>
                </w:p>
              </w:tc>
              <w:tc>
                <w:tcPr>
                  <w:tcW w:w="687" w:type="pct"/>
                  <w:noWrap w:val="0"/>
                  <w:vAlign w:val="center"/>
                </w:tcPr>
                <w:p w14:paraId="47B5A5D9">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产生浓度mg/L</w:t>
                  </w:r>
                </w:p>
              </w:tc>
              <w:tc>
                <w:tcPr>
                  <w:tcW w:w="466" w:type="pct"/>
                  <w:vMerge w:val="continue"/>
                  <w:noWrap w:val="0"/>
                  <w:vAlign w:val="center"/>
                </w:tcPr>
                <w:p w14:paraId="0366DEA5">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p>
              </w:tc>
              <w:tc>
                <w:tcPr>
                  <w:tcW w:w="610" w:type="pct"/>
                  <w:noWrap w:val="0"/>
                  <w:vAlign w:val="center"/>
                </w:tcPr>
                <w:p w14:paraId="1F640D94">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排放量</w:t>
                  </w:r>
                </w:p>
                <w:p w14:paraId="4DBD00AD">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t/a</w:t>
                  </w:r>
                </w:p>
              </w:tc>
              <w:tc>
                <w:tcPr>
                  <w:tcW w:w="531" w:type="pct"/>
                  <w:noWrap w:val="0"/>
                  <w:vAlign w:val="center"/>
                </w:tcPr>
                <w:p w14:paraId="7D801499">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浓度</w:t>
                  </w:r>
                </w:p>
                <w:p w14:paraId="0F9B8FCC">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mg/L</w:t>
                  </w:r>
                </w:p>
              </w:tc>
              <w:tc>
                <w:tcPr>
                  <w:tcW w:w="692" w:type="pct"/>
                  <w:vMerge w:val="continue"/>
                  <w:noWrap w:val="0"/>
                  <w:vAlign w:val="center"/>
                </w:tcPr>
                <w:p w14:paraId="67B31497">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p>
              </w:tc>
            </w:tr>
            <w:tr w14:paraId="1E07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738" w:type="pct"/>
                  <w:vMerge w:val="restart"/>
                  <w:noWrap w:val="0"/>
                  <w:vAlign w:val="center"/>
                </w:tcPr>
                <w:p w14:paraId="4E7D88BE">
                  <w:pPr>
                    <w:pStyle w:val="51"/>
                    <w:pageBreakBefore w:val="0"/>
                    <w:kinsoku/>
                    <w:wordWrap w:val="0"/>
                    <w:overflowPunct/>
                    <w:topLinePunct/>
                    <w:autoSpaceDE/>
                    <w:autoSpaceDN/>
                    <w:bidi w:val="0"/>
                    <w:spacing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生活</w:t>
                  </w:r>
                </w:p>
                <w:p w14:paraId="0E34A225">
                  <w:pPr>
                    <w:pStyle w:val="51"/>
                    <w:pageBreakBefore w:val="0"/>
                    <w:kinsoku/>
                    <w:wordWrap w:val="0"/>
                    <w:overflowPunct/>
                    <w:topLinePunct/>
                    <w:autoSpaceDE/>
                    <w:autoSpaceDN/>
                    <w:bidi w:val="0"/>
                    <w:spacing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污水</w:t>
                  </w:r>
                </w:p>
                <w:p w14:paraId="4FD4A5F1">
                  <w:pPr>
                    <w:pStyle w:val="51"/>
                    <w:pageBreakBefore w:val="0"/>
                    <w:kinsoku/>
                    <w:wordWrap w:val="0"/>
                    <w:overflowPunct/>
                    <w:topLinePunct/>
                    <w:autoSpaceDE/>
                    <w:autoSpaceDN/>
                    <w:bidi w:val="0"/>
                    <w:spacing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134.4m</w:t>
                  </w:r>
                  <w:r>
                    <w:rPr>
                      <w:rFonts w:hint="default" w:ascii="Times New Roman" w:hAnsi="Times New Roman" w:eastAsia="宋体" w:cs="Times New Roman"/>
                      <w:snapToGrid w:val="0"/>
                      <w:color w:val="auto"/>
                      <w:spacing w:val="6"/>
                      <w:kern w:val="0"/>
                      <w:sz w:val="21"/>
                      <w:szCs w:val="21"/>
                      <w:highlight w:val="none"/>
                      <w:vertAlign w:val="superscript"/>
                      <w:lang w:val="en-US" w:eastAsia="zh-CN" w:bidi="ar-SA"/>
                    </w:rPr>
                    <w:t>3</w:t>
                  </w:r>
                  <w:r>
                    <w:rPr>
                      <w:rFonts w:hint="default" w:ascii="Times New Roman" w:hAnsi="Times New Roman" w:eastAsia="宋体" w:cs="Times New Roman"/>
                      <w:snapToGrid w:val="0"/>
                      <w:color w:val="auto"/>
                      <w:spacing w:val="6"/>
                      <w:kern w:val="0"/>
                      <w:sz w:val="21"/>
                      <w:szCs w:val="21"/>
                      <w:highlight w:val="none"/>
                      <w:lang w:val="en-US" w:eastAsia="zh-CN" w:bidi="ar-SA"/>
                    </w:rPr>
                    <w:t>/a</w:t>
                  </w:r>
                </w:p>
              </w:tc>
              <w:tc>
                <w:tcPr>
                  <w:tcW w:w="641" w:type="pct"/>
                  <w:noWrap w:val="0"/>
                  <w:vAlign w:val="center"/>
                </w:tcPr>
                <w:p w14:paraId="36F37FA0">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CODcr</w:t>
                  </w:r>
                </w:p>
              </w:tc>
              <w:tc>
                <w:tcPr>
                  <w:tcW w:w="630" w:type="pct"/>
                  <w:noWrap w:val="0"/>
                  <w:vAlign w:val="center"/>
                </w:tcPr>
                <w:p w14:paraId="6F34821E">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i w:val="0"/>
                      <w:iCs w:val="0"/>
                      <w:snapToGrid w:val="0"/>
                      <w:color w:val="auto"/>
                      <w:kern w:val="0"/>
                      <w:sz w:val="21"/>
                      <w:szCs w:val="21"/>
                      <w:highlight w:val="none"/>
                      <w:u w:val="none"/>
                      <w:lang w:val="en-US" w:eastAsia="zh-CN" w:bidi="ar"/>
                    </w:rPr>
                    <w:t>0.05</w:t>
                  </w:r>
                </w:p>
              </w:tc>
              <w:tc>
                <w:tcPr>
                  <w:tcW w:w="687" w:type="pct"/>
                  <w:noWrap w:val="0"/>
                  <w:vAlign w:val="center"/>
                </w:tcPr>
                <w:p w14:paraId="475EF423">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350</w:t>
                  </w:r>
                </w:p>
              </w:tc>
              <w:tc>
                <w:tcPr>
                  <w:tcW w:w="466" w:type="pct"/>
                  <w:vMerge w:val="restart"/>
                  <w:noWrap w:val="0"/>
                  <w:vAlign w:val="center"/>
                </w:tcPr>
                <w:p w14:paraId="5B34E0BE">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w:t>
                  </w:r>
                </w:p>
              </w:tc>
              <w:tc>
                <w:tcPr>
                  <w:tcW w:w="610" w:type="pct"/>
                  <w:shd w:val="clear" w:color="auto" w:fill="auto"/>
                  <w:noWrap w:val="0"/>
                  <w:vAlign w:val="center"/>
                </w:tcPr>
                <w:p w14:paraId="137B0886">
                  <w:pPr>
                    <w:pStyle w:val="50"/>
                    <w:pageBreakBefore w:val="0"/>
                    <w:kinsoku/>
                    <w:wordWrap w:val="0"/>
                    <w:overflowPunct/>
                    <w:topLinePunct/>
                    <w:autoSpaceDE/>
                    <w:autoSpaceDN/>
                    <w:bidi w:val="0"/>
                    <w:spacing w:before="0" w:beforeLines="0" w:after="0" w:line="240" w:lineRule="auto"/>
                    <w:ind w:right="0" w:rightChars="0" w:firstLine="0" w:firstLineChars="0"/>
                    <w:jc w:val="center"/>
                    <w:rPr>
                      <w:rFonts w:hint="default" w:ascii="Times New Roman" w:hAnsi="Times New Roman" w:eastAsia="宋体" w:cs="Times New Roman"/>
                      <w:b w:val="0"/>
                      <w:snapToGrid w:val="0"/>
                      <w:color w:val="auto"/>
                      <w:spacing w:val="6"/>
                      <w:kern w:val="0"/>
                      <w:sz w:val="21"/>
                      <w:szCs w:val="21"/>
                      <w:highlight w:val="none"/>
                      <w:lang w:val="en-US" w:eastAsia="zh-CN" w:bidi="ar-SA"/>
                    </w:rPr>
                  </w:pPr>
                  <w:r>
                    <w:rPr>
                      <w:rFonts w:hint="default" w:ascii="Times New Roman" w:hAnsi="Times New Roman" w:eastAsia="宋体" w:cs="Times New Roman"/>
                      <w:i w:val="0"/>
                      <w:iCs w:val="0"/>
                      <w:snapToGrid w:val="0"/>
                      <w:color w:val="auto"/>
                      <w:kern w:val="0"/>
                      <w:sz w:val="21"/>
                      <w:szCs w:val="21"/>
                      <w:highlight w:val="none"/>
                      <w:u w:val="none"/>
                      <w:lang w:val="en-US" w:eastAsia="zh-CN" w:bidi="ar"/>
                    </w:rPr>
                    <w:t>0.05</w:t>
                  </w:r>
                </w:p>
              </w:tc>
              <w:tc>
                <w:tcPr>
                  <w:tcW w:w="531" w:type="pct"/>
                  <w:noWrap w:val="0"/>
                  <w:vAlign w:val="center"/>
                </w:tcPr>
                <w:p w14:paraId="28740D41">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350</w:t>
                  </w:r>
                </w:p>
              </w:tc>
              <w:tc>
                <w:tcPr>
                  <w:tcW w:w="692" w:type="pct"/>
                  <w:noWrap w:val="0"/>
                  <w:vAlign w:val="center"/>
                </w:tcPr>
                <w:p w14:paraId="36E2ED3A">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500</w:t>
                  </w:r>
                </w:p>
              </w:tc>
            </w:tr>
            <w:tr w14:paraId="13E96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8" w:type="pct"/>
                  <w:vMerge w:val="continue"/>
                  <w:noWrap w:val="0"/>
                  <w:vAlign w:val="center"/>
                </w:tcPr>
                <w:p w14:paraId="7339D8F4">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p>
              </w:tc>
              <w:tc>
                <w:tcPr>
                  <w:tcW w:w="641" w:type="pct"/>
                  <w:noWrap w:val="0"/>
                  <w:vAlign w:val="center"/>
                </w:tcPr>
                <w:p w14:paraId="1A583DB2">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BOD</w:t>
                  </w:r>
                  <w:r>
                    <w:rPr>
                      <w:rFonts w:hint="default" w:ascii="Times New Roman" w:hAnsi="Times New Roman" w:eastAsia="宋体" w:cs="Times New Roman"/>
                      <w:snapToGrid w:val="0"/>
                      <w:color w:val="auto"/>
                      <w:spacing w:val="6"/>
                      <w:kern w:val="0"/>
                      <w:sz w:val="21"/>
                      <w:szCs w:val="21"/>
                      <w:highlight w:val="none"/>
                      <w:vertAlign w:val="subscript"/>
                      <w:lang w:val="en-US" w:eastAsia="zh-CN" w:bidi="ar-SA"/>
                    </w:rPr>
                    <w:t>5</w:t>
                  </w:r>
                </w:p>
              </w:tc>
              <w:tc>
                <w:tcPr>
                  <w:tcW w:w="630" w:type="pct"/>
                  <w:shd w:val="clear" w:color="auto" w:fill="auto"/>
                  <w:noWrap w:val="0"/>
                  <w:vAlign w:val="center"/>
                </w:tcPr>
                <w:p w14:paraId="1CAAAC05">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i w:val="0"/>
                      <w:iCs w:val="0"/>
                      <w:snapToGrid w:val="0"/>
                      <w:color w:val="auto"/>
                      <w:kern w:val="0"/>
                      <w:sz w:val="21"/>
                      <w:szCs w:val="21"/>
                      <w:highlight w:val="none"/>
                      <w:u w:val="none"/>
                      <w:lang w:val="en-US" w:eastAsia="zh-CN" w:bidi="ar-SA"/>
                    </w:rPr>
                  </w:pPr>
                  <w:r>
                    <w:rPr>
                      <w:rFonts w:hint="default" w:ascii="Times New Roman" w:hAnsi="Times New Roman" w:eastAsia="宋体" w:cs="Times New Roman"/>
                      <w:i w:val="0"/>
                      <w:iCs w:val="0"/>
                      <w:snapToGrid w:val="0"/>
                      <w:color w:val="auto"/>
                      <w:kern w:val="0"/>
                      <w:sz w:val="21"/>
                      <w:szCs w:val="21"/>
                      <w:highlight w:val="none"/>
                      <w:u w:val="none"/>
                      <w:lang w:val="en-US" w:eastAsia="zh-CN" w:bidi="ar"/>
                    </w:rPr>
                    <w:t>0.03</w:t>
                  </w:r>
                </w:p>
              </w:tc>
              <w:tc>
                <w:tcPr>
                  <w:tcW w:w="687" w:type="pct"/>
                  <w:noWrap w:val="0"/>
                  <w:vAlign w:val="center"/>
                </w:tcPr>
                <w:p w14:paraId="3BC667C1">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250</w:t>
                  </w:r>
                </w:p>
              </w:tc>
              <w:tc>
                <w:tcPr>
                  <w:tcW w:w="466" w:type="pct"/>
                  <w:vMerge w:val="continue"/>
                  <w:noWrap w:val="0"/>
                  <w:vAlign w:val="center"/>
                </w:tcPr>
                <w:p w14:paraId="3ECBB19B">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p>
              </w:tc>
              <w:tc>
                <w:tcPr>
                  <w:tcW w:w="610" w:type="pct"/>
                  <w:shd w:val="clear" w:color="auto" w:fill="auto"/>
                  <w:noWrap w:val="0"/>
                  <w:vAlign w:val="center"/>
                </w:tcPr>
                <w:p w14:paraId="0E0508C4">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i w:val="0"/>
                      <w:iCs w:val="0"/>
                      <w:snapToGrid w:val="0"/>
                      <w:color w:val="auto"/>
                      <w:kern w:val="0"/>
                      <w:sz w:val="21"/>
                      <w:szCs w:val="21"/>
                      <w:highlight w:val="none"/>
                      <w:u w:val="none"/>
                      <w:lang w:val="en-US" w:eastAsia="zh-CN" w:bidi="ar-SA"/>
                    </w:rPr>
                  </w:pPr>
                  <w:r>
                    <w:rPr>
                      <w:rFonts w:hint="default" w:ascii="Times New Roman" w:hAnsi="Times New Roman" w:eastAsia="宋体" w:cs="Times New Roman"/>
                      <w:i w:val="0"/>
                      <w:iCs w:val="0"/>
                      <w:snapToGrid w:val="0"/>
                      <w:color w:val="auto"/>
                      <w:kern w:val="0"/>
                      <w:sz w:val="21"/>
                      <w:szCs w:val="21"/>
                      <w:highlight w:val="none"/>
                      <w:u w:val="none"/>
                      <w:lang w:val="en-US" w:eastAsia="zh-CN" w:bidi="ar"/>
                    </w:rPr>
                    <w:t>0.03</w:t>
                  </w:r>
                </w:p>
              </w:tc>
              <w:tc>
                <w:tcPr>
                  <w:tcW w:w="531" w:type="pct"/>
                  <w:noWrap w:val="0"/>
                  <w:vAlign w:val="center"/>
                </w:tcPr>
                <w:p w14:paraId="4750C463">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250</w:t>
                  </w:r>
                </w:p>
              </w:tc>
              <w:tc>
                <w:tcPr>
                  <w:tcW w:w="692" w:type="pct"/>
                  <w:noWrap w:val="0"/>
                  <w:vAlign w:val="center"/>
                </w:tcPr>
                <w:p w14:paraId="68807F5A">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400</w:t>
                  </w:r>
                </w:p>
              </w:tc>
            </w:tr>
            <w:tr w14:paraId="082B1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8" w:type="pct"/>
                  <w:vMerge w:val="continue"/>
                  <w:noWrap w:val="0"/>
                  <w:vAlign w:val="center"/>
                </w:tcPr>
                <w:p w14:paraId="5232E9FA">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p>
              </w:tc>
              <w:tc>
                <w:tcPr>
                  <w:tcW w:w="641" w:type="pct"/>
                  <w:noWrap w:val="0"/>
                  <w:vAlign w:val="center"/>
                </w:tcPr>
                <w:p w14:paraId="372536C0">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NH</w:t>
                  </w:r>
                  <w:r>
                    <w:rPr>
                      <w:rFonts w:hint="default" w:ascii="Times New Roman" w:hAnsi="Times New Roman" w:eastAsia="宋体" w:cs="Times New Roman"/>
                      <w:snapToGrid w:val="0"/>
                      <w:color w:val="auto"/>
                      <w:spacing w:val="6"/>
                      <w:kern w:val="0"/>
                      <w:sz w:val="21"/>
                      <w:szCs w:val="21"/>
                      <w:highlight w:val="none"/>
                      <w:vertAlign w:val="subscript"/>
                      <w:lang w:val="en-US" w:eastAsia="zh-CN" w:bidi="ar-SA"/>
                    </w:rPr>
                    <w:t>3</w:t>
                  </w:r>
                  <w:r>
                    <w:rPr>
                      <w:rFonts w:hint="default" w:ascii="Times New Roman" w:hAnsi="Times New Roman" w:eastAsia="宋体" w:cs="Times New Roman"/>
                      <w:snapToGrid w:val="0"/>
                      <w:color w:val="auto"/>
                      <w:spacing w:val="6"/>
                      <w:kern w:val="0"/>
                      <w:sz w:val="21"/>
                      <w:szCs w:val="21"/>
                      <w:highlight w:val="none"/>
                      <w:lang w:val="en-US" w:eastAsia="zh-CN" w:bidi="ar-SA"/>
                    </w:rPr>
                    <w:t>-N</w:t>
                  </w:r>
                </w:p>
              </w:tc>
              <w:tc>
                <w:tcPr>
                  <w:tcW w:w="630" w:type="pct"/>
                  <w:shd w:val="clear" w:color="auto" w:fill="auto"/>
                  <w:noWrap w:val="0"/>
                  <w:vAlign w:val="center"/>
                </w:tcPr>
                <w:p w14:paraId="6FF6CDC1">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i w:val="0"/>
                      <w:iCs w:val="0"/>
                      <w:snapToGrid w:val="0"/>
                      <w:color w:val="auto"/>
                      <w:kern w:val="0"/>
                      <w:sz w:val="21"/>
                      <w:szCs w:val="21"/>
                      <w:highlight w:val="none"/>
                      <w:u w:val="none"/>
                      <w:lang w:val="en-US" w:eastAsia="zh-CN" w:bidi="ar-SA"/>
                    </w:rPr>
                  </w:pPr>
                  <w:r>
                    <w:rPr>
                      <w:rFonts w:hint="default" w:ascii="Times New Roman" w:hAnsi="Times New Roman" w:eastAsia="宋体" w:cs="Times New Roman"/>
                      <w:i w:val="0"/>
                      <w:iCs w:val="0"/>
                      <w:snapToGrid w:val="0"/>
                      <w:color w:val="auto"/>
                      <w:kern w:val="0"/>
                      <w:sz w:val="21"/>
                      <w:szCs w:val="21"/>
                      <w:highlight w:val="none"/>
                      <w:u w:val="none"/>
                      <w:lang w:val="en-US" w:eastAsia="zh-CN" w:bidi="ar"/>
                    </w:rPr>
                    <w:t>0.01</w:t>
                  </w:r>
                </w:p>
              </w:tc>
              <w:tc>
                <w:tcPr>
                  <w:tcW w:w="687" w:type="pct"/>
                  <w:noWrap w:val="0"/>
                  <w:vAlign w:val="center"/>
                </w:tcPr>
                <w:p w14:paraId="39350B1A">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40</w:t>
                  </w:r>
                </w:p>
              </w:tc>
              <w:tc>
                <w:tcPr>
                  <w:tcW w:w="466" w:type="pct"/>
                  <w:vMerge w:val="continue"/>
                  <w:noWrap w:val="0"/>
                  <w:vAlign w:val="center"/>
                </w:tcPr>
                <w:p w14:paraId="26A4A10E">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p>
              </w:tc>
              <w:tc>
                <w:tcPr>
                  <w:tcW w:w="610" w:type="pct"/>
                  <w:shd w:val="clear" w:color="auto" w:fill="auto"/>
                  <w:noWrap w:val="0"/>
                  <w:vAlign w:val="center"/>
                </w:tcPr>
                <w:p w14:paraId="26DD17D0">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i w:val="0"/>
                      <w:iCs w:val="0"/>
                      <w:snapToGrid w:val="0"/>
                      <w:color w:val="auto"/>
                      <w:kern w:val="0"/>
                      <w:sz w:val="21"/>
                      <w:szCs w:val="21"/>
                      <w:highlight w:val="none"/>
                      <w:u w:val="none"/>
                      <w:lang w:val="en-US" w:eastAsia="zh-CN" w:bidi="ar-SA"/>
                    </w:rPr>
                  </w:pPr>
                  <w:r>
                    <w:rPr>
                      <w:rFonts w:hint="default" w:ascii="Times New Roman" w:hAnsi="Times New Roman" w:eastAsia="宋体" w:cs="Times New Roman"/>
                      <w:i w:val="0"/>
                      <w:iCs w:val="0"/>
                      <w:snapToGrid w:val="0"/>
                      <w:color w:val="auto"/>
                      <w:kern w:val="0"/>
                      <w:sz w:val="21"/>
                      <w:szCs w:val="21"/>
                      <w:highlight w:val="none"/>
                      <w:u w:val="none"/>
                      <w:lang w:val="en-US" w:eastAsia="zh-CN" w:bidi="ar"/>
                    </w:rPr>
                    <w:t>0.01</w:t>
                  </w:r>
                </w:p>
              </w:tc>
              <w:tc>
                <w:tcPr>
                  <w:tcW w:w="531" w:type="pct"/>
                  <w:noWrap w:val="0"/>
                  <w:vAlign w:val="center"/>
                </w:tcPr>
                <w:p w14:paraId="7903D84C">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40</w:t>
                  </w:r>
                </w:p>
              </w:tc>
              <w:tc>
                <w:tcPr>
                  <w:tcW w:w="692" w:type="pct"/>
                  <w:noWrap w:val="0"/>
                  <w:vAlign w:val="center"/>
                </w:tcPr>
                <w:p w14:paraId="616E6838">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w:t>
                  </w:r>
                </w:p>
              </w:tc>
            </w:tr>
            <w:tr w14:paraId="78B40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8" w:type="pct"/>
                  <w:vMerge w:val="continue"/>
                  <w:noWrap w:val="0"/>
                  <w:vAlign w:val="center"/>
                </w:tcPr>
                <w:p w14:paraId="0E074965">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p>
              </w:tc>
              <w:tc>
                <w:tcPr>
                  <w:tcW w:w="641" w:type="pct"/>
                  <w:noWrap w:val="0"/>
                  <w:vAlign w:val="center"/>
                </w:tcPr>
                <w:p w14:paraId="7F0068C8">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SS</w:t>
                  </w:r>
                </w:p>
              </w:tc>
              <w:tc>
                <w:tcPr>
                  <w:tcW w:w="630" w:type="pct"/>
                  <w:shd w:val="clear" w:color="auto" w:fill="auto"/>
                  <w:noWrap w:val="0"/>
                  <w:vAlign w:val="center"/>
                </w:tcPr>
                <w:p w14:paraId="44DE69B2">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i w:val="0"/>
                      <w:iCs w:val="0"/>
                      <w:snapToGrid w:val="0"/>
                      <w:color w:val="auto"/>
                      <w:kern w:val="0"/>
                      <w:sz w:val="21"/>
                      <w:szCs w:val="21"/>
                      <w:highlight w:val="none"/>
                      <w:u w:val="none"/>
                      <w:lang w:val="en-US" w:eastAsia="zh-CN" w:bidi="ar-SA"/>
                    </w:rPr>
                  </w:pPr>
                  <w:r>
                    <w:rPr>
                      <w:rFonts w:hint="default" w:ascii="Times New Roman" w:hAnsi="Times New Roman" w:eastAsia="宋体" w:cs="Times New Roman"/>
                      <w:i w:val="0"/>
                      <w:iCs w:val="0"/>
                      <w:snapToGrid w:val="0"/>
                      <w:color w:val="auto"/>
                      <w:kern w:val="0"/>
                      <w:sz w:val="21"/>
                      <w:szCs w:val="21"/>
                      <w:highlight w:val="none"/>
                      <w:u w:val="none"/>
                      <w:lang w:val="en-US" w:eastAsia="zh-CN" w:bidi="ar"/>
                    </w:rPr>
                    <w:t>0.03</w:t>
                  </w:r>
                </w:p>
              </w:tc>
              <w:tc>
                <w:tcPr>
                  <w:tcW w:w="687" w:type="pct"/>
                  <w:noWrap w:val="0"/>
                  <w:vAlign w:val="center"/>
                </w:tcPr>
                <w:p w14:paraId="26D07092">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200</w:t>
                  </w:r>
                </w:p>
              </w:tc>
              <w:tc>
                <w:tcPr>
                  <w:tcW w:w="466" w:type="pct"/>
                  <w:vMerge w:val="continue"/>
                  <w:noWrap w:val="0"/>
                  <w:vAlign w:val="center"/>
                </w:tcPr>
                <w:p w14:paraId="4281FD2D">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p>
              </w:tc>
              <w:tc>
                <w:tcPr>
                  <w:tcW w:w="610" w:type="pct"/>
                  <w:shd w:val="clear" w:color="auto" w:fill="auto"/>
                  <w:noWrap w:val="0"/>
                  <w:vAlign w:val="center"/>
                </w:tcPr>
                <w:p w14:paraId="16806917">
                  <w:pPr>
                    <w:keepNext w:val="0"/>
                    <w:keepLines w:val="0"/>
                    <w:pageBreakBefore w:val="0"/>
                    <w:widowControl/>
                    <w:suppressLineNumbers w:val="0"/>
                    <w:kinsoku/>
                    <w:wordWrap w:val="0"/>
                    <w:overflowPunct/>
                    <w:topLinePunct/>
                    <w:autoSpaceDE/>
                    <w:autoSpaceDN/>
                    <w:bidi w:val="0"/>
                    <w:spacing w:line="240" w:lineRule="auto"/>
                    <w:jc w:val="center"/>
                    <w:textAlignment w:val="center"/>
                    <w:rPr>
                      <w:rFonts w:hint="default" w:ascii="Times New Roman" w:hAnsi="Times New Roman" w:eastAsia="宋体" w:cs="Times New Roman"/>
                      <w:i w:val="0"/>
                      <w:iCs w:val="0"/>
                      <w:snapToGrid w:val="0"/>
                      <w:color w:val="auto"/>
                      <w:kern w:val="0"/>
                      <w:sz w:val="21"/>
                      <w:szCs w:val="21"/>
                      <w:highlight w:val="none"/>
                      <w:u w:val="none"/>
                      <w:lang w:val="en-US" w:eastAsia="zh-CN" w:bidi="ar-SA"/>
                    </w:rPr>
                  </w:pPr>
                  <w:r>
                    <w:rPr>
                      <w:rFonts w:hint="default" w:ascii="Times New Roman" w:hAnsi="Times New Roman" w:eastAsia="宋体" w:cs="Times New Roman"/>
                      <w:i w:val="0"/>
                      <w:iCs w:val="0"/>
                      <w:snapToGrid w:val="0"/>
                      <w:color w:val="auto"/>
                      <w:kern w:val="0"/>
                      <w:sz w:val="21"/>
                      <w:szCs w:val="21"/>
                      <w:highlight w:val="none"/>
                      <w:u w:val="none"/>
                      <w:lang w:val="en-US" w:eastAsia="zh-CN" w:bidi="ar"/>
                    </w:rPr>
                    <w:t>0.03</w:t>
                  </w:r>
                </w:p>
              </w:tc>
              <w:tc>
                <w:tcPr>
                  <w:tcW w:w="531" w:type="pct"/>
                  <w:noWrap w:val="0"/>
                  <w:vAlign w:val="center"/>
                </w:tcPr>
                <w:p w14:paraId="746E6607">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200</w:t>
                  </w:r>
                </w:p>
              </w:tc>
              <w:tc>
                <w:tcPr>
                  <w:tcW w:w="692" w:type="pct"/>
                  <w:noWrap w:val="0"/>
                  <w:vAlign w:val="center"/>
                </w:tcPr>
                <w:p w14:paraId="62C81E1E">
                  <w:pPr>
                    <w:pStyle w:val="50"/>
                    <w:pageBreakBefore w:val="0"/>
                    <w:kinsoku/>
                    <w:wordWrap w:val="0"/>
                    <w:overflowPunct/>
                    <w:topLinePunct/>
                    <w:autoSpaceDE/>
                    <w:autoSpaceDN/>
                    <w:bidi w:val="0"/>
                    <w:spacing w:before="0" w:beforeLines="0" w:after="0" w:line="240" w:lineRule="auto"/>
                    <w:ind w:right="0" w:firstLine="0" w:firstLineChars="0"/>
                    <w:jc w:val="center"/>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300</w:t>
                  </w:r>
                </w:p>
              </w:tc>
            </w:tr>
          </w:tbl>
          <w:p w14:paraId="0428DB3F">
            <w:pPr>
              <w:pStyle w:val="25"/>
              <w:keepNext w:val="0"/>
              <w:keepLines w:val="0"/>
              <w:pageBreakBefore w:val="0"/>
              <w:kinsoku/>
              <w:wordWrap w:val="0"/>
              <w:overflowPunct/>
              <w:topLinePunct/>
              <w:autoSpaceDE/>
              <w:autoSpaceDN/>
              <w:bidi w:val="0"/>
              <w:adjustRightInd w:val="0"/>
              <w:snapToGrid w:val="0"/>
              <w:spacing w:line="360" w:lineRule="auto"/>
              <w:ind w:left="0" w:firstLine="516"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9"/>
                <w:sz w:val="24"/>
                <w:szCs w:val="24"/>
                <w:highlight w:val="none"/>
              </w:rPr>
              <w:t>综上所述，</w:t>
            </w:r>
            <w:r>
              <w:rPr>
                <w:rFonts w:hint="default" w:ascii="Times New Roman" w:hAnsi="Times New Roman" w:cs="Times New Roman"/>
                <w:color w:val="auto"/>
                <w:spacing w:val="9"/>
                <w:sz w:val="24"/>
                <w:szCs w:val="24"/>
                <w:highlight w:val="none"/>
                <w:lang w:val="en-US" w:eastAsia="zh-CN"/>
              </w:rPr>
              <w:t>项目生活污水排放满足</w:t>
            </w:r>
            <w:r>
              <w:rPr>
                <w:rFonts w:hint="default" w:ascii="Times New Roman" w:hAnsi="Times New Roman" w:eastAsia="宋体" w:cs="Times New Roman"/>
                <w:color w:val="auto"/>
                <w:kern w:val="0"/>
                <w:sz w:val="24"/>
                <w:szCs w:val="24"/>
                <w:highlight w:val="none"/>
                <w:lang w:val="en-US" w:eastAsia="zh-CN"/>
              </w:rPr>
              <w:t>《污水综合排放标准》（GB8978-1996）中三级标准要求。</w:t>
            </w:r>
            <w:r>
              <w:rPr>
                <w:rFonts w:hint="default" w:ascii="Times New Roman" w:hAnsi="Times New Roman" w:cs="Times New Roman"/>
                <w:color w:val="auto"/>
                <w:spacing w:val="9"/>
                <w:sz w:val="24"/>
                <w:szCs w:val="24"/>
                <w:highlight w:val="none"/>
              </w:rPr>
              <w:t>项目运营期废水都能得到合理处置，对区域地表水环境无影响。</w:t>
            </w:r>
          </w:p>
          <w:p w14:paraId="547AFA7D">
            <w:pPr>
              <w:pStyle w:val="25"/>
              <w:keepNext w:val="0"/>
              <w:keepLines w:val="0"/>
              <w:pageBreakBefore w:val="0"/>
              <w:kinsoku/>
              <w:wordWrap w:val="0"/>
              <w:overflowPunct/>
              <w:topLinePunct/>
              <w:autoSpaceDE/>
              <w:autoSpaceDN/>
              <w:bidi w:val="0"/>
              <w:adjustRightInd w:val="0"/>
              <w:snapToGrid w:val="0"/>
              <w:spacing w:line="360" w:lineRule="auto"/>
              <w:ind w:left="0" w:firstLine="506" w:firstLineChars="200"/>
              <w:rPr>
                <w:rFonts w:hint="default" w:ascii="Times New Roman" w:hAnsi="Times New Roman" w:eastAsia="宋体" w:cs="Times New Roman"/>
                <w:b/>
                <w:bCs/>
                <w:color w:val="auto"/>
                <w:spacing w:val="6"/>
                <w:sz w:val="24"/>
                <w:szCs w:val="24"/>
                <w:highlight w:val="none"/>
              </w:rPr>
            </w:pPr>
            <w:r>
              <w:rPr>
                <w:rFonts w:hint="default" w:ascii="Times New Roman" w:hAnsi="Times New Roman" w:eastAsia="宋体" w:cs="Times New Roman"/>
                <w:b/>
                <w:bCs/>
                <w:color w:val="auto"/>
                <w:spacing w:val="6"/>
                <w:sz w:val="24"/>
                <w:szCs w:val="24"/>
                <w:highlight w:val="none"/>
              </w:rPr>
              <w:t>2.</w:t>
            </w:r>
            <w:r>
              <w:rPr>
                <w:rFonts w:hint="default" w:ascii="Times New Roman" w:hAnsi="Times New Roman" w:eastAsia="宋体" w:cs="Times New Roman"/>
                <w:b/>
                <w:bCs/>
                <w:color w:val="auto"/>
                <w:spacing w:val="6"/>
                <w:sz w:val="24"/>
                <w:szCs w:val="24"/>
                <w:highlight w:val="none"/>
                <w:lang w:val="en-US" w:eastAsia="zh-CN"/>
              </w:rPr>
              <w:t>2</w:t>
            </w:r>
            <w:r>
              <w:rPr>
                <w:rFonts w:hint="default" w:ascii="Times New Roman" w:hAnsi="Times New Roman" w:eastAsia="宋体" w:cs="Times New Roman"/>
                <w:b/>
                <w:bCs/>
                <w:color w:val="auto"/>
                <w:spacing w:val="6"/>
                <w:sz w:val="24"/>
                <w:szCs w:val="24"/>
                <w:highlight w:val="none"/>
              </w:rPr>
              <w:t>玛纳斯工业园区塔河产业园污水处理厂依托可行性分析</w:t>
            </w:r>
          </w:p>
          <w:p w14:paraId="6B6A054E">
            <w:pPr>
              <w:pStyle w:val="25"/>
              <w:keepNext w:val="0"/>
              <w:keepLines w:val="0"/>
              <w:pageBreakBefore w:val="0"/>
              <w:kinsoku/>
              <w:wordWrap w:val="0"/>
              <w:overflowPunct/>
              <w:topLinePunct/>
              <w:autoSpaceDE/>
              <w:autoSpaceDN/>
              <w:bidi w:val="0"/>
              <w:adjustRightInd w:val="0"/>
              <w:snapToGrid w:val="0"/>
              <w:spacing w:line="360" w:lineRule="auto"/>
              <w:ind w:left="0" w:right="0" w:firstLine="516" w:firstLineChars="200"/>
              <w:jc w:val="both"/>
              <w:rPr>
                <w:rFonts w:hint="default" w:ascii="Times New Roman" w:hAnsi="Times New Roman" w:eastAsia="宋体" w:cs="Times New Roman"/>
                <w:color w:val="auto"/>
                <w:spacing w:val="9"/>
                <w:sz w:val="24"/>
                <w:szCs w:val="24"/>
                <w:highlight w:val="none"/>
              </w:rPr>
            </w:pPr>
            <w:r>
              <w:rPr>
                <w:rFonts w:hint="default" w:ascii="Times New Roman" w:hAnsi="Times New Roman" w:eastAsia="宋体" w:cs="Times New Roman"/>
                <w:color w:val="auto"/>
                <w:spacing w:val="9"/>
                <w:sz w:val="24"/>
                <w:szCs w:val="24"/>
                <w:highlight w:val="none"/>
              </w:rPr>
              <w:t>玛纳斯工业园区塔河产业园污水处理厂位于玛纳斯县县城东北方向约19千米，塔河产业园区北方向约11千米，S2-2省道和S201省道交叉口以北约1.5千米处，占地面积4.6096万m</w:t>
            </w:r>
            <w:r>
              <w:rPr>
                <w:rFonts w:hint="default" w:ascii="Times New Roman" w:hAnsi="Times New Roman" w:eastAsia="宋体" w:cs="Times New Roman"/>
                <w:color w:val="auto"/>
                <w:spacing w:val="9"/>
                <w:sz w:val="24"/>
                <w:szCs w:val="24"/>
                <w:highlight w:val="none"/>
                <w:vertAlign w:val="superscript"/>
              </w:rPr>
              <w:t>2</w:t>
            </w:r>
            <w:r>
              <w:rPr>
                <w:rFonts w:hint="default" w:ascii="Times New Roman" w:hAnsi="Times New Roman" w:eastAsia="宋体" w:cs="Times New Roman"/>
                <w:color w:val="auto"/>
                <w:spacing w:val="9"/>
                <w:sz w:val="24"/>
                <w:szCs w:val="24"/>
                <w:highlight w:val="none"/>
              </w:rPr>
              <w:t>。实际建成处理规模为15000m</w:t>
            </w:r>
            <w:r>
              <w:rPr>
                <w:rFonts w:hint="default" w:ascii="Times New Roman" w:hAnsi="Times New Roman" w:eastAsia="宋体" w:cs="Times New Roman"/>
                <w:color w:val="auto"/>
                <w:spacing w:val="9"/>
                <w:sz w:val="24"/>
                <w:szCs w:val="24"/>
                <w:highlight w:val="none"/>
                <w:vertAlign w:val="superscript"/>
              </w:rPr>
              <w:t>3</w:t>
            </w:r>
            <w:r>
              <w:rPr>
                <w:rFonts w:hint="default" w:ascii="Times New Roman" w:hAnsi="Times New Roman" w:eastAsia="宋体" w:cs="Times New Roman"/>
                <w:color w:val="auto"/>
                <w:spacing w:val="9"/>
                <w:sz w:val="24"/>
                <w:szCs w:val="24"/>
                <w:highlight w:val="none"/>
              </w:rPr>
              <w:t>/d。采用臭氧法、二氧化氯法对污水进行处理。由玛纳斯县住房和城乡建设局委托玛纳斯县星洲水务有限公司代建。</w:t>
            </w:r>
          </w:p>
          <w:p w14:paraId="6E5CBEFA">
            <w:pPr>
              <w:pStyle w:val="25"/>
              <w:keepNext w:val="0"/>
              <w:keepLines w:val="0"/>
              <w:pageBreakBefore w:val="0"/>
              <w:kinsoku/>
              <w:wordWrap w:val="0"/>
              <w:overflowPunct/>
              <w:topLinePunct/>
              <w:autoSpaceDE/>
              <w:autoSpaceDN/>
              <w:bidi w:val="0"/>
              <w:adjustRightInd w:val="0"/>
              <w:snapToGrid w:val="0"/>
              <w:spacing w:line="360" w:lineRule="auto"/>
              <w:ind w:left="0" w:right="0" w:firstLine="516" w:firstLineChars="200"/>
              <w:jc w:val="both"/>
              <w:rPr>
                <w:rFonts w:hint="default" w:ascii="Times New Roman" w:hAnsi="Times New Roman" w:eastAsia="宋体" w:cs="Times New Roman"/>
                <w:color w:val="auto"/>
                <w:spacing w:val="9"/>
                <w:sz w:val="24"/>
                <w:szCs w:val="24"/>
                <w:highlight w:val="none"/>
              </w:rPr>
            </w:pPr>
            <w:r>
              <w:rPr>
                <w:rFonts w:hint="default" w:ascii="Times New Roman" w:hAnsi="Times New Roman" w:eastAsia="宋体" w:cs="Times New Roman"/>
                <w:color w:val="auto"/>
                <w:spacing w:val="9"/>
                <w:sz w:val="24"/>
                <w:szCs w:val="24"/>
                <w:highlight w:val="none"/>
              </w:rPr>
              <w:t>2014年10月新疆化工设计研究院编制完成了《玛纳斯工业园区塔河产业园污水处理厂项目一期工程环境影响报告书》，并于2015年4月9日取得新疆维吾尔自治区环境保护厅《关于玛纳斯工业园区塔河产业园污水处理厂项目一期工程环境影响报告书的批复》（新环函﹝2015﹞355号）。《玛纳斯工业园区塔河产业园污水处理厂项目一期工程》开工时间为2015年5月，投入运行时间为2018年4月。2018年4月23日，玛纳斯县住房和城乡建设局委托玛纳斯县星洲水务有限公司代建项目并办理该项目环保竣工验收事宜。玛纳斯县星洲水务有限公司委托新疆国泰民康职业环境检测评价有限责任公司于2018年5月7日至8日对该项目进行了“三同时”验收监测后正式运行，目前运行情况良好，当前污水进水水量约12000m</w:t>
            </w:r>
            <w:r>
              <w:rPr>
                <w:rFonts w:hint="default" w:ascii="Times New Roman" w:hAnsi="Times New Roman" w:eastAsia="宋体" w:cs="Times New Roman"/>
                <w:color w:val="auto"/>
                <w:spacing w:val="9"/>
                <w:sz w:val="24"/>
                <w:szCs w:val="24"/>
                <w:highlight w:val="none"/>
                <w:vertAlign w:val="superscript"/>
              </w:rPr>
              <w:t>3</w:t>
            </w:r>
            <w:r>
              <w:rPr>
                <w:rFonts w:hint="default" w:ascii="Times New Roman" w:hAnsi="Times New Roman" w:eastAsia="宋体" w:cs="Times New Roman"/>
                <w:color w:val="auto"/>
                <w:spacing w:val="9"/>
                <w:sz w:val="24"/>
                <w:szCs w:val="24"/>
                <w:highlight w:val="none"/>
              </w:rPr>
              <w:t>/d。本项目距离玛纳斯工业园区塔河产业园污水处理厂约</w:t>
            </w:r>
            <w:r>
              <w:rPr>
                <w:rFonts w:hint="default" w:ascii="Times New Roman" w:hAnsi="Times New Roman" w:eastAsia="宋体" w:cs="Times New Roman"/>
                <w:color w:val="auto"/>
                <w:spacing w:val="9"/>
                <w:sz w:val="24"/>
                <w:szCs w:val="24"/>
                <w:highlight w:val="none"/>
                <w:lang w:val="en-US" w:eastAsia="zh-CN"/>
              </w:rPr>
              <w:t>16</w:t>
            </w:r>
            <w:r>
              <w:rPr>
                <w:rFonts w:hint="default" w:ascii="Times New Roman" w:hAnsi="Times New Roman" w:eastAsia="宋体" w:cs="Times New Roman"/>
                <w:color w:val="auto"/>
                <w:spacing w:val="9"/>
                <w:sz w:val="24"/>
                <w:szCs w:val="24"/>
                <w:highlight w:val="none"/>
              </w:rPr>
              <w:t>km，项目区废水日最大排放量为</w:t>
            </w:r>
            <w:r>
              <w:rPr>
                <w:rFonts w:hint="default" w:ascii="Times New Roman" w:hAnsi="Times New Roman" w:eastAsia="宋体" w:cs="Times New Roman"/>
                <w:color w:val="auto"/>
                <w:spacing w:val="9"/>
                <w:sz w:val="24"/>
                <w:szCs w:val="24"/>
                <w:highlight w:val="none"/>
                <w:lang w:val="en-US" w:eastAsia="zh-CN"/>
              </w:rPr>
              <w:t>0.64</w:t>
            </w:r>
            <w:r>
              <w:rPr>
                <w:rFonts w:hint="default" w:ascii="Times New Roman" w:hAnsi="Times New Roman" w:eastAsia="宋体" w:cs="Times New Roman"/>
                <w:color w:val="auto"/>
                <w:spacing w:val="9"/>
                <w:sz w:val="24"/>
                <w:szCs w:val="24"/>
                <w:highlight w:val="none"/>
              </w:rPr>
              <w:t>m</w:t>
            </w:r>
            <w:r>
              <w:rPr>
                <w:rFonts w:hint="default" w:ascii="Times New Roman" w:hAnsi="Times New Roman" w:eastAsia="宋体" w:cs="Times New Roman"/>
                <w:color w:val="auto"/>
                <w:spacing w:val="9"/>
                <w:sz w:val="24"/>
                <w:szCs w:val="24"/>
                <w:highlight w:val="none"/>
                <w:vertAlign w:val="superscript"/>
              </w:rPr>
              <w:t>3</w:t>
            </w:r>
            <w:r>
              <w:rPr>
                <w:rFonts w:hint="default" w:ascii="Times New Roman" w:hAnsi="Times New Roman" w:eastAsia="宋体" w:cs="Times New Roman"/>
                <w:color w:val="auto"/>
                <w:spacing w:val="9"/>
                <w:sz w:val="24"/>
                <w:szCs w:val="24"/>
                <w:highlight w:val="none"/>
              </w:rPr>
              <w:t>/d，远小于玛纳斯工业园区塔河产业园污水处理厂处理余量，因此，本项目生活污水</w:t>
            </w:r>
            <w:r>
              <w:rPr>
                <w:rFonts w:hint="eastAsia" w:ascii="Times New Roman" w:hAnsi="Times New Roman" w:cs="Times New Roman"/>
                <w:color w:val="auto"/>
                <w:spacing w:val="9"/>
                <w:sz w:val="24"/>
                <w:szCs w:val="24"/>
                <w:highlight w:val="none"/>
                <w:lang w:val="en-US" w:eastAsia="zh-CN"/>
              </w:rPr>
              <w:t>排放至</w:t>
            </w:r>
            <w:r>
              <w:rPr>
                <w:rFonts w:hint="default" w:ascii="Times New Roman" w:hAnsi="Times New Roman" w:eastAsia="宋体" w:cs="Times New Roman"/>
                <w:color w:val="auto"/>
                <w:spacing w:val="9"/>
                <w:sz w:val="24"/>
                <w:szCs w:val="24"/>
                <w:highlight w:val="none"/>
              </w:rPr>
              <w:t>玛纳斯工业园区塔河产业园污水处理厂进一步处理可行。</w:t>
            </w:r>
          </w:p>
          <w:p w14:paraId="1A82364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lang w:val="en-US" w:eastAsia="zh-CN" w:bidi="ar-SA"/>
              </w:rPr>
              <w:t>2.3排污口基本情况</w:t>
            </w:r>
          </w:p>
          <w:p w14:paraId="01850B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项目废水类别、污染物及治理措施信息见表4-5，排污口基本情况见表4-6。</w:t>
            </w:r>
          </w:p>
          <w:p w14:paraId="5D800153">
            <w:pPr>
              <w:jc w:val="center"/>
              <w:rPr>
                <w:rFonts w:hint="default" w:ascii="Times New Roman" w:hAnsi="Times New Roman" w:cs="Times New Roman"/>
                <w:b/>
                <w:bCs/>
                <w:color w:val="auto"/>
                <w:sz w:val="21"/>
                <w:szCs w:val="21"/>
                <w:highlight w:val="none"/>
              </w:rPr>
            </w:pPr>
          </w:p>
          <w:p w14:paraId="22995C7E">
            <w:pPr>
              <w:jc w:val="center"/>
              <w:rPr>
                <w:rFonts w:hint="default" w:ascii="Times New Roman" w:hAnsi="Times New Roman" w:cs="Times New Roman"/>
                <w:b/>
                <w:bCs/>
                <w:color w:val="auto"/>
                <w:sz w:val="21"/>
                <w:szCs w:val="21"/>
                <w:highlight w:val="none"/>
              </w:rPr>
            </w:pPr>
          </w:p>
          <w:p w14:paraId="6E85D2E3">
            <w:pPr>
              <w:jc w:val="center"/>
              <w:rPr>
                <w:rFonts w:hint="default" w:ascii="Times New Roman" w:hAnsi="Times New Roman" w:cs="Times New Roman"/>
                <w:b/>
                <w:bCs/>
                <w:color w:val="auto"/>
                <w:sz w:val="21"/>
                <w:szCs w:val="21"/>
                <w:highlight w:val="none"/>
              </w:rPr>
            </w:pPr>
          </w:p>
          <w:p w14:paraId="3EED08B5">
            <w:pPr>
              <w:jc w:val="center"/>
              <w:rPr>
                <w:rFonts w:hint="default" w:ascii="Times New Roman" w:hAnsi="Times New Roman" w:cs="Times New Roman"/>
                <w:b/>
                <w:bCs/>
                <w:color w:val="auto"/>
                <w:sz w:val="21"/>
                <w:szCs w:val="21"/>
                <w:highlight w:val="none"/>
              </w:rPr>
            </w:pPr>
          </w:p>
          <w:p w14:paraId="701932F6">
            <w:pPr>
              <w:jc w:val="center"/>
              <w:rPr>
                <w:rFonts w:hint="default" w:ascii="Times New Roman" w:hAnsi="Times New Roman" w:cs="Times New Roman"/>
                <w:b/>
                <w:bCs/>
                <w:color w:val="auto"/>
                <w:sz w:val="21"/>
                <w:szCs w:val="21"/>
                <w:highlight w:val="none"/>
              </w:rPr>
            </w:pPr>
          </w:p>
          <w:p w14:paraId="0B104E6E">
            <w:pPr>
              <w:jc w:val="center"/>
              <w:rPr>
                <w:rFonts w:hint="default" w:ascii="Times New Roman" w:hAnsi="Times New Roman" w:cs="Times New Roman"/>
                <w:b/>
                <w:bCs/>
                <w:color w:val="auto"/>
                <w:sz w:val="21"/>
                <w:szCs w:val="21"/>
                <w:highlight w:val="none"/>
              </w:rPr>
            </w:pPr>
          </w:p>
          <w:p w14:paraId="2AA0DBCC">
            <w:pPr>
              <w:jc w:val="center"/>
              <w:rPr>
                <w:rFonts w:hint="default" w:ascii="Times New Roman" w:hAnsi="Times New Roman" w:cs="Times New Roman"/>
                <w:b/>
                <w:bCs/>
                <w:color w:val="auto"/>
                <w:sz w:val="21"/>
                <w:szCs w:val="21"/>
                <w:highlight w:val="none"/>
              </w:rPr>
            </w:pPr>
          </w:p>
          <w:p w14:paraId="5F152683">
            <w:pPr>
              <w:jc w:val="center"/>
              <w:rPr>
                <w:rFonts w:hint="default" w:ascii="Times New Roman" w:hAnsi="Times New Roman" w:cs="Times New Roman"/>
                <w:b/>
                <w:bCs/>
                <w:color w:val="auto"/>
                <w:sz w:val="21"/>
                <w:szCs w:val="21"/>
                <w:highlight w:val="none"/>
              </w:rPr>
            </w:pPr>
          </w:p>
          <w:p w14:paraId="2E276AC4">
            <w:pPr>
              <w:jc w:val="center"/>
              <w:rPr>
                <w:rFonts w:hint="default" w:ascii="Times New Roman" w:hAnsi="Times New Roman" w:cs="Times New Roman"/>
                <w:b/>
                <w:bCs/>
                <w:color w:val="auto"/>
                <w:sz w:val="21"/>
                <w:szCs w:val="21"/>
                <w:highlight w:val="none"/>
              </w:rPr>
            </w:pPr>
          </w:p>
          <w:p w14:paraId="7452C7CB">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表</w:t>
            </w:r>
            <w:r>
              <w:rPr>
                <w:rFonts w:hint="default" w:ascii="Times New Roman" w:hAnsi="Times New Roman" w:cs="Times New Roman"/>
                <w:b/>
                <w:bCs/>
                <w:color w:val="auto"/>
                <w:sz w:val="21"/>
                <w:szCs w:val="21"/>
                <w:highlight w:val="none"/>
                <w:lang w:val="en-US" w:eastAsia="zh-CN"/>
              </w:rPr>
              <w:t xml:space="preserve">4-5  </w:t>
            </w:r>
            <w:r>
              <w:rPr>
                <w:rFonts w:hint="default" w:ascii="Times New Roman" w:hAnsi="Times New Roman" w:cs="Times New Roman"/>
                <w:b/>
                <w:bCs/>
                <w:color w:val="auto"/>
                <w:sz w:val="21"/>
                <w:szCs w:val="21"/>
                <w:highlight w:val="none"/>
              </w:rPr>
              <w:t>废水类别、污染物及治理措施信息表</w:t>
            </w:r>
          </w:p>
          <w:tbl>
            <w:tblPr>
              <w:tblStyle w:val="24"/>
              <w:tblW w:w="49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40"/>
              <w:gridCol w:w="919"/>
              <w:gridCol w:w="700"/>
              <w:gridCol w:w="482"/>
              <w:gridCol w:w="869"/>
              <w:gridCol w:w="739"/>
              <w:gridCol w:w="793"/>
              <w:gridCol w:w="741"/>
              <w:gridCol w:w="840"/>
              <w:gridCol w:w="1494"/>
            </w:tblGrid>
            <w:tr w14:paraId="56699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3" w:hRule="atLeast"/>
                <w:jc w:val="center"/>
              </w:trPr>
              <w:tc>
                <w:tcPr>
                  <w:tcW w:w="333" w:type="pct"/>
                  <w:vMerge w:val="restart"/>
                  <w:tcBorders>
                    <w:tl2br w:val="nil"/>
                    <w:tr2bl w:val="nil"/>
                  </w:tcBorders>
                  <w:vAlign w:val="center"/>
                </w:tcPr>
                <w:p w14:paraId="36EFF7DD">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废水</w:t>
                  </w:r>
                </w:p>
                <w:p w14:paraId="5629965B">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类别</w:t>
                  </w:r>
                </w:p>
              </w:tc>
              <w:tc>
                <w:tcPr>
                  <w:tcW w:w="566" w:type="pct"/>
                  <w:vMerge w:val="restart"/>
                  <w:tcBorders>
                    <w:tl2br w:val="nil"/>
                    <w:tr2bl w:val="nil"/>
                  </w:tcBorders>
                  <w:vAlign w:val="center"/>
                </w:tcPr>
                <w:p w14:paraId="301EB58D">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污染物种类</w:t>
                  </w:r>
                </w:p>
              </w:tc>
              <w:tc>
                <w:tcPr>
                  <w:tcW w:w="431" w:type="pct"/>
                  <w:vMerge w:val="restart"/>
                  <w:tcBorders>
                    <w:tl2br w:val="nil"/>
                    <w:tr2bl w:val="nil"/>
                  </w:tcBorders>
                  <w:vAlign w:val="center"/>
                </w:tcPr>
                <w:p w14:paraId="531B5831">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排放去向</w:t>
                  </w:r>
                </w:p>
              </w:tc>
              <w:tc>
                <w:tcPr>
                  <w:tcW w:w="297" w:type="pct"/>
                  <w:vMerge w:val="restart"/>
                  <w:tcBorders>
                    <w:tl2br w:val="nil"/>
                    <w:tr2bl w:val="nil"/>
                  </w:tcBorders>
                  <w:vAlign w:val="center"/>
                </w:tcPr>
                <w:p w14:paraId="33F9747F">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排放规律</w:t>
                  </w:r>
                </w:p>
              </w:tc>
              <w:tc>
                <w:tcPr>
                  <w:tcW w:w="1478" w:type="pct"/>
                  <w:gridSpan w:val="3"/>
                  <w:tcBorders>
                    <w:tl2br w:val="nil"/>
                    <w:tr2bl w:val="nil"/>
                  </w:tcBorders>
                  <w:vAlign w:val="center"/>
                </w:tcPr>
                <w:p w14:paraId="439BCAE2">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污染治理措施</w:t>
                  </w:r>
                </w:p>
              </w:tc>
              <w:tc>
                <w:tcPr>
                  <w:tcW w:w="456" w:type="pct"/>
                  <w:vMerge w:val="restart"/>
                  <w:tcBorders>
                    <w:tl2br w:val="nil"/>
                    <w:tr2bl w:val="nil"/>
                  </w:tcBorders>
                  <w:vAlign w:val="center"/>
                </w:tcPr>
                <w:p w14:paraId="679B21AA">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排放口编号</w:t>
                  </w:r>
                </w:p>
              </w:tc>
              <w:tc>
                <w:tcPr>
                  <w:tcW w:w="517" w:type="pct"/>
                  <w:vMerge w:val="restart"/>
                  <w:tcBorders>
                    <w:tl2br w:val="nil"/>
                    <w:tr2bl w:val="nil"/>
                  </w:tcBorders>
                  <w:vAlign w:val="center"/>
                </w:tcPr>
                <w:p w14:paraId="2C400E5D">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是否为可行技术</w:t>
                  </w:r>
                </w:p>
              </w:tc>
              <w:tc>
                <w:tcPr>
                  <w:tcW w:w="920" w:type="pct"/>
                  <w:vMerge w:val="restart"/>
                  <w:tcBorders>
                    <w:tl2br w:val="nil"/>
                    <w:tr2bl w:val="nil"/>
                  </w:tcBorders>
                  <w:vAlign w:val="center"/>
                </w:tcPr>
                <w:p w14:paraId="13C5E4B6">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排放口类型</w:t>
                  </w:r>
                </w:p>
              </w:tc>
            </w:tr>
            <w:tr w14:paraId="66F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1" w:hRule="atLeast"/>
                <w:jc w:val="center"/>
              </w:trPr>
              <w:tc>
                <w:tcPr>
                  <w:tcW w:w="333" w:type="pct"/>
                  <w:vMerge w:val="continue"/>
                  <w:tcBorders>
                    <w:tl2br w:val="nil"/>
                    <w:tr2bl w:val="nil"/>
                  </w:tcBorders>
                  <w:vAlign w:val="center"/>
                </w:tcPr>
                <w:p w14:paraId="2F22CC51">
                  <w:pPr>
                    <w:autoSpaceDE w:val="0"/>
                    <w:autoSpaceDN w:val="0"/>
                    <w:jc w:val="center"/>
                    <w:rPr>
                      <w:rFonts w:hint="default" w:ascii="Times New Roman" w:hAnsi="Times New Roman" w:cs="Times New Roman"/>
                      <w:b w:val="0"/>
                      <w:bCs w:val="0"/>
                      <w:color w:val="auto"/>
                      <w:sz w:val="21"/>
                      <w:szCs w:val="21"/>
                      <w:highlight w:val="none"/>
                    </w:rPr>
                  </w:pPr>
                </w:p>
              </w:tc>
              <w:tc>
                <w:tcPr>
                  <w:tcW w:w="566" w:type="pct"/>
                  <w:vMerge w:val="continue"/>
                  <w:tcBorders>
                    <w:tl2br w:val="nil"/>
                    <w:tr2bl w:val="nil"/>
                  </w:tcBorders>
                  <w:vAlign w:val="center"/>
                </w:tcPr>
                <w:p w14:paraId="0FB81F5F">
                  <w:pPr>
                    <w:autoSpaceDE w:val="0"/>
                    <w:autoSpaceDN w:val="0"/>
                    <w:jc w:val="center"/>
                    <w:rPr>
                      <w:rFonts w:hint="default" w:ascii="Times New Roman" w:hAnsi="Times New Roman" w:cs="Times New Roman"/>
                      <w:b w:val="0"/>
                      <w:bCs w:val="0"/>
                      <w:color w:val="auto"/>
                      <w:sz w:val="21"/>
                      <w:szCs w:val="21"/>
                      <w:highlight w:val="none"/>
                    </w:rPr>
                  </w:pPr>
                </w:p>
              </w:tc>
              <w:tc>
                <w:tcPr>
                  <w:tcW w:w="431" w:type="pct"/>
                  <w:vMerge w:val="continue"/>
                  <w:tcBorders>
                    <w:tl2br w:val="nil"/>
                    <w:tr2bl w:val="nil"/>
                  </w:tcBorders>
                  <w:vAlign w:val="center"/>
                </w:tcPr>
                <w:p w14:paraId="78C617A8">
                  <w:pPr>
                    <w:autoSpaceDE w:val="0"/>
                    <w:autoSpaceDN w:val="0"/>
                    <w:jc w:val="center"/>
                    <w:rPr>
                      <w:rFonts w:hint="default" w:ascii="Times New Roman" w:hAnsi="Times New Roman" w:cs="Times New Roman"/>
                      <w:b w:val="0"/>
                      <w:bCs w:val="0"/>
                      <w:color w:val="auto"/>
                      <w:sz w:val="21"/>
                      <w:szCs w:val="21"/>
                      <w:highlight w:val="none"/>
                    </w:rPr>
                  </w:pPr>
                </w:p>
              </w:tc>
              <w:tc>
                <w:tcPr>
                  <w:tcW w:w="297" w:type="pct"/>
                  <w:vMerge w:val="continue"/>
                  <w:tcBorders>
                    <w:tl2br w:val="nil"/>
                    <w:tr2bl w:val="nil"/>
                  </w:tcBorders>
                  <w:vAlign w:val="center"/>
                </w:tcPr>
                <w:p w14:paraId="2B7F93AF">
                  <w:pPr>
                    <w:autoSpaceDE w:val="0"/>
                    <w:autoSpaceDN w:val="0"/>
                    <w:jc w:val="center"/>
                    <w:rPr>
                      <w:rFonts w:hint="default" w:ascii="Times New Roman" w:hAnsi="Times New Roman" w:cs="Times New Roman"/>
                      <w:b w:val="0"/>
                      <w:bCs w:val="0"/>
                      <w:color w:val="auto"/>
                      <w:sz w:val="21"/>
                      <w:szCs w:val="21"/>
                      <w:highlight w:val="none"/>
                    </w:rPr>
                  </w:pPr>
                </w:p>
              </w:tc>
              <w:tc>
                <w:tcPr>
                  <w:tcW w:w="535" w:type="pct"/>
                  <w:tcBorders>
                    <w:tl2br w:val="nil"/>
                    <w:tr2bl w:val="nil"/>
                  </w:tcBorders>
                  <w:vAlign w:val="center"/>
                </w:tcPr>
                <w:p w14:paraId="40DD756A">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污染治理措施编号</w:t>
                  </w:r>
                </w:p>
              </w:tc>
              <w:tc>
                <w:tcPr>
                  <w:tcW w:w="455" w:type="pct"/>
                  <w:tcBorders>
                    <w:tl2br w:val="nil"/>
                    <w:tr2bl w:val="nil"/>
                  </w:tcBorders>
                  <w:vAlign w:val="center"/>
                </w:tcPr>
                <w:p w14:paraId="1E18DDBA">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污染治理措施</w:t>
                  </w:r>
                </w:p>
              </w:tc>
              <w:tc>
                <w:tcPr>
                  <w:tcW w:w="487" w:type="pct"/>
                  <w:tcBorders>
                    <w:tl2br w:val="nil"/>
                    <w:tr2bl w:val="nil"/>
                  </w:tcBorders>
                  <w:vAlign w:val="center"/>
                </w:tcPr>
                <w:p w14:paraId="5CC0340F">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污染治</w:t>
                  </w:r>
                </w:p>
                <w:p w14:paraId="332394CE">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理措施</w:t>
                  </w:r>
                </w:p>
                <w:p w14:paraId="09286AC3">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工艺</w:t>
                  </w:r>
                </w:p>
              </w:tc>
              <w:tc>
                <w:tcPr>
                  <w:tcW w:w="456" w:type="pct"/>
                  <w:vMerge w:val="continue"/>
                  <w:tcBorders>
                    <w:tl2br w:val="nil"/>
                    <w:tr2bl w:val="nil"/>
                  </w:tcBorders>
                  <w:textDirection w:val="tbRlV"/>
                  <w:vAlign w:val="center"/>
                </w:tcPr>
                <w:p w14:paraId="1ED551EA">
                  <w:pPr>
                    <w:autoSpaceDE w:val="0"/>
                    <w:autoSpaceDN w:val="0"/>
                    <w:jc w:val="center"/>
                    <w:rPr>
                      <w:rFonts w:hint="default" w:ascii="Times New Roman" w:hAnsi="Times New Roman" w:cs="Times New Roman"/>
                      <w:color w:val="auto"/>
                      <w:sz w:val="21"/>
                      <w:szCs w:val="21"/>
                      <w:highlight w:val="none"/>
                    </w:rPr>
                  </w:pPr>
                </w:p>
              </w:tc>
              <w:tc>
                <w:tcPr>
                  <w:tcW w:w="517" w:type="pct"/>
                  <w:vMerge w:val="continue"/>
                  <w:tcBorders>
                    <w:tl2br w:val="nil"/>
                    <w:tr2bl w:val="nil"/>
                  </w:tcBorders>
                  <w:vAlign w:val="center"/>
                </w:tcPr>
                <w:p w14:paraId="37AAE533">
                  <w:pPr>
                    <w:autoSpaceDE w:val="0"/>
                    <w:autoSpaceDN w:val="0"/>
                    <w:jc w:val="center"/>
                    <w:rPr>
                      <w:rFonts w:hint="default" w:ascii="Times New Roman" w:hAnsi="Times New Roman" w:cs="Times New Roman"/>
                      <w:color w:val="auto"/>
                      <w:sz w:val="21"/>
                      <w:szCs w:val="21"/>
                      <w:highlight w:val="none"/>
                    </w:rPr>
                  </w:pPr>
                </w:p>
              </w:tc>
              <w:tc>
                <w:tcPr>
                  <w:tcW w:w="920" w:type="pct"/>
                  <w:vMerge w:val="continue"/>
                  <w:tcBorders>
                    <w:tl2br w:val="nil"/>
                    <w:tr2bl w:val="nil"/>
                  </w:tcBorders>
                  <w:vAlign w:val="center"/>
                </w:tcPr>
                <w:p w14:paraId="736C6945">
                  <w:pPr>
                    <w:autoSpaceDE w:val="0"/>
                    <w:autoSpaceDN w:val="0"/>
                    <w:jc w:val="center"/>
                    <w:rPr>
                      <w:rFonts w:hint="default" w:ascii="Times New Roman" w:hAnsi="Times New Roman" w:cs="Times New Roman"/>
                      <w:color w:val="auto"/>
                      <w:sz w:val="21"/>
                      <w:szCs w:val="21"/>
                      <w:highlight w:val="none"/>
                    </w:rPr>
                  </w:pPr>
                </w:p>
              </w:tc>
            </w:tr>
            <w:tr w14:paraId="56406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5" w:hRule="atLeast"/>
                <w:jc w:val="center"/>
              </w:trPr>
              <w:tc>
                <w:tcPr>
                  <w:tcW w:w="333" w:type="pct"/>
                  <w:tcBorders>
                    <w:tl2br w:val="nil"/>
                    <w:tr2bl w:val="nil"/>
                  </w:tcBorders>
                  <w:vAlign w:val="center"/>
                </w:tcPr>
                <w:p w14:paraId="5B9135E7">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生活污水</w:t>
                  </w:r>
                </w:p>
              </w:tc>
              <w:tc>
                <w:tcPr>
                  <w:tcW w:w="566" w:type="pct"/>
                  <w:tcBorders>
                    <w:tl2br w:val="nil"/>
                    <w:tr2bl w:val="nil"/>
                  </w:tcBorders>
                  <w:vAlign w:val="center"/>
                </w:tcPr>
                <w:p w14:paraId="6E8C818E">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CODcr、</w:t>
                  </w:r>
                </w:p>
                <w:p w14:paraId="521834E2">
                  <w:pPr>
                    <w:autoSpaceDE w:val="0"/>
                    <w:autoSpaceDN w:val="0"/>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BOD</w:t>
                  </w:r>
                  <w:r>
                    <w:rPr>
                      <w:rFonts w:hint="default" w:ascii="Times New Roman" w:hAnsi="Times New Roman" w:cs="Times New Roman"/>
                      <w:color w:val="auto"/>
                      <w:sz w:val="21"/>
                      <w:szCs w:val="21"/>
                      <w:highlight w:val="none"/>
                      <w:vertAlign w:val="subscript"/>
                    </w:rPr>
                    <w:t>5</w:t>
                  </w:r>
                  <w:r>
                    <w:rPr>
                      <w:rFonts w:hint="eastAsia" w:ascii="Times New Roman" w:hAnsi="Times New Roman" w:eastAsia="宋体" w:cs="Times New Roman"/>
                      <w:color w:val="auto"/>
                      <w:sz w:val="21"/>
                      <w:szCs w:val="21"/>
                      <w:highlight w:val="none"/>
                      <w:vertAlign w:val="subscript"/>
                      <w:lang w:eastAsia="zh-CN"/>
                    </w:rPr>
                    <w:t>、</w:t>
                  </w:r>
                  <w:r>
                    <w:rPr>
                      <w:rFonts w:hint="default" w:ascii="Times New Roman" w:hAnsi="Times New Roman" w:cs="Times New Roman"/>
                      <w:color w:val="auto"/>
                      <w:sz w:val="21"/>
                      <w:szCs w:val="21"/>
                      <w:highlight w:val="none"/>
                    </w:rPr>
                    <w:t>SS</w:t>
                  </w:r>
                  <w:r>
                    <w:rPr>
                      <w:rFonts w:hint="eastAsia" w:ascii="Times New Roman" w:hAnsi="Times New Roman" w:eastAsia="宋体" w:cs="Times New Roman"/>
                      <w:color w:val="auto"/>
                      <w:sz w:val="21"/>
                      <w:szCs w:val="21"/>
                      <w:highlight w:val="none"/>
                      <w:lang w:eastAsia="zh-CN"/>
                    </w:rPr>
                    <w:t>、</w:t>
                  </w:r>
                </w:p>
                <w:p w14:paraId="48040551">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NH</w:t>
                  </w:r>
                  <w:r>
                    <w:rPr>
                      <w:rFonts w:hint="default" w:ascii="Times New Roman" w:hAnsi="Times New Roman" w:cs="Times New Roman"/>
                      <w:color w:val="auto"/>
                      <w:sz w:val="21"/>
                      <w:szCs w:val="21"/>
                      <w:highlight w:val="none"/>
                      <w:vertAlign w:val="subscript"/>
                    </w:rPr>
                    <w:t>3</w:t>
                  </w:r>
                  <w:r>
                    <w:rPr>
                      <w:rFonts w:hint="default" w:ascii="Times New Roman" w:hAnsi="Times New Roman" w:cs="Times New Roman"/>
                      <w:color w:val="auto"/>
                      <w:sz w:val="21"/>
                      <w:szCs w:val="21"/>
                      <w:highlight w:val="none"/>
                    </w:rPr>
                    <w:t>-N</w:t>
                  </w:r>
                </w:p>
                <w:p w14:paraId="5DC2E127">
                  <w:pPr>
                    <w:autoSpaceDE w:val="0"/>
                    <w:autoSpaceDN w:val="0"/>
                    <w:jc w:val="center"/>
                    <w:rPr>
                      <w:rFonts w:hint="default" w:ascii="Times New Roman" w:hAnsi="Times New Roman" w:cs="Times New Roman"/>
                      <w:color w:val="auto"/>
                      <w:sz w:val="21"/>
                      <w:szCs w:val="21"/>
                      <w:highlight w:val="none"/>
                    </w:rPr>
                  </w:pPr>
                </w:p>
              </w:tc>
              <w:tc>
                <w:tcPr>
                  <w:tcW w:w="431" w:type="pct"/>
                  <w:tcBorders>
                    <w:tl2br w:val="nil"/>
                    <w:tr2bl w:val="nil"/>
                  </w:tcBorders>
                  <w:vAlign w:val="center"/>
                </w:tcPr>
                <w:p w14:paraId="0491A76A">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市政管网，园区污水处理厂</w:t>
                  </w:r>
                </w:p>
              </w:tc>
              <w:tc>
                <w:tcPr>
                  <w:tcW w:w="297" w:type="pct"/>
                  <w:tcBorders>
                    <w:tl2br w:val="nil"/>
                    <w:tr2bl w:val="nil"/>
                  </w:tcBorders>
                  <w:vAlign w:val="center"/>
                </w:tcPr>
                <w:p w14:paraId="78F7547A">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间断排放</w:t>
                  </w:r>
                </w:p>
              </w:tc>
              <w:tc>
                <w:tcPr>
                  <w:tcW w:w="535" w:type="pct"/>
                  <w:tcBorders>
                    <w:tl2br w:val="nil"/>
                    <w:tr2bl w:val="nil"/>
                  </w:tcBorders>
                  <w:vAlign w:val="center"/>
                </w:tcPr>
                <w:p w14:paraId="60F2BB50">
                  <w:pPr>
                    <w:autoSpaceDE w:val="0"/>
                    <w:autoSpaceDN w:val="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455" w:type="pct"/>
                  <w:tcBorders>
                    <w:tl2br w:val="nil"/>
                    <w:tr2bl w:val="nil"/>
                  </w:tcBorders>
                  <w:vAlign w:val="center"/>
                </w:tcPr>
                <w:p w14:paraId="5909F50E">
                  <w:pPr>
                    <w:autoSpaceDE w:val="0"/>
                    <w:autoSpaceDN w:val="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487" w:type="pct"/>
                  <w:tcBorders>
                    <w:tl2br w:val="nil"/>
                    <w:tr2bl w:val="nil"/>
                  </w:tcBorders>
                  <w:vAlign w:val="center"/>
                </w:tcPr>
                <w:p w14:paraId="4258895B">
                  <w:pPr>
                    <w:autoSpaceDE w:val="0"/>
                    <w:autoSpaceDN w:val="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456" w:type="pct"/>
                  <w:tcBorders>
                    <w:tl2br w:val="nil"/>
                    <w:tr2bl w:val="nil"/>
                  </w:tcBorders>
                  <w:vAlign w:val="center"/>
                </w:tcPr>
                <w:p w14:paraId="6BD353C9">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DW</w:t>
                  </w:r>
                </w:p>
                <w:p w14:paraId="4D1BB2B4">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001</w:t>
                  </w:r>
                </w:p>
              </w:tc>
              <w:tc>
                <w:tcPr>
                  <w:tcW w:w="517" w:type="pct"/>
                  <w:tcBorders>
                    <w:tl2br w:val="nil"/>
                    <w:tr2bl w:val="nil"/>
                  </w:tcBorders>
                  <w:vAlign w:val="center"/>
                </w:tcPr>
                <w:p w14:paraId="0FE5C639">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是</w:t>
                  </w:r>
                </w:p>
              </w:tc>
              <w:tc>
                <w:tcPr>
                  <w:tcW w:w="920" w:type="pct"/>
                  <w:tcBorders>
                    <w:tl2br w:val="nil"/>
                    <w:tr2bl w:val="nil"/>
                  </w:tcBorders>
                  <w:vAlign w:val="center"/>
                </w:tcPr>
                <w:p w14:paraId="6B02F7E4">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drawing>
                      <wp:inline distT="0" distB="0" distL="0" distR="0">
                        <wp:extent cx="102870" cy="139700"/>
                        <wp:effectExtent l="0" t="0" r="11430" b="12700"/>
                        <wp:docPr id="360" name="IM 360"/>
                        <wp:cNvGraphicFramePr/>
                        <a:graphic xmlns:a="http://schemas.openxmlformats.org/drawingml/2006/main">
                          <a:graphicData uri="http://schemas.openxmlformats.org/drawingml/2006/picture">
                            <pic:pic xmlns:pic="http://schemas.openxmlformats.org/drawingml/2006/picture">
                              <pic:nvPicPr>
                                <pic:cNvPr id="360" name="IM 360"/>
                                <pic:cNvPicPr/>
                              </pic:nvPicPr>
                              <pic:blipFill>
                                <a:blip r:embed="rId30"/>
                                <a:stretch>
                                  <a:fillRect/>
                                </a:stretch>
                              </pic:blipFill>
                              <pic:spPr>
                                <a:xfrm>
                                  <a:off x="0" y="0"/>
                                  <a:ext cx="103384" cy="139748"/>
                                </a:xfrm>
                                <a:prstGeom prst="rect">
                                  <a:avLst/>
                                </a:prstGeom>
                              </pic:spPr>
                            </pic:pic>
                          </a:graphicData>
                        </a:graphic>
                      </wp:inline>
                    </w:drawing>
                  </w:r>
                  <w:r>
                    <w:rPr>
                      <w:rFonts w:hint="default" w:ascii="Times New Roman" w:hAnsi="Times New Roman" w:cs="Times New Roman"/>
                      <w:color w:val="auto"/>
                      <w:sz w:val="21"/>
                      <w:szCs w:val="21"/>
                      <w:highlight w:val="none"/>
                    </w:rPr>
                    <w:t>企业总排</w:t>
                  </w:r>
                </w:p>
                <w:p w14:paraId="5BBBAF3C">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drawing>
                      <wp:inline distT="0" distB="0" distL="0" distR="0">
                        <wp:extent cx="96520" cy="139700"/>
                        <wp:effectExtent l="0" t="0" r="17780" b="13335"/>
                        <wp:docPr id="362" name="IM 362"/>
                        <wp:cNvGraphicFramePr/>
                        <a:graphic xmlns:a="http://schemas.openxmlformats.org/drawingml/2006/main">
                          <a:graphicData uri="http://schemas.openxmlformats.org/drawingml/2006/picture">
                            <pic:pic xmlns:pic="http://schemas.openxmlformats.org/drawingml/2006/picture">
                              <pic:nvPicPr>
                                <pic:cNvPr id="362" name="IM 362"/>
                                <pic:cNvPicPr/>
                              </pic:nvPicPr>
                              <pic:blipFill>
                                <a:blip r:embed="rId31"/>
                                <a:stretch>
                                  <a:fillRect/>
                                </a:stretch>
                              </pic:blipFill>
                              <pic:spPr>
                                <a:xfrm>
                                  <a:off x="0" y="0"/>
                                  <a:ext cx="96559" cy="139748"/>
                                </a:xfrm>
                                <a:prstGeom prst="rect">
                                  <a:avLst/>
                                </a:prstGeom>
                              </pic:spPr>
                            </pic:pic>
                          </a:graphicData>
                        </a:graphic>
                      </wp:inline>
                    </w:drawing>
                  </w:r>
                  <w:r>
                    <w:rPr>
                      <w:rFonts w:hint="default" w:ascii="Times New Roman" w:hAnsi="Times New Roman" w:cs="Times New Roman"/>
                      <w:color w:val="auto"/>
                      <w:sz w:val="21"/>
                      <w:szCs w:val="21"/>
                      <w:highlight w:val="none"/>
                    </w:rPr>
                    <w:t>雨水排放</w:t>
                  </w:r>
                </w:p>
                <w:p w14:paraId="0F0B76DC">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drawing>
                      <wp:inline distT="0" distB="0" distL="0" distR="0">
                        <wp:extent cx="95885" cy="139700"/>
                        <wp:effectExtent l="0" t="0" r="18415" b="12700"/>
                        <wp:docPr id="364" name="IM 364"/>
                        <wp:cNvGraphicFramePr/>
                        <a:graphic xmlns:a="http://schemas.openxmlformats.org/drawingml/2006/main">
                          <a:graphicData uri="http://schemas.openxmlformats.org/drawingml/2006/picture">
                            <pic:pic xmlns:pic="http://schemas.openxmlformats.org/drawingml/2006/picture">
                              <pic:nvPicPr>
                                <pic:cNvPr id="364" name="IM 364"/>
                                <pic:cNvPicPr/>
                              </pic:nvPicPr>
                              <pic:blipFill>
                                <a:blip r:embed="rId32"/>
                                <a:stretch>
                                  <a:fillRect/>
                                </a:stretch>
                              </pic:blipFill>
                              <pic:spPr>
                                <a:xfrm>
                                  <a:off x="0" y="0"/>
                                  <a:ext cx="95952" cy="139748"/>
                                </a:xfrm>
                                <a:prstGeom prst="rect">
                                  <a:avLst/>
                                </a:prstGeom>
                              </pic:spPr>
                            </pic:pic>
                          </a:graphicData>
                        </a:graphic>
                      </wp:inline>
                    </w:drawing>
                  </w:r>
                  <w:r>
                    <w:rPr>
                      <w:rFonts w:hint="default" w:ascii="Times New Roman" w:hAnsi="Times New Roman" w:cs="Times New Roman"/>
                      <w:color w:val="auto"/>
                      <w:sz w:val="21"/>
                      <w:szCs w:val="21"/>
                      <w:highlight w:val="none"/>
                    </w:rPr>
                    <w:t>温排水排放</w:t>
                  </w:r>
                </w:p>
                <w:p w14:paraId="2000D4CB">
                  <w:pPr>
                    <w:autoSpaceDE w:val="0"/>
                    <w:autoSpaceDN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drawing>
                      <wp:inline distT="0" distB="0" distL="0" distR="0">
                        <wp:extent cx="95885" cy="139700"/>
                        <wp:effectExtent l="0" t="0" r="18415" b="13335"/>
                        <wp:docPr id="366" name="IM 366"/>
                        <wp:cNvGraphicFramePr/>
                        <a:graphic xmlns:a="http://schemas.openxmlformats.org/drawingml/2006/main">
                          <a:graphicData uri="http://schemas.openxmlformats.org/drawingml/2006/picture">
                            <pic:pic xmlns:pic="http://schemas.openxmlformats.org/drawingml/2006/picture">
                              <pic:nvPicPr>
                                <pic:cNvPr id="366" name="IM 366"/>
                                <pic:cNvPicPr/>
                              </pic:nvPicPr>
                              <pic:blipFill>
                                <a:blip r:embed="rId31"/>
                                <a:stretch>
                                  <a:fillRect/>
                                </a:stretch>
                              </pic:blipFill>
                              <pic:spPr>
                                <a:xfrm>
                                  <a:off x="0" y="0"/>
                                  <a:ext cx="95952" cy="139748"/>
                                </a:xfrm>
                                <a:prstGeom prst="rect">
                                  <a:avLst/>
                                </a:prstGeom>
                              </pic:spPr>
                            </pic:pic>
                          </a:graphicData>
                        </a:graphic>
                      </wp:inline>
                    </w:drawing>
                  </w:r>
                  <w:r>
                    <w:rPr>
                      <w:rFonts w:hint="default" w:ascii="Times New Roman" w:hAnsi="Times New Roman" w:cs="Times New Roman"/>
                      <w:color w:val="auto"/>
                      <w:sz w:val="21"/>
                      <w:szCs w:val="21"/>
                      <w:highlight w:val="none"/>
                    </w:rPr>
                    <w:t>车间或车间处理设施排放口</w:t>
                  </w:r>
                </w:p>
              </w:tc>
            </w:tr>
          </w:tbl>
          <w:p w14:paraId="12A4B1C9">
            <w:pPr>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表</w:t>
            </w:r>
            <w:r>
              <w:rPr>
                <w:rFonts w:hint="default" w:ascii="Times New Roman" w:hAnsi="Times New Roman" w:cs="Times New Roman"/>
                <w:b/>
                <w:bCs/>
                <w:color w:val="auto"/>
                <w:sz w:val="21"/>
                <w:szCs w:val="21"/>
                <w:highlight w:val="none"/>
                <w:lang w:val="en-US" w:eastAsia="zh-CN"/>
              </w:rPr>
              <w:t xml:space="preserve">4-6  </w:t>
            </w:r>
            <w:r>
              <w:rPr>
                <w:rFonts w:hint="default" w:ascii="Times New Roman" w:hAnsi="Times New Roman" w:cs="Times New Roman"/>
                <w:b/>
                <w:bCs/>
                <w:color w:val="auto"/>
                <w:sz w:val="21"/>
                <w:szCs w:val="21"/>
                <w:highlight w:val="none"/>
              </w:rPr>
              <w:t>废水间接排放口基本信息表</w:t>
            </w:r>
          </w:p>
          <w:tbl>
            <w:tblPr>
              <w:tblStyle w:val="24"/>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1"/>
              <w:gridCol w:w="1242"/>
              <w:gridCol w:w="1209"/>
              <w:gridCol w:w="532"/>
              <w:gridCol w:w="2977"/>
              <w:gridCol w:w="1120"/>
            </w:tblGrid>
            <w:tr w14:paraId="3619F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jc w:val="center"/>
              </w:trPr>
              <w:tc>
                <w:tcPr>
                  <w:tcW w:w="630" w:type="pct"/>
                  <w:vMerge w:val="restart"/>
                  <w:tcBorders>
                    <w:tl2br w:val="nil"/>
                    <w:tr2bl w:val="nil"/>
                  </w:tcBorders>
                  <w:vAlign w:val="top"/>
                </w:tcPr>
                <w:p w14:paraId="239C1D1A">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排放口编号/名称</w:t>
                  </w:r>
                </w:p>
              </w:tc>
              <w:tc>
                <w:tcPr>
                  <w:tcW w:w="1512" w:type="pct"/>
                  <w:gridSpan w:val="2"/>
                  <w:tcBorders>
                    <w:tl2br w:val="nil"/>
                    <w:tr2bl w:val="nil"/>
                  </w:tcBorders>
                  <w:vAlign w:val="top"/>
                </w:tcPr>
                <w:p w14:paraId="40F80F33">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排放口地理坐标</w:t>
                  </w:r>
                </w:p>
              </w:tc>
              <w:tc>
                <w:tcPr>
                  <w:tcW w:w="328" w:type="pct"/>
                  <w:vMerge w:val="restart"/>
                  <w:tcBorders>
                    <w:tl2br w:val="nil"/>
                    <w:tr2bl w:val="nil"/>
                  </w:tcBorders>
                  <w:vAlign w:val="top"/>
                </w:tcPr>
                <w:p w14:paraId="532BBB12">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排放去向</w:t>
                  </w:r>
                </w:p>
              </w:tc>
              <w:tc>
                <w:tcPr>
                  <w:tcW w:w="1837" w:type="pct"/>
                  <w:vMerge w:val="restart"/>
                  <w:tcBorders>
                    <w:tl2br w:val="nil"/>
                    <w:tr2bl w:val="nil"/>
                  </w:tcBorders>
                  <w:vAlign w:val="center"/>
                </w:tcPr>
                <w:p w14:paraId="6CD0C0FC">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排放规律</w:t>
                  </w:r>
                </w:p>
              </w:tc>
              <w:tc>
                <w:tcPr>
                  <w:tcW w:w="691" w:type="pct"/>
                  <w:vMerge w:val="restart"/>
                  <w:tcBorders>
                    <w:tl2br w:val="nil"/>
                    <w:tr2bl w:val="nil"/>
                  </w:tcBorders>
                  <w:vAlign w:val="top"/>
                </w:tcPr>
                <w:p w14:paraId="0D9FA7D8">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受纳污水处理厂信息</w:t>
                  </w:r>
                </w:p>
              </w:tc>
            </w:tr>
            <w:tr w14:paraId="7CD27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630" w:type="pct"/>
                  <w:vMerge w:val="continue"/>
                  <w:tcBorders>
                    <w:tl2br w:val="nil"/>
                    <w:tr2bl w:val="nil"/>
                  </w:tcBorders>
                  <w:vAlign w:val="top"/>
                </w:tcPr>
                <w:p w14:paraId="0A2A669E">
                  <w:pPr>
                    <w:autoSpaceDE w:val="0"/>
                    <w:autoSpaceDN w:val="0"/>
                    <w:jc w:val="center"/>
                    <w:rPr>
                      <w:rFonts w:hint="default" w:ascii="Times New Roman" w:hAnsi="Times New Roman" w:cs="Times New Roman"/>
                      <w:b w:val="0"/>
                      <w:bCs w:val="0"/>
                      <w:color w:val="auto"/>
                      <w:sz w:val="21"/>
                      <w:szCs w:val="21"/>
                      <w:highlight w:val="none"/>
                    </w:rPr>
                  </w:pPr>
                </w:p>
              </w:tc>
              <w:tc>
                <w:tcPr>
                  <w:tcW w:w="766" w:type="pct"/>
                  <w:tcBorders>
                    <w:tl2br w:val="nil"/>
                    <w:tr2bl w:val="nil"/>
                  </w:tcBorders>
                  <w:vAlign w:val="top"/>
                </w:tcPr>
                <w:p w14:paraId="22E8CBB3">
                  <w:pPr>
                    <w:autoSpaceDE w:val="0"/>
                    <w:autoSpaceDN w:val="0"/>
                    <w:jc w:val="both"/>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经度</w:t>
                  </w:r>
                </w:p>
              </w:tc>
              <w:tc>
                <w:tcPr>
                  <w:tcW w:w="746" w:type="pct"/>
                  <w:tcBorders>
                    <w:tl2br w:val="nil"/>
                    <w:tr2bl w:val="nil"/>
                  </w:tcBorders>
                  <w:vAlign w:val="top"/>
                </w:tcPr>
                <w:p w14:paraId="694E8CAA">
                  <w:pPr>
                    <w:autoSpaceDE w:val="0"/>
                    <w:autoSpaceDN w:val="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lang w:eastAsia="zh-CN"/>
                    </w:rPr>
                    <w:t>纬</w:t>
                  </w:r>
                  <w:r>
                    <w:rPr>
                      <w:rFonts w:hint="default" w:ascii="Times New Roman" w:hAnsi="Times New Roman" w:cs="Times New Roman"/>
                      <w:b w:val="0"/>
                      <w:bCs w:val="0"/>
                      <w:color w:val="auto"/>
                      <w:sz w:val="21"/>
                      <w:szCs w:val="21"/>
                      <w:highlight w:val="none"/>
                    </w:rPr>
                    <w:t>度</w:t>
                  </w:r>
                </w:p>
              </w:tc>
              <w:tc>
                <w:tcPr>
                  <w:tcW w:w="328" w:type="pct"/>
                  <w:vMerge w:val="continue"/>
                  <w:tcBorders>
                    <w:tl2br w:val="nil"/>
                    <w:tr2bl w:val="nil"/>
                  </w:tcBorders>
                  <w:vAlign w:val="top"/>
                </w:tcPr>
                <w:p w14:paraId="6FC069FB">
                  <w:pPr>
                    <w:autoSpaceDE w:val="0"/>
                    <w:autoSpaceDN w:val="0"/>
                    <w:jc w:val="center"/>
                    <w:rPr>
                      <w:rFonts w:hint="default" w:ascii="Times New Roman" w:hAnsi="Times New Roman" w:cs="Times New Roman"/>
                      <w:color w:val="auto"/>
                      <w:sz w:val="21"/>
                      <w:szCs w:val="21"/>
                      <w:highlight w:val="none"/>
                    </w:rPr>
                  </w:pPr>
                </w:p>
              </w:tc>
              <w:tc>
                <w:tcPr>
                  <w:tcW w:w="1837" w:type="pct"/>
                  <w:vMerge w:val="continue"/>
                  <w:tcBorders>
                    <w:tl2br w:val="nil"/>
                    <w:tr2bl w:val="nil"/>
                  </w:tcBorders>
                  <w:vAlign w:val="top"/>
                </w:tcPr>
                <w:p w14:paraId="42B15A73">
                  <w:pPr>
                    <w:autoSpaceDE w:val="0"/>
                    <w:autoSpaceDN w:val="0"/>
                    <w:jc w:val="center"/>
                    <w:rPr>
                      <w:rFonts w:hint="default" w:ascii="Times New Roman" w:hAnsi="Times New Roman" w:cs="Times New Roman"/>
                      <w:color w:val="auto"/>
                      <w:sz w:val="21"/>
                      <w:szCs w:val="21"/>
                      <w:highlight w:val="none"/>
                    </w:rPr>
                  </w:pPr>
                </w:p>
              </w:tc>
              <w:tc>
                <w:tcPr>
                  <w:tcW w:w="691" w:type="pct"/>
                  <w:vMerge w:val="continue"/>
                  <w:tcBorders>
                    <w:tl2br w:val="nil"/>
                    <w:tr2bl w:val="nil"/>
                  </w:tcBorders>
                  <w:vAlign w:val="top"/>
                </w:tcPr>
                <w:p w14:paraId="0929D8C4">
                  <w:pPr>
                    <w:autoSpaceDE w:val="0"/>
                    <w:autoSpaceDN w:val="0"/>
                    <w:jc w:val="center"/>
                    <w:rPr>
                      <w:rFonts w:hint="default" w:ascii="Times New Roman" w:hAnsi="Times New Roman" w:cs="Times New Roman"/>
                      <w:color w:val="auto"/>
                      <w:sz w:val="21"/>
                      <w:szCs w:val="21"/>
                      <w:highlight w:val="none"/>
                    </w:rPr>
                  </w:pPr>
                </w:p>
              </w:tc>
            </w:tr>
            <w:tr w14:paraId="67E9D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630" w:type="pct"/>
                  <w:tcBorders>
                    <w:tl2br w:val="nil"/>
                    <w:tr2bl w:val="nil"/>
                  </w:tcBorders>
                  <w:vAlign w:val="center"/>
                </w:tcPr>
                <w:p w14:paraId="2F439D42">
                  <w:pPr>
                    <w:autoSpaceDE w:val="0"/>
                    <w:autoSpaceDN w:val="0"/>
                    <w:jc w:val="center"/>
                    <w:rPr>
                      <w:rFonts w:hint="default" w:ascii="Times New Roman" w:hAnsi="Times New Roman" w:cs="Times New Roman"/>
                      <w:color w:val="auto"/>
                      <w:sz w:val="21"/>
                      <w:szCs w:val="21"/>
                      <w:highlight w:val="none"/>
                      <w:lang w:val="en-US" w:eastAsia="en-US"/>
                    </w:rPr>
                  </w:pPr>
                  <w:r>
                    <w:rPr>
                      <w:rFonts w:hint="default" w:ascii="Times New Roman" w:hAnsi="Times New Roman" w:cs="Times New Roman"/>
                      <w:color w:val="auto"/>
                      <w:sz w:val="21"/>
                      <w:szCs w:val="21"/>
                      <w:highlight w:val="none"/>
                    </w:rPr>
                    <w:t>DW001</w:t>
                  </w:r>
                </w:p>
              </w:tc>
              <w:tc>
                <w:tcPr>
                  <w:tcW w:w="766" w:type="pct"/>
                  <w:tcBorders>
                    <w:tl2br w:val="nil"/>
                    <w:tr2bl w:val="nil"/>
                  </w:tcBorders>
                  <w:shd w:val="clear" w:color="auto" w:fill="auto"/>
                  <w:vAlign w:val="center"/>
                </w:tcPr>
                <w:p w14:paraId="0EC8DF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napToGrid w:val="0"/>
                      <w:color w:val="auto"/>
                      <w:kern w:val="0"/>
                      <w:sz w:val="21"/>
                      <w:szCs w:val="21"/>
                      <w:highlight w:val="none"/>
                      <w:vertAlign w:val="baseline"/>
                      <w:lang w:val="en-US" w:eastAsia="en-US" w:bidi="ar-SA"/>
                    </w:rPr>
                  </w:pPr>
                  <w:r>
                    <w:rPr>
                      <w:rFonts w:hint="default" w:ascii="Times New Roman" w:hAnsi="Times New Roman" w:eastAsia="宋体" w:cs="Times New Roman"/>
                      <w:color w:val="auto"/>
                      <w:sz w:val="21"/>
                      <w:szCs w:val="21"/>
                      <w:highlight w:val="none"/>
                      <w:vertAlign w:val="baseline"/>
                      <w:lang w:val="en-US" w:eastAsia="zh-CN"/>
                    </w:rPr>
                    <w:t>86°20′4.513"</w:t>
                  </w:r>
                </w:p>
              </w:tc>
              <w:tc>
                <w:tcPr>
                  <w:tcW w:w="746" w:type="pct"/>
                  <w:tcBorders>
                    <w:tl2br w:val="nil"/>
                    <w:tr2bl w:val="nil"/>
                  </w:tcBorders>
                  <w:shd w:val="clear" w:color="auto" w:fill="auto"/>
                  <w:vAlign w:val="center"/>
                </w:tcPr>
                <w:p w14:paraId="44CEC0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napToGrid w:val="0"/>
                      <w:color w:val="auto"/>
                      <w:kern w:val="0"/>
                      <w:sz w:val="21"/>
                      <w:szCs w:val="21"/>
                      <w:highlight w:val="none"/>
                      <w:vertAlign w:val="baseline"/>
                      <w:lang w:val="en-US" w:eastAsia="en-US" w:bidi="ar-SA"/>
                    </w:rPr>
                  </w:pPr>
                  <w:r>
                    <w:rPr>
                      <w:rFonts w:hint="default" w:ascii="Times New Roman" w:hAnsi="Times New Roman" w:eastAsia="宋体" w:cs="Times New Roman"/>
                      <w:color w:val="auto"/>
                      <w:sz w:val="21"/>
                      <w:szCs w:val="21"/>
                      <w:highlight w:val="none"/>
                      <w:vertAlign w:val="baseline"/>
                      <w:lang w:val="en-US" w:eastAsia="zh-CN"/>
                    </w:rPr>
                    <w:t>44°12′41.926"</w:t>
                  </w:r>
                </w:p>
              </w:tc>
              <w:tc>
                <w:tcPr>
                  <w:tcW w:w="328" w:type="pct"/>
                  <w:tcBorders>
                    <w:tl2br w:val="nil"/>
                    <w:tr2bl w:val="nil"/>
                  </w:tcBorders>
                  <w:vAlign w:val="top"/>
                </w:tcPr>
                <w:p w14:paraId="75A98CFC">
                  <w:pPr>
                    <w:autoSpaceDE w:val="0"/>
                    <w:autoSpaceDN w:val="0"/>
                    <w:jc w:val="center"/>
                    <w:rPr>
                      <w:rFonts w:hint="default" w:ascii="Times New Roman" w:hAnsi="Times New Roman" w:cs="Times New Roman"/>
                      <w:color w:val="auto"/>
                      <w:sz w:val="21"/>
                      <w:szCs w:val="21"/>
                      <w:highlight w:val="none"/>
                      <w:lang w:val="en-US" w:eastAsia="en-US"/>
                    </w:rPr>
                  </w:pPr>
                  <w:r>
                    <w:rPr>
                      <w:rFonts w:hint="default" w:ascii="Times New Roman" w:hAnsi="Times New Roman" w:cs="Times New Roman"/>
                      <w:color w:val="auto"/>
                      <w:sz w:val="21"/>
                      <w:szCs w:val="21"/>
                      <w:highlight w:val="none"/>
                    </w:rPr>
                    <w:t>市政管网</w:t>
                  </w:r>
                </w:p>
              </w:tc>
              <w:tc>
                <w:tcPr>
                  <w:tcW w:w="1837" w:type="pct"/>
                  <w:tcBorders>
                    <w:tl2br w:val="nil"/>
                    <w:tr2bl w:val="nil"/>
                  </w:tcBorders>
                  <w:vAlign w:val="top"/>
                </w:tcPr>
                <w:p w14:paraId="32C39F5F">
                  <w:pPr>
                    <w:autoSpaceDE w:val="0"/>
                    <w:autoSpaceDN w:val="0"/>
                    <w:jc w:val="center"/>
                    <w:rPr>
                      <w:rFonts w:hint="default" w:ascii="Times New Roman" w:hAnsi="Times New Roman" w:cs="Times New Roman"/>
                      <w:color w:val="auto"/>
                      <w:sz w:val="21"/>
                      <w:szCs w:val="21"/>
                      <w:highlight w:val="none"/>
                      <w:lang w:val="en-US" w:eastAsia="en-US"/>
                    </w:rPr>
                  </w:pPr>
                  <w:r>
                    <w:rPr>
                      <w:rFonts w:hint="default" w:ascii="Times New Roman" w:hAnsi="Times New Roman" w:cs="Times New Roman"/>
                      <w:color w:val="auto"/>
                      <w:sz w:val="21"/>
                      <w:szCs w:val="21"/>
                      <w:highlight w:val="none"/>
                    </w:rPr>
                    <w:t>间断排放，排放期间流量不稳定且无规律，但不属于冲击型排放</w:t>
                  </w:r>
                </w:p>
              </w:tc>
              <w:tc>
                <w:tcPr>
                  <w:tcW w:w="691" w:type="pct"/>
                  <w:tcBorders>
                    <w:tl2br w:val="nil"/>
                    <w:tr2bl w:val="nil"/>
                  </w:tcBorders>
                  <w:vAlign w:val="top"/>
                </w:tcPr>
                <w:p w14:paraId="23F49A10">
                  <w:pPr>
                    <w:autoSpaceDE w:val="0"/>
                    <w:autoSpaceDN w:val="0"/>
                    <w:jc w:val="center"/>
                    <w:rPr>
                      <w:rFonts w:hint="default" w:ascii="Times New Roman" w:hAnsi="Times New Roman" w:cs="Times New Roman"/>
                      <w:color w:val="auto"/>
                      <w:sz w:val="21"/>
                      <w:szCs w:val="21"/>
                      <w:highlight w:val="none"/>
                      <w:lang w:val="en-US" w:eastAsia="en-US"/>
                    </w:rPr>
                  </w:pPr>
                  <w:r>
                    <w:rPr>
                      <w:rFonts w:hint="default" w:ascii="Times New Roman" w:hAnsi="Times New Roman" w:cs="Times New Roman"/>
                      <w:color w:val="auto"/>
                      <w:sz w:val="21"/>
                      <w:szCs w:val="21"/>
                      <w:highlight w:val="none"/>
                    </w:rPr>
                    <w:t>园区污水处理厂</w:t>
                  </w:r>
                </w:p>
              </w:tc>
            </w:tr>
          </w:tbl>
          <w:p w14:paraId="71D8D34C">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4" w:firstLineChars="200"/>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6"/>
                <w:sz w:val="24"/>
                <w:szCs w:val="24"/>
                <w:highlight w:val="none"/>
              </w:rPr>
              <w:t>3</w:t>
            </w:r>
            <w:r>
              <w:rPr>
                <w:rFonts w:hint="default" w:ascii="Times New Roman" w:hAnsi="Times New Roman" w:cs="Times New Roman"/>
                <w:b/>
                <w:bCs/>
                <w:color w:val="auto"/>
                <w:spacing w:val="6"/>
                <w:sz w:val="24"/>
                <w:szCs w:val="24"/>
                <w:highlight w:val="none"/>
              </w:rPr>
              <w:t>、噪声环境影响分析及防治措施</w:t>
            </w:r>
          </w:p>
          <w:p w14:paraId="1658DCF8">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4" w:firstLineChars="200"/>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6"/>
                <w:sz w:val="24"/>
                <w:szCs w:val="24"/>
                <w:highlight w:val="none"/>
              </w:rPr>
              <w:t>3.1</w:t>
            </w:r>
            <w:r>
              <w:rPr>
                <w:rFonts w:hint="default" w:ascii="Times New Roman" w:hAnsi="Times New Roman" w:cs="Times New Roman"/>
                <w:b/>
                <w:bCs/>
                <w:color w:val="auto"/>
                <w:spacing w:val="6"/>
                <w:sz w:val="24"/>
                <w:szCs w:val="24"/>
                <w:highlight w:val="none"/>
              </w:rPr>
              <w:t>噪声环境影响分析</w:t>
            </w:r>
          </w:p>
          <w:p w14:paraId="4731D040">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0" w:firstLineChars="200"/>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5"/>
                <w:position w:val="1"/>
                <w:sz w:val="24"/>
                <w:szCs w:val="24"/>
                <w:highlight w:val="none"/>
              </w:rPr>
              <w:t>（</w:t>
            </w:r>
            <w:r>
              <w:rPr>
                <w:rFonts w:hint="default" w:ascii="Times New Roman" w:hAnsi="Times New Roman" w:eastAsia="Times New Roman" w:cs="Times New Roman"/>
                <w:color w:val="auto"/>
                <w:spacing w:val="5"/>
                <w:position w:val="1"/>
                <w:sz w:val="24"/>
                <w:szCs w:val="24"/>
                <w:highlight w:val="none"/>
              </w:rPr>
              <w:t>1</w:t>
            </w:r>
            <w:r>
              <w:rPr>
                <w:rFonts w:hint="default" w:ascii="Times New Roman" w:hAnsi="Times New Roman" w:cs="Times New Roman"/>
                <w:color w:val="auto"/>
                <w:spacing w:val="5"/>
                <w:position w:val="1"/>
                <w:sz w:val="24"/>
                <w:szCs w:val="24"/>
                <w:highlight w:val="none"/>
              </w:rPr>
              <w:t>）噪声源</w:t>
            </w:r>
          </w:p>
          <w:p w14:paraId="17D9D77B">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textAlignment w:val="baseline"/>
              <w:rPr>
                <w:rFonts w:hint="default" w:ascii="Times New Roman" w:hAnsi="Times New Roman" w:cs="Times New Roman"/>
                <w:color w:val="auto"/>
                <w:spacing w:val="7"/>
                <w:sz w:val="24"/>
                <w:szCs w:val="24"/>
                <w:highlight w:val="none"/>
              </w:rPr>
            </w:pPr>
            <w:r>
              <w:rPr>
                <w:rFonts w:hint="default" w:ascii="Times New Roman" w:hAnsi="Times New Roman" w:cs="Times New Roman"/>
                <w:color w:val="auto"/>
                <w:spacing w:val="12"/>
                <w:sz w:val="24"/>
                <w:szCs w:val="24"/>
                <w:highlight w:val="none"/>
              </w:rPr>
              <w:t>本项目运营期间的噪声主要来源于生产车间的搅拌机、配料机、空压机等机械加工</w:t>
            </w:r>
            <w:r>
              <w:rPr>
                <w:rFonts w:hint="default" w:ascii="Times New Roman" w:hAnsi="Times New Roman" w:cs="Times New Roman"/>
                <w:color w:val="auto"/>
                <w:spacing w:val="8"/>
                <w:sz w:val="24"/>
                <w:szCs w:val="24"/>
                <w:highlight w:val="none"/>
              </w:rPr>
              <w:t>设备，设备噪声值约为</w:t>
            </w:r>
            <w:r>
              <w:rPr>
                <w:rFonts w:hint="default" w:ascii="Times New Roman" w:hAnsi="Times New Roman" w:eastAsia="Times New Roman" w:cs="Times New Roman"/>
                <w:color w:val="auto"/>
                <w:spacing w:val="8"/>
                <w:sz w:val="24"/>
                <w:szCs w:val="24"/>
                <w:highlight w:val="none"/>
              </w:rPr>
              <w:t>75~85</w:t>
            </w:r>
            <w:r>
              <w:rPr>
                <w:rFonts w:hint="default" w:ascii="Times New Roman" w:hAnsi="Times New Roman" w:eastAsia="Times New Roman" w:cs="Times New Roman"/>
                <w:color w:val="auto"/>
                <w:sz w:val="24"/>
                <w:szCs w:val="24"/>
                <w:highlight w:val="none"/>
              </w:rPr>
              <w:t>dB</w:t>
            </w:r>
            <w:r>
              <w:rPr>
                <w:rFonts w:hint="default" w:ascii="Times New Roman" w:hAnsi="Times New Roman" w:cs="Times New Roman"/>
                <w:color w:val="auto"/>
                <w:spacing w:val="8"/>
                <w:sz w:val="24"/>
                <w:szCs w:val="24"/>
                <w:highlight w:val="none"/>
              </w:rPr>
              <w:t>（</w:t>
            </w:r>
            <w:r>
              <w:rPr>
                <w:rFonts w:hint="default" w:ascii="Times New Roman" w:hAnsi="Times New Roman" w:eastAsia="Times New Roman" w:cs="Times New Roman"/>
                <w:color w:val="auto"/>
                <w:spacing w:val="8"/>
                <w:sz w:val="24"/>
                <w:szCs w:val="24"/>
                <w:highlight w:val="none"/>
              </w:rPr>
              <w:t>A</w:t>
            </w:r>
            <w:r>
              <w:rPr>
                <w:rFonts w:hint="default" w:ascii="Times New Roman" w:hAnsi="Times New Roman" w:cs="Times New Roman"/>
                <w:color w:val="auto"/>
                <w:spacing w:val="16"/>
                <w:sz w:val="24"/>
                <w:szCs w:val="24"/>
                <w:highlight w:val="none"/>
              </w:rPr>
              <w:t>），</w:t>
            </w:r>
            <w:r>
              <w:rPr>
                <w:rFonts w:hint="default" w:ascii="Times New Roman" w:hAnsi="Times New Roman" w:cs="Times New Roman"/>
                <w:color w:val="auto"/>
                <w:spacing w:val="8"/>
                <w:sz w:val="24"/>
                <w:szCs w:val="24"/>
                <w:highlight w:val="none"/>
              </w:rPr>
              <w:t>本项目噪声源强调查清单具体见表</w:t>
            </w:r>
            <w:r>
              <w:rPr>
                <w:rFonts w:hint="default" w:ascii="Times New Roman" w:hAnsi="Times New Roman" w:eastAsia="Times New Roman" w:cs="Times New Roman"/>
                <w:color w:val="auto"/>
                <w:spacing w:val="8"/>
                <w:sz w:val="24"/>
                <w:szCs w:val="24"/>
                <w:highlight w:val="none"/>
              </w:rPr>
              <w:t>4-</w:t>
            </w:r>
            <w:r>
              <w:rPr>
                <w:rFonts w:hint="default" w:ascii="Times New Roman" w:hAnsi="Times New Roman" w:eastAsia="宋体" w:cs="Times New Roman"/>
                <w:color w:val="auto"/>
                <w:spacing w:val="8"/>
                <w:sz w:val="24"/>
                <w:szCs w:val="24"/>
                <w:highlight w:val="none"/>
                <w:lang w:val="en-US" w:eastAsia="zh-CN"/>
              </w:rPr>
              <w:t>7</w:t>
            </w:r>
            <w:r>
              <w:rPr>
                <w:rFonts w:hint="default" w:ascii="Times New Roman" w:hAnsi="Times New Roman" w:cs="Times New Roman"/>
                <w:color w:val="auto"/>
                <w:spacing w:val="7"/>
                <w:sz w:val="24"/>
                <w:szCs w:val="24"/>
                <w:highlight w:val="none"/>
              </w:rPr>
              <w:t>。</w:t>
            </w:r>
          </w:p>
          <w:p w14:paraId="4F96F55E">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r>
              <w:rPr>
                <w:rFonts w:hint="default" w:ascii="Times New Roman" w:hAnsi="Times New Roman" w:cs="Times New Roman"/>
                <w:b/>
                <w:bCs/>
                <w:color w:val="auto"/>
                <w:spacing w:val="5"/>
                <w:sz w:val="21"/>
                <w:szCs w:val="21"/>
                <w:highlight w:val="none"/>
              </w:rPr>
              <w:t>表</w:t>
            </w:r>
            <w:r>
              <w:rPr>
                <w:rFonts w:hint="default" w:ascii="Times New Roman" w:hAnsi="Times New Roman" w:eastAsia="Times New Roman" w:cs="Times New Roman"/>
                <w:b/>
                <w:bCs/>
                <w:color w:val="auto"/>
                <w:spacing w:val="5"/>
                <w:sz w:val="21"/>
                <w:szCs w:val="21"/>
                <w:highlight w:val="none"/>
              </w:rPr>
              <w:t>4-</w:t>
            </w:r>
            <w:r>
              <w:rPr>
                <w:rFonts w:hint="default" w:ascii="Times New Roman" w:hAnsi="Times New Roman" w:eastAsia="宋体" w:cs="Times New Roman"/>
                <w:b/>
                <w:bCs/>
                <w:color w:val="auto"/>
                <w:spacing w:val="5"/>
                <w:sz w:val="21"/>
                <w:szCs w:val="21"/>
                <w:highlight w:val="none"/>
                <w:lang w:val="en-US" w:eastAsia="zh-CN"/>
              </w:rPr>
              <w:t xml:space="preserve">7  </w:t>
            </w:r>
            <w:r>
              <w:rPr>
                <w:rFonts w:hint="default" w:ascii="Times New Roman" w:hAnsi="Times New Roman" w:cs="Times New Roman"/>
                <w:b/>
                <w:bCs/>
                <w:color w:val="auto"/>
                <w:spacing w:val="5"/>
                <w:sz w:val="21"/>
                <w:szCs w:val="21"/>
                <w:highlight w:val="none"/>
              </w:rPr>
              <w:t>项目噪声排放情况一览表</w:t>
            </w:r>
          </w:p>
          <w:tbl>
            <w:tblPr>
              <w:tblStyle w:val="24"/>
              <w:tblW w:w="48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92"/>
              <w:gridCol w:w="478"/>
              <w:gridCol w:w="277"/>
              <w:gridCol w:w="611"/>
              <w:gridCol w:w="431"/>
              <w:gridCol w:w="474"/>
              <w:gridCol w:w="474"/>
              <w:gridCol w:w="579"/>
              <w:gridCol w:w="711"/>
              <w:gridCol w:w="931"/>
              <w:gridCol w:w="323"/>
              <w:gridCol w:w="801"/>
              <w:gridCol w:w="946"/>
              <w:gridCol w:w="604"/>
            </w:tblGrid>
            <w:tr w14:paraId="65BA9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jc w:val="center"/>
              </w:trPr>
              <w:tc>
                <w:tcPr>
                  <w:tcW w:w="244" w:type="pct"/>
                  <w:vMerge w:val="restart"/>
                  <w:vAlign w:val="center"/>
                </w:tcPr>
                <w:p w14:paraId="2E2A3380">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7"/>
                      <w:sz w:val="21"/>
                      <w:szCs w:val="21"/>
                      <w:highlight w:val="none"/>
                    </w:rPr>
                    <w:t>建筑物名称</w:t>
                  </w:r>
                </w:p>
              </w:tc>
              <w:tc>
                <w:tcPr>
                  <w:tcW w:w="297" w:type="pct"/>
                  <w:vMerge w:val="restart"/>
                  <w:vAlign w:val="center"/>
                </w:tcPr>
                <w:p w14:paraId="19E80154">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7"/>
                      <w:sz w:val="21"/>
                      <w:szCs w:val="21"/>
                      <w:highlight w:val="none"/>
                    </w:rPr>
                    <w:t>声源名称</w:t>
                  </w:r>
                </w:p>
              </w:tc>
              <w:tc>
                <w:tcPr>
                  <w:tcW w:w="172" w:type="pct"/>
                  <w:vMerge w:val="restart"/>
                  <w:vAlign w:val="center"/>
                </w:tcPr>
                <w:p w14:paraId="354ACE31">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7"/>
                      <w:sz w:val="21"/>
                      <w:szCs w:val="21"/>
                      <w:highlight w:val="none"/>
                    </w:rPr>
                    <w:t>型号</w:t>
                  </w:r>
                </w:p>
              </w:tc>
              <w:tc>
                <w:tcPr>
                  <w:tcW w:w="380" w:type="pct"/>
                  <w:vMerge w:val="restart"/>
                  <w:vAlign w:val="center"/>
                </w:tcPr>
                <w:p w14:paraId="78B4A225">
                  <w:pPr>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b w:val="0"/>
                      <w:bCs w:val="0"/>
                      <w:color w:val="auto"/>
                      <w:spacing w:val="4"/>
                      <w:sz w:val="21"/>
                      <w:szCs w:val="21"/>
                      <w:highlight w:val="none"/>
                    </w:rPr>
                    <w:t>声</w:t>
                  </w:r>
                  <w:r>
                    <w:rPr>
                      <w:rFonts w:hint="default" w:ascii="Times New Roman" w:hAnsi="Times New Roman" w:cs="Times New Roman"/>
                      <w:b w:val="0"/>
                      <w:bCs w:val="0"/>
                      <w:color w:val="auto"/>
                      <w:spacing w:val="4"/>
                      <w:sz w:val="21"/>
                      <w:szCs w:val="21"/>
                      <w:highlight w:val="none"/>
                      <w:lang w:val="en-US" w:eastAsia="zh-CN"/>
                    </w:rPr>
                    <w:t>功率</w:t>
                  </w:r>
                  <w:r>
                    <w:rPr>
                      <w:rFonts w:hint="default" w:ascii="Times New Roman" w:hAnsi="Times New Roman" w:eastAsia="Times New Roman" w:cs="Times New Roman"/>
                      <w:b w:val="0"/>
                      <w:bCs w:val="0"/>
                      <w:color w:val="auto"/>
                      <w:spacing w:val="3"/>
                      <w:sz w:val="21"/>
                      <w:szCs w:val="21"/>
                      <w:highlight w:val="none"/>
                    </w:rPr>
                    <w:t>/d</w:t>
                  </w:r>
                  <w:r>
                    <w:rPr>
                      <w:rFonts w:hint="default" w:ascii="Times New Roman" w:hAnsi="Times New Roman" w:eastAsia="Times New Roman" w:cs="Times New Roman"/>
                      <w:b w:val="0"/>
                      <w:bCs w:val="0"/>
                      <w:color w:val="auto"/>
                      <w:spacing w:val="1"/>
                      <w:sz w:val="21"/>
                      <w:szCs w:val="21"/>
                      <w:highlight w:val="none"/>
                    </w:rPr>
                    <w:t>B</w:t>
                  </w:r>
                  <w:r>
                    <w:rPr>
                      <w:rFonts w:hint="default" w:ascii="Times New Roman" w:hAnsi="Times New Roman" w:cs="Times New Roman"/>
                      <w:b w:val="0"/>
                      <w:bCs w:val="0"/>
                      <w:color w:val="auto"/>
                      <w:spacing w:val="-12"/>
                      <w:w w:val="70"/>
                      <w:sz w:val="21"/>
                      <w:szCs w:val="21"/>
                      <w:highlight w:val="none"/>
                    </w:rPr>
                    <w:t>(</w:t>
                  </w:r>
                  <w:r>
                    <w:rPr>
                      <w:rFonts w:hint="default" w:ascii="Times New Roman" w:hAnsi="Times New Roman" w:eastAsia="Times New Roman" w:cs="Times New Roman"/>
                      <w:b w:val="0"/>
                      <w:bCs w:val="0"/>
                      <w:color w:val="auto"/>
                      <w:spacing w:val="4"/>
                      <w:sz w:val="21"/>
                      <w:szCs w:val="21"/>
                      <w:highlight w:val="none"/>
                    </w:rPr>
                    <w:t>A</w:t>
                  </w:r>
                  <w:r>
                    <w:rPr>
                      <w:rFonts w:hint="default" w:ascii="Times New Roman" w:hAnsi="Times New Roman" w:cs="Times New Roman"/>
                      <w:b w:val="0"/>
                      <w:bCs w:val="0"/>
                      <w:color w:val="auto"/>
                      <w:spacing w:val="-3"/>
                      <w:sz w:val="21"/>
                      <w:szCs w:val="21"/>
                      <w:highlight w:val="none"/>
                    </w:rPr>
                    <w:t>)</w:t>
                  </w:r>
                </w:p>
              </w:tc>
              <w:tc>
                <w:tcPr>
                  <w:tcW w:w="268" w:type="pct"/>
                  <w:vMerge w:val="restart"/>
                  <w:vAlign w:val="center"/>
                </w:tcPr>
                <w:p w14:paraId="2EF4A40F">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7"/>
                      <w:sz w:val="21"/>
                      <w:szCs w:val="21"/>
                      <w:highlight w:val="none"/>
                    </w:rPr>
                    <w:t>声源控制措施</w:t>
                  </w:r>
                </w:p>
              </w:tc>
              <w:tc>
                <w:tcPr>
                  <w:tcW w:w="950" w:type="pct"/>
                  <w:gridSpan w:val="3"/>
                  <w:vAlign w:val="center"/>
                </w:tcPr>
                <w:p w14:paraId="5FAA6A15">
                  <w:pPr>
                    <w:pStyle w:val="25"/>
                    <w:pageBreakBefore w:val="0"/>
                    <w:kinsoku/>
                    <w:wordWrap w:val="0"/>
                    <w:overflowPunct/>
                    <w:topLinePunct/>
                    <w:autoSpaceDE/>
                    <w:autoSpaceDN/>
                    <w:bidi w:val="0"/>
                    <w:spacing w:before="65" w:line="240" w:lineRule="auto"/>
                    <w:jc w:val="both"/>
                    <w:rPr>
                      <w:rFonts w:hint="default" w:ascii="Times New Roman" w:hAnsi="Times New Roman" w:cs="Times New Roman"/>
                      <w:b w:val="0"/>
                      <w:bCs w:val="0"/>
                      <w:color w:val="auto"/>
                      <w:spacing w:val="5"/>
                      <w:sz w:val="21"/>
                      <w:szCs w:val="21"/>
                      <w:highlight w:val="none"/>
                    </w:rPr>
                  </w:pPr>
                  <w:r>
                    <w:rPr>
                      <w:rFonts w:hint="default" w:ascii="Times New Roman" w:hAnsi="Times New Roman" w:cs="Times New Roman"/>
                      <w:b w:val="0"/>
                      <w:bCs w:val="0"/>
                      <w:color w:val="auto"/>
                      <w:spacing w:val="5"/>
                      <w:sz w:val="21"/>
                      <w:szCs w:val="21"/>
                      <w:highlight w:val="none"/>
                    </w:rPr>
                    <w:t>空间相对位置/m</w:t>
                  </w:r>
                </w:p>
              </w:tc>
              <w:tc>
                <w:tcPr>
                  <w:tcW w:w="442" w:type="pct"/>
                  <w:vMerge w:val="restart"/>
                  <w:vAlign w:val="center"/>
                </w:tcPr>
                <w:p w14:paraId="327F6E25">
                  <w:pPr>
                    <w:pStyle w:val="25"/>
                    <w:pageBreakBefore w:val="0"/>
                    <w:kinsoku/>
                    <w:wordWrap w:val="0"/>
                    <w:overflowPunct/>
                    <w:topLinePunct/>
                    <w:autoSpaceDE/>
                    <w:autoSpaceDN/>
                    <w:bidi w:val="0"/>
                    <w:spacing w:before="65" w:line="228" w:lineRule="auto"/>
                    <w:ind w:left="117"/>
                    <w:jc w:val="center"/>
                    <w:rPr>
                      <w:rFonts w:hint="default" w:ascii="Times New Roman" w:hAnsi="Times New Roman" w:cs="Times New Roman"/>
                      <w:b w:val="0"/>
                      <w:bCs w:val="0"/>
                      <w:color w:val="auto"/>
                      <w:spacing w:val="5"/>
                      <w:sz w:val="21"/>
                      <w:szCs w:val="21"/>
                      <w:highlight w:val="none"/>
                    </w:rPr>
                  </w:pPr>
                  <w:r>
                    <w:rPr>
                      <w:rFonts w:hint="default" w:ascii="Times New Roman" w:hAnsi="Times New Roman" w:cs="Times New Roman"/>
                      <w:b w:val="0"/>
                      <w:bCs w:val="0"/>
                      <w:color w:val="auto"/>
                      <w:spacing w:val="5"/>
                      <w:sz w:val="21"/>
                      <w:szCs w:val="21"/>
                      <w:highlight w:val="none"/>
                    </w:rPr>
                    <w:t>距室内边界距离/（m）</w:t>
                  </w:r>
                </w:p>
              </w:tc>
              <w:tc>
                <w:tcPr>
                  <w:tcW w:w="579" w:type="pct"/>
                  <w:vMerge w:val="restart"/>
                  <w:vAlign w:val="center"/>
                </w:tcPr>
                <w:p w14:paraId="447E34A3">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b w:val="0"/>
                      <w:bCs w:val="0"/>
                      <w:color w:val="auto"/>
                      <w:spacing w:val="5"/>
                      <w:sz w:val="21"/>
                      <w:szCs w:val="21"/>
                      <w:highlight w:val="none"/>
                    </w:rPr>
                  </w:pPr>
                  <w:r>
                    <w:rPr>
                      <w:rFonts w:hint="default" w:ascii="Times New Roman" w:hAnsi="Times New Roman" w:cs="Times New Roman"/>
                      <w:b w:val="0"/>
                      <w:bCs w:val="0"/>
                      <w:color w:val="auto"/>
                      <w:spacing w:val="5"/>
                      <w:sz w:val="21"/>
                      <w:szCs w:val="21"/>
                      <w:highlight w:val="none"/>
                    </w:rPr>
                    <w:t>室内边界声级/dB（A）</w:t>
                  </w:r>
                </w:p>
              </w:tc>
              <w:tc>
                <w:tcPr>
                  <w:tcW w:w="201" w:type="pct"/>
                  <w:vMerge w:val="restart"/>
                  <w:vAlign w:val="center"/>
                </w:tcPr>
                <w:p w14:paraId="64FF43F0">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7"/>
                      <w:sz w:val="21"/>
                      <w:szCs w:val="21"/>
                      <w:highlight w:val="none"/>
                    </w:rPr>
                    <w:t>运行时段</w:t>
                  </w:r>
                </w:p>
              </w:tc>
              <w:tc>
                <w:tcPr>
                  <w:tcW w:w="498" w:type="pct"/>
                  <w:vMerge w:val="restart"/>
                  <w:vAlign w:val="center"/>
                </w:tcPr>
                <w:p w14:paraId="21961506">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3"/>
                      <w:sz w:val="21"/>
                      <w:szCs w:val="21"/>
                      <w:highlight w:val="none"/>
                    </w:rPr>
                    <w:t>建筑</w:t>
                  </w:r>
                  <w:r>
                    <w:rPr>
                      <w:rFonts w:hint="default" w:ascii="Times New Roman" w:hAnsi="Times New Roman" w:cs="Times New Roman"/>
                      <w:b w:val="0"/>
                      <w:bCs w:val="0"/>
                      <w:color w:val="auto"/>
                      <w:spacing w:val="-2"/>
                      <w:sz w:val="21"/>
                      <w:szCs w:val="21"/>
                      <w:highlight w:val="none"/>
                    </w:rPr>
                    <w:t>物</w:t>
                  </w:r>
                  <w:r>
                    <w:rPr>
                      <w:rFonts w:hint="default" w:ascii="Times New Roman" w:hAnsi="Times New Roman" w:cs="Times New Roman"/>
                      <w:b w:val="0"/>
                      <w:bCs w:val="0"/>
                      <w:color w:val="auto"/>
                      <w:spacing w:val="-1"/>
                      <w:sz w:val="21"/>
                      <w:szCs w:val="21"/>
                      <w:highlight w:val="none"/>
                    </w:rPr>
                    <w:t>插入</w:t>
                  </w:r>
                  <w:r>
                    <w:rPr>
                      <w:rFonts w:hint="default" w:ascii="Times New Roman" w:hAnsi="Times New Roman" w:cs="Times New Roman"/>
                      <w:b w:val="0"/>
                      <w:bCs w:val="0"/>
                      <w:color w:val="auto"/>
                      <w:spacing w:val="-2"/>
                      <w:sz w:val="21"/>
                      <w:szCs w:val="21"/>
                      <w:highlight w:val="none"/>
                    </w:rPr>
                    <w:t>损</w:t>
                  </w:r>
                  <w:r>
                    <w:rPr>
                      <w:rFonts w:hint="default" w:ascii="Times New Roman" w:hAnsi="Times New Roman" w:cs="Times New Roman"/>
                      <w:b w:val="0"/>
                      <w:bCs w:val="0"/>
                      <w:color w:val="auto"/>
                      <w:spacing w:val="-3"/>
                      <w:sz w:val="21"/>
                      <w:szCs w:val="21"/>
                      <w:highlight w:val="none"/>
                    </w:rPr>
                    <w:t>失</w:t>
                  </w:r>
                  <w:r>
                    <w:rPr>
                      <w:rFonts w:hint="default" w:ascii="Times New Roman" w:hAnsi="Times New Roman" w:eastAsia="Times New Roman" w:cs="Times New Roman"/>
                      <w:b w:val="0"/>
                      <w:bCs w:val="0"/>
                      <w:color w:val="auto"/>
                      <w:spacing w:val="11"/>
                      <w:sz w:val="21"/>
                      <w:szCs w:val="21"/>
                      <w:highlight w:val="none"/>
                    </w:rPr>
                    <w:t>/</w:t>
                  </w:r>
                  <w:r>
                    <w:rPr>
                      <w:rFonts w:hint="default" w:ascii="Times New Roman" w:hAnsi="Times New Roman" w:eastAsia="Times New Roman" w:cs="Times New Roman"/>
                      <w:b w:val="0"/>
                      <w:bCs w:val="0"/>
                      <w:color w:val="auto"/>
                      <w:sz w:val="21"/>
                      <w:szCs w:val="21"/>
                      <w:highlight w:val="none"/>
                    </w:rPr>
                    <w:t>dB</w:t>
                  </w:r>
                  <w:r>
                    <w:rPr>
                      <w:rFonts w:hint="default" w:ascii="Times New Roman" w:hAnsi="Times New Roman" w:cs="Times New Roman"/>
                      <w:b w:val="0"/>
                      <w:bCs w:val="0"/>
                      <w:color w:val="auto"/>
                      <w:spacing w:val="-3"/>
                      <w:sz w:val="21"/>
                      <w:szCs w:val="21"/>
                      <w:highlight w:val="none"/>
                    </w:rPr>
                    <w:t>(</w:t>
                  </w:r>
                  <w:r>
                    <w:rPr>
                      <w:rFonts w:hint="default" w:ascii="Times New Roman" w:hAnsi="Times New Roman" w:eastAsia="Times New Roman" w:cs="Times New Roman"/>
                      <w:b w:val="0"/>
                      <w:bCs w:val="0"/>
                      <w:color w:val="auto"/>
                      <w:spacing w:val="1"/>
                      <w:sz w:val="21"/>
                      <w:szCs w:val="21"/>
                      <w:highlight w:val="none"/>
                    </w:rPr>
                    <w:t>A</w:t>
                  </w:r>
                  <w:r>
                    <w:rPr>
                      <w:rFonts w:hint="default" w:ascii="Times New Roman" w:hAnsi="Times New Roman" w:cs="Times New Roman"/>
                      <w:b w:val="0"/>
                      <w:bCs w:val="0"/>
                      <w:color w:val="auto"/>
                      <w:spacing w:val="1"/>
                      <w:sz w:val="21"/>
                      <w:szCs w:val="21"/>
                      <w:highlight w:val="none"/>
                    </w:rPr>
                    <w:t>）</w:t>
                  </w:r>
                </w:p>
              </w:tc>
              <w:tc>
                <w:tcPr>
                  <w:tcW w:w="963" w:type="pct"/>
                  <w:gridSpan w:val="2"/>
                  <w:vAlign w:val="center"/>
                </w:tcPr>
                <w:p w14:paraId="26275117">
                  <w:pPr>
                    <w:pStyle w:val="25"/>
                    <w:pageBreakBefore w:val="0"/>
                    <w:kinsoku/>
                    <w:wordWrap w:val="0"/>
                    <w:overflowPunct/>
                    <w:topLinePunct/>
                    <w:autoSpaceDE/>
                    <w:autoSpaceDN/>
                    <w:bidi w:val="0"/>
                    <w:spacing w:before="23" w:line="240" w:lineRule="auto"/>
                    <w:ind w:right="277"/>
                    <w:jc w:val="both"/>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6"/>
                      <w:sz w:val="21"/>
                      <w:szCs w:val="21"/>
                      <w:highlight w:val="none"/>
                    </w:rPr>
                    <w:t>建筑物外噪</w:t>
                  </w:r>
                  <w:r>
                    <w:rPr>
                      <w:rFonts w:hint="default" w:ascii="Times New Roman" w:hAnsi="Times New Roman" w:cs="Times New Roman"/>
                      <w:b w:val="0"/>
                      <w:bCs w:val="0"/>
                      <w:color w:val="auto"/>
                      <w:spacing w:val="-3"/>
                      <w:sz w:val="21"/>
                      <w:szCs w:val="21"/>
                      <w:highlight w:val="none"/>
                    </w:rPr>
                    <w:t>声</w:t>
                  </w:r>
                </w:p>
              </w:tc>
            </w:tr>
            <w:tr w14:paraId="1EB7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7" w:hRule="atLeast"/>
                <w:jc w:val="center"/>
              </w:trPr>
              <w:tc>
                <w:tcPr>
                  <w:tcW w:w="244" w:type="pct"/>
                  <w:vMerge w:val="continue"/>
                  <w:vAlign w:val="center"/>
                </w:tcPr>
                <w:p w14:paraId="040FE810">
                  <w:pPr>
                    <w:pageBreakBefore w:val="0"/>
                    <w:kinsoku/>
                    <w:wordWrap w:val="0"/>
                    <w:overflowPunct/>
                    <w:topLinePunct/>
                    <w:autoSpaceDE/>
                    <w:autoSpaceDN/>
                    <w:bidi w:val="0"/>
                    <w:spacing w:line="240" w:lineRule="auto"/>
                    <w:ind w:left="0"/>
                    <w:jc w:val="center"/>
                    <w:rPr>
                      <w:rFonts w:hint="default" w:ascii="Times New Roman" w:hAnsi="Times New Roman" w:cs="Times New Roman"/>
                      <w:b w:val="0"/>
                      <w:bCs w:val="0"/>
                      <w:color w:val="auto"/>
                      <w:sz w:val="21"/>
                      <w:szCs w:val="21"/>
                      <w:highlight w:val="none"/>
                    </w:rPr>
                  </w:pPr>
                </w:p>
              </w:tc>
              <w:tc>
                <w:tcPr>
                  <w:tcW w:w="297" w:type="pct"/>
                  <w:vMerge w:val="continue"/>
                  <w:vAlign w:val="center"/>
                </w:tcPr>
                <w:p w14:paraId="085B93E7">
                  <w:pPr>
                    <w:pageBreakBefore w:val="0"/>
                    <w:kinsoku/>
                    <w:wordWrap w:val="0"/>
                    <w:overflowPunct/>
                    <w:topLinePunct/>
                    <w:autoSpaceDE/>
                    <w:autoSpaceDN/>
                    <w:bidi w:val="0"/>
                    <w:spacing w:line="240" w:lineRule="auto"/>
                    <w:ind w:left="0" w:right="0" w:firstLine="0"/>
                    <w:jc w:val="center"/>
                    <w:rPr>
                      <w:rFonts w:hint="default" w:ascii="Times New Roman" w:hAnsi="Times New Roman" w:cs="Times New Roman"/>
                      <w:b w:val="0"/>
                      <w:bCs w:val="0"/>
                      <w:color w:val="auto"/>
                      <w:sz w:val="21"/>
                      <w:szCs w:val="21"/>
                      <w:highlight w:val="none"/>
                    </w:rPr>
                  </w:pPr>
                </w:p>
              </w:tc>
              <w:tc>
                <w:tcPr>
                  <w:tcW w:w="172" w:type="pct"/>
                  <w:vMerge w:val="continue"/>
                  <w:textDirection w:val="tbRlV"/>
                  <w:vAlign w:val="center"/>
                </w:tcPr>
                <w:p w14:paraId="3B05E22A">
                  <w:pPr>
                    <w:pageBreakBefore w:val="0"/>
                    <w:kinsoku/>
                    <w:wordWrap w:val="0"/>
                    <w:overflowPunct/>
                    <w:topLinePunct/>
                    <w:autoSpaceDE/>
                    <w:autoSpaceDN/>
                    <w:bidi w:val="0"/>
                    <w:spacing w:line="240" w:lineRule="auto"/>
                    <w:ind w:left="0" w:right="0" w:firstLine="0"/>
                    <w:jc w:val="center"/>
                    <w:rPr>
                      <w:rFonts w:hint="default" w:ascii="Times New Roman" w:hAnsi="Times New Roman" w:cs="Times New Roman"/>
                      <w:b w:val="0"/>
                      <w:bCs w:val="0"/>
                      <w:color w:val="auto"/>
                      <w:sz w:val="21"/>
                      <w:szCs w:val="21"/>
                      <w:highlight w:val="none"/>
                    </w:rPr>
                  </w:pPr>
                </w:p>
              </w:tc>
              <w:tc>
                <w:tcPr>
                  <w:tcW w:w="380" w:type="pct"/>
                  <w:vMerge w:val="continue"/>
                  <w:vAlign w:val="center"/>
                </w:tcPr>
                <w:p w14:paraId="065C7E4C">
                  <w:pPr>
                    <w:pStyle w:val="25"/>
                    <w:pageBreakBefore w:val="0"/>
                    <w:tabs>
                      <w:tab w:val="center" w:pos="771"/>
                    </w:tabs>
                    <w:kinsoku/>
                    <w:wordWrap w:val="0"/>
                    <w:overflowPunct/>
                    <w:topLinePunct/>
                    <w:autoSpaceDE/>
                    <w:autoSpaceDN/>
                    <w:bidi w:val="0"/>
                    <w:spacing w:line="240" w:lineRule="auto"/>
                    <w:ind w:left="0" w:right="0" w:firstLine="0"/>
                    <w:jc w:val="center"/>
                    <w:rPr>
                      <w:rFonts w:hint="default" w:ascii="Times New Roman" w:hAnsi="Times New Roman" w:eastAsia="宋体" w:cs="Times New Roman"/>
                      <w:b w:val="0"/>
                      <w:bCs w:val="0"/>
                      <w:color w:val="auto"/>
                      <w:sz w:val="21"/>
                      <w:szCs w:val="21"/>
                      <w:highlight w:val="none"/>
                      <w:lang w:eastAsia="zh-CN"/>
                    </w:rPr>
                  </w:pPr>
                </w:p>
              </w:tc>
              <w:tc>
                <w:tcPr>
                  <w:tcW w:w="268" w:type="pct"/>
                  <w:vMerge w:val="continue"/>
                  <w:textDirection w:val="tbRlV"/>
                  <w:vAlign w:val="center"/>
                </w:tcPr>
                <w:p w14:paraId="6CA34FD9">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cs="Times New Roman"/>
                      <w:b w:val="0"/>
                      <w:bCs w:val="0"/>
                      <w:color w:val="auto"/>
                      <w:sz w:val="21"/>
                      <w:szCs w:val="21"/>
                      <w:highlight w:val="none"/>
                    </w:rPr>
                  </w:pPr>
                </w:p>
              </w:tc>
              <w:tc>
                <w:tcPr>
                  <w:tcW w:w="295" w:type="pct"/>
                  <w:vAlign w:val="center"/>
                </w:tcPr>
                <w:p w14:paraId="3F2D2894">
                  <w:pPr>
                    <w:pageBreakBefore w:val="0"/>
                    <w:kinsoku/>
                    <w:wordWrap w:val="0"/>
                    <w:overflowPunct/>
                    <w:topLinePunct/>
                    <w:autoSpaceDE/>
                    <w:autoSpaceDN/>
                    <w:bidi w:val="0"/>
                    <w:spacing w:line="240" w:lineRule="auto"/>
                    <w:ind w:left="0" w:right="0" w:firstLine="0"/>
                    <w:jc w:val="center"/>
                    <w:rPr>
                      <w:rFonts w:hint="default" w:ascii="Times New Roman" w:hAnsi="Times New Roman" w:eastAsia="Times New Roman" w:cs="Times New Roman"/>
                      <w:b w:val="0"/>
                      <w:bCs w:val="0"/>
                      <w:color w:val="auto"/>
                      <w:sz w:val="21"/>
                      <w:szCs w:val="21"/>
                      <w:highlight w:val="none"/>
                    </w:rPr>
                  </w:pPr>
                  <w:r>
                    <w:rPr>
                      <w:rFonts w:hint="default" w:ascii="Times New Roman" w:hAnsi="Times New Roman" w:eastAsia="Times New Roman" w:cs="Times New Roman"/>
                      <w:b w:val="0"/>
                      <w:bCs w:val="0"/>
                      <w:color w:val="auto"/>
                      <w:spacing w:val="5"/>
                      <w:sz w:val="21"/>
                      <w:szCs w:val="21"/>
                      <w:highlight w:val="none"/>
                    </w:rPr>
                    <w:t>X</w:t>
                  </w:r>
                </w:p>
              </w:tc>
              <w:tc>
                <w:tcPr>
                  <w:tcW w:w="295" w:type="pct"/>
                  <w:vAlign w:val="center"/>
                </w:tcPr>
                <w:p w14:paraId="00C00EA5">
                  <w:pPr>
                    <w:pageBreakBefore w:val="0"/>
                    <w:kinsoku/>
                    <w:wordWrap w:val="0"/>
                    <w:overflowPunct/>
                    <w:topLinePunct/>
                    <w:autoSpaceDE/>
                    <w:autoSpaceDN/>
                    <w:bidi w:val="0"/>
                    <w:spacing w:line="240" w:lineRule="auto"/>
                    <w:ind w:left="0" w:right="0" w:firstLine="0"/>
                    <w:jc w:val="center"/>
                    <w:rPr>
                      <w:rFonts w:hint="default" w:ascii="Times New Roman" w:hAnsi="Times New Roman" w:eastAsia="Times New Roman" w:cs="Times New Roman"/>
                      <w:b w:val="0"/>
                      <w:bCs w:val="0"/>
                      <w:color w:val="auto"/>
                      <w:sz w:val="21"/>
                      <w:szCs w:val="21"/>
                      <w:highlight w:val="none"/>
                    </w:rPr>
                  </w:pPr>
                  <w:r>
                    <w:rPr>
                      <w:rFonts w:hint="default" w:ascii="Times New Roman" w:hAnsi="Times New Roman" w:eastAsia="Times New Roman" w:cs="Times New Roman"/>
                      <w:b w:val="0"/>
                      <w:bCs w:val="0"/>
                      <w:color w:val="auto"/>
                      <w:spacing w:val="4"/>
                      <w:sz w:val="21"/>
                      <w:szCs w:val="21"/>
                      <w:highlight w:val="none"/>
                    </w:rPr>
                    <w:t>Y</w:t>
                  </w:r>
                </w:p>
              </w:tc>
              <w:tc>
                <w:tcPr>
                  <w:tcW w:w="359" w:type="pct"/>
                  <w:vAlign w:val="center"/>
                </w:tcPr>
                <w:p w14:paraId="169D61DF">
                  <w:pPr>
                    <w:pageBreakBefore w:val="0"/>
                    <w:kinsoku/>
                    <w:wordWrap w:val="0"/>
                    <w:overflowPunct/>
                    <w:topLinePunct/>
                    <w:autoSpaceDE/>
                    <w:autoSpaceDN/>
                    <w:bidi w:val="0"/>
                    <w:spacing w:line="240" w:lineRule="auto"/>
                    <w:ind w:left="0" w:right="0" w:firstLine="0"/>
                    <w:jc w:val="center"/>
                    <w:rPr>
                      <w:rFonts w:hint="default" w:ascii="Times New Roman" w:hAnsi="Times New Roman" w:eastAsia="Times New Roman" w:cs="Times New Roman"/>
                      <w:b w:val="0"/>
                      <w:bCs w:val="0"/>
                      <w:color w:val="auto"/>
                      <w:sz w:val="21"/>
                      <w:szCs w:val="21"/>
                      <w:highlight w:val="none"/>
                    </w:rPr>
                  </w:pPr>
                  <w:r>
                    <w:rPr>
                      <w:rFonts w:hint="default" w:ascii="Times New Roman" w:hAnsi="Times New Roman" w:eastAsia="Times New Roman" w:cs="Times New Roman"/>
                      <w:b w:val="0"/>
                      <w:bCs w:val="0"/>
                      <w:color w:val="auto"/>
                      <w:spacing w:val="2"/>
                      <w:sz w:val="21"/>
                      <w:szCs w:val="21"/>
                      <w:highlight w:val="none"/>
                    </w:rPr>
                    <w:t>Z</w:t>
                  </w:r>
                </w:p>
              </w:tc>
              <w:tc>
                <w:tcPr>
                  <w:tcW w:w="442" w:type="pct"/>
                  <w:vMerge w:val="continue"/>
                  <w:vAlign w:val="center"/>
                </w:tcPr>
                <w:p w14:paraId="4C720F96">
                  <w:pPr>
                    <w:pageBreakBefore w:val="0"/>
                    <w:kinsoku/>
                    <w:wordWrap w:val="0"/>
                    <w:overflowPunct/>
                    <w:topLinePunct/>
                    <w:autoSpaceDE/>
                    <w:autoSpaceDN/>
                    <w:bidi w:val="0"/>
                    <w:jc w:val="center"/>
                    <w:rPr>
                      <w:rFonts w:hint="default" w:ascii="Times New Roman" w:hAnsi="Times New Roman" w:cs="Times New Roman"/>
                      <w:b w:val="0"/>
                      <w:bCs w:val="0"/>
                      <w:color w:val="auto"/>
                      <w:sz w:val="21"/>
                      <w:szCs w:val="21"/>
                      <w:highlight w:val="none"/>
                    </w:rPr>
                  </w:pPr>
                </w:p>
              </w:tc>
              <w:tc>
                <w:tcPr>
                  <w:tcW w:w="579" w:type="pct"/>
                  <w:vMerge w:val="continue"/>
                  <w:vAlign w:val="center"/>
                </w:tcPr>
                <w:p w14:paraId="7F6E1F5C">
                  <w:pPr>
                    <w:pageBreakBefore w:val="0"/>
                    <w:kinsoku/>
                    <w:wordWrap w:val="0"/>
                    <w:overflowPunct/>
                    <w:topLinePunct/>
                    <w:autoSpaceDE/>
                    <w:autoSpaceDN/>
                    <w:bidi w:val="0"/>
                    <w:jc w:val="center"/>
                    <w:rPr>
                      <w:rFonts w:hint="default" w:ascii="Times New Roman" w:hAnsi="Times New Roman" w:cs="Times New Roman"/>
                      <w:b w:val="0"/>
                      <w:bCs w:val="0"/>
                      <w:color w:val="auto"/>
                      <w:sz w:val="21"/>
                      <w:szCs w:val="21"/>
                      <w:highlight w:val="none"/>
                    </w:rPr>
                  </w:pPr>
                </w:p>
              </w:tc>
              <w:tc>
                <w:tcPr>
                  <w:tcW w:w="201" w:type="pct"/>
                  <w:vMerge w:val="continue"/>
                  <w:textDirection w:val="tbRlV"/>
                  <w:vAlign w:val="center"/>
                </w:tcPr>
                <w:p w14:paraId="7B6301AF">
                  <w:pPr>
                    <w:pageBreakBefore w:val="0"/>
                    <w:kinsoku/>
                    <w:wordWrap w:val="0"/>
                    <w:overflowPunct/>
                    <w:topLinePunct/>
                    <w:autoSpaceDE/>
                    <w:autoSpaceDN/>
                    <w:bidi w:val="0"/>
                    <w:jc w:val="center"/>
                    <w:rPr>
                      <w:rFonts w:hint="default" w:ascii="Times New Roman" w:hAnsi="Times New Roman" w:cs="Times New Roman"/>
                      <w:b w:val="0"/>
                      <w:bCs w:val="0"/>
                      <w:color w:val="auto"/>
                      <w:sz w:val="21"/>
                      <w:szCs w:val="21"/>
                      <w:highlight w:val="none"/>
                    </w:rPr>
                  </w:pPr>
                </w:p>
              </w:tc>
              <w:tc>
                <w:tcPr>
                  <w:tcW w:w="498" w:type="pct"/>
                  <w:vMerge w:val="continue"/>
                  <w:vAlign w:val="center"/>
                </w:tcPr>
                <w:p w14:paraId="555343A2">
                  <w:pPr>
                    <w:pageBreakBefore w:val="0"/>
                    <w:kinsoku/>
                    <w:wordWrap w:val="0"/>
                    <w:overflowPunct/>
                    <w:topLinePunct/>
                    <w:autoSpaceDE/>
                    <w:autoSpaceDN/>
                    <w:bidi w:val="0"/>
                    <w:jc w:val="center"/>
                    <w:rPr>
                      <w:rFonts w:hint="default" w:ascii="Times New Roman" w:hAnsi="Times New Roman" w:cs="Times New Roman"/>
                      <w:b w:val="0"/>
                      <w:bCs w:val="0"/>
                      <w:color w:val="auto"/>
                      <w:sz w:val="21"/>
                      <w:szCs w:val="21"/>
                      <w:highlight w:val="none"/>
                    </w:rPr>
                  </w:pPr>
                </w:p>
              </w:tc>
              <w:tc>
                <w:tcPr>
                  <w:tcW w:w="588" w:type="pct"/>
                  <w:vAlign w:val="center"/>
                </w:tcPr>
                <w:p w14:paraId="2B8FF5FE">
                  <w:pPr>
                    <w:pStyle w:val="25"/>
                    <w:pageBreakBefore w:val="0"/>
                    <w:kinsoku/>
                    <w:wordWrap w:val="0"/>
                    <w:overflowPunct/>
                    <w:topLinePunct/>
                    <w:autoSpaceDE/>
                    <w:autoSpaceDN/>
                    <w:bidi w:val="0"/>
                    <w:spacing w:before="65" w:line="240" w:lineRule="auto"/>
                    <w:ind w:left="102" w:right="80" w:firstLine="122"/>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7"/>
                      <w:sz w:val="21"/>
                      <w:szCs w:val="21"/>
                      <w:highlight w:val="none"/>
                    </w:rPr>
                    <w:t>声压级/dB（A）</w:t>
                  </w:r>
                </w:p>
              </w:tc>
              <w:tc>
                <w:tcPr>
                  <w:tcW w:w="374" w:type="pct"/>
                  <w:vAlign w:val="center"/>
                </w:tcPr>
                <w:p w14:paraId="0ED88970">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7"/>
                      <w:sz w:val="21"/>
                      <w:szCs w:val="21"/>
                      <w:highlight w:val="none"/>
                    </w:rPr>
                    <w:t>建筑物外距离</w:t>
                  </w:r>
                </w:p>
              </w:tc>
            </w:tr>
            <w:tr w14:paraId="47B06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jc w:val="center"/>
              </w:trPr>
              <w:tc>
                <w:tcPr>
                  <w:tcW w:w="244" w:type="pct"/>
                  <w:vMerge w:val="restart"/>
                  <w:vAlign w:val="center"/>
                </w:tcPr>
                <w:p w14:paraId="369E18AB">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9"/>
                      <w:sz w:val="21"/>
                      <w:szCs w:val="21"/>
                      <w:highlight w:val="none"/>
                    </w:rPr>
                    <w:t>生产车间</w:t>
                  </w:r>
                </w:p>
              </w:tc>
              <w:tc>
                <w:tcPr>
                  <w:tcW w:w="297" w:type="pct"/>
                  <w:vMerge w:val="restart"/>
                  <w:vAlign w:val="center"/>
                </w:tcPr>
                <w:p w14:paraId="11FF8D1C">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运输机</w:t>
                  </w:r>
                </w:p>
              </w:tc>
              <w:tc>
                <w:tcPr>
                  <w:tcW w:w="172" w:type="pct"/>
                  <w:vMerge w:val="restart"/>
                  <w:vAlign w:val="center"/>
                </w:tcPr>
                <w:p w14:paraId="3FF3299E">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position w:val="1"/>
                      <w:sz w:val="21"/>
                      <w:szCs w:val="21"/>
                      <w:highlight w:val="none"/>
                    </w:rPr>
                    <w:t>/</w:t>
                  </w:r>
                </w:p>
              </w:tc>
              <w:tc>
                <w:tcPr>
                  <w:tcW w:w="380" w:type="pct"/>
                  <w:vMerge w:val="restart"/>
                  <w:vAlign w:val="center"/>
                </w:tcPr>
                <w:p w14:paraId="62CD83BF">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1"/>
                      <w:sz w:val="21"/>
                      <w:szCs w:val="21"/>
                      <w:highlight w:val="none"/>
                    </w:rPr>
                    <w:t>75</w:t>
                  </w:r>
                </w:p>
              </w:tc>
              <w:tc>
                <w:tcPr>
                  <w:tcW w:w="268" w:type="pct"/>
                  <w:vMerge w:val="restart"/>
                  <w:vAlign w:val="center"/>
                </w:tcPr>
                <w:p w14:paraId="279EED2A">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室内安装、基础减振</w:t>
                  </w:r>
                </w:p>
              </w:tc>
              <w:tc>
                <w:tcPr>
                  <w:tcW w:w="295" w:type="pct"/>
                  <w:vMerge w:val="restart"/>
                  <w:vAlign w:val="center"/>
                </w:tcPr>
                <w:p w14:paraId="206305B6">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position w:val="2"/>
                      <w:sz w:val="21"/>
                      <w:szCs w:val="21"/>
                      <w:highlight w:val="none"/>
                    </w:rPr>
                    <w:t>26</w:t>
                  </w:r>
                </w:p>
              </w:tc>
              <w:tc>
                <w:tcPr>
                  <w:tcW w:w="295" w:type="pct"/>
                  <w:vMerge w:val="restart"/>
                  <w:vAlign w:val="center"/>
                </w:tcPr>
                <w:p w14:paraId="7084B7A8">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position w:val="2"/>
                      <w:sz w:val="21"/>
                      <w:szCs w:val="21"/>
                      <w:highlight w:val="none"/>
                    </w:rPr>
                    <w:t>60</w:t>
                  </w:r>
                </w:p>
              </w:tc>
              <w:tc>
                <w:tcPr>
                  <w:tcW w:w="359" w:type="pct"/>
                  <w:vMerge w:val="restart"/>
                  <w:vAlign w:val="center"/>
                </w:tcPr>
                <w:p w14:paraId="2D0BF72D">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4"/>
                      <w:position w:val="2"/>
                      <w:sz w:val="21"/>
                      <w:szCs w:val="21"/>
                      <w:highlight w:val="none"/>
                    </w:rPr>
                    <w:t>1.2</w:t>
                  </w:r>
                </w:p>
              </w:tc>
              <w:tc>
                <w:tcPr>
                  <w:tcW w:w="442" w:type="pct"/>
                  <w:vAlign w:val="center"/>
                </w:tcPr>
                <w:p w14:paraId="505CDBC4">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13"/>
                      <w:position w:val="1"/>
                      <w:sz w:val="21"/>
                      <w:szCs w:val="21"/>
                      <w:highlight w:val="none"/>
                    </w:rPr>
                    <w:t>东：</w:t>
                  </w:r>
                  <w:r>
                    <w:rPr>
                      <w:rFonts w:hint="default" w:ascii="Times New Roman" w:hAnsi="Times New Roman" w:eastAsia="Times New Roman" w:cs="Times New Roman"/>
                      <w:color w:val="auto"/>
                      <w:spacing w:val="-13"/>
                      <w:position w:val="1"/>
                      <w:sz w:val="21"/>
                      <w:szCs w:val="21"/>
                      <w:highlight w:val="none"/>
                    </w:rPr>
                    <w:t>130</w:t>
                  </w:r>
                </w:p>
              </w:tc>
              <w:tc>
                <w:tcPr>
                  <w:tcW w:w="579" w:type="pct"/>
                  <w:vAlign w:val="center"/>
                </w:tcPr>
                <w:p w14:paraId="6E7B64A7">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东：</w:t>
                  </w:r>
                  <w:r>
                    <w:rPr>
                      <w:rFonts w:hint="default" w:ascii="Times New Roman" w:hAnsi="Times New Roman" w:eastAsia="Times New Roman" w:cs="Times New Roman"/>
                      <w:color w:val="auto"/>
                      <w:spacing w:val="-4"/>
                      <w:position w:val="1"/>
                      <w:sz w:val="21"/>
                      <w:szCs w:val="21"/>
                      <w:highlight w:val="none"/>
                    </w:rPr>
                    <w:t>32.7</w:t>
                  </w:r>
                </w:p>
              </w:tc>
              <w:tc>
                <w:tcPr>
                  <w:tcW w:w="201" w:type="pct"/>
                  <w:vMerge w:val="restart"/>
                  <w:vAlign w:val="center"/>
                </w:tcPr>
                <w:p w14:paraId="42D2411C">
                  <w:pPr>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498" w:type="pct"/>
                  <w:vMerge w:val="restart"/>
                  <w:vAlign w:val="center"/>
                </w:tcPr>
                <w:p w14:paraId="552203EB">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8"/>
                      <w:position w:val="2"/>
                      <w:sz w:val="21"/>
                      <w:szCs w:val="21"/>
                      <w:highlight w:val="none"/>
                    </w:rPr>
                    <w:t>15</w:t>
                  </w:r>
                </w:p>
              </w:tc>
              <w:tc>
                <w:tcPr>
                  <w:tcW w:w="588" w:type="pct"/>
                  <w:vAlign w:val="center"/>
                </w:tcPr>
                <w:p w14:paraId="480AAC8F">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3"/>
                      <w:position w:val="1"/>
                      <w:sz w:val="21"/>
                      <w:szCs w:val="21"/>
                      <w:highlight w:val="none"/>
                    </w:rPr>
                    <w:t>东：</w:t>
                  </w:r>
                  <w:r>
                    <w:rPr>
                      <w:rFonts w:hint="default" w:ascii="Times New Roman" w:hAnsi="Times New Roman" w:eastAsia="Times New Roman" w:cs="Times New Roman"/>
                      <w:color w:val="auto"/>
                      <w:spacing w:val="3"/>
                      <w:position w:val="1"/>
                      <w:sz w:val="21"/>
                      <w:szCs w:val="21"/>
                      <w:highlight w:val="none"/>
                    </w:rPr>
                    <w:t>17.7</w:t>
                  </w:r>
                </w:p>
              </w:tc>
              <w:tc>
                <w:tcPr>
                  <w:tcW w:w="374" w:type="pct"/>
                  <w:vMerge w:val="restart"/>
                  <w:vAlign w:val="center"/>
                </w:tcPr>
                <w:p w14:paraId="314E6C51">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position w:val="1"/>
                      <w:sz w:val="21"/>
                      <w:szCs w:val="21"/>
                      <w:highlight w:val="none"/>
                    </w:rPr>
                    <w:t>1</w:t>
                  </w:r>
                </w:p>
              </w:tc>
            </w:tr>
            <w:tr w14:paraId="205B7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8" w:hRule="atLeast"/>
                <w:jc w:val="center"/>
              </w:trPr>
              <w:tc>
                <w:tcPr>
                  <w:tcW w:w="244" w:type="pct"/>
                  <w:vMerge w:val="continue"/>
                  <w:vAlign w:val="center"/>
                </w:tcPr>
                <w:p w14:paraId="2FD2D6A3">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c>
                <w:tcPr>
                  <w:tcW w:w="297" w:type="pct"/>
                  <w:vMerge w:val="continue"/>
                  <w:vAlign w:val="center"/>
                </w:tcPr>
                <w:p w14:paraId="7D61EDE5">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172" w:type="pct"/>
                  <w:vMerge w:val="continue"/>
                  <w:vAlign w:val="center"/>
                </w:tcPr>
                <w:p w14:paraId="08D83853">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80" w:type="pct"/>
                  <w:vMerge w:val="continue"/>
                  <w:vAlign w:val="center"/>
                </w:tcPr>
                <w:p w14:paraId="1A061F5A">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68" w:type="pct"/>
                  <w:vMerge w:val="continue"/>
                  <w:textDirection w:val="tbRlV"/>
                  <w:vAlign w:val="center"/>
                </w:tcPr>
                <w:p w14:paraId="38A8EA94">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23805324">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6D32BAE1">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59" w:type="pct"/>
                  <w:vMerge w:val="continue"/>
                  <w:vAlign w:val="center"/>
                </w:tcPr>
                <w:p w14:paraId="32C540A0">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42" w:type="pct"/>
                  <w:vAlign w:val="center"/>
                </w:tcPr>
                <w:p w14:paraId="4B0C8B3F">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南：</w:t>
                  </w:r>
                  <w:r>
                    <w:rPr>
                      <w:rFonts w:hint="default" w:ascii="Times New Roman" w:hAnsi="Times New Roman" w:eastAsia="Times New Roman" w:cs="Times New Roman"/>
                      <w:color w:val="auto"/>
                      <w:spacing w:val="4"/>
                      <w:position w:val="1"/>
                      <w:sz w:val="21"/>
                      <w:szCs w:val="21"/>
                      <w:highlight w:val="none"/>
                    </w:rPr>
                    <w:t>60</w:t>
                  </w:r>
                </w:p>
              </w:tc>
              <w:tc>
                <w:tcPr>
                  <w:tcW w:w="579" w:type="pct"/>
                  <w:vAlign w:val="center"/>
                </w:tcPr>
                <w:p w14:paraId="6229F9AA">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3"/>
                      <w:position w:val="1"/>
                      <w:sz w:val="21"/>
                      <w:szCs w:val="21"/>
                      <w:highlight w:val="none"/>
                    </w:rPr>
                    <w:t>南：</w:t>
                  </w:r>
                  <w:r>
                    <w:rPr>
                      <w:rFonts w:hint="default" w:ascii="Times New Roman" w:hAnsi="Times New Roman" w:eastAsia="Times New Roman" w:cs="Times New Roman"/>
                      <w:color w:val="auto"/>
                      <w:spacing w:val="-3"/>
                      <w:position w:val="1"/>
                      <w:sz w:val="21"/>
                      <w:szCs w:val="21"/>
                      <w:highlight w:val="none"/>
                    </w:rPr>
                    <w:t>39.4</w:t>
                  </w:r>
                </w:p>
              </w:tc>
              <w:tc>
                <w:tcPr>
                  <w:tcW w:w="201" w:type="pct"/>
                  <w:vMerge w:val="continue"/>
                  <w:vAlign w:val="center"/>
                </w:tcPr>
                <w:p w14:paraId="314072FC">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98" w:type="pct"/>
                  <w:vMerge w:val="continue"/>
                  <w:vAlign w:val="center"/>
                </w:tcPr>
                <w:p w14:paraId="443591C6">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588" w:type="pct"/>
                  <w:vAlign w:val="center"/>
                </w:tcPr>
                <w:p w14:paraId="756B9756">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南：</w:t>
                  </w:r>
                  <w:r>
                    <w:rPr>
                      <w:rFonts w:hint="default" w:ascii="Times New Roman" w:hAnsi="Times New Roman" w:eastAsia="Times New Roman" w:cs="Times New Roman"/>
                      <w:color w:val="auto"/>
                      <w:spacing w:val="4"/>
                      <w:position w:val="1"/>
                      <w:sz w:val="21"/>
                      <w:szCs w:val="21"/>
                      <w:highlight w:val="none"/>
                    </w:rPr>
                    <w:t>24.4</w:t>
                  </w:r>
                </w:p>
              </w:tc>
              <w:tc>
                <w:tcPr>
                  <w:tcW w:w="374" w:type="pct"/>
                  <w:vMerge w:val="continue"/>
                  <w:vAlign w:val="center"/>
                </w:tcPr>
                <w:p w14:paraId="17333D31">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r>
            <w:tr w14:paraId="3D77A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jc w:val="center"/>
              </w:trPr>
              <w:tc>
                <w:tcPr>
                  <w:tcW w:w="244" w:type="pct"/>
                  <w:vMerge w:val="continue"/>
                  <w:vAlign w:val="center"/>
                </w:tcPr>
                <w:p w14:paraId="65706538">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c>
                <w:tcPr>
                  <w:tcW w:w="297" w:type="pct"/>
                  <w:vMerge w:val="continue"/>
                  <w:vAlign w:val="center"/>
                </w:tcPr>
                <w:p w14:paraId="344F1E78">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172" w:type="pct"/>
                  <w:vMerge w:val="continue"/>
                  <w:vAlign w:val="center"/>
                </w:tcPr>
                <w:p w14:paraId="0FDBDED0">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80" w:type="pct"/>
                  <w:vMerge w:val="continue"/>
                  <w:vAlign w:val="center"/>
                </w:tcPr>
                <w:p w14:paraId="04D4A1AE">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68" w:type="pct"/>
                  <w:vMerge w:val="continue"/>
                  <w:textDirection w:val="tbRlV"/>
                  <w:vAlign w:val="center"/>
                </w:tcPr>
                <w:p w14:paraId="3C5DAF97">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703C7F7B">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60A48B0F">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59" w:type="pct"/>
                  <w:vMerge w:val="continue"/>
                  <w:vAlign w:val="center"/>
                </w:tcPr>
                <w:p w14:paraId="2D526F18">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42" w:type="pct"/>
                  <w:vAlign w:val="center"/>
                </w:tcPr>
                <w:p w14:paraId="6E7F0CB4">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西：</w:t>
                  </w:r>
                  <w:r>
                    <w:rPr>
                      <w:rFonts w:hint="default" w:ascii="Times New Roman" w:hAnsi="Times New Roman" w:eastAsia="Times New Roman" w:cs="Times New Roman"/>
                      <w:color w:val="auto"/>
                      <w:spacing w:val="4"/>
                      <w:position w:val="1"/>
                      <w:sz w:val="21"/>
                      <w:szCs w:val="21"/>
                      <w:highlight w:val="none"/>
                    </w:rPr>
                    <w:t>26</w:t>
                  </w:r>
                </w:p>
              </w:tc>
              <w:tc>
                <w:tcPr>
                  <w:tcW w:w="579" w:type="pct"/>
                  <w:vAlign w:val="center"/>
                </w:tcPr>
                <w:p w14:paraId="13FB4AA7">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西：</w:t>
                  </w:r>
                  <w:r>
                    <w:rPr>
                      <w:rFonts w:hint="default" w:ascii="Times New Roman" w:hAnsi="Times New Roman" w:eastAsia="Times New Roman" w:cs="Times New Roman"/>
                      <w:color w:val="auto"/>
                      <w:spacing w:val="-4"/>
                      <w:position w:val="1"/>
                      <w:sz w:val="21"/>
                      <w:szCs w:val="21"/>
                      <w:highlight w:val="none"/>
                    </w:rPr>
                    <w:t>46.7</w:t>
                  </w:r>
                </w:p>
              </w:tc>
              <w:tc>
                <w:tcPr>
                  <w:tcW w:w="201" w:type="pct"/>
                  <w:vMerge w:val="continue"/>
                  <w:vAlign w:val="center"/>
                </w:tcPr>
                <w:p w14:paraId="0EBE6D5F">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98" w:type="pct"/>
                  <w:vMerge w:val="continue"/>
                  <w:vAlign w:val="center"/>
                </w:tcPr>
                <w:p w14:paraId="3F9437B0">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588" w:type="pct"/>
                  <w:vAlign w:val="center"/>
                </w:tcPr>
                <w:p w14:paraId="128F9C15">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西：</w:t>
                  </w:r>
                  <w:r>
                    <w:rPr>
                      <w:rFonts w:hint="default" w:ascii="Times New Roman" w:hAnsi="Times New Roman" w:eastAsia="Times New Roman" w:cs="Times New Roman"/>
                      <w:color w:val="auto"/>
                      <w:spacing w:val="4"/>
                      <w:position w:val="1"/>
                      <w:sz w:val="21"/>
                      <w:szCs w:val="21"/>
                      <w:highlight w:val="none"/>
                    </w:rPr>
                    <w:t>31.7</w:t>
                  </w:r>
                </w:p>
              </w:tc>
              <w:tc>
                <w:tcPr>
                  <w:tcW w:w="374" w:type="pct"/>
                  <w:vMerge w:val="continue"/>
                  <w:vAlign w:val="center"/>
                </w:tcPr>
                <w:p w14:paraId="07E2725E">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r>
            <w:tr w14:paraId="3FE8D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8" w:hRule="atLeast"/>
                <w:jc w:val="center"/>
              </w:trPr>
              <w:tc>
                <w:tcPr>
                  <w:tcW w:w="244" w:type="pct"/>
                  <w:vMerge w:val="continue"/>
                  <w:vAlign w:val="center"/>
                </w:tcPr>
                <w:p w14:paraId="798B529B">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c>
                <w:tcPr>
                  <w:tcW w:w="297" w:type="pct"/>
                  <w:vMerge w:val="continue"/>
                  <w:vAlign w:val="center"/>
                </w:tcPr>
                <w:p w14:paraId="4CC1482D">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172" w:type="pct"/>
                  <w:vMerge w:val="continue"/>
                  <w:vAlign w:val="center"/>
                </w:tcPr>
                <w:p w14:paraId="1604CD3A">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80" w:type="pct"/>
                  <w:vMerge w:val="continue"/>
                  <w:vAlign w:val="center"/>
                </w:tcPr>
                <w:p w14:paraId="5163ED98">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68" w:type="pct"/>
                  <w:vMerge w:val="continue"/>
                  <w:textDirection w:val="tbRlV"/>
                  <w:vAlign w:val="center"/>
                </w:tcPr>
                <w:p w14:paraId="4E797EE1">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730C5AC5">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63C43A21">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59" w:type="pct"/>
                  <w:vMerge w:val="continue"/>
                  <w:vAlign w:val="center"/>
                </w:tcPr>
                <w:p w14:paraId="1F0466CC">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42" w:type="pct"/>
                  <w:vAlign w:val="center"/>
                </w:tcPr>
                <w:p w14:paraId="0D3C5B07">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北：</w:t>
                  </w:r>
                  <w:r>
                    <w:rPr>
                      <w:rFonts w:hint="default" w:ascii="Times New Roman" w:hAnsi="Times New Roman" w:eastAsia="Times New Roman" w:cs="Times New Roman"/>
                      <w:color w:val="auto"/>
                      <w:spacing w:val="4"/>
                      <w:position w:val="1"/>
                      <w:sz w:val="21"/>
                      <w:szCs w:val="21"/>
                      <w:highlight w:val="none"/>
                    </w:rPr>
                    <w:t>72</w:t>
                  </w:r>
                </w:p>
              </w:tc>
              <w:tc>
                <w:tcPr>
                  <w:tcW w:w="579" w:type="pct"/>
                  <w:vAlign w:val="center"/>
                </w:tcPr>
                <w:p w14:paraId="39547579">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北：</w:t>
                  </w:r>
                  <w:r>
                    <w:rPr>
                      <w:rFonts w:hint="default" w:ascii="Times New Roman" w:hAnsi="Times New Roman" w:eastAsia="Times New Roman" w:cs="Times New Roman"/>
                      <w:color w:val="auto"/>
                      <w:spacing w:val="-4"/>
                      <w:position w:val="1"/>
                      <w:sz w:val="21"/>
                      <w:szCs w:val="21"/>
                      <w:highlight w:val="none"/>
                    </w:rPr>
                    <w:t>37.9</w:t>
                  </w:r>
                </w:p>
              </w:tc>
              <w:tc>
                <w:tcPr>
                  <w:tcW w:w="201" w:type="pct"/>
                  <w:vMerge w:val="continue"/>
                  <w:vAlign w:val="center"/>
                </w:tcPr>
                <w:p w14:paraId="38331ACA">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98" w:type="pct"/>
                  <w:vMerge w:val="continue"/>
                  <w:vAlign w:val="center"/>
                </w:tcPr>
                <w:p w14:paraId="6527FCA4">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588" w:type="pct"/>
                  <w:vAlign w:val="center"/>
                </w:tcPr>
                <w:p w14:paraId="2A28EC06">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北：</w:t>
                  </w:r>
                  <w:r>
                    <w:rPr>
                      <w:rFonts w:hint="default" w:ascii="Times New Roman" w:hAnsi="Times New Roman" w:eastAsia="Times New Roman" w:cs="Times New Roman"/>
                      <w:color w:val="auto"/>
                      <w:spacing w:val="4"/>
                      <w:position w:val="1"/>
                      <w:sz w:val="21"/>
                      <w:szCs w:val="21"/>
                      <w:highlight w:val="none"/>
                    </w:rPr>
                    <w:t>22.9</w:t>
                  </w:r>
                </w:p>
              </w:tc>
              <w:tc>
                <w:tcPr>
                  <w:tcW w:w="374" w:type="pct"/>
                  <w:vMerge w:val="continue"/>
                  <w:vAlign w:val="center"/>
                </w:tcPr>
                <w:p w14:paraId="05731AB7">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r>
            <w:tr w14:paraId="418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jc w:val="center"/>
              </w:trPr>
              <w:tc>
                <w:tcPr>
                  <w:tcW w:w="244" w:type="pct"/>
                  <w:vMerge w:val="continue"/>
                  <w:vAlign w:val="center"/>
                </w:tcPr>
                <w:p w14:paraId="16349DA9">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c>
                <w:tcPr>
                  <w:tcW w:w="297" w:type="pct"/>
                  <w:vMerge w:val="restart"/>
                  <w:vAlign w:val="center"/>
                </w:tcPr>
                <w:p w14:paraId="70EF98EB">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计量秤</w:t>
                  </w:r>
                </w:p>
              </w:tc>
              <w:tc>
                <w:tcPr>
                  <w:tcW w:w="172" w:type="pct"/>
                  <w:vMerge w:val="restart"/>
                  <w:vAlign w:val="center"/>
                </w:tcPr>
                <w:p w14:paraId="1BEB8941">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position w:val="1"/>
                      <w:sz w:val="21"/>
                      <w:szCs w:val="21"/>
                      <w:highlight w:val="none"/>
                    </w:rPr>
                    <w:t>/</w:t>
                  </w:r>
                </w:p>
              </w:tc>
              <w:tc>
                <w:tcPr>
                  <w:tcW w:w="380" w:type="pct"/>
                  <w:vMerge w:val="restart"/>
                  <w:vAlign w:val="center"/>
                </w:tcPr>
                <w:p w14:paraId="52009566">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1"/>
                      <w:sz w:val="21"/>
                      <w:szCs w:val="21"/>
                      <w:highlight w:val="none"/>
                    </w:rPr>
                    <w:t>75</w:t>
                  </w:r>
                </w:p>
              </w:tc>
              <w:tc>
                <w:tcPr>
                  <w:tcW w:w="268" w:type="pct"/>
                  <w:vMerge w:val="continue"/>
                  <w:textDirection w:val="tbRlV"/>
                  <w:vAlign w:val="center"/>
                </w:tcPr>
                <w:p w14:paraId="5D3CB06A">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restart"/>
                  <w:vAlign w:val="center"/>
                </w:tcPr>
                <w:p w14:paraId="6FF7BC94">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position w:val="2"/>
                      <w:sz w:val="21"/>
                      <w:szCs w:val="21"/>
                      <w:highlight w:val="none"/>
                    </w:rPr>
                    <w:t>26</w:t>
                  </w:r>
                </w:p>
              </w:tc>
              <w:tc>
                <w:tcPr>
                  <w:tcW w:w="295" w:type="pct"/>
                  <w:vMerge w:val="restart"/>
                  <w:vAlign w:val="center"/>
                </w:tcPr>
                <w:p w14:paraId="4A2FB364">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3"/>
                      <w:position w:val="2"/>
                      <w:sz w:val="21"/>
                      <w:szCs w:val="21"/>
                      <w:highlight w:val="none"/>
                    </w:rPr>
                    <w:t>40</w:t>
                  </w:r>
                </w:p>
              </w:tc>
              <w:tc>
                <w:tcPr>
                  <w:tcW w:w="359" w:type="pct"/>
                  <w:vMerge w:val="restart"/>
                  <w:vAlign w:val="center"/>
                </w:tcPr>
                <w:p w14:paraId="14C6F10C">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4"/>
                      <w:position w:val="2"/>
                      <w:sz w:val="21"/>
                      <w:szCs w:val="21"/>
                      <w:highlight w:val="none"/>
                    </w:rPr>
                    <w:t>1.2</w:t>
                  </w:r>
                </w:p>
              </w:tc>
              <w:tc>
                <w:tcPr>
                  <w:tcW w:w="442" w:type="pct"/>
                  <w:vAlign w:val="center"/>
                </w:tcPr>
                <w:p w14:paraId="314E9B03">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13"/>
                      <w:position w:val="1"/>
                      <w:sz w:val="21"/>
                      <w:szCs w:val="21"/>
                      <w:highlight w:val="none"/>
                    </w:rPr>
                    <w:t>东：</w:t>
                  </w:r>
                  <w:r>
                    <w:rPr>
                      <w:rFonts w:hint="default" w:ascii="Times New Roman" w:hAnsi="Times New Roman" w:eastAsia="Times New Roman" w:cs="Times New Roman"/>
                      <w:color w:val="auto"/>
                      <w:spacing w:val="-13"/>
                      <w:position w:val="1"/>
                      <w:sz w:val="21"/>
                      <w:szCs w:val="21"/>
                      <w:highlight w:val="none"/>
                    </w:rPr>
                    <w:t>130</w:t>
                  </w:r>
                </w:p>
              </w:tc>
              <w:tc>
                <w:tcPr>
                  <w:tcW w:w="579" w:type="pct"/>
                  <w:vAlign w:val="center"/>
                </w:tcPr>
                <w:p w14:paraId="0EAA1A12">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东：</w:t>
                  </w:r>
                  <w:r>
                    <w:rPr>
                      <w:rFonts w:hint="default" w:ascii="Times New Roman" w:hAnsi="Times New Roman" w:eastAsia="Times New Roman" w:cs="Times New Roman"/>
                      <w:color w:val="auto"/>
                      <w:spacing w:val="-4"/>
                      <w:position w:val="1"/>
                      <w:sz w:val="21"/>
                      <w:szCs w:val="21"/>
                      <w:highlight w:val="none"/>
                    </w:rPr>
                    <w:t>32.7</w:t>
                  </w:r>
                </w:p>
              </w:tc>
              <w:tc>
                <w:tcPr>
                  <w:tcW w:w="201" w:type="pct"/>
                  <w:vMerge w:val="continue"/>
                  <w:vAlign w:val="center"/>
                </w:tcPr>
                <w:p w14:paraId="68C49940">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98" w:type="pct"/>
                  <w:vMerge w:val="restart"/>
                  <w:vAlign w:val="center"/>
                </w:tcPr>
                <w:p w14:paraId="1E8D3179">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8"/>
                      <w:position w:val="2"/>
                      <w:sz w:val="21"/>
                      <w:szCs w:val="21"/>
                      <w:highlight w:val="none"/>
                    </w:rPr>
                    <w:t>15</w:t>
                  </w:r>
                </w:p>
              </w:tc>
              <w:tc>
                <w:tcPr>
                  <w:tcW w:w="588" w:type="pct"/>
                  <w:vAlign w:val="center"/>
                </w:tcPr>
                <w:p w14:paraId="7E89899A">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3"/>
                      <w:position w:val="1"/>
                      <w:sz w:val="21"/>
                      <w:szCs w:val="21"/>
                      <w:highlight w:val="none"/>
                    </w:rPr>
                    <w:t>东：</w:t>
                  </w:r>
                  <w:r>
                    <w:rPr>
                      <w:rFonts w:hint="default" w:ascii="Times New Roman" w:hAnsi="Times New Roman" w:eastAsia="Times New Roman" w:cs="Times New Roman"/>
                      <w:color w:val="auto"/>
                      <w:spacing w:val="3"/>
                      <w:position w:val="1"/>
                      <w:sz w:val="21"/>
                      <w:szCs w:val="21"/>
                      <w:highlight w:val="none"/>
                    </w:rPr>
                    <w:t>17.7</w:t>
                  </w:r>
                </w:p>
              </w:tc>
              <w:tc>
                <w:tcPr>
                  <w:tcW w:w="374" w:type="pct"/>
                  <w:vMerge w:val="restart"/>
                  <w:vAlign w:val="center"/>
                </w:tcPr>
                <w:p w14:paraId="0B66E744">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position w:val="1"/>
                      <w:sz w:val="21"/>
                      <w:szCs w:val="21"/>
                      <w:highlight w:val="none"/>
                    </w:rPr>
                    <w:t>1</w:t>
                  </w:r>
                </w:p>
              </w:tc>
            </w:tr>
            <w:tr w14:paraId="6CC2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8" w:hRule="atLeast"/>
                <w:jc w:val="center"/>
              </w:trPr>
              <w:tc>
                <w:tcPr>
                  <w:tcW w:w="244" w:type="pct"/>
                  <w:vMerge w:val="continue"/>
                  <w:textDirection w:val="tbRlV"/>
                  <w:vAlign w:val="center"/>
                </w:tcPr>
                <w:p w14:paraId="4702F701">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c>
                <w:tcPr>
                  <w:tcW w:w="297" w:type="pct"/>
                  <w:vMerge w:val="continue"/>
                  <w:textDirection w:val="tbRlV"/>
                  <w:vAlign w:val="center"/>
                </w:tcPr>
                <w:p w14:paraId="2902840E">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172" w:type="pct"/>
                  <w:vMerge w:val="continue"/>
                  <w:vAlign w:val="center"/>
                </w:tcPr>
                <w:p w14:paraId="0D83FA57">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80" w:type="pct"/>
                  <w:vMerge w:val="continue"/>
                  <w:vAlign w:val="center"/>
                </w:tcPr>
                <w:p w14:paraId="07700D19">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68" w:type="pct"/>
                  <w:vMerge w:val="continue"/>
                  <w:textDirection w:val="tbRlV"/>
                  <w:vAlign w:val="center"/>
                </w:tcPr>
                <w:p w14:paraId="4C1F13AF">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19857EF5">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43CCF164">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59" w:type="pct"/>
                  <w:vMerge w:val="continue"/>
                  <w:vAlign w:val="center"/>
                </w:tcPr>
                <w:p w14:paraId="6698136A">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42" w:type="pct"/>
                  <w:vAlign w:val="center"/>
                </w:tcPr>
                <w:p w14:paraId="19267095">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南：</w:t>
                  </w:r>
                  <w:r>
                    <w:rPr>
                      <w:rFonts w:hint="default" w:ascii="Times New Roman" w:hAnsi="Times New Roman" w:eastAsia="Times New Roman" w:cs="Times New Roman"/>
                      <w:color w:val="auto"/>
                      <w:spacing w:val="4"/>
                      <w:position w:val="1"/>
                      <w:sz w:val="21"/>
                      <w:szCs w:val="21"/>
                      <w:highlight w:val="none"/>
                    </w:rPr>
                    <w:t>40</w:t>
                  </w:r>
                </w:p>
              </w:tc>
              <w:tc>
                <w:tcPr>
                  <w:tcW w:w="579" w:type="pct"/>
                  <w:vAlign w:val="center"/>
                </w:tcPr>
                <w:p w14:paraId="353E7107">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3"/>
                      <w:position w:val="1"/>
                      <w:sz w:val="21"/>
                      <w:szCs w:val="21"/>
                      <w:highlight w:val="none"/>
                    </w:rPr>
                    <w:t>南：</w:t>
                  </w:r>
                  <w:r>
                    <w:rPr>
                      <w:rFonts w:hint="default" w:ascii="Times New Roman" w:hAnsi="Times New Roman" w:eastAsia="Times New Roman" w:cs="Times New Roman"/>
                      <w:color w:val="auto"/>
                      <w:spacing w:val="-3"/>
                      <w:position w:val="1"/>
                      <w:sz w:val="21"/>
                      <w:szCs w:val="21"/>
                      <w:highlight w:val="none"/>
                    </w:rPr>
                    <w:t>43.0</w:t>
                  </w:r>
                </w:p>
              </w:tc>
              <w:tc>
                <w:tcPr>
                  <w:tcW w:w="201" w:type="pct"/>
                  <w:vMerge w:val="continue"/>
                  <w:vAlign w:val="center"/>
                </w:tcPr>
                <w:p w14:paraId="2EB05BBF">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98" w:type="pct"/>
                  <w:vMerge w:val="continue"/>
                  <w:vAlign w:val="center"/>
                </w:tcPr>
                <w:p w14:paraId="1A2C4013">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588" w:type="pct"/>
                  <w:vAlign w:val="center"/>
                </w:tcPr>
                <w:p w14:paraId="1E7BD139">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南：</w:t>
                  </w:r>
                  <w:r>
                    <w:rPr>
                      <w:rFonts w:hint="default" w:ascii="Times New Roman" w:hAnsi="Times New Roman" w:eastAsia="Times New Roman" w:cs="Times New Roman"/>
                      <w:color w:val="auto"/>
                      <w:spacing w:val="4"/>
                      <w:position w:val="1"/>
                      <w:sz w:val="21"/>
                      <w:szCs w:val="21"/>
                      <w:highlight w:val="none"/>
                    </w:rPr>
                    <w:t>28.0</w:t>
                  </w:r>
                </w:p>
              </w:tc>
              <w:tc>
                <w:tcPr>
                  <w:tcW w:w="374" w:type="pct"/>
                  <w:vMerge w:val="continue"/>
                  <w:vAlign w:val="center"/>
                </w:tcPr>
                <w:p w14:paraId="01D5C242">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r>
            <w:tr w14:paraId="481E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jc w:val="center"/>
              </w:trPr>
              <w:tc>
                <w:tcPr>
                  <w:tcW w:w="244" w:type="pct"/>
                  <w:vMerge w:val="continue"/>
                  <w:textDirection w:val="tbRlV"/>
                  <w:vAlign w:val="center"/>
                </w:tcPr>
                <w:p w14:paraId="2F03F4E0">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c>
                <w:tcPr>
                  <w:tcW w:w="297" w:type="pct"/>
                  <w:vMerge w:val="continue"/>
                  <w:textDirection w:val="tbRlV"/>
                  <w:vAlign w:val="center"/>
                </w:tcPr>
                <w:p w14:paraId="2290C5DF">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172" w:type="pct"/>
                  <w:vMerge w:val="continue"/>
                  <w:vAlign w:val="center"/>
                </w:tcPr>
                <w:p w14:paraId="1617F0E9">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80" w:type="pct"/>
                  <w:vMerge w:val="continue"/>
                  <w:vAlign w:val="center"/>
                </w:tcPr>
                <w:p w14:paraId="218A1B92">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68" w:type="pct"/>
                  <w:vMerge w:val="continue"/>
                  <w:textDirection w:val="tbRlV"/>
                  <w:vAlign w:val="center"/>
                </w:tcPr>
                <w:p w14:paraId="0989B62E">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39D35801">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5D2ED322">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59" w:type="pct"/>
                  <w:vMerge w:val="continue"/>
                  <w:vAlign w:val="center"/>
                </w:tcPr>
                <w:p w14:paraId="2547206C">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42" w:type="pct"/>
                  <w:vAlign w:val="center"/>
                </w:tcPr>
                <w:p w14:paraId="13913C8D">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西：</w:t>
                  </w:r>
                  <w:r>
                    <w:rPr>
                      <w:rFonts w:hint="default" w:ascii="Times New Roman" w:hAnsi="Times New Roman" w:eastAsia="Times New Roman" w:cs="Times New Roman"/>
                      <w:color w:val="auto"/>
                      <w:spacing w:val="4"/>
                      <w:position w:val="1"/>
                      <w:sz w:val="21"/>
                      <w:szCs w:val="21"/>
                      <w:highlight w:val="none"/>
                    </w:rPr>
                    <w:t>26</w:t>
                  </w:r>
                </w:p>
              </w:tc>
              <w:tc>
                <w:tcPr>
                  <w:tcW w:w="579" w:type="pct"/>
                  <w:vAlign w:val="center"/>
                </w:tcPr>
                <w:p w14:paraId="1A7450D1">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西：</w:t>
                  </w:r>
                  <w:r>
                    <w:rPr>
                      <w:rFonts w:hint="default" w:ascii="Times New Roman" w:hAnsi="Times New Roman" w:eastAsia="Times New Roman" w:cs="Times New Roman"/>
                      <w:color w:val="auto"/>
                      <w:spacing w:val="-4"/>
                      <w:position w:val="1"/>
                      <w:sz w:val="21"/>
                      <w:szCs w:val="21"/>
                      <w:highlight w:val="none"/>
                    </w:rPr>
                    <w:t>46.7</w:t>
                  </w:r>
                </w:p>
              </w:tc>
              <w:tc>
                <w:tcPr>
                  <w:tcW w:w="201" w:type="pct"/>
                  <w:vMerge w:val="continue"/>
                  <w:vAlign w:val="center"/>
                </w:tcPr>
                <w:p w14:paraId="373EF8D3">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98" w:type="pct"/>
                  <w:vMerge w:val="continue"/>
                  <w:vAlign w:val="center"/>
                </w:tcPr>
                <w:p w14:paraId="75FBF910">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588" w:type="pct"/>
                  <w:vAlign w:val="center"/>
                </w:tcPr>
                <w:p w14:paraId="1F281E3D">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西：</w:t>
                  </w:r>
                  <w:r>
                    <w:rPr>
                      <w:rFonts w:hint="default" w:ascii="Times New Roman" w:hAnsi="Times New Roman" w:eastAsia="Times New Roman" w:cs="Times New Roman"/>
                      <w:color w:val="auto"/>
                      <w:spacing w:val="4"/>
                      <w:position w:val="1"/>
                      <w:sz w:val="21"/>
                      <w:szCs w:val="21"/>
                      <w:highlight w:val="none"/>
                    </w:rPr>
                    <w:t>31.7</w:t>
                  </w:r>
                </w:p>
              </w:tc>
              <w:tc>
                <w:tcPr>
                  <w:tcW w:w="374" w:type="pct"/>
                  <w:vMerge w:val="continue"/>
                  <w:vAlign w:val="center"/>
                </w:tcPr>
                <w:p w14:paraId="72776559">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r>
            <w:tr w14:paraId="57412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jc w:val="center"/>
              </w:trPr>
              <w:tc>
                <w:tcPr>
                  <w:tcW w:w="244" w:type="pct"/>
                  <w:vMerge w:val="continue"/>
                  <w:textDirection w:val="tbRlV"/>
                  <w:vAlign w:val="center"/>
                </w:tcPr>
                <w:p w14:paraId="543DAD3E">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c>
                <w:tcPr>
                  <w:tcW w:w="297" w:type="pct"/>
                  <w:vMerge w:val="continue"/>
                  <w:textDirection w:val="tbRlV"/>
                  <w:vAlign w:val="center"/>
                </w:tcPr>
                <w:p w14:paraId="280BD09C">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172" w:type="pct"/>
                  <w:vMerge w:val="continue"/>
                  <w:vAlign w:val="center"/>
                </w:tcPr>
                <w:p w14:paraId="778824D1">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80" w:type="pct"/>
                  <w:vMerge w:val="continue"/>
                  <w:vAlign w:val="center"/>
                </w:tcPr>
                <w:p w14:paraId="4F8BBE3A">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68" w:type="pct"/>
                  <w:vMerge w:val="continue"/>
                  <w:textDirection w:val="tbRlV"/>
                  <w:vAlign w:val="center"/>
                </w:tcPr>
                <w:p w14:paraId="58645FD7">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6AF3EEB6">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4F2EACF3">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59" w:type="pct"/>
                  <w:vMerge w:val="continue"/>
                  <w:vAlign w:val="center"/>
                </w:tcPr>
                <w:p w14:paraId="060B1B73">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42" w:type="pct"/>
                  <w:vAlign w:val="center"/>
                </w:tcPr>
                <w:p w14:paraId="76DB9B63">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北：</w:t>
                  </w:r>
                  <w:r>
                    <w:rPr>
                      <w:rFonts w:hint="default" w:ascii="Times New Roman" w:hAnsi="Times New Roman" w:eastAsia="Times New Roman" w:cs="Times New Roman"/>
                      <w:color w:val="auto"/>
                      <w:spacing w:val="4"/>
                      <w:position w:val="1"/>
                      <w:sz w:val="21"/>
                      <w:szCs w:val="21"/>
                      <w:highlight w:val="none"/>
                    </w:rPr>
                    <w:t>91</w:t>
                  </w:r>
                </w:p>
              </w:tc>
              <w:tc>
                <w:tcPr>
                  <w:tcW w:w="579" w:type="pct"/>
                  <w:vAlign w:val="center"/>
                </w:tcPr>
                <w:p w14:paraId="280E4E9A">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北：</w:t>
                  </w:r>
                  <w:r>
                    <w:rPr>
                      <w:rFonts w:hint="default" w:ascii="Times New Roman" w:hAnsi="Times New Roman" w:eastAsia="Times New Roman" w:cs="Times New Roman"/>
                      <w:color w:val="auto"/>
                      <w:spacing w:val="-4"/>
                      <w:position w:val="1"/>
                      <w:sz w:val="21"/>
                      <w:szCs w:val="21"/>
                      <w:highlight w:val="none"/>
                    </w:rPr>
                    <w:t>35.8</w:t>
                  </w:r>
                </w:p>
              </w:tc>
              <w:tc>
                <w:tcPr>
                  <w:tcW w:w="201" w:type="pct"/>
                  <w:vMerge w:val="continue"/>
                  <w:vAlign w:val="center"/>
                </w:tcPr>
                <w:p w14:paraId="4785FC2B">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98" w:type="pct"/>
                  <w:vMerge w:val="continue"/>
                  <w:vAlign w:val="center"/>
                </w:tcPr>
                <w:p w14:paraId="28C9DD8D">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588" w:type="pct"/>
                  <w:vAlign w:val="center"/>
                </w:tcPr>
                <w:p w14:paraId="4A466D1D">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北：</w:t>
                  </w:r>
                  <w:r>
                    <w:rPr>
                      <w:rFonts w:hint="default" w:ascii="Times New Roman" w:hAnsi="Times New Roman" w:eastAsia="Times New Roman" w:cs="Times New Roman"/>
                      <w:color w:val="auto"/>
                      <w:spacing w:val="4"/>
                      <w:position w:val="1"/>
                      <w:sz w:val="21"/>
                      <w:szCs w:val="21"/>
                      <w:highlight w:val="none"/>
                    </w:rPr>
                    <w:t>20.8</w:t>
                  </w:r>
                </w:p>
              </w:tc>
              <w:tc>
                <w:tcPr>
                  <w:tcW w:w="374" w:type="pct"/>
                  <w:vMerge w:val="continue"/>
                  <w:vAlign w:val="center"/>
                </w:tcPr>
                <w:p w14:paraId="21BC3075">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r>
            <w:tr w14:paraId="65314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jc w:val="center"/>
              </w:trPr>
              <w:tc>
                <w:tcPr>
                  <w:tcW w:w="244" w:type="pct"/>
                  <w:vMerge w:val="continue"/>
                  <w:textDirection w:val="tbRlV"/>
                  <w:vAlign w:val="center"/>
                </w:tcPr>
                <w:p w14:paraId="008DBA11">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c>
                <w:tcPr>
                  <w:tcW w:w="297" w:type="pct"/>
                  <w:vMerge w:val="restart"/>
                  <w:vAlign w:val="center"/>
                </w:tcPr>
                <w:p w14:paraId="4BEF087B">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铲车</w:t>
                  </w:r>
                </w:p>
              </w:tc>
              <w:tc>
                <w:tcPr>
                  <w:tcW w:w="172" w:type="pct"/>
                  <w:vMerge w:val="restart"/>
                  <w:vAlign w:val="center"/>
                </w:tcPr>
                <w:p w14:paraId="0AEC4DDA">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position w:val="1"/>
                      <w:sz w:val="21"/>
                      <w:szCs w:val="21"/>
                      <w:highlight w:val="none"/>
                    </w:rPr>
                    <w:t>/</w:t>
                  </w:r>
                </w:p>
              </w:tc>
              <w:tc>
                <w:tcPr>
                  <w:tcW w:w="380" w:type="pct"/>
                  <w:vMerge w:val="restart"/>
                  <w:vAlign w:val="center"/>
                </w:tcPr>
                <w:p w14:paraId="60752D0C">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position w:val="2"/>
                      <w:sz w:val="21"/>
                      <w:szCs w:val="21"/>
                      <w:highlight w:val="none"/>
                    </w:rPr>
                    <w:t>80</w:t>
                  </w:r>
                </w:p>
              </w:tc>
              <w:tc>
                <w:tcPr>
                  <w:tcW w:w="268" w:type="pct"/>
                  <w:vMerge w:val="continue"/>
                  <w:textDirection w:val="tbRlV"/>
                  <w:vAlign w:val="center"/>
                </w:tcPr>
                <w:p w14:paraId="50C80773">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restart"/>
                  <w:vAlign w:val="center"/>
                </w:tcPr>
                <w:p w14:paraId="19726FB0">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position w:val="2"/>
                      <w:sz w:val="21"/>
                      <w:szCs w:val="21"/>
                      <w:highlight w:val="none"/>
                    </w:rPr>
                    <w:t>32</w:t>
                  </w:r>
                </w:p>
              </w:tc>
              <w:tc>
                <w:tcPr>
                  <w:tcW w:w="295" w:type="pct"/>
                  <w:vMerge w:val="restart"/>
                  <w:vAlign w:val="center"/>
                </w:tcPr>
                <w:p w14:paraId="2A91C1BF">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position w:val="2"/>
                      <w:sz w:val="21"/>
                      <w:szCs w:val="21"/>
                      <w:highlight w:val="none"/>
                    </w:rPr>
                    <w:t>88</w:t>
                  </w:r>
                </w:p>
              </w:tc>
              <w:tc>
                <w:tcPr>
                  <w:tcW w:w="359" w:type="pct"/>
                  <w:vMerge w:val="restart"/>
                  <w:vAlign w:val="center"/>
                </w:tcPr>
                <w:p w14:paraId="431DE11A">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4"/>
                      <w:position w:val="2"/>
                      <w:sz w:val="21"/>
                      <w:szCs w:val="21"/>
                      <w:highlight w:val="none"/>
                    </w:rPr>
                    <w:t>1.2</w:t>
                  </w:r>
                </w:p>
              </w:tc>
              <w:tc>
                <w:tcPr>
                  <w:tcW w:w="442" w:type="pct"/>
                  <w:vAlign w:val="center"/>
                </w:tcPr>
                <w:p w14:paraId="73D789A1">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13"/>
                      <w:position w:val="1"/>
                      <w:sz w:val="21"/>
                      <w:szCs w:val="21"/>
                      <w:highlight w:val="none"/>
                    </w:rPr>
                    <w:t>东：</w:t>
                  </w:r>
                  <w:r>
                    <w:rPr>
                      <w:rFonts w:hint="default" w:ascii="Times New Roman" w:hAnsi="Times New Roman" w:eastAsia="Times New Roman" w:cs="Times New Roman"/>
                      <w:color w:val="auto"/>
                      <w:spacing w:val="-13"/>
                      <w:position w:val="1"/>
                      <w:sz w:val="21"/>
                      <w:szCs w:val="21"/>
                      <w:highlight w:val="none"/>
                    </w:rPr>
                    <w:t>124</w:t>
                  </w:r>
                </w:p>
              </w:tc>
              <w:tc>
                <w:tcPr>
                  <w:tcW w:w="579" w:type="pct"/>
                  <w:vAlign w:val="center"/>
                </w:tcPr>
                <w:p w14:paraId="6E28F7E6">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东：</w:t>
                  </w:r>
                  <w:r>
                    <w:rPr>
                      <w:rFonts w:hint="default" w:ascii="Times New Roman" w:hAnsi="Times New Roman" w:eastAsia="Times New Roman" w:cs="Times New Roman"/>
                      <w:color w:val="auto"/>
                      <w:spacing w:val="-4"/>
                      <w:position w:val="1"/>
                      <w:sz w:val="21"/>
                      <w:szCs w:val="21"/>
                      <w:highlight w:val="none"/>
                    </w:rPr>
                    <w:t>38.1</w:t>
                  </w:r>
                </w:p>
              </w:tc>
              <w:tc>
                <w:tcPr>
                  <w:tcW w:w="201" w:type="pct"/>
                  <w:vMerge w:val="continue"/>
                  <w:vAlign w:val="center"/>
                </w:tcPr>
                <w:p w14:paraId="1F991F42">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98" w:type="pct"/>
                  <w:vMerge w:val="restart"/>
                  <w:vAlign w:val="center"/>
                </w:tcPr>
                <w:p w14:paraId="24C28BAE">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8"/>
                      <w:position w:val="2"/>
                      <w:sz w:val="21"/>
                      <w:szCs w:val="21"/>
                      <w:highlight w:val="none"/>
                    </w:rPr>
                    <w:t>15</w:t>
                  </w:r>
                </w:p>
              </w:tc>
              <w:tc>
                <w:tcPr>
                  <w:tcW w:w="588" w:type="pct"/>
                  <w:vAlign w:val="center"/>
                </w:tcPr>
                <w:p w14:paraId="671A17D5">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3"/>
                      <w:position w:val="1"/>
                      <w:sz w:val="21"/>
                      <w:szCs w:val="21"/>
                      <w:highlight w:val="none"/>
                    </w:rPr>
                    <w:t>东：</w:t>
                  </w:r>
                  <w:r>
                    <w:rPr>
                      <w:rFonts w:hint="default" w:ascii="Times New Roman" w:hAnsi="Times New Roman" w:eastAsia="Times New Roman" w:cs="Times New Roman"/>
                      <w:color w:val="auto"/>
                      <w:spacing w:val="3"/>
                      <w:position w:val="1"/>
                      <w:sz w:val="21"/>
                      <w:szCs w:val="21"/>
                      <w:highlight w:val="none"/>
                    </w:rPr>
                    <w:t>23.1</w:t>
                  </w:r>
                </w:p>
              </w:tc>
              <w:tc>
                <w:tcPr>
                  <w:tcW w:w="374" w:type="pct"/>
                  <w:vMerge w:val="restart"/>
                  <w:vAlign w:val="center"/>
                </w:tcPr>
                <w:p w14:paraId="47BEE5ED">
                  <w:pPr>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position w:val="1"/>
                      <w:sz w:val="21"/>
                      <w:szCs w:val="21"/>
                      <w:highlight w:val="none"/>
                    </w:rPr>
                    <w:t>1</w:t>
                  </w:r>
                </w:p>
              </w:tc>
            </w:tr>
            <w:tr w14:paraId="275E6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8" w:hRule="atLeast"/>
                <w:jc w:val="center"/>
              </w:trPr>
              <w:tc>
                <w:tcPr>
                  <w:tcW w:w="244" w:type="pct"/>
                  <w:vMerge w:val="continue"/>
                  <w:textDirection w:val="tbRlV"/>
                  <w:vAlign w:val="center"/>
                </w:tcPr>
                <w:p w14:paraId="4F2E2AC2">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c>
                <w:tcPr>
                  <w:tcW w:w="297" w:type="pct"/>
                  <w:vMerge w:val="continue"/>
                  <w:textDirection w:val="tbRlV"/>
                  <w:vAlign w:val="center"/>
                </w:tcPr>
                <w:p w14:paraId="26B41447">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172" w:type="pct"/>
                  <w:vMerge w:val="continue"/>
                  <w:vAlign w:val="center"/>
                </w:tcPr>
                <w:p w14:paraId="4FF90FA1">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80" w:type="pct"/>
                  <w:vMerge w:val="continue"/>
                  <w:vAlign w:val="center"/>
                </w:tcPr>
                <w:p w14:paraId="18C744EF">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68" w:type="pct"/>
                  <w:vMerge w:val="continue"/>
                  <w:textDirection w:val="tbRlV"/>
                  <w:vAlign w:val="center"/>
                </w:tcPr>
                <w:p w14:paraId="5B705CAA">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0DE1FD6E">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4C890244">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59" w:type="pct"/>
                  <w:vMerge w:val="continue"/>
                  <w:vAlign w:val="center"/>
                </w:tcPr>
                <w:p w14:paraId="7CC2C006">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42" w:type="pct"/>
                  <w:vAlign w:val="center"/>
                </w:tcPr>
                <w:p w14:paraId="3D8F4DDE">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南：</w:t>
                  </w:r>
                  <w:r>
                    <w:rPr>
                      <w:rFonts w:hint="default" w:ascii="Times New Roman" w:hAnsi="Times New Roman" w:eastAsia="Times New Roman" w:cs="Times New Roman"/>
                      <w:color w:val="auto"/>
                      <w:spacing w:val="4"/>
                      <w:position w:val="1"/>
                      <w:sz w:val="21"/>
                      <w:szCs w:val="21"/>
                      <w:highlight w:val="none"/>
                    </w:rPr>
                    <w:t>88</w:t>
                  </w:r>
                </w:p>
              </w:tc>
              <w:tc>
                <w:tcPr>
                  <w:tcW w:w="579" w:type="pct"/>
                  <w:vAlign w:val="center"/>
                </w:tcPr>
                <w:p w14:paraId="25395FC9">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3"/>
                      <w:position w:val="1"/>
                      <w:sz w:val="21"/>
                      <w:szCs w:val="21"/>
                      <w:highlight w:val="none"/>
                    </w:rPr>
                    <w:t>南：</w:t>
                  </w:r>
                  <w:r>
                    <w:rPr>
                      <w:rFonts w:hint="default" w:ascii="Times New Roman" w:hAnsi="Times New Roman" w:eastAsia="Times New Roman" w:cs="Times New Roman"/>
                      <w:color w:val="auto"/>
                      <w:spacing w:val="-3"/>
                      <w:position w:val="1"/>
                      <w:sz w:val="21"/>
                      <w:szCs w:val="21"/>
                      <w:highlight w:val="none"/>
                    </w:rPr>
                    <w:t>41.1</w:t>
                  </w:r>
                </w:p>
              </w:tc>
              <w:tc>
                <w:tcPr>
                  <w:tcW w:w="201" w:type="pct"/>
                  <w:vMerge w:val="continue"/>
                  <w:vAlign w:val="center"/>
                </w:tcPr>
                <w:p w14:paraId="37C88238">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98" w:type="pct"/>
                  <w:vMerge w:val="continue"/>
                  <w:vAlign w:val="center"/>
                </w:tcPr>
                <w:p w14:paraId="5A6B2254">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588" w:type="pct"/>
                  <w:vAlign w:val="center"/>
                </w:tcPr>
                <w:p w14:paraId="70138796">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南：</w:t>
                  </w:r>
                  <w:r>
                    <w:rPr>
                      <w:rFonts w:hint="default" w:ascii="Times New Roman" w:hAnsi="Times New Roman" w:eastAsia="Times New Roman" w:cs="Times New Roman"/>
                      <w:color w:val="auto"/>
                      <w:spacing w:val="4"/>
                      <w:position w:val="1"/>
                      <w:sz w:val="21"/>
                      <w:szCs w:val="21"/>
                      <w:highlight w:val="none"/>
                    </w:rPr>
                    <w:t>26.1</w:t>
                  </w:r>
                </w:p>
              </w:tc>
              <w:tc>
                <w:tcPr>
                  <w:tcW w:w="374" w:type="pct"/>
                  <w:vMerge w:val="continue"/>
                  <w:vAlign w:val="center"/>
                </w:tcPr>
                <w:p w14:paraId="1EECE100">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r>
            <w:tr w14:paraId="2CF4A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8" w:hRule="atLeast"/>
                <w:jc w:val="center"/>
              </w:trPr>
              <w:tc>
                <w:tcPr>
                  <w:tcW w:w="244" w:type="pct"/>
                  <w:vMerge w:val="continue"/>
                  <w:textDirection w:val="tbRlV"/>
                  <w:vAlign w:val="center"/>
                </w:tcPr>
                <w:p w14:paraId="40D8FA8E">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c>
                <w:tcPr>
                  <w:tcW w:w="297" w:type="pct"/>
                  <w:vMerge w:val="continue"/>
                  <w:textDirection w:val="tbRlV"/>
                  <w:vAlign w:val="center"/>
                </w:tcPr>
                <w:p w14:paraId="3D0375BF">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172" w:type="pct"/>
                  <w:vMerge w:val="continue"/>
                  <w:vAlign w:val="center"/>
                </w:tcPr>
                <w:p w14:paraId="00BCBC21">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80" w:type="pct"/>
                  <w:vMerge w:val="continue"/>
                  <w:vAlign w:val="center"/>
                </w:tcPr>
                <w:p w14:paraId="68ED6697">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68" w:type="pct"/>
                  <w:vMerge w:val="continue"/>
                  <w:textDirection w:val="tbRlV"/>
                  <w:vAlign w:val="center"/>
                </w:tcPr>
                <w:p w14:paraId="1E29912E">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3F1E5ED8">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7EFD5239">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59" w:type="pct"/>
                  <w:vMerge w:val="continue"/>
                  <w:vAlign w:val="center"/>
                </w:tcPr>
                <w:p w14:paraId="45E2092C">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42" w:type="pct"/>
                  <w:vAlign w:val="center"/>
                </w:tcPr>
                <w:p w14:paraId="0463BA47">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西：</w:t>
                  </w:r>
                  <w:r>
                    <w:rPr>
                      <w:rFonts w:hint="default" w:ascii="Times New Roman" w:hAnsi="Times New Roman" w:eastAsia="Times New Roman" w:cs="Times New Roman"/>
                      <w:color w:val="auto"/>
                      <w:spacing w:val="4"/>
                      <w:position w:val="1"/>
                      <w:sz w:val="21"/>
                      <w:szCs w:val="21"/>
                      <w:highlight w:val="none"/>
                    </w:rPr>
                    <w:t>32</w:t>
                  </w:r>
                </w:p>
              </w:tc>
              <w:tc>
                <w:tcPr>
                  <w:tcW w:w="579" w:type="pct"/>
                  <w:vAlign w:val="center"/>
                </w:tcPr>
                <w:p w14:paraId="4533E3DA">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西：</w:t>
                  </w:r>
                  <w:r>
                    <w:rPr>
                      <w:rFonts w:hint="default" w:ascii="Times New Roman" w:hAnsi="Times New Roman" w:eastAsia="Times New Roman" w:cs="Times New Roman"/>
                      <w:color w:val="auto"/>
                      <w:spacing w:val="-4"/>
                      <w:position w:val="1"/>
                      <w:sz w:val="21"/>
                      <w:szCs w:val="21"/>
                      <w:highlight w:val="none"/>
                    </w:rPr>
                    <w:t>49.9</w:t>
                  </w:r>
                </w:p>
              </w:tc>
              <w:tc>
                <w:tcPr>
                  <w:tcW w:w="201" w:type="pct"/>
                  <w:vMerge w:val="continue"/>
                  <w:vAlign w:val="center"/>
                </w:tcPr>
                <w:p w14:paraId="3F9FE621">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98" w:type="pct"/>
                  <w:vMerge w:val="continue"/>
                  <w:vAlign w:val="center"/>
                </w:tcPr>
                <w:p w14:paraId="36B9A9E6">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588" w:type="pct"/>
                  <w:vAlign w:val="center"/>
                </w:tcPr>
                <w:p w14:paraId="739B769B">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西：</w:t>
                  </w:r>
                  <w:r>
                    <w:rPr>
                      <w:rFonts w:hint="default" w:ascii="Times New Roman" w:hAnsi="Times New Roman" w:eastAsia="Times New Roman" w:cs="Times New Roman"/>
                      <w:color w:val="auto"/>
                      <w:spacing w:val="4"/>
                      <w:position w:val="1"/>
                      <w:sz w:val="21"/>
                      <w:szCs w:val="21"/>
                      <w:highlight w:val="none"/>
                    </w:rPr>
                    <w:t>34.9</w:t>
                  </w:r>
                </w:p>
              </w:tc>
              <w:tc>
                <w:tcPr>
                  <w:tcW w:w="374" w:type="pct"/>
                  <w:vMerge w:val="continue"/>
                  <w:vAlign w:val="center"/>
                </w:tcPr>
                <w:p w14:paraId="02544758">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r>
            <w:tr w14:paraId="4752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jc w:val="center"/>
              </w:trPr>
              <w:tc>
                <w:tcPr>
                  <w:tcW w:w="244" w:type="pct"/>
                  <w:vMerge w:val="continue"/>
                  <w:textDirection w:val="tbRlV"/>
                  <w:vAlign w:val="center"/>
                </w:tcPr>
                <w:p w14:paraId="187BD6D1">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c>
                <w:tcPr>
                  <w:tcW w:w="297" w:type="pct"/>
                  <w:vMerge w:val="continue"/>
                  <w:textDirection w:val="tbRlV"/>
                  <w:vAlign w:val="center"/>
                </w:tcPr>
                <w:p w14:paraId="4250FAF3">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172" w:type="pct"/>
                  <w:vMerge w:val="continue"/>
                  <w:vAlign w:val="center"/>
                </w:tcPr>
                <w:p w14:paraId="52A25C44">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80" w:type="pct"/>
                  <w:vMerge w:val="continue"/>
                  <w:vAlign w:val="center"/>
                </w:tcPr>
                <w:p w14:paraId="1B183B64">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68" w:type="pct"/>
                  <w:vMerge w:val="continue"/>
                  <w:textDirection w:val="tbRlV"/>
                  <w:vAlign w:val="center"/>
                </w:tcPr>
                <w:p w14:paraId="638E0B5F">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0915BD90">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295" w:type="pct"/>
                  <w:vMerge w:val="continue"/>
                  <w:vAlign w:val="center"/>
                </w:tcPr>
                <w:p w14:paraId="44713C01">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359" w:type="pct"/>
                  <w:vMerge w:val="continue"/>
                  <w:vAlign w:val="center"/>
                </w:tcPr>
                <w:p w14:paraId="1E8EECC3">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42" w:type="pct"/>
                  <w:vAlign w:val="center"/>
                </w:tcPr>
                <w:p w14:paraId="403935B3">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北：</w:t>
                  </w:r>
                  <w:r>
                    <w:rPr>
                      <w:rFonts w:hint="default" w:ascii="Times New Roman" w:hAnsi="Times New Roman" w:eastAsia="Times New Roman" w:cs="Times New Roman"/>
                      <w:color w:val="auto"/>
                      <w:spacing w:val="4"/>
                      <w:position w:val="1"/>
                      <w:sz w:val="21"/>
                      <w:szCs w:val="21"/>
                      <w:highlight w:val="none"/>
                    </w:rPr>
                    <w:t>45</w:t>
                  </w:r>
                </w:p>
              </w:tc>
              <w:tc>
                <w:tcPr>
                  <w:tcW w:w="579" w:type="pct"/>
                  <w:vAlign w:val="center"/>
                </w:tcPr>
                <w:p w14:paraId="70515CF4">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北：</w:t>
                  </w:r>
                  <w:r>
                    <w:rPr>
                      <w:rFonts w:hint="default" w:ascii="Times New Roman" w:hAnsi="Times New Roman" w:eastAsia="Times New Roman" w:cs="Times New Roman"/>
                      <w:color w:val="auto"/>
                      <w:spacing w:val="-4"/>
                      <w:position w:val="1"/>
                      <w:sz w:val="21"/>
                      <w:szCs w:val="21"/>
                      <w:highlight w:val="none"/>
                    </w:rPr>
                    <w:t>46.9</w:t>
                  </w:r>
                </w:p>
              </w:tc>
              <w:tc>
                <w:tcPr>
                  <w:tcW w:w="201" w:type="pct"/>
                  <w:vMerge w:val="continue"/>
                  <w:vAlign w:val="center"/>
                </w:tcPr>
                <w:p w14:paraId="19D53C4F">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498" w:type="pct"/>
                  <w:vMerge w:val="continue"/>
                  <w:vAlign w:val="center"/>
                </w:tcPr>
                <w:p w14:paraId="5B72487A">
                  <w:pPr>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p>
              </w:tc>
              <w:tc>
                <w:tcPr>
                  <w:tcW w:w="588" w:type="pct"/>
                  <w:vAlign w:val="center"/>
                </w:tcPr>
                <w:p w14:paraId="7A0F05BC">
                  <w:pPr>
                    <w:pStyle w:val="25"/>
                    <w:pageBreakBefore w:val="0"/>
                    <w:kinsoku/>
                    <w:wordWrap w:val="0"/>
                    <w:overflowPunct/>
                    <w:topLinePunct/>
                    <w:autoSpaceDE/>
                    <w:autoSpaceDN/>
                    <w:bidi w:val="0"/>
                    <w:spacing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4"/>
                      <w:position w:val="1"/>
                      <w:sz w:val="21"/>
                      <w:szCs w:val="21"/>
                      <w:highlight w:val="none"/>
                    </w:rPr>
                    <w:t>北：</w:t>
                  </w:r>
                  <w:r>
                    <w:rPr>
                      <w:rFonts w:hint="default" w:ascii="Times New Roman" w:hAnsi="Times New Roman" w:eastAsia="Times New Roman" w:cs="Times New Roman"/>
                      <w:color w:val="auto"/>
                      <w:spacing w:val="4"/>
                      <w:position w:val="1"/>
                      <w:sz w:val="21"/>
                      <w:szCs w:val="21"/>
                      <w:highlight w:val="none"/>
                    </w:rPr>
                    <w:t>31.9</w:t>
                  </w:r>
                </w:p>
              </w:tc>
              <w:tc>
                <w:tcPr>
                  <w:tcW w:w="374" w:type="pct"/>
                  <w:vMerge w:val="continue"/>
                  <w:vAlign w:val="center"/>
                </w:tcPr>
                <w:p w14:paraId="32A24809">
                  <w:pPr>
                    <w:pageBreakBefore w:val="0"/>
                    <w:kinsoku/>
                    <w:wordWrap w:val="0"/>
                    <w:overflowPunct/>
                    <w:topLinePunct/>
                    <w:autoSpaceDE/>
                    <w:autoSpaceDN/>
                    <w:bidi w:val="0"/>
                    <w:jc w:val="center"/>
                    <w:rPr>
                      <w:rFonts w:hint="default" w:ascii="Times New Roman" w:hAnsi="Times New Roman" w:cs="Times New Roman"/>
                      <w:color w:val="auto"/>
                      <w:sz w:val="21"/>
                      <w:szCs w:val="21"/>
                      <w:highlight w:val="none"/>
                    </w:rPr>
                  </w:pPr>
                </w:p>
              </w:tc>
            </w:tr>
          </w:tbl>
          <w:p w14:paraId="00111385">
            <w:pPr>
              <w:keepNext w:val="0"/>
              <w:keepLines w:val="0"/>
              <w:pageBreakBefore w:val="0"/>
              <w:widowControl w:val="0"/>
              <w:kinsoku/>
              <w:wordWrap w:val="0"/>
              <w:overflowPunct/>
              <w:topLinePunct/>
              <w:autoSpaceDE/>
              <w:autoSpaceDN/>
              <w:bidi w:val="0"/>
              <w:adjustRightInd/>
              <w:snapToGrid w:val="0"/>
              <w:spacing w:beforeAutospacing="0" w:afterAutospacing="0" w:line="360" w:lineRule="auto"/>
              <w:ind w:left="0" w:leftChars="0" w:right="0" w:rightChars="0" w:firstLine="480" w:firstLineChars="200"/>
              <w:jc w:val="both"/>
              <w:textAlignment w:val="auto"/>
              <w:outlineLvl w:val="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预测模式</w:t>
            </w:r>
          </w:p>
          <w:p w14:paraId="2BAB6C47">
            <w:pPr>
              <w:pStyle w:val="41"/>
              <w:keepNext w:val="0"/>
              <w:keepLines w:val="0"/>
              <w:pageBreakBefore w:val="0"/>
              <w:widowControl w:val="0"/>
              <w:numPr>
                <w:ilvl w:val="0"/>
                <w:numId w:val="0"/>
              </w:numPr>
              <w:suppressLineNumbers w:val="0"/>
              <w:tabs>
                <w:tab w:val="left" w:pos="312"/>
              </w:tabs>
              <w:kinsoku/>
              <w:wordWrap/>
              <w:overflowPunct/>
              <w:topLinePunct w:val="0"/>
              <w:autoSpaceDE w:val="0"/>
              <w:autoSpaceDN w:val="0"/>
              <w:bidi w:val="0"/>
              <w:adjustRightInd/>
              <w:snapToGrid/>
              <w:spacing w:before="0" w:beforeAutospacing="0" w:after="0" w:afterAutospacing="0" w:line="360" w:lineRule="auto"/>
              <w:ind w:left="0" w:leftChars="0" w:right="0" w:rightChars="0" w:firstLine="480" w:firstLineChars="200"/>
              <w:jc w:val="left"/>
              <w:textAlignment w:val="auto"/>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eastAsia="宋体" w:cs="Times New Roman"/>
                <w:b w:val="0"/>
                <w:bCs w:val="0"/>
                <w:color w:val="auto"/>
                <w:sz w:val="24"/>
                <w:highlight w:val="none"/>
                <w:lang w:val="en-US" w:eastAsia="zh-CN"/>
              </w:rPr>
              <w:t>根据项目建设内容及《环境影响评价技术导则声环境》（HJ2.4-2021）的要求，本评价采用的模型为《环境影响评价技术导则声环境》(HJ2.4.2021)附录A（规范性附录）户外声传播的衰减和附录B（规范性附录）中“B.1工业噪声预测计算模型”。</w:t>
            </w:r>
          </w:p>
          <w:p w14:paraId="01A4405C">
            <w:pPr>
              <w:keepNext w:val="0"/>
              <w:keepLines w:val="0"/>
              <w:pageBreakBefore w:val="0"/>
              <w:widowControl w:val="0"/>
              <w:kinsoku/>
              <w:wordWrap w:val="0"/>
              <w:overflowPunct/>
              <w:topLinePunct/>
              <w:autoSpaceDE/>
              <w:autoSpaceDN/>
              <w:bidi w:val="0"/>
              <w:snapToGrid w:val="0"/>
              <w:spacing w:beforeAutospacing="0" w:afterAutospacing="0" w:line="360" w:lineRule="auto"/>
              <w:ind w:left="0" w:leftChars="0" w:right="0" w:rightChars="0" w:firstLine="482" w:firstLineChars="200"/>
              <w:jc w:val="both"/>
              <w:outlineLvl w:val="3"/>
              <w:rPr>
                <w:rFonts w:hint="default" w:ascii="Times New Roman" w:hAnsi="Times New Roman" w:cs="Times New Roman"/>
                <w:b w:val="0"/>
                <w:bCs/>
                <w:color w:val="auto"/>
                <w:kern w:val="2"/>
                <w:sz w:val="24"/>
                <w:szCs w:val="24"/>
                <w:highlight w:val="none"/>
              </w:rPr>
            </w:pPr>
            <w:r>
              <w:rPr>
                <w:rFonts w:hint="default" w:ascii="Times New Roman" w:hAnsi="Times New Roman" w:eastAsia="宋体" w:cs="Times New Roman"/>
                <w:b/>
                <w:color w:val="auto"/>
                <w:kern w:val="2"/>
                <w:sz w:val="24"/>
                <w:szCs w:val="24"/>
                <w:highlight w:val="none"/>
                <w:lang w:eastAsia="zh-CN"/>
              </w:rPr>
              <w:t>（</w:t>
            </w:r>
            <w:r>
              <w:rPr>
                <w:rFonts w:hint="default" w:ascii="Times New Roman" w:hAnsi="Times New Roman" w:eastAsia="宋体" w:cs="Times New Roman"/>
                <w:b w:val="0"/>
                <w:bCs/>
                <w:color w:val="auto"/>
                <w:kern w:val="2"/>
                <w:sz w:val="24"/>
                <w:szCs w:val="24"/>
                <w:highlight w:val="none"/>
                <w:lang w:val="en-US" w:eastAsia="zh-CN"/>
              </w:rPr>
              <w:t>3</w:t>
            </w:r>
            <w:r>
              <w:rPr>
                <w:rFonts w:hint="default" w:ascii="Times New Roman" w:hAnsi="Times New Roman" w:eastAsia="宋体" w:cs="Times New Roman"/>
                <w:b w:val="0"/>
                <w:bCs/>
                <w:color w:val="auto"/>
                <w:kern w:val="2"/>
                <w:sz w:val="24"/>
                <w:szCs w:val="24"/>
                <w:highlight w:val="none"/>
                <w:lang w:eastAsia="zh-CN"/>
              </w:rPr>
              <w:t>）</w:t>
            </w:r>
            <w:r>
              <w:rPr>
                <w:rFonts w:hint="default" w:ascii="Times New Roman" w:hAnsi="Times New Roman" w:cs="Times New Roman"/>
                <w:b w:val="0"/>
                <w:bCs/>
                <w:color w:val="auto"/>
                <w:kern w:val="2"/>
                <w:sz w:val="24"/>
                <w:szCs w:val="24"/>
                <w:highlight w:val="none"/>
              </w:rPr>
              <w:t>运营期噪声预测评价</w:t>
            </w:r>
          </w:p>
          <w:p w14:paraId="0CABA075">
            <w:pPr>
              <w:keepNext w:val="0"/>
              <w:keepLines w:val="0"/>
              <w:pageBreakBefore w:val="0"/>
              <w:widowControl w:val="0"/>
              <w:kinsoku/>
              <w:wordWrap w:val="0"/>
              <w:overflowPunct/>
              <w:topLinePunct/>
              <w:autoSpaceDE/>
              <w:autoSpaceDN/>
              <w:bidi w:val="0"/>
              <w:spacing w:beforeAutospacing="0" w:afterAutospacing="0" w:line="360" w:lineRule="auto"/>
              <w:ind w:left="0" w:leftChars="0" w:right="0" w:rightChars="0" w:firstLine="480" w:firstLineChars="200"/>
              <w:jc w:val="both"/>
              <w:rPr>
                <w:rFonts w:hint="default" w:ascii="Times New Roman" w:hAnsi="Times New Roman" w:cs="Times New Roman"/>
                <w:color w:val="auto"/>
                <w:kern w:val="2"/>
                <w:sz w:val="24"/>
                <w:szCs w:val="24"/>
                <w:highlight w:val="none"/>
                <w:lang w:val="zh-CN"/>
              </w:rPr>
            </w:pPr>
            <w:r>
              <w:rPr>
                <w:rFonts w:hint="default" w:ascii="Times New Roman" w:hAnsi="Times New Roman" w:cs="Times New Roman"/>
                <w:color w:val="auto"/>
                <w:kern w:val="2"/>
                <w:sz w:val="24"/>
                <w:szCs w:val="24"/>
                <w:highlight w:val="none"/>
                <w:lang w:val="zh-CN"/>
              </w:rPr>
              <w:t>本项目噪声影响预测结果</w:t>
            </w:r>
            <w:r>
              <w:rPr>
                <w:rFonts w:hint="default" w:ascii="Times New Roman" w:hAnsi="Times New Roman" w:cs="Times New Roman"/>
                <w:color w:val="auto"/>
                <w:kern w:val="2"/>
                <w:sz w:val="24"/>
                <w:szCs w:val="24"/>
                <w:highlight w:val="none"/>
              </w:rPr>
              <w:t>见</w:t>
            </w:r>
            <w:r>
              <w:rPr>
                <w:rFonts w:hint="default" w:ascii="Times New Roman" w:hAnsi="Times New Roman" w:cs="Times New Roman"/>
                <w:color w:val="auto"/>
                <w:kern w:val="2"/>
                <w:sz w:val="24"/>
                <w:szCs w:val="24"/>
                <w:highlight w:val="none"/>
                <w:lang w:val="zh-CN"/>
              </w:rPr>
              <w:t>表</w:t>
            </w:r>
            <w:r>
              <w:rPr>
                <w:rFonts w:hint="default" w:ascii="Times New Roman" w:hAnsi="Times New Roman" w:eastAsia="宋体" w:cs="Times New Roman"/>
                <w:color w:val="auto"/>
                <w:kern w:val="2"/>
                <w:sz w:val="24"/>
                <w:szCs w:val="24"/>
                <w:highlight w:val="none"/>
                <w:lang w:val="en-US" w:eastAsia="zh-CN"/>
              </w:rPr>
              <w:t>4-8</w:t>
            </w:r>
            <w:r>
              <w:rPr>
                <w:rFonts w:hint="default" w:ascii="Times New Roman" w:hAnsi="Times New Roman" w:cs="Times New Roman"/>
                <w:color w:val="auto"/>
                <w:kern w:val="2"/>
                <w:sz w:val="24"/>
                <w:szCs w:val="24"/>
                <w:highlight w:val="none"/>
                <w:lang w:val="zh-CN"/>
              </w:rPr>
              <w:t>。</w:t>
            </w:r>
          </w:p>
          <w:p w14:paraId="410A1D16">
            <w:pPr>
              <w:pageBreakBefore w:val="0"/>
              <w:kinsoku/>
              <w:wordWrap w:val="0"/>
              <w:overflowPunct/>
              <w:topLinePunct/>
              <w:autoSpaceDE/>
              <w:autoSpaceDN/>
              <w:bidi w:val="0"/>
              <w:adjustRightInd w:val="0"/>
              <w:snapToGrid w:val="0"/>
              <w:spacing w:beforeAutospacing="0" w:afterAutospacing="0"/>
              <w:ind w:left="0" w:leftChars="0" w:right="0" w:rightChars="0"/>
              <w:jc w:val="center"/>
              <w:rPr>
                <w:rFonts w:hint="default" w:ascii="Times New Roman" w:hAnsi="Times New Roman" w:eastAsia="Arial" w:cs="Times New Roman"/>
                <w:b/>
                <w:bCs/>
                <w:snapToGrid w:val="0"/>
                <w:color w:val="auto"/>
                <w:kern w:val="0"/>
                <w:sz w:val="21"/>
                <w:szCs w:val="21"/>
                <w:highlight w:val="none"/>
                <w:lang w:val="en-US" w:eastAsia="zh-CN" w:bidi="ar-SA"/>
              </w:rPr>
            </w:pPr>
            <w:r>
              <w:rPr>
                <w:rFonts w:hint="default" w:ascii="Times New Roman" w:hAnsi="Times New Roman" w:eastAsia="Arial" w:cs="Times New Roman"/>
                <w:b/>
                <w:bCs/>
                <w:snapToGrid w:val="0"/>
                <w:color w:val="auto"/>
                <w:kern w:val="0"/>
                <w:sz w:val="21"/>
                <w:szCs w:val="21"/>
                <w:highlight w:val="none"/>
                <w:lang w:val="en-US" w:eastAsia="en-US" w:bidi="ar-SA"/>
              </w:rPr>
              <w:t>表</w:t>
            </w:r>
            <w:r>
              <w:rPr>
                <w:rFonts w:hint="default" w:ascii="Times New Roman" w:hAnsi="Times New Roman" w:eastAsia="Arial" w:cs="Times New Roman"/>
                <w:b/>
                <w:bCs/>
                <w:snapToGrid w:val="0"/>
                <w:color w:val="auto"/>
                <w:kern w:val="0"/>
                <w:sz w:val="21"/>
                <w:szCs w:val="21"/>
                <w:highlight w:val="none"/>
                <w:lang w:val="en-US" w:eastAsia="zh-CN" w:bidi="ar-SA"/>
              </w:rPr>
              <w:t>4-</w:t>
            </w:r>
            <w:r>
              <w:rPr>
                <w:rFonts w:hint="default" w:ascii="Times New Roman" w:hAnsi="Times New Roman" w:cs="Times New Roman"/>
                <w:b/>
                <w:bCs/>
                <w:snapToGrid w:val="0"/>
                <w:color w:val="auto"/>
                <w:kern w:val="0"/>
                <w:sz w:val="21"/>
                <w:szCs w:val="21"/>
                <w:highlight w:val="none"/>
                <w:lang w:val="en-US" w:eastAsia="zh-CN" w:bidi="ar-SA"/>
              </w:rPr>
              <w:t xml:space="preserve">8  </w:t>
            </w:r>
            <w:r>
              <w:rPr>
                <w:rFonts w:hint="default" w:ascii="Times New Roman" w:hAnsi="Times New Roman" w:eastAsia="Arial" w:cs="Times New Roman"/>
                <w:b/>
                <w:bCs/>
                <w:snapToGrid w:val="0"/>
                <w:color w:val="auto"/>
                <w:kern w:val="0"/>
                <w:sz w:val="21"/>
                <w:szCs w:val="21"/>
                <w:highlight w:val="none"/>
                <w:lang w:val="en-US" w:eastAsia="en-US" w:bidi="ar-SA"/>
              </w:rPr>
              <w:t>厂界噪声预测单位：</w:t>
            </w:r>
            <w:r>
              <w:rPr>
                <w:rFonts w:hint="default" w:ascii="Times New Roman" w:hAnsi="Times New Roman" w:eastAsia="Arial" w:cs="Times New Roman"/>
                <w:b/>
                <w:bCs/>
                <w:snapToGrid w:val="0"/>
                <w:color w:val="auto"/>
                <w:kern w:val="0"/>
                <w:sz w:val="21"/>
                <w:szCs w:val="21"/>
                <w:highlight w:val="none"/>
                <w:lang w:val="en-US" w:eastAsia="zh-CN" w:bidi="ar-SA"/>
              </w:rPr>
              <w:t>分贝</w:t>
            </w:r>
          </w:p>
          <w:tbl>
            <w:tblPr>
              <w:tblStyle w:val="18"/>
              <w:tblW w:w="4882" w:type="pct"/>
              <w:jc w:val="center"/>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Layout w:type="fixed"/>
              <w:tblCellMar>
                <w:top w:w="0" w:type="dxa"/>
                <w:left w:w="0" w:type="dxa"/>
                <w:bottom w:w="0" w:type="dxa"/>
                <w:right w:w="0" w:type="dxa"/>
              </w:tblCellMar>
            </w:tblPr>
            <w:tblGrid>
              <w:gridCol w:w="4009"/>
              <w:gridCol w:w="4010"/>
              <w:gridCol w:w="3"/>
            </w:tblGrid>
            <w:tr w14:paraId="30A0DEB4">
              <w:tblPrEx>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CellMar>
                  <w:top w:w="0" w:type="dxa"/>
                  <w:left w:w="0" w:type="dxa"/>
                  <w:bottom w:w="0" w:type="dxa"/>
                  <w:right w:w="0" w:type="dxa"/>
                </w:tblCellMar>
              </w:tblPrEx>
              <w:trPr>
                <w:cantSplit/>
                <w:trHeight w:val="258" w:hRule="atLeast"/>
                <w:jc w:val="center"/>
              </w:trPr>
              <w:tc>
                <w:tcPr>
                  <w:tcW w:w="2498" w:type="pct"/>
                  <w:noWrap w:val="0"/>
                  <w:vAlign w:val="center"/>
                </w:tcPr>
                <w:p w14:paraId="580F806B">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eastAsia="Arial" w:cs="Times New Roman"/>
                      <w:snapToGrid w:val="0"/>
                      <w:color w:val="auto"/>
                      <w:kern w:val="0"/>
                      <w:sz w:val="21"/>
                      <w:szCs w:val="21"/>
                      <w:highlight w:val="none"/>
                      <w:lang w:val="en-US" w:eastAsia="en-US" w:bidi="ar-SA"/>
                    </w:rPr>
                  </w:pPr>
                  <w:r>
                    <w:rPr>
                      <w:rFonts w:hint="default" w:ascii="Times New Roman" w:hAnsi="Times New Roman" w:eastAsia="Arial" w:cs="Times New Roman"/>
                      <w:snapToGrid w:val="0"/>
                      <w:color w:val="auto"/>
                      <w:kern w:val="0"/>
                      <w:sz w:val="21"/>
                      <w:szCs w:val="21"/>
                      <w:highlight w:val="none"/>
                      <w:lang w:val="en-US" w:eastAsia="en-US" w:bidi="ar-SA"/>
                    </w:rPr>
                    <w:t>厂界噪声</w:t>
                  </w:r>
                </w:p>
              </w:tc>
              <w:tc>
                <w:tcPr>
                  <w:tcW w:w="2501" w:type="pct"/>
                  <w:gridSpan w:val="2"/>
                  <w:vMerge w:val="restart"/>
                  <w:noWrap w:val="0"/>
                  <w:vAlign w:val="center"/>
                </w:tcPr>
                <w:p w14:paraId="377CA41C">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eastAsia="Arial" w:cs="Times New Roman"/>
                      <w:snapToGrid w:val="0"/>
                      <w:color w:val="auto"/>
                      <w:kern w:val="0"/>
                      <w:sz w:val="21"/>
                      <w:szCs w:val="21"/>
                      <w:highlight w:val="none"/>
                      <w:lang w:val="en-US" w:eastAsia="en-US" w:bidi="ar-SA"/>
                    </w:rPr>
                  </w:pPr>
                  <w:r>
                    <w:rPr>
                      <w:rFonts w:hint="default" w:ascii="Times New Roman" w:hAnsi="Times New Roman" w:eastAsia="Arial" w:cs="Times New Roman"/>
                      <w:snapToGrid w:val="0"/>
                      <w:color w:val="auto"/>
                      <w:kern w:val="0"/>
                      <w:sz w:val="21"/>
                      <w:szCs w:val="21"/>
                      <w:highlight w:val="none"/>
                      <w:lang w:val="en-US" w:eastAsia="en-US" w:bidi="ar-SA"/>
                    </w:rPr>
                    <w:t>厂界</w:t>
                  </w:r>
                  <w:r>
                    <w:rPr>
                      <w:rFonts w:hint="default" w:ascii="Times New Roman" w:hAnsi="Times New Roman" w:eastAsia="Arial" w:cs="Times New Roman"/>
                      <w:snapToGrid w:val="0"/>
                      <w:color w:val="auto"/>
                      <w:kern w:val="0"/>
                      <w:sz w:val="21"/>
                      <w:szCs w:val="21"/>
                      <w:highlight w:val="none"/>
                      <w:lang w:val="en-US" w:eastAsia="zh-CN" w:bidi="ar-SA"/>
                    </w:rPr>
                    <w:t>（</w:t>
                  </w:r>
                  <w:r>
                    <w:rPr>
                      <w:rFonts w:hint="default" w:ascii="Times New Roman" w:hAnsi="Times New Roman" w:eastAsia="Arial" w:cs="Times New Roman"/>
                      <w:snapToGrid w:val="0"/>
                      <w:color w:val="auto"/>
                      <w:kern w:val="0"/>
                      <w:sz w:val="21"/>
                      <w:szCs w:val="21"/>
                      <w:highlight w:val="none"/>
                      <w:lang w:val="en-US" w:eastAsia="en-US" w:bidi="ar-SA"/>
                    </w:rPr>
                    <w:t>昼</w:t>
                  </w:r>
                  <w:r>
                    <w:rPr>
                      <w:rFonts w:hint="default" w:ascii="Times New Roman" w:hAnsi="Times New Roman" w:eastAsia="Arial" w:cs="Times New Roman"/>
                      <w:snapToGrid w:val="0"/>
                      <w:color w:val="auto"/>
                      <w:kern w:val="0"/>
                      <w:sz w:val="21"/>
                      <w:szCs w:val="21"/>
                      <w:highlight w:val="none"/>
                      <w:lang w:val="en-US" w:eastAsia="zh-CN" w:bidi="ar-SA"/>
                    </w:rPr>
                    <w:t>间）</w:t>
                  </w:r>
                </w:p>
              </w:tc>
            </w:tr>
            <w:tr w14:paraId="22980025">
              <w:tblPrEx>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CellMar>
                  <w:top w:w="0" w:type="dxa"/>
                  <w:left w:w="0" w:type="dxa"/>
                  <w:bottom w:w="0" w:type="dxa"/>
                  <w:right w:w="0" w:type="dxa"/>
                </w:tblCellMar>
              </w:tblPrEx>
              <w:trPr>
                <w:gridAfter w:val="1"/>
                <w:wAfter w:w="2" w:type="pct"/>
                <w:cantSplit/>
                <w:trHeight w:val="349" w:hRule="atLeast"/>
                <w:jc w:val="center"/>
              </w:trPr>
              <w:tc>
                <w:tcPr>
                  <w:tcW w:w="2498" w:type="pct"/>
                  <w:noWrap w:val="0"/>
                  <w:vAlign w:val="center"/>
                </w:tcPr>
                <w:p w14:paraId="1B84EDC6">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cs="Times New Roman"/>
                      <w:color w:val="auto"/>
                      <w:sz w:val="21"/>
                      <w:szCs w:val="21"/>
                      <w:highlight w:val="none"/>
                    </w:rPr>
                  </w:pPr>
                  <w:r>
                    <w:rPr>
                      <w:rFonts w:hint="eastAsia" w:eastAsia="宋体" w:cs="Times New Roman"/>
                      <w:color w:val="auto"/>
                      <w:sz w:val="21"/>
                      <w:szCs w:val="21"/>
                      <w:highlight w:val="none"/>
                      <w:lang w:val="en-US" w:eastAsia="zh-CN"/>
                    </w:rPr>
                    <w:t>厂房</w:t>
                  </w:r>
                  <w:r>
                    <w:rPr>
                      <w:rFonts w:hint="default" w:ascii="Times New Roman" w:hAnsi="Times New Roman" w:cs="Times New Roman"/>
                      <w:color w:val="auto"/>
                      <w:sz w:val="21"/>
                      <w:szCs w:val="21"/>
                      <w:highlight w:val="none"/>
                    </w:rPr>
                    <w:t>东</w:t>
                  </w:r>
                  <w:r>
                    <w:rPr>
                      <w:rFonts w:hint="eastAsia" w:eastAsia="宋体" w:cs="Times New Roman"/>
                      <w:color w:val="auto"/>
                      <w:sz w:val="21"/>
                      <w:szCs w:val="21"/>
                      <w:highlight w:val="none"/>
                      <w:lang w:val="en-US" w:eastAsia="zh-CN"/>
                    </w:rPr>
                    <w:t>边</w:t>
                  </w:r>
                  <w:r>
                    <w:rPr>
                      <w:rFonts w:hint="default" w:ascii="Times New Roman" w:hAnsi="Times New Roman" w:cs="Times New Roman"/>
                      <w:color w:val="auto"/>
                      <w:sz w:val="21"/>
                      <w:szCs w:val="21"/>
                      <w:highlight w:val="none"/>
                    </w:rPr>
                    <w:t>界贡献值</w:t>
                  </w:r>
                </w:p>
              </w:tc>
              <w:tc>
                <w:tcPr>
                  <w:tcW w:w="2499" w:type="pct"/>
                  <w:noWrap w:val="0"/>
                  <w:vAlign w:val="center"/>
                </w:tcPr>
                <w:p w14:paraId="330E5525">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25</w:t>
                  </w:r>
                </w:p>
              </w:tc>
            </w:tr>
            <w:tr w14:paraId="64F5769C">
              <w:tblPrEx>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CellMar>
                  <w:top w:w="0" w:type="dxa"/>
                  <w:left w:w="0" w:type="dxa"/>
                  <w:bottom w:w="0" w:type="dxa"/>
                  <w:right w:w="0" w:type="dxa"/>
                </w:tblCellMar>
              </w:tblPrEx>
              <w:trPr>
                <w:gridAfter w:val="1"/>
                <w:wAfter w:w="2" w:type="pct"/>
                <w:cantSplit/>
                <w:trHeight w:val="349" w:hRule="atLeast"/>
                <w:jc w:val="center"/>
              </w:trPr>
              <w:tc>
                <w:tcPr>
                  <w:tcW w:w="2498" w:type="pct"/>
                  <w:noWrap w:val="0"/>
                  <w:vAlign w:val="center"/>
                </w:tcPr>
                <w:p w14:paraId="15D515F4">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cs="Times New Roman"/>
                      <w:color w:val="auto"/>
                      <w:sz w:val="21"/>
                      <w:szCs w:val="21"/>
                      <w:highlight w:val="none"/>
                    </w:rPr>
                  </w:pPr>
                  <w:r>
                    <w:rPr>
                      <w:rFonts w:hint="eastAsia" w:eastAsia="宋体" w:cs="Times New Roman"/>
                      <w:color w:val="auto"/>
                      <w:sz w:val="21"/>
                      <w:szCs w:val="21"/>
                      <w:highlight w:val="none"/>
                      <w:lang w:val="en-US" w:eastAsia="zh-CN"/>
                    </w:rPr>
                    <w:t>厂房</w:t>
                  </w:r>
                  <w:r>
                    <w:rPr>
                      <w:rFonts w:hint="default" w:ascii="Times New Roman" w:hAnsi="Times New Roman" w:cs="Times New Roman"/>
                      <w:color w:val="auto"/>
                      <w:sz w:val="21"/>
                      <w:szCs w:val="21"/>
                      <w:highlight w:val="none"/>
                    </w:rPr>
                    <w:t>南</w:t>
                  </w:r>
                  <w:r>
                    <w:rPr>
                      <w:rFonts w:hint="eastAsia" w:eastAsia="宋体" w:cs="Times New Roman"/>
                      <w:color w:val="auto"/>
                      <w:sz w:val="21"/>
                      <w:szCs w:val="21"/>
                      <w:highlight w:val="none"/>
                      <w:lang w:val="en-US" w:eastAsia="zh-CN"/>
                    </w:rPr>
                    <w:t>边</w:t>
                  </w:r>
                  <w:r>
                    <w:rPr>
                      <w:rFonts w:hint="default" w:ascii="Times New Roman" w:hAnsi="Times New Roman" w:cs="Times New Roman"/>
                      <w:color w:val="auto"/>
                      <w:sz w:val="21"/>
                      <w:szCs w:val="21"/>
                      <w:highlight w:val="none"/>
                    </w:rPr>
                    <w:t>界贡献值</w:t>
                  </w:r>
                </w:p>
              </w:tc>
              <w:tc>
                <w:tcPr>
                  <w:tcW w:w="2499" w:type="pct"/>
                  <w:noWrap w:val="0"/>
                  <w:vAlign w:val="center"/>
                </w:tcPr>
                <w:p w14:paraId="0437647B">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r>
                    <w:rPr>
                      <w:rFonts w:hint="eastAsia" w:eastAsia="宋体" w:cs="Times New Roman"/>
                      <w:color w:val="auto"/>
                      <w:sz w:val="21"/>
                      <w:szCs w:val="21"/>
                      <w:highlight w:val="none"/>
                      <w:lang w:val="en-US" w:eastAsia="zh-CN"/>
                    </w:rPr>
                    <w:t>6</w:t>
                  </w:r>
                </w:p>
              </w:tc>
            </w:tr>
            <w:tr w14:paraId="00C7F830">
              <w:tblPrEx>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CellMar>
                  <w:top w:w="0" w:type="dxa"/>
                  <w:left w:w="0" w:type="dxa"/>
                  <w:bottom w:w="0" w:type="dxa"/>
                  <w:right w:w="0" w:type="dxa"/>
                </w:tblCellMar>
              </w:tblPrEx>
              <w:trPr>
                <w:gridAfter w:val="1"/>
                <w:wAfter w:w="2" w:type="pct"/>
                <w:cantSplit/>
                <w:trHeight w:val="349" w:hRule="atLeast"/>
                <w:jc w:val="center"/>
              </w:trPr>
              <w:tc>
                <w:tcPr>
                  <w:tcW w:w="2498" w:type="pct"/>
                  <w:noWrap w:val="0"/>
                  <w:vAlign w:val="center"/>
                </w:tcPr>
                <w:p w14:paraId="4565BC23">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cs="Times New Roman"/>
                      <w:color w:val="auto"/>
                      <w:sz w:val="21"/>
                      <w:szCs w:val="21"/>
                      <w:highlight w:val="none"/>
                    </w:rPr>
                  </w:pPr>
                  <w:r>
                    <w:rPr>
                      <w:rFonts w:hint="eastAsia" w:eastAsia="宋体" w:cs="Times New Roman"/>
                      <w:color w:val="auto"/>
                      <w:sz w:val="21"/>
                      <w:szCs w:val="21"/>
                      <w:highlight w:val="none"/>
                      <w:lang w:val="en-US" w:eastAsia="zh-CN"/>
                    </w:rPr>
                    <w:t>厂房</w:t>
                  </w:r>
                  <w:r>
                    <w:rPr>
                      <w:rFonts w:hint="default" w:ascii="Times New Roman" w:hAnsi="Times New Roman" w:cs="Times New Roman"/>
                      <w:color w:val="auto"/>
                      <w:sz w:val="21"/>
                      <w:szCs w:val="21"/>
                      <w:highlight w:val="none"/>
                    </w:rPr>
                    <w:t>西</w:t>
                  </w:r>
                  <w:r>
                    <w:rPr>
                      <w:rFonts w:hint="eastAsia" w:eastAsia="宋体" w:cs="Times New Roman"/>
                      <w:color w:val="auto"/>
                      <w:sz w:val="21"/>
                      <w:szCs w:val="21"/>
                      <w:highlight w:val="none"/>
                      <w:lang w:val="en-US" w:eastAsia="zh-CN"/>
                    </w:rPr>
                    <w:t>边</w:t>
                  </w:r>
                  <w:r>
                    <w:rPr>
                      <w:rFonts w:hint="default" w:ascii="Times New Roman" w:hAnsi="Times New Roman" w:cs="Times New Roman"/>
                      <w:color w:val="auto"/>
                      <w:sz w:val="21"/>
                      <w:szCs w:val="21"/>
                      <w:highlight w:val="none"/>
                    </w:rPr>
                    <w:t>界贡献值</w:t>
                  </w:r>
                </w:p>
              </w:tc>
              <w:tc>
                <w:tcPr>
                  <w:tcW w:w="2499" w:type="pct"/>
                  <w:noWrap w:val="0"/>
                  <w:vAlign w:val="center"/>
                </w:tcPr>
                <w:p w14:paraId="42E638FE">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r>
                    <w:rPr>
                      <w:rFonts w:hint="eastAsia" w:eastAsia="宋体" w:cs="Times New Roman"/>
                      <w:color w:val="auto"/>
                      <w:sz w:val="21"/>
                      <w:szCs w:val="21"/>
                      <w:highlight w:val="none"/>
                      <w:lang w:val="en-US" w:eastAsia="zh-CN"/>
                    </w:rPr>
                    <w:t>8</w:t>
                  </w:r>
                </w:p>
              </w:tc>
            </w:tr>
            <w:tr w14:paraId="623D1DF3">
              <w:tblPrEx>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CellMar>
                  <w:top w:w="0" w:type="dxa"/>
                  <w:left w:w="0" w:type="dxa"/>
                  <w:bottom w:w="0" w:type="dxa"/>
                  <w:right w:w="0" w:type="dxa"/>
                </w:tblCellMar>
              </w:tblPrEx>
              <w:trPr>
                <w:gridAfter w:val="1"/>
                <w:wAfter w:w="2" w:type="pct"/>
                <w:cantSplit/>
                <w:trHeight w:val="349" w:hRule="atLeast"/>
                <w:jc w:val="center"/>
              </w:trPr>
              <w:tc>
                <w:tcPr>
                  <w:tcW w:w="2498" w:type="pct"/>
                  <w:noWrap w:val="0"/>
                  <w:vAlign w:val="center"/>
                </w:tcPr>
                <w:p w14:paraId="1AA14C10">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cs="Times New Roman"/>
                      <w:color w:val="auto"/>
                      <w:sz w:val="21"/>
                      <w:szCs w:val="21"/>
                      <w:highlight w:val="none"/>
                    </w:rPr>
                  </w:pPr>
                  <w:r>
                    <w:rPr>
                      <w:rFonts w:hint="eastAsia" w:eastAsia="宋体" w:cs="Times New Roman"/>
                      <w:color w:val="auto"/>
                      <w:sz w:val="21"/>
                      <w:szCs w:val="21"/>
                      <w:highlight w:val="none"/>
                      <w:lang w:val="en-US" w:eastAsia="zh-CN"/>
                    </w:rPr>
                    <w:t>厂房</w:t>
                  </w:r>
                  <w:r>
                    <w:rPr>
                      <w:rFonts w:hint="default" w:ascii="Times New Roman" w:hAnsi="Times New Roman" w:cs="Times New Roman"/>
                      <w:color w:val="auto"/>
                      <w:sz w:val="21"/>
                      <w:szCs w:val="21"/>
                      <w:highlight w:val="none"/>
                    </w:rPr>
                    <w:t>北</w:t>
                  </w:r>
                  <w:r>
                    <w:rPr>
                      <w:rFonts w:hint="eastAsia" w:eastAsia="宋体" w:cs="Times New Roman"/>
                      <w:color w:val="auto"/>
                      <w:sz w:val="21"/>
                      <w:szCs w:val="21"/>
                      <w:highlight w:val="none"/>
                      <w:lang w:val="en-US" w:eastAsia="zh-CN"/>
                    </w:rPr>
                    <w:t>边</w:t>
                  </w:r>
                  <w:r>
                    <w:rPr>
                      <w:rFonts w:hint="default" w:ascii="Times New Roman" w:hAnsi="Times New Roman" w:cs="Times New Roman"/>
                      <w:color w:val="auto"/>
                      <w:sz w:val="21"/>
                      <w:szCs w:val="21"/>
                      <w:highlight w:val="none"/>
                    </w:rPr>
                    <w:t>界贡献值</w:t>
                  </w:r>
                </w:p>
              </w:tc>
              <w:tc>
                <w:tcPr>
                  <w:tcW w:w="2499" w:type="pct"/>
                  <w:noWrap w:val="0"/>
                  <w:vAlign w:val="center"/>
                </w:tcPr>
                <w:p w14:paraId="0C19D89F">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r>
                    <w:rPr>
                      <w:rFonts w:hint="eastAsia" w:eastAsia="宋体" w:cs="Times New Roman"/>
                      <w:color w:val="auto"/>
                      <w:sz w:val="21"/>
                      <w:szCs w:val="21"/>
                      <w:highlight w:val="none"/>
                      <w:lang w:val="en-US" w:eastAsia="zh-CN"/>
                    </w:rPr>
                    <w:t>5</w:t>
                  </w:r>
                </w:p>
              </w:tc>
            </w:tr>
            <w:tr w14:paraId="08B20C22">
              <w:tblPrEx>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CellMar>
                  <w:top w:w="0" w:type="dxa"/>
                  <w:left w:w="0" w:type="dxa"/>
                  <w:bottom w:w="0" w:type="dxa"/>
                  <w:right w:w="0" w:type="dxa"/>
                </w:tblCellMar>
              </w:tblPrEx>
              <w:trPr>
                <w:gridAfter w:val="1"/>
                <w:wAfter w:w="2" w:type="pct"/>
                <w:cantSplit/>
                <w:trHeight w:val="359" w:hRule="atLeast"/>
                <w:jc w:val="center"/>
              </w:trPr>
              <w:tc>
                <w:tcPr>
                  <w:tcW w:w="2498" w:type="pct"/>
                  <w:noWrap w:val="0"/>
                  <w:vAlign w:val="center"/>
                </w:tcPr>
                <w:p w14:paraId="1D0FD87A">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标准值</w:t>
                  </w:r>
                </w:p>
              </w:tc>
              <w:tc>
                <w:tcPr>
                  <w:tcW w:w="2499" w:type="pct"/>
                  <w:noWrap w:val="0"/>
                  <w:vAlign w:val="center"/>
                </w:tcPr>
                <w:p w14:paraId="4F419664">
                  <w:pPr>
                    <w:pStyle w:val="52"/>
                    <w:pageBreakBefore w:val="0"/>
                    <w:kinsoku/>
                    <w:wordWrap w:val="0"/>
                    <w:overflowPunct/>
                    <w:topLinePunct/>
                    <w:autoSpaceDE/>
                    <w:autoSpaceDN/>
                    <w:bidi w:val="0"/>
                    <w:spacing w:beforeAutospacing="0" w:afterAutospacing="0"/>
                    <w:ind w:left="0" w:leftChars="0" w:right="0" w:rightChars="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65</w:t>
                  </w:r>
                </w:p>
              </w:tc>
            </w:tr>
          </w:tbl>
          <w:p w14:paraId="7CF34BBE">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4"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6"/>
                <w:sz w:val="24"/>
                <w:szCs w:val="24"/>
                <w:highlight w:val="none"/>
              </w:rPr>
              <w:t>由表</w:t>
            </w:r>
            <w:r>
              <w:rPr>
                <w:rFonts w:hint="default" w:ascii="Times New Roman" w:hAnsi="Times New Roman" w:eastAsia="Times New Roman" w:cs="Times New Roman"/>
                <w:color w:val="auto"/>
                <w:spacing w:val="6"/>
                <w:sz w:val="24"/>
                <w:szCs w:val="24"/>
                <w:highlight w:val="none"/>
              </w:rPr>
              <w:t>4-</w:t>
            </w:r>
            <w:r>
              <w:rPr>
                <w:rFonts w:hint="eastAsia" w:ascii="Times New Roman" w:hAnsi="Times New Roman" w:cs="Times New Roman"/>
                <w:color w:val="auto"/>
                <w:spacing w:val="6"/>
                <w:sz w:val="24"/>
                <w:szCs w:val="24"/>
                <w:highlight w:val="none"/>
                <w:lang w:val="en-US" w:eastAsia="zh-CN"/>
              </w:rPr>
              <w:t>8可</w:t>
            </w:r>
            <w:r>
              <w:rPr>
                <w:rFonts w:hint="default" w:ascii="Times New Roman" w:hAnsi="Times New Roman" w:cs="Times New Roman"/>
                <w:color w:val="auto"/>
                <w:spacing w:val="6"/>
                <w:sz w:val="24"/>
                <w:szCs w:val="24"/>
                <w:highlight w:val="none"/>
              </w:rPr>
              <w:t>知，在采取了本次环评提出的降噪措施后，项目昼间噪声满足《工</w:t>
            </w:r>
            <w:r>
              <w:rPr>
                <w:rFonts w:hint="default" w:ascii="Times New Roman" w:hAnsi="Times New Roman" w:cs="Times New Roman"/>
                <w:color w:val="auto"/>
                <w:spacing w:val="10"/>
                <w:sz w:val="24"/>
                <w:szCs w:val="24"/>
                <w:highlight w:val="none"/>
              </w:rPr>
              <w:t>业企业厂界环境噪声排放标准》（</w:t>
            </w:r>
            <w:r>
              <w:rPr>
                <w:rFonts w:hint="default" w:ascii="Times New Roman" w:hAnsi="Times New Roman" w:eastAsia="Times New Roman" w:cs="Times New Roman"/>
                <w:color w:val="auto"/>
                <w:sz w:val="24"/>
                <w:szCs w:val="24"/>
                <w:highlight w:val="none"/>
              </w:rPr>
              <w:t>GB</w:t>
            </w:r>
            <w:r>
              <w:rPr>
                <w:rFonts w:hint="default" w:ascii="Times New Roman" w:hAnsi="Times New Roman" w:eastAsia="Times New Roman" w:cs="Times New Roman"/>
                <w:color w:val="auto"/>
                <w:spacing w:val="10"/>
                <w:sz w:val="24"/>
                <w:szCs w:val="24"/>
                <w:highlight w:val="none"/>
              </w:rPr>
              <w:t>123489-2008</w:t>
            </w:r>
            <w:r>
              <w:rPr>
                <w:rFonts w:hint="default" w:ascii="Times New Roman" w:hAnsi="Times New Roman" w:cs="Times New Roman"/>
                <w:color w:val="auto"/>
                <w:spacing w:val="9"/>
                <w:sz w:val="24"/>
                <w:szCs w:val="24"/>
                <w:highlight w:val="none"/>
              </w:rPr>
              <w:t>）</w:t>
            </w:r>
            <w:r>
              <w:rPr>
                <w:rFonts w:hint="default" w:ascii="Times New Roman" w:hAnsi="Times New Roman" w:eastAsia="Times New Roman" w:cs="Times New Roman"/>
                <w:color w:val="auto"/>
                <w:spacing w:val="9"/>
                <w:sz w:val="24"/>
                <w:szCs w:val="24"/>
                <w:highlight w:val="none"/>
              </w:rPr>
              <w:t>3</w:t>
            </w:r>
            <w:r>
              <w:rPr>
                <w:rFonts w:hint="default" w:ascii="Times New Roman" w:hAnsi="Times New Roman" w:cs="Times New Roman"/>
                <w:color w:val="auto"/>
                <w:spacing w:val="9"/>
                <w:sz w:val="24"/>
                <w:szCs w:val="24"/>
                <w:highlight w:val="none"/>
              </w:rPr>
              <w:t>类标准昼间要求，不会产生超标排</w:t>
            </w:r>
            <w:r>
              <w:rPr>
                <w:rFonts w:hint="default" w:ascii="Times New Roman" w:hAnsi="Times New Roman" w:cs="Times New Roman"/>
                <w:color w:val="auto"/>
                <w:sz w:val="24"/>
                <w:szCs w:val="24"/>
                <w:highlight w:val="none"/>
              </w:rPr>
              <w:t>放。</w:t>
            </w:r>
          </w:p>
          <w:p w14:paraId="27125513">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2"/>
                <w:sz w:val="24"/>
                <w:szCs w:val="24"/>
                <w:highlight w:val="none"/>
              </w:rPr>
              <w:t>为确保项目运行时厂界噪声达标，项目应采取有效的措施进行降噪，可采取如下措</w:t>
            </w:r>
            <w:r>
              <w:rPr>
                <w:rFonts w:hint="default" w:ascii="Times New Roman" w:hAnsi="Times New Roman" w:cs="Times New Roman"/>
                <w:color w:val="auto"/>
                <w:spacing w:val="6"/>
                <w:sz w:val="24"/>
                <w:szCs w:val="24"/>
                <w:highlight w:val="none"/>
              </w:rPr>
              <w:t>施进行防治：</w:t>
            </w:r>
          </w:p>
          <w:p w14:paraId="619166B9">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9"/>
                <w:sz w:val="24"/>
                <w:szCs w:val="24"/>
                <w:highlight w:val="none"/>
              </w:rPr>
              <w:t>（</w:t>
            </w:r>
            <w:r>
              <w:rPr>
                <w:rFonts w:hint="default" w:ascii="Times New Roman" w:hAnsi="Times New Roman" w:eastAsia="Times New Roman" w:cs="Times New Roman"/>
                <w:color w:val="auto"/>
                <w:spacing w:val="9"/>
                <w:sz w:val="24"/>
                <w:szCs w:val="24"/>
                <w:highlight w:val="none"/>
              </w:rPr>
              <w:t>1</w:t>
            </w:r>
            <w:r>
              <w:rPr>
                <w:rFonts w:hint="default" w:ascii="Times New Roman" w:hAnsi="Times New Roman" w:cs="Times New Roman"/>
                <w:color w:val="auto"/>
                <w:spacing w:val="9"/>
                <w:sz w:val="24"/>
                <w:szCs w:val="24"/>
                <w:highlight w:val="none"/>
              </w:rPr>
              <w:t>）制定相关操作规程，做好对生产、装卸过程中的管理，对原料</w:t>
            </w:r>
            <w:r>
              <w:rPr>
                <w:rFonts w:hint="default" w:ascii="Times New Roman" w:hAnsi="Times New Roman" w:cs="Times New Roman"/>
                <w:color w:val="auto"/>
                <w:spacing w:val="8"/>
                <w:sz w:val="24"/>
                <w:szCs w:val="24"/>
                <w:highlight w:val="none"/>
              </w:rPr>
              <w:t>、成品的搬运、</w:t>
            </w:r>
            <w:r>
              <w:rPr>
                <w:rFonts w:hint="default" w:ascii="Times New Roman" w:hAnsi="Times New Roman" w:cs="Times New Roman"/>
                <w:color w:val="auto"/>
                <w:spacing w:val="12"/>
                <w:sz w:val="24"/>
                <w:szCs w:val="24"/>
                <w:highlight w:val="none"/>
              </w:rPr>
              <w:t>装卸做到轻拿轻放，减少原料和成品装卸时的落差，尽量减少瞬时噪声对周边环境产生</w:t>
            </w:r>
            <w:r>
              <w:rPr>
                <w:rFonts w:hint="default" w:ascii="Times New Roman" w:hAnsi="Times New Roman" w:cs="Times New Roman"/>
                <w:color w:val="auto"/>
                <w:spacing w:val="5"/>
                <w:sz w:val="24"/>
                <w:szCs w:val="24"/>
                <w:highlight w:val="none"/>
              </w:rPr>
              <w:t>的影响。</w:t>
            </w:r>
          </w:p>
          <w:p w14:paraId="1697E842">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9"/>
                <w:sz w:val="24"/>
                <w:szCs w:val="24"/>
                <w:highlight w:val="none"/>
              </w:rPr>
              <w:t>（</w:t>
            </w:r>
            <w:r>
              <w:rPr>
                <w:rFonts w:hint="default" w:ascii="Times New Roman" w:hAnsi="Times New Roman" w:eastAsia="Times New Roman" w:cs="Times New Roman"/>
                <w:color w:val="auto"/>
                <w:spacing w:val="9"/>
                <w:sz w:val="24"/>
                <w:szCs w:val="24"/>
                <w:highlight w:val="none"/>
              </w:rPr>
              <w:t>2</w:t>
            </w:r>
            <w:r>
              <w:rPr>
                <w:rFonts w:hint="default" w:ascii="Times New Roman" w:hAnsi="Times New Roman" w:cs="Times New Roman"/>
                <w:color w:val="auto"/>
                <w:spacing w:val="9"/>
                <w:sz w:val="24"/>
                <w:szCs w:val="24"/>
                <w:highlight w:val="none"/>
              </w:rPr>
              <w:t>）在设计和设备采购阶段，应优先选用先进的低噪音设备，</w:t>
            </w:r>
            <w:r>
              <w:rPr>
                <w:rFonts w:hint="default" w:ascii="Times New Roman" w:hAnsi="Times New Roman" w:cs="Times New Roman"/>
                <w:color w:val="auto"/>
                <w:spacing w:val="8"/>
                <w:sz w:val="24"/>
                <w:szCs w:val="24"/>
                <w:highlight w:val="none"/>
              </w:rPr>
              <w:t>从声源上降低设备本</w:t>
            </w:r>
            <w:r>
              <w:rPr>
                <w:rFonts w:hint="default" w:ascii="Times New Roman" w:hAnsi="Times New Roman" w:cs="Times New Roman"/>
                <w:color w:val="auto"/>
                <w:spacing w:val="12"/>
                <w:sz w:val="24"/>
                <w:szCs w:val="24"/>
                <w:highlight w:val="none"/>
              </w:rPr>
              <w:t>身噪音。风机等动力设备选用满足国际标准的低噪声、低振动设备，通风系统的风机也</w:t>
            </w:r>
            <w:r>
              <w:rPr>
                <w:rFonts w:hint="default" w:ascii="Times New Roman" w:hAnsi="Times New Roman" w:cs="Times New Roman"/>
                <w:color w:val="auto"/>
                <w:spacing w:val="9"/>
                <w:sz w:val="24"/>
                <w:szCs w:val="24"/>
                <w:highlight w:val="none"/>
              </w:rPr>
              <w:t>采用符合国家标准的设备，同时主要应选择本身带减振底座的风机。</w:t>
            </w:r>
          </w:p>
          <w:p w14:paraId="01042E17">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9"/>
                <w:sz w:val="24"/>
                <w:szCs w:val="24"/>
                <w:highlight w:val="none"/>
              </w:rPr>
              <w:t>（</w:t>
            </w:r>
            <w:r>
              <w:rPr>
                <w:rFonts w:hint="default" w:ascii="Times New Roman" w:hAnsi="Times New Roman" w:eastAsia="Times New Roman" w:cs="Times New Roman"/>
                <w:color w:val="auto"/>
                <w:spacing w:val="9"/>
                <w:sz w:val="24"/>
                <w:szCs w:val="24"/>
                <w:highlight w:val="none"/>
              </w:rPr>
              <w:t>3</w:t>
            </w:r>
            <w:r>
              <w:rPr>
                <w:rFonts w:hint="default" w:ascii="Times New Roman" w:hAnsi="Times New Roman" w:cs="Times New Roman"/>
                <w:color w:val="auto"/>
                <w:spacing w:val="9"/>
                <w:sz w:val="24"/>
                <w:szCs w:val="24"/>
                <w:highlight w:val="none"/>
              </w:rPr>
              <w:t>）在设备安装时，对高噪声设备采取减震、隔振措施。除选择低噪</w:t>
            </w:r>
            <w:r>
              <w:rPr>
                <w:rFonts w:hint="default" w:ascii="Times New Roman" w:hAnsi="Times New Roman" w:cs="Times New Roman"/>
                <w:color w:val="auto"/>
                <w:spacing w:val="8"/>
                <w:sz w:val="24"/>
                <w:szCs w:val="24"/>
                <w:highlight w:val="none"/>
              </w:rPr>
              <w:t>声设备外，在</w:t>
            </w:r>
            <w:r>
              <w:rPr>
                <w:rFonts w:hint="default" w:ascii="Times New Roman" w:hAnsi="Times New Roman" w:cs="Times New Roman"/>
                <w:color w:val="auto"/>
                <w:spacing w:val="12"/>
                <w:sz w:val="24"/>
                <w:szCs w:val="24"/>
                <w:highlight w:val="none"/>
              </w:rPr>
              <w:t>设备四周设置防震沟，采用隔声屏或局部隔声罩；设备安装位置设置减振台，将其噪声影响控制在最小范围内。对于设置在屋顶的风机或排气口考虑加设风机隔声罩，排风管</w:t>
            </w:r>
            <w:r>
              <w:rPr>
                <w:rFonts w:hint="default" w:ascii="Times New Roman" w:hAnsi="Times New Roman" w:cs="Times New Roman"/>
                <w:color w:val="auto"/>
                <w:spacing w:val="9"/>
                <w:sz w:val="24"/>
                <w:szCs w:val="24"/>
                <w:highlight w:val="none"/>
              </w:rPr>
              <w:t>道进出口加柔性软接头，以降低风机噪声对周围环境的影响。</w:t>
            </w:r>
          </w:p>
          <w:p w14:paraId="52708D7D">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cs="Times New Roman"/>
                <w:color w:val="auto"/>
                <w:spacing w:val="8"/>
                <w:position w:val="1"/>
                <w:sz w:val="24"/>
                <w:szCs w:val="24"/>
                <w:highlight w:val="none"/>
              </w:rPr>
            </w:pPr>
            <w:r>
              <w:rPr>
                <w:rFonts w:hint="default" w:ascii="Times New Roman" w:hAnsi="Times New Roman" w:cs="Times New Roman"/>
                <w:color w:val="auto"/>
                <w:spacing w:val="9"/>
                <w:position w:val="1"/>
                <w:sz w:val="24"/>
                <w:szCs w:val="24"/>
                <w:highlight w:val="none"/>
              </w:rPr>
              <w:t>（</w:t>
            </w:r>
            <w:r>
              <w:rPr>
                <w:rFonts w:hint="default" w:ascii="Times New Roman" w:hAnsi="Times New Roman" w:eastAsia="Times New Roman" w:cs="Times New Roman"/>
                <w:color w:val="auto"/>
                <w:spacing w:val="9"/>
                <w:position w:val="1"/>
                <w:sz w:val="24"/>
                <w:szCs w:val="24"/>
                <w:highlight w:val="none"/>
              </w:rPr>
              <w:t>4</w:t>
            </w:r>
            <w:r>
              <w:rPr>
                <w:rFonts w:hint="default" w:ascii="Times New Roman" w:hAnsi="Times New Roman" w:cs="Times New Roman"/>
                <w:color w:val="auto"/>
                <w:spacing w:val="9"/>
                <w:position w:val="1"/>
                <w:sz w:val="24"/>
                <w:szCs w:val="24"/>
                <w:highlight w:val="none"/>
              </w:rPr>
              <w:t>）合理规划平面布置。项目车间尽量布置在厂区中间，重点</w:t>
            </w:r>
            <w:r>
              <w:rPr>
                <w:rFonts w:hint="default" w:ascii="Times New Roman" w:hAnsi="Times New Roman" w:cs="Times New Roman"/>
                <w:color w:val="auto"/>
                <w:spacing w:val="8"/>
                <w:position w:val="1"/>
                <w:sz w:val="24"/>
                <w:szCs w:val="24"/>
                <w:highlight w:val="none"/>
              </w:rPr>
              <w:t>噪声源均布置在车间</w:t>
            </w:r>
          </w:p>
          <w:p w14:paraId="15F552AE">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7"/>
                <w:sz w:val="24"/>
                <w:szCs w:val="24"/>
                <w:highlight w:val="none"/>
              </w:rPr>
              <w:t>内部，并尽量远离办公生活区及四周厂界。</w:t>
            </w:r>
          </w:p>
          <w:p w14:paraId="3B21B32A">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0"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5"/>
                <w:sz w:val="24"/>
                <w:szCs w:val="24"/>
                <w:highlight w:val="none"/>
              </w:rPr>
              <w:t>（</w:t>
            </w:r>
            <w:r>
              <w:rPr>
                <w:rFonts w:hint="default" w:ascii="Times New Roman" w:hAnsi="Times New Roman" w:eastAsia="Times New Roman" w:cs="Times New Roman"/>
                <w:color w:val="auto"/>
                <w:spacing w:val="5"/>
                <w:sz w:val="24"/>
                <w:szCs w:val="24"/>
                <w:highlight w:val="none"/>
              </w:rPr>
              <w:t>5</w:t>
            </w:r>
            <w:r>
              <w:rPr>
                <w:rFonts w:hint="default" w:ascii="Times New Roman" w:hAnsi="Times New Roman" w:cs="Times New Roman"/>
                <w:color w:val="auto"/>
                <w:spacing w:val="5"/>
                <w:sz w:val="24"/>
                <w:szCs w:val="24"/>
                <w:highlight w:val="none"/>
              </w:rPr>
              <w:t>）建筑物隔声。本项目所有生产设备均布置在车间内，因此噪声源均封闭在室内。</w:t>
            </w:r>
            <w:r>
              <w:rPr>
                <w:rFonts w:hint="default" w:ascii="Times New Roman" w:hAnsi="Times New Roman" w:cs="Times New Roman"/>
                <w:color w:val="auto"/>
                <w:spacing w:val="12"/>
                <w:sz w:val="24"/>
                <w:szCs w:val="24"/>
                <w:highlight w:val="none"/>
              </w:rPr>
              <w:t>车间所有门窗均采用双层隔声门窗，平时生产时尽量少开门窗，车间内可采用换气扇进</w:t>
            </w:r>
            <w:r>
              <w:rPr>
                <w:rFonts w:hint="default" w:ascii="Times New Roman" w:hAnsi="Times New Roman" w:cs="Times New Roman"/>
                <w:color w:val="auto"/>
                <w:spacing w:val="6"/>
                <w:sz w:val="24"/>
                <w:szCs w:val="24"/>
                <w:highlight w:val="none"/>
              </w:rPr>
              <w:t>行通风换气。</w:t>
            </w:r>
          </w:p>
          <w:p w14:paraId="1CC19813">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8"/>
                <w:sz w:val="24"/>
                <w:szCs w:val="24"/>
                <w:highlight w:val="none"/>
              </w:rPr>
              <w:t>（</w:t>
            </w:r>
            <w:r>
              <w:rPr>
                <w:rFonts w:hint="default" w:ascii="Times New Roman" w:hAnsi="Times New Roman" w:eastAsia="Times New Roman" w:cs="Times New Roman"/>
                <w:color w:val="auto"/>
                <w:spacing w:val="8"/>
                <w:sz w:val="24"/>
                <w:szCs w:val="24"/>
                <w:highlight w:val="none"/>
              </w:rPr>
              <w:t>6</w:t>
            </w:r>
            <w:r>
              <w:rPr>
                <w:rFonts w:hint="default" w:ascii="Times New Roman" w:hAnsi="Times New Roman" w:cs="Times New Roman"/>
                <w:color w:val="auto"/>
                <w:spacing w:val="8"/>
                <w:sz w:val="24"/>
                <w:szCs w:val="24"/>
                <w:highlight w:val="none"/>
              </w:rPr>
              <w:t>）日常生产需加强对各设备的维修、保</w:t>
            </w:r>
            <w:r>
              <w:rPr>
                <w:rFonts w:hint="default" w:ascii="Times New Roman" w:hAnsi="Times New Roman" w:cs="Times New Roman"/>
                <w:color w:val="auto"/>
                <w:spacing w:val="7"/>
                <w:sz w:val="24"/>
                <w:szCs w:val="24"/>
                <w:highlight w:val="none"/>
              </w:rPr>
              <w:t>养，确保设备处于良好的运转状态，杜绝</w:t>
            </w:r>
            <w:r>
              <w:rPr>
                <w:rFonts w:hint="default" w:ascii="Times New Roman" w:hAnsi="Times New Roman" w:cs="Times New Roman"/>
                <w:color w:val="auto"/>
                <w:spacing w:val="8"/>
                <w:sz w:val="24"/>
                <w:szCs w:val="24"/>
                <w:highlight w:val="none"/>
              </w:rPr>
              <w:t>因设备不正常运转而产生的高噪音现象。</w:t>
            </w:r>
          </w:p>
          <w:p w14:paraId="3642B829">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7"/>
                <w:sz w:val="24"/>
                <w:szCs w:val="24"/>
                <w:highlight w:val="none"/>
              </w:rPr>
              <w:t>（</w:t>
            </w:r>
            <w:r>
              <w:rPr>
                <w:rFonts w:hint="default" w:ascii="Times New Roman" w:hAnsi="Times New Roman" w:eastAsia="Times New Roman" w:cs="Times New Roman"/>
                <w:color w:val="auto"/>
                <w:spacing w:val="7"/>
                <w:sz w:val="24"/>
                <w:szCs w:val="24"/>
                <w:highlight w:val="none"/>
              </w:rPr>
              <w:t>7</w:t>
            </w:r>
            <w:r>
              <w:rPr>
                <w:rFonts w:hint="default" w:ascii="Times New Roman" w:hAnsi="Times New Roman" w:cs="Times New Roman"/>
                <w:color w:val="auto"/>
                <w:spacing w:val="7"/>
                <w:sz w:val="24"/>
                <w:szCs w:val="24"/>
                <w:highlight w:val="none"/>
              </w:rPr>
              <w:t>）加强管理，合理安排作业时间。</w:t>
            </w:r>
          </w:p>
          <w:p w14:paraId="155842E1">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4"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6"/>
                <w:sz w:val="24"/>
                <w:szCs w:val="24"/>
                <w:highlight w:val="none"/>
              </w:rPr>
              <w:t>3.2</w:t>
            </w:r>
            <w:r>
              <w:rPr>
                <w:rFonts w:hint="default" w:ascii="Times New Roman" w:hAnsi="Times New Roman" w:cs="Times New Roman"/>
                <w:b/>
                <w:bCs/>
                <w:color w:val="auto"/>
                <w:spacing w:val="6"/>
                <w:sz w:val="24"/>
                <w:szCs w:val="24"/>
                <w:highlight w:val="none"/>
              </w:rPr>
              <w:t>噪声监测计划</w:t>
            </w:r>
          </w:p>
          <w:p w14:paraId="5DF04978">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7"/>
                <w:sz w:val="24"/>
                <w:szCs w:val="24"/>
                <w:highlight w:val="none"/>
              </w:rPr>
              <w:t>根据《排污单位自行监测技术指南总则》</w:t>
            </w:r>
            <w:r>
              <w:rPr>
                <w:rFonts w:hint="default" w:ascii="Times New Roman" w:hAnsi="Times New Roman" w:eastAsia="Times New Roman" w:cs="Times New Roman"/>
                <w:color w:val="auto"/>
                <w:spacing w:val="7"/>
                <w:sz w:val="24"/>
                <w:szCs w:val="24"/>
                <w:highlight w:val="none"/>
              </w:rPr>
              <w:t>(</w:t>
            </w:r>
            <w:r>
              <w:rPr>
                <w:rFonts w:hint="default" w:ascii="Times New Roman" w:hAnsi="Times New Roman" w:eastAsia="Times New Roman" w:cs="Times New Roman"/>
                <w:color w:val="auto"/>
                <w:sz w:val="24"/>
                <w:szCs w:val="24"/>
                <w:highlight w:val="none"/>
              </w:rPr>
              <w:t>HJ</w:t>
            </w:r>
            <w:r>
              <w:rPr>
                <w:rFonts w:hint="default" w:ascii="Times New Roman" w:hAnsi="Times New Roman" w:eastAsia="Times New Roman" w:cs="Times New Roman"/>
                <w:color w:val="auto"/>
                <w:spacing w:val="7"/>
                <w:sz w:val="24"/>
                <w:szCs w:val="24"/>
                <w:highlight w:val="none"/>
              </w:rPr>
              <w:t>819-2017)</w:t>
            </w:r>
            <w:r>
              <w:rPr>
                <w:rFonts w:hint="default" w:ascii="Times New Roman" w:hAnsi="Times New Roman" w:cs="Times New Roman"/>
                <w:color w:val="auto"/>
                <w:spacing w:val="7"/>
                <w:sz w:val="24"/>
                <w:szCs w:val="24"/>
                <w:highlight w:val="none"/>
              </w:rPr>
              <w:t>，制定本项目噪声监测计划</w:t>
            </w:r>
            <w:r>
              <w:rPr>
                <w:rFonts w:hint="default" w:ascii="Times New Roman" w:hAnsi="Times New Roman" w:cs="Times New Roman"/>
                <w:color w:val="auto"/>
                <w:spacing w:val="3"/>
                <w:sz w:val="24"/>
                <w:szCs w:val="24"/>
                <w:highlight w:val="none"/>
              </w:rPr>
              <w:t>见表</w:t>
            </w:r>
            <w:r>
              <w:rPr>
                <w:rFonts w:hint="default" w:ascii="Times New Roman" w:hAnsi="Times New Roman" w:eastAsia="Times New Roman" w:cs="Times New Roman"/>
                <w:color w:val="auto"/>
                <w:spacing w:val="3"/>
                <w:sz w:val="24"/>
                <w:szCs w:val="24"/>
                <w:highlight w:val="none"/>
              </w:rPr>
              <w:t>4-</w:t>
            </w:r>
            <w:r>
              <w:rPr>
                <w:rFonts w:hint="default" w:ascii="Times New Roman" w:hAnsi="Times New Roman" w:eastAsia="宋体" w:cs="Times New Roman"/>
                <w:color w:val="auto"/>
                <w:spacing w:val="3"/>
                <w:sz w:val="24"/>
                <w:szCs w:val="24"/>
                <w:highlight w:val="none"/>
                <w:lang w:val="en-US" w:eastAsia="zh-CN"/>
              </w:rPr>
              <w:t>9。</w:t>
            </w:r>
          </w:p>
          <w:p w14:paraId="605A8DB4">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r>
              <w:rPr>
                <w:rFonts w:hint="default" w:ascii="Times New Roman" w:hAnsi="Times New Roman" w:cs="Times New Roman"/>
                <w:b/>
                <w:bCs/>
                <w:color w:val="auto"/>
                <w:spacing w:val="5"/>
                <w:sz w:val="21"/>
                <w:szCs w:val="21"/>
                <w:highlight w:val="none"/>
              </w:rPr>
              <w:t>表</w:t>
            </w:r>
            <w:r>
              <w:rPr>
                <w:rFonts w:hint="default" w:ascii="Times New Roman" w:hAnsi="Times New Roman" w:eastAsia="Times New Roman" w:cs="Times New Roman"/>
                <w:b/>
                <w:bCs/>
                <w:color w:val="auto"/>
                <w:spacing w:val="5"/>
                <w:sz w:val="21"/>
                <w:szCs w:val="21"/>
                <w:highlight w:val="none"/>
              </w:rPr>
              <w:t>4-</w:t>
            </w:r>
            <w:r>
              <w:rPr>
                <w:rFonts w:hint="default" w:ascii="Times New Roman" w:hAnsi="Times New Roman" w:eastAsia="宋体" w:cs="Times New Roman"/>
                <w:b/>
                <w:bCs/>
                <w:color w:val="auto"/>
                <w:spacing w:val="5"/>
                <w:sz w:val="21"/>
                <w:szCs w:val="21"/>
                <w:highlight w:val="none"/>
                <w:lang w:val="en-US" w:eastAsia="zh-CN"/>
              </w:rPr>
              <w:t xml:space="preserve">9  </w:t>
            </w:r>
            <w:r>
              <w:rPr>
                <w:rFonts w:hint="default" w:ascii="Times New Roman" w:hAnsi="Times New Roman" w:cs="Times New Roman"/>
                <w:b/>
                <w:bCs/>
                <w:color w:val="auto"/>
                <w:spacing w:val="5"/>
                <w:sz w:val="21"/>
                <w:szCs w:val="21"/>
                <w:highlight w:val="none"/>
              </w:rPr>
              <w:t>项目噪声监测计划表</w:t>
            </w:r>
          </w:p>
          <w:tbl>
            <w:tblPr>
              <w:tblStyle w:val="24"/>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18"/>
              <w:gridCol w:w="1611"/>
              <w:gridCol w:w="2269"/>
              <w:gridCol w:w="2865"/>
            </w:tblGrid>
            <w:tr w14:paraId="7209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868" w:type="pct"/>
                  <w:vAlign w:val="top"/>
                </w:tcPr>
                <w:p w14:paraId="0CB699D5">
                  <w:pPr>
                    <w:pStyle w:val="25"/>
                    <w:pageBreakBefore w:val="0"/>
                    <w:kinsoku/>
                    <w:wordWrap w:val="0"/>
                    <w:overflowPunct/>
                    <w:topLinePunct/>
                    <w:autoSpaceDE/>
                    <w:autoSpaceDN/>
                    <w:bidi w:val="0"/>
                    <w:spacing w:before="36" w:line="228" w:lineRule="auto"/>
                    <w:ind w:left="488"/>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3"/>
                      <w:sz w:val="21"/>
                      <w:szCs w:val="21"/>
                      <w:highlight w:val="none"/>
                    </w:rPr>
                    <w:t>类别</w:t>
                  </w:r>
                </w:p>
              </w:tc>
              <w:tc>
                <w:tcPr>
                  <w:tcW w:w="986" w:type="pct"/>
                  <w:vAlign w:val="top"/>
                </w:tcPr>
                <w:p w14:paraId="27DEBE85">
                  <w:pPr>
                    <w:pStyle w:val="25"/>
                    <w:pageBreakBefore w:val="0"/>
                    <w:kinsoku/>
                    <w:wordWrap w:val="0"/>
                    <w:overflowPunct/>
                    <w:topLinePunct/>
                    <w:autoSpaceDE/>
                    <w:autoSpaceDN/>
                    <w:bidi w:val="0"/>
                    <w:spacing w:before="35" w:line="230" w:lineRule="auto"/>
                    <w:ind w:left="364"/>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6"/>
                      <w:sz w:val="21"/>
                      <w:szCs w:val="21"/>
                      <w:highlight w:val="none"/>
                    </w:rPr>
                    <w:t>监测点位</w:t>
                  </w:r>
                </w:p>
              </w:tc>
              <w:tc>
                <w:tcPr>
                  <w:tcW w:w="1389" w:type="pct"/>
                  <w:vAlign w:val="top"/>
                </w:tcPr>
                <w:p w14:paraId="5C3402E3">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6"/>
                      <w:sz w:val="21"/>
                      <w:szCs w:val="21"/>
                      <w:highlight w:val="none"/>
                    </w:rPr>
                    <w:t>监测项目</w:t>
                  </w:r>
                </w:p>
              </w:tc>
              <w:tc>
                <w:tcPr>
                  <w:tcW w:w="1754" w:type="pct"/>
                  <w:vAlign w:val="top"/>
                </w:tcPr>
                <w:p w14:paraId="0CACE817">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pacing w:val="6"/>
                      <w:sz w:val="21"/>
                      <w:szCs w:val="21"/>
                      <w:highlight w:val="none"/>
                    </w:rPr>
                    <w:t>监测频率</w:t>
                  </w:r>
                </w:p>
              </w:tc>
            </w:tr>
            <w:tr w14:paraId="7C133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868" w:type="pct"/>
                  <w:vAlign w:val="top"/>
                </w:tcPr>
                <w:p w14:paraId="4264C002">
                  <w:pPr>
                    <w:pStyle w:val="25"/>
                    <w:pageBreakBefore w:val="0"/>
                    <w:kinsoku/>
                    <w:wordWrap w:val="0"/>
                    <w:overflowPunct/>
                    <w:topLinePunct/>
                    <w:autoSpaceDE/>
                    <w:autoSpaceDN/>
                    <w:bidi w:val="0"/>
                    <w:spacing w:before="37" w:line="229" w:lineRule="auto"/>
                    <w:ind w:left="282"/>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6"/>
                      <w:sz w:val="21"/>
                      <w:szCs w:val="21"/>
                      <w:highlight w:val="none"/>
                    </w:rPr>
                    <w:t>厂界噪声</w:t>
                  </w:r>
                </w:p>
              </w:tc>
              <w:tc>
                <w:tcPr>
                  <w:tcW w:w="986" w:type="pct"/>
                  <w:vAlign w:val="top"/>
                </w:tcPr>
                <w:p w14:paraId="38A9B918">
                  <w:pPr>
                    <w:pStyle w:val="25"/>
                    <w:pageBreakBefore w:val="0"/>
                    <w:kinsoku/>
                    <w:wordWrap w:val="0"/>
                    <w:overflowPunct/>
                    <w:topLinePunct/>
                    <w:autoSpaceDE/>
                    <w:autoSpaceDN/>
                    <w:bidi w:val="0"/>
                    <w:spacing w:before="37" w:line="229" w:lineRule="auto"/>
                    <w:ind w:left="577"/>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3"/>
                      <w:sz w:val="21"/>
                      <w:szCs w:val="21"/>
                      <w:highlight w:val="none"/>
                    </w:rPr>
                    <w:t>厂界</w:t>
                  </w:r>
                </w:p>
              </w:tc>
              <w:tc>
                <w:tcPr>
                  <w:tcW w:w="1389" w:type="pct"/>
                  <w:vAlign w:val="top"/>
                </w:tcPr>
                <w:p w14:paraId="257B6227">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7"/>
                      <w:sz w:val="21"/>
                      <w:szCs w:val="21"/>
                      <w:highlight w:val="none"/>
                    </w:rPr>
                    <w:t>等效连续</w:t>
                  </w:r>
                  <w:r>
                    <w:rPr>
                      <w:rFonts w:hint="default" w:ascii="Times New Roman" w:hAnsi="Times New Roman" w:eastAsia="Times New Roman" w:cs="Times New Roman"/>
                      <w:color w:val="auto"/>
                      <w:spacing w:val="7"/>
                      <w:sz w:val="21"/>
                      <w:szCs w:val="21"/>
                      <w:highlight w:val="none"/>
                    </w:rPr>
                    <w:t>A</w:t>
                  </w:r>
                  <w:r>
                    <w:rPr>
                      <w:rFonts w:hint="default" w:ascii="Times New Roman" w:hAnsi="Times New Roman" w:cs="Times New Roman"/>
                      <w:color w:val="auto"/>
                      <w:spacing w:val="7"/>
                      <w:sz w:val="21"/>
                      <w:szCs w:val="21"/>
                      <w:highlight w:val="none"/>
                    </w:rPr>
                    <w:t>声级</w:t>
                  </w:r>
                </w:p>
              </w:tc>
              <w:tc>
                <w:tcPr>
                  <w:tcW w:w="1754" w:type="pct"/>
                  <w:vAlign w:val="top"/>
                </w:tcPr>
                <w:p w14:paraId="69784CAE">
                  <w:pPr>
                    <w:pStyle w:val="25"/>
                    <w:pageBreakBefore w:val="0"/>
                    <w:kinsoku/>
                    <w:wordWrap w:val="0"/>
                    <w:overflowPunct/>
                    <w:topLinePunct/>
                    <w:autoSpaceDE/>
                    <w:autoSpaceDN/>
                    <w:bidi w:val="0"/>
                    <w:spacing w:before="6" w:line="274" w:lineRule="exact"/>
                    <w:ind w:left="803"/>
                    <w:rPr>
                      <w:rFonts w:hint="default" w:ascii="Times New Roman" w:hAnsi="Times New Roman" w:cs="Times New Roman"/>
                      <w:color w:val="auto"/>
                      <w:sz w:val="21"/>
                      <w:szCs w:val="21"/>
                      <w:highlight w:val="none"/>
                    </w:rPr>
                  </w:pPr>
                  <w:r>
                    <w:rPr>
                      <w:rFonts w:hint="default" w:ascii="Times New Roman" w:hAnsi="Times New Roman" w:eastAsia="Times New Roman" w:cs="Times New Roman"/>
                      <w:color w:val="auto"/>
                      <w:spacing w:val="4"/>
                      <w:position w:val="1"/>
                      <w:sz w:val="21"/>
                      <w:szCs w:val="21"/>
                      <w:highlight w:val="none"/>
                    </w:rPr>
                    <w:t>1</w:t>
                  </w:r>
                  <w:r>
                    <w:rPr>
                      <w:rFonts w:hint="default" w:ascii="Times New Roman" w:hAnsi="Times New Roman" w:cs="Times New Roman"/>
                      <w:color w:val="auto"/>
                      <w:spacing w:val="4"/>
                      <w:position w:val="1"/>
                      <w:sz w:val="21"/>
                      <w:szCs w:val="21"/>
                      <w:highlight w:val="none"/>
                    </w:rPr>
                    <w:t>次</w:t>
                  </w:r>
                  <w:r>
                    <w:rPr>
                      <w:rFonts w:hint="default" w:ascii="Times New Roman" w:hAnsi="Times New Roman" w:eastAsia="Times New Roman" w:cs="Times New Roman"/>
                      <w:color w:val="auto"/>
                      <w:spacing w:val="4"/>
                      <w:position w:val="1"/>
                      <w:sz w:val="21"/>
                      <w:szCs w:val="21"/>
                      <w:highlight w:val="none"/>
                    </w:rPr>
                    <w:t>/</w:t>
                  </w:r>
                  <w:r>
                    <w:rPr>
                      <w:rFonts w:hint="default" w:ascii="Times New Roman" w:hAnsi="Times New Roman" w:cs="Times New Roman"/>
                      <w:color w:val="auto"/>
                      <w:spacing w:val="4"/>
                      <w:position w:val="1"/>
                      <w:sz w:val="21"/>
                      <w:szCs w:val="21"/>
                      <w:highlight w:val="none"/>
                    </w:rPr>
                    <w:t>季，昼间</w:t>
                  </w:r>
                </w:p>
              </w:tc>
            </w:tr>
          </w:tbl>
          <w:p w14:paraId="6CB08272">
            <w:pPr>
              <w:pStyle w:val="25"/>
              <w:keepNext w:val="0"/>
              <w:keepLines w:val="0"/>
              <w:pageBreakBefore w:val="0"/>
              <w:widowControl/>
              <w:shd w:val="clear"/>
              <w:kinsoku/>
              <w:wordWrap w:val="0"/>
              <w:overflowPunct/>
              <w:topLinePunct/>
              <w:autoSpaceDE/>
              <w:autoSpaceDN/>
              <w:bidi w:val="0"/>
              <w:adjustRightInd w:val="0"/>
              <w:snapToGrid w:val="0"/>
              <w:spacing w:line="360" w:lineRule="auto"/>
              <w:ind w:left="0" w:right="0" w:firstLine="504"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6"/>
                <w:sz w:val="24"/>
                <w:szCs w:val="24"/>
                <w:highlight w:val="none"/>
              </w:rPr>
              <w:t>4</w:t>
            </w:r>
            <w:r>
              <w:rPr>
                <w:rFonts w:hint="default" w:ascii="Times New Roman" w:hAnsi="Times New Roman" w:cs="Times New Roman"/>
                <w:b/>
                <w:bCs/>
                <w:color w:val="auto"/>
                <w:spacing w:val="6"/>
                <w:sz w:val="24"/>
                <w:szCs w:val="24"/>
                <w:highlight w:val="none"/>
              </w:rPr>
              <w:t>、固体废物环境影响和污染防治措施</w:t>
            </w:r>
          </w:p>
          <w:p w14:paraId="1491ED63">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本项目固体废物主要为一般工业固体废物、危险废物</w:t>
            </w:r>
            <w:r>
              <w:rPr>
                <w:rFonts w:hint="default" w:ascii="Times New Roman" w:hAnsi="Times New Roman" w:cs="Times New Roman"/>
                <w:color w:val="auto"/>
                <w:spacing w:val="8"/>
                <w:sz w:val="24"/>
                <w:szCs w:val="24"/>
                <w:highlight w:val="none"/>
                <w:lang w:eastAsia="zh-CN"/>
              </w:rPr>
              <w:t>、</w:t>
            </w:r>
            <w:r>
              <w:rPr>
                <w:rFonts w:hint="default" w:ascii="Times New Roman" w:hAnsi="Times New Roman" w:cs="Times New Roman"/>
                <w:color w:val="auto"/>
                <w:spacing w:val="8"/>
                <w:sz w:val="24"/>
                <w:szCs w:val="24"/>
                <w:highlight w:val="none"/>
              </w:rPr>
              <w:t>生活垃圾等。其中一般工业固体废物包括除尘器收集的粉尘、</w:t>
            </w:r>
            <w:r>
              <w:rPr>
                <w:rFonts w:hint="default" w:ascii="Times New Roman" w:hAnsi="Times New Roman" w:cs="Times New Roman"/>
                <w:color w:val="auto"/>
                <w:spacing w:val="8"/>
                <w:sz w:val="24"/>
                <w:szCs w:val="24"/>
                <w:highlight w:val="none"/>
                <w:lang w:val="en-US" w:eastAsia="zh-CN"/>
              </w:rPr>
              <w:t>废包装袋、废包装桶</w:t>
            </w:r>
            <w:r>
              <w:rPr>
                <w:rFonts w:hint="default" w:ascii="Times New Roman" w:hAnsi="Times New Roman" w:cs="Times New Roman"/>
                <w:color w:val="auto"/>
                <w:spacing w:val="8"/>
                <w:sz w:val="24"/>
                <w:szCs w:val="24"/>
                <w:highlight w:val="none"/>
              </w:rPr>
              <w:t>；危险废物</w:t>
            </w:r>
            <w:r>
              <w:rPr>
                <w:rFonts w:hint="default" w:ascii="Times New Roman" w:hAnsi="Times New Roman" w:cs="Times New Roman"/>
                <w:color w:val="auto"/>
                <w:spacing w:val="8"/>
                <w:sz w:val="24"/>
                <w:szCs w:val="24"/>
                <w:highlight w:val="none"/>
                <w:lang w:val="en-US" w:eastAsia="zh-CN"/>
              </w:rPr>
              <w:t>为</w:t>
            </w:r>
            <w:r>
              <w:rPr>
                <w:rFonts w:hint="default" w:ascii="Times New Roman" w:hAnsi="Times New Roman" w:cs="Times New Roman"/>
                <w:color w:val="auto"/>
                <w:spacing w:val="8"/>
                <w:sz w:val="24"/>
                <w:szCs w:val="24"/>
                <w:highlight w:val="none"/>
              </w:rPr>
              <w:t>废机油等。</w:t>
            </w:r>
          </w:p>
          <w:p w14:paraId="3DEA9872">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pacing w:val="8"/>
                <w:sz w:val="24"/>
                <w:szCs w:val="24"/>
                <w:highlight w:val="none"/>
                <w:lang w:val="en-US" w:eastAsia="zh-CN"/>
              </w:rPr>
            </w:pPr>
            <w:r>
              <w:rPr>
                <w:rFonts w:hint="default" w:ascii="Times New Roman" w:hAnsi="Times New Roman" w:cs="Times New Roman"/>
                <w:color w:val="auto"/>
                <w:spacing w:val="8"/>
                <w:sz w:val="24"/>
                <w:szCs w:val="24"/>
                <w:highlight w:val="none"/>
              </w:rPr>
              <w:t>（</w:t>
            </w:r>
            <w:r>
              <w:rPr>
                <w:rFonts w:hint="default" w:ascii="Times New Roman" w:hAnsi="Times New Roman" w:cs="Times New Roman"/>
                <w:color w:val="auto"/>
                <w:spacing w:val="8"/>
                <w:sz w:val="24"/>
                <w:szCs w:val="24"/>
                <w:highlight w:val="none"/>
                <w:lang w:val="en-US" w:eastAsia="zh-CN"/>
              </w:rPr>
              <w:t>1</w:t>
            </w:r>
            <w:r>
              <w:rPr>
                <w:rFonts w:hint="default" w:ascii="Times New Roman" w:hAnsi="Times New Roman" w:cs="Times New Roman"/>
                <w:color w:val="auto"/>
                <w:spacing w:val="8"/>
                <w:sz w:val="24"/>
                <w:szCs w:val="24"/>
                <w:highlight w:val="none"/>
              </w:rPr>
              <w:t>）</w:t>
            </w:r>
            <w:r>
              <w:rPr>
                <w:rFonts w:hint="default" w:ascii="Times New Roman" w:hAnsi="Times New Roman" w:cs="Times New Roman"/>
                <w:color w:val="auto"/>
                <w:spacing w:val="8"/>
                <w:sz w:val="24"/>
                <w:szCs w:val="24"/>
                <w:highlight w:val="none"/>
                <w:lang w:val="en-US" w:eastAsia="zh-CN"/>
              </w:rPr>
              <w:t>收集的粉尘</w:t>
            </w:r>
          </w:p>
          <w:p w14:paraId="4BA5841E">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lang w:val="en-US" w:eastAsia="zh-CN"/>
              </w:rPr>
              <w:t>布袋除尘器收集的粉尘</w:t>
            </w:r>
            <w:r>
              <w:rPr>
                <w:rFonts w:hint="eastAsia" w:ascii="Times New Roman" w:hAnsi="Times New Roman" w:cs="Times New Roman"/>
                <w:color w:val="auto"/>
                <w:spacing w:val="8"/>
                <w:sz w:val="24"/>
                <w:szCs w:val="24"/>
                <w:highlight w:val="none"/>
                <w:lang w:val="en-US" w:eastAsia="zh-CN"/>
              </w:rPr>
              <w:t>3.033</w:t>
            </w:r>
            <w:r>
              <w:rPr>
                <w:rFonts w:hint="default" w:ascii="Times New Roman" w:hAnsi="Times New Roman" w:cs="Times New Roman"/>
                <w:color w:val="auto"/>
                <w:spacing w:val="8"/>
                <w:sz w:val="24"/>
                <w:szCs w:val="24"/>
                <w:highlight w:val="none"/>
                <w:lang w:val="en-US" w:eastAsia="zh-CN"/>
              </w:rPr>
              <w:t>t/a</w:t>
            </w:r>
            <w:r>
              <w:rPr>
                <w:rFonts w:hint="default" w:ascii="Times New Roman" w:hAnsi="Times New Roman" w:cs="Times New Roman"/>
                <w:color w:val="auto"/>
                <w:spacing w:val="8"/>
                <w:sz w:val="24"/>
                <w:szCs w:val="24"/>
                <w:highlight w:val="none"/>
              </w:rPr>
              <w:t>。根据《固体废物分类与代码目录》，废物种类为SW17，废物代码为900-099-S17，可回用于生产。</w:t>
            </w:r>
          </w:p>
          <w:p w14:paraId="56DD47CD">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pacing w:val="8"/>
                <w:sz w:val="24"/>
                <w:szCs w:val="24"/>
                <w:highlight w:val="none"/>
                <w:lang w:val="en-US" w:eastAsia="zh-CN"/>
              </w:rPr>
            </w:pPr>
            <w:r>
              <w:rPr>
                <w:rFonts w:hint="default" w:ascii="Times New Roman" w:hAnsi="Times New Roman" w:cs="Times New Roman"/>
                <w:color w:val="auto"/>
                <w:spacing w:val="8"/>
                <w:sz w:val="24"/>
                <w:szCs w:val="24"/>
                <w:highlight w:val="none"/>
              </w:rPr>
              <w:t>（</w:t>
            </w:r>
            <w:r>
              <w:rPr>
                <w:rFonts w:hint="default" w:ascii="Times New Roman" w:hAnsi="Times New Roman" w:cs="Times New Roman"/>
                <w:color w:val="auto"/>
                <w:spacing w:val="8"/>
                <w:sz w:val="24"/>
                <w:szCs w:val="24"/>
                <w:highlight w:val="none"/>
                <w:lang w:val="en-US" w:eastAsia="zh-CN"/>
              </w:rPr>
              <w:t>2</w:t>
            </w:r>
            <w:r>
              <w:rPr>
                <w:rFonts w:hint="default" w:ascii="Times New Roman" w:hAnsi="Times New Roman" w:cs="Times New Roman"/>
                <w:color w:val="auto"/>
                <w:spacing w:val="8"/>
                <w:sz w:val="24"/>
                <w:szCs w:val="24"/>
                <w:highlight w:val="none"/>
              </w:rPr>
              <w:t>）</w:t>
            </w:r>
            <w:r>
              <w:rPr>
                <w:rFonts w:hint="default" w:ascii="Times New Roman" w:hAnsi="Times New Roman" w:cs="Times New Roman"/>
                <w:color w:val="auto"/>
                <w:spacing w:val="8"/>
                <w:sz w:val="24"/>
                <w:szCs w:val="24"/>
                <w:highlight w:val="none"/>
                <w:lang w:val="en-US" w:eastAsia="zh-CN"/>
              </w:rPr>
              <w:t>废包装袋</w:t>
            </w:r>
          </w:p>
          <w:p w14:paraId="3C56F623">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根据企业提供资料，</w:t>
            </w:r>
            <w:r>
              <w:rPr>
                <w:rFonts w:hint="default" w:ascii="Times New Roman" w:hAnsi="Times New Roman" w:cs="Times New Roman"/>
                <w:color w:val="auto"/>
                <w:spacing w:val="8"/>
                <w:sz w:val="24"/>
                <w:szCs w:val="24"/>
                <w:highlight w:val="none"/>
                <w:lang w:val="en-US" w:eastAsia="zh-CN"/>
              </w:rPr>
              <w:t>本项目</w:t>
            </w:r>
            <w:r>
              <w:rPr>
                <w:rFonts w:hint="default" w:ascii="Times New Roman" w:hAnsi="Times New Roman" w:cs="Times New Roman"/>
                <w:color w:val="auto"/>
                <w:spacing w:val="8"/>
                <w:sz w:val="24"/>
                <w:szCs w:val="24"/>
                <w:highlight w:val="none"/>
              </w:rPr>
              <w:t>产生</w:t>
            </w:r>
            <w:r>
              <w:rPr>
                <w:rFonts w:hint="default" w:ascii="Times New Roman" w:hAnsi="Times New Roman" w:cs="Times New Roman"/>
                <w:color w:val="auto"/>
                <w:spacing w:val="8"/>
                <w:sz w:val="24"/>
                <w:szCs w:val="24"/>
                <w:highlight w:val="none"/>
                <w:lang w:val="en-US" w:eastAsia="zh-CN"/>
              </w:rPr>
              <w:t>废包装袋</w:t>
            </w:r>
            <w:r>
              <w:rPr>
                <w:rFonts w:hint="default" w:ascii="Times New Roman" w:hAnsi="Times New Roman" w:cs="Times New Roman"/>
                <w:color w:val="auto"/>
                <w:spacing w:val="8"/>
                <w:sz w:val="24"/>
                <w:szCs w:val="24"/>
                <w:highlight w:val="none"/>
              </w:rPr>
              <w:t>约0.</w:t>
            </w:r>
            <w:r>
              <w:rPr>
                <w:rFonts w:hint="default" w:ascii="Times New Roman" w:hAnsi="Times New Roman" w:cs="Times New Roman"/>
                <w:color w:val="auto"/>
                <w:spacing w:val="8"/>
                <w:sz w:val="24"/>
                <w:szCs w:val="24"/>
                <w:highlight w:val="none"/>
                <w:lang w:val="en-US" w:eastAsia="zh-CN"/>
              </w:rPr>
              <w:t>2</w:t>
            </w:r>
            <w:r>
              <w:rPr>
                <w:rFonts w:hint="default" w:ascii="Times New Roman" w:hAnsi="Times New Roman" w:cs="Times New Roman"/>
                <w:color w:val="auto"/>
                <w:spacing w:val="8"/>
                <w:sz w:val="24"/>
                <w:szCs w:val="24"/>
                <w:highlight w:val="none"/>
              </w:rPr>
              <w:t>t/a，</w:t>
            </w:r>
            <w:r>
              <w:rPr>
                <w:rFonts w:hint="default" w:ascii="Times New Roman" w:hAnsi="Times New Roman" w:cs="Times New Roman"/>
                <w:color w:val="auto"/>
                <w:spacing w:val="8"/>
                <w:sz w:val="24"/>
                <w:szCs w:val="24"/>
                <w:highlight w:val="none"/>
                <w:lang w:val="en-US" w:eastAsia="zh-CN"/>
              </w:rPr>
              <w:t>收集后外售，</w:t>
            </w:r>
            <w:r>
              <w:rPr>
                <w:rFonts w:hint="default" w:ascii="Times New Roman" w:hAnsi="Times New Roman" w:cs="Times New Roman"/>
                <w:color w:val="auto"/>
                <w:spacing w:val="8"/>
                <w:sz w:val="24"/>
                <w:szCs w:val="24"/>
                <w:highlight w:val="none"/>
              </w:rPr>
              <w:t>根据《固体废物分类与代码目录》，废物种类为SW62，废物代码为900-002-S62。</w:t>
            </w:r>
          </w:p>
          <w:p w14:paraId="427F648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pacing w:val="8"/>
                <w:sz w:val="24"/>
                <w:szCs w:val="24"/>
                <w:highlight w:val="none"/>
                <w:lang w:val="en-US" w:eastAsia="zh-CN"/>
              </w:rPr>
            </w:pPr>
            <w:r>
              <w:rPr>
                <w:rFonts w:hint="default" w:ascii="Times New Roman" w:hAnsi="Times New Roman" w:cs="Times New Roman"/>
                <w:color w:val="auto"/>
                <w:spacing w:val="8"/>
                <w:sz w:val="24"/>
                <w:szCs w:val="24"/>
                <w:highlight w:val="none"/>
              </w:rPr>
              <w:t>（</w:t>
            </w:r>
            <w:r>
              <w:rPr>
                <w:rFonts w:hint="default" w:ascii="Times New Roman" w:hAnsi="Times New Roman" w:cs="Times New Roman"/>
                <w:color w:val="auto"/>
                <w:spacing w:val="8"/>
                <w:sz w:val="24"/>
                <w:szCs w:val="24"/>
                <w:highlight w:val="none"/>
                <w:lang w:val="en-US" w:eastAsia="zh-CN"/>
              </w:rPr>
              <w:t>3</w:t>
            </w:r>
            <w:r>
              <w:rPr>
                <w:rFonts w:hint="default" w:ascii="Times New Roman" w:hAnsi="Times New Roman" w:cs="Times New Roman"/>
                <w:color w:val="auto"/>
                <w:spacing w:val="8"/>
                <w:sz w:val="24"/>
                <w:szCs w:val="24"/>
                <w:highlight w:val="none"/>
              </w:rPr>
              <w:t>）</w:t>
            </w:r>
            <w:r>
              <w:rPr>
                <w:rFonts w:hint="default" w:ascii="Times New Roman" w:hAnsi="Times New Roman" w:cs="Times New Roman"/>
                <w:color w:val="auto"/>
                <w:spacing w:val="8"/>
                <w:sz w:val="24"/>
                <w:szCs w:val="24"/>
                <w:highlight w:val="none"/>
                <w:lang w:val="en-US" w:eastAsia="zh-CN"/>
              </w:rPr>
              <w:t>废包装桶</w:t>
            </w:r>
          </w:p>
          <w:p w14:paraId="148B13F3">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根据企业提供资料，</w:t>
            </w:r>
            <w:r>
              <w:rPr>
                <w:rFonts w:hint="default" w:ascii="Times New Roman" w:hAnsi="Times New Roman" w:cs="Times New Roman"/>
                <w:color w:val="auto"/>
                <w:spacing w:val="8"/>
                <w:sz w:val="24"/>
                <w:szCs w:val="24"/>
                <w:highlight w:val="none"/>
                <w:lang w:val="en-US" w:eastAsia="zh-CN"/>
              </w:rPr>
              <w:t>本项目</w:t>
            </w:r>
            <w:r>
              <w:rPr>
                <w:rFonts w:hint="default" w:ascii="Times New Roman" w:hAnsi="Times New Roman" w:cs="Times New Roman"/>
                <w:color w:val="auto"/>
                <w:spacing w:val="8"/>
                <w:sz w:val="24"/>
                <w:szCs w:val="24"/>
                <w:highlight w:val="none"/>
              </w:rPr>
              <w:t>产生</w:t>
            </w:r>
            <w:r>
              <w:rPr>
                <w:rFonts w:hint="default" w:ascii="Times New Roman" w:hAnsi="Times New Roman" w:cs="Times New Roman"/>
                <w:color w:val="auto"/>
                <w:spacing w:val="8"/>
                <w:sz w:val="24"/>
                <w:szCs w:val="24"/>
                <w:highlight w:val="none"/>
                <w:lang w:val="en-US" w:eastAsia="zh-CN"/>
              </w:rPr>
              <w:t>废包装桶</w:t>
            </w:r>
            <w:r>
              <w:rPr>
                <w:rFonts w:hint="default" w:ascii="Times New Roman" w:hAnsi="Times New Roman" w:cs="Times New Roman"/>
                <w:color w:val="auto"/>
                <w:spacing w:val="8"/>
                <w:sz w:val="24"/>
                <w:szCs w:val="24"/>
                <w:highlight w:val="none"/>
              </w:rPr>
              <w:t>约0.</w:t>
            </w:r>
            <w:r>
              <w:rPr>
                <w:rFonts w:hint="default" w:ascii="Times New Roman" w:hAnsi="Times New Roman" w:cs="Times New Roman"/>
                <w:color w:val="auto"/>
                <w:spacing w:val="8"/>
                <w:sz w:val="24"/>
                <w:szCs w:val="24"/>
                <w:highlight w:val="none"/>
                <w:lang w:val="en-US" w:eastAsia="zh-CN"/>
              </w:rPr>
              <w:t>5</w:t>
            </w:r>
            <w:r>
              <w:rPr>
                <w:rFonts w:hint="default" w:ascii="Times New Roman" w:hAnsi="Times New Roman" w:cs="Times New Roman"/>
                <w:color w:val="auto"/>
                <w:spacing w:val="8"/>
                <w:sz w:val="24"/>
                <w:szCs w:val="24"/>
                <w:highlight w:val="none"/>
              </w:rPr>
              <w:t>t/a，</w:t>
            </w:r>
            <w:r>
              <w:rPr>
                <w:rFonts w:hint="default" w:ascii="Times New Roman" w:hAnsi="Times New Roman" w:cs="Times New Roman"/>
                <w:color w:val="auto"/>
                <w:spacing w:val="8"/>
                <w:sz w:val="24"/>
                <w:szCs w:val="24"/>
                <w:highlight w:val="none"/>
                <w:lang w:val="en-US" w:eastAsia="zh-CN"/>
              </w:rPr>
              <w:t>收集后由厂家回收，</w:t>
            </w:r>
            <w:r>
              <w:rPr>
                <w:rFonts w:hint="default" w:ascii="Times New Roman" w:hAnsi="Times New Roman" w:cs="Times New Roman"/>
                <w:color w:val="auto"/>
                <w:spacing w:val="8"/>
                <w:sz w:val="24"/>
                <w:szCs w:val="24"/>
                <w:highlight w:val="none"/>
              </w:rPr>
              <w:t>根据《固体废物分类与代码目录》，废物种类为SW62，废物代码为900-002-S62。</w:t>
            </w:r>
          </w:p>
          <w:p w14:paraId="7F82BDB5">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lang w:eastAsia="zh-CN"/>
              </w:rPr>
              <w:t>（</w:t>
            </w:r>
            <w:r>
              <w:rPr>
                <w:rFonts w:hint="default" w:ascii="Times New Roman" w:hAnsi="Times New Roman" w:cs="Times New Roman"/>
                <w:color w:val="auto"/>
                <w:spacing w:val="8"/>
                <w:sz w:val="24"/>
                <w:szCs w:val="24"/>
                <w:highlight w:val="none"/>
                <w:lang w:val="en-US" w:eastAsia="zh-CN"/>
              </w:rPr>
              <w:t>4</w:t>
            </w:r>
            <w:r>
              <w:rPr>
                <w:rFonts w:hint="default" w:ascii="Times New Roman" w:hAnsi="Times New Roman" w:cs="Times New Roman"/>
                <w:color w:val="auto"/>
                <w:spacing w:val="8"/>
                <w:sz w:val="24"/>
                <w:szCs w:val="24"/>
                <w:highlight w:val="none"/>
                <w:lang w:eastAsia="zh-CN"/>
              </w:rPr>
              <w:t>）</w:t>
            </w:r>
            <w:r>
              <w:rPr>
                <w:rFonts w:hint="default" w:ascii="Times New Roman" w:hAnsi="Times New Roman" w:cs="Times New Roman"/>
                <w:color w:val="auto"/>
                <w:spacing w:val="8"/>
                <w:sz w:val="24"/>
                <w:szCs w:val="24"/>
                <w:highlight w:val="none"/>
              </w:rPr>
              <w:t>废机油</w:t>
            </w:r>
          </w:p>
          <w:p w14:paraId="473BAE84">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机械设备定期更换机油，年产废机油约0.</w:t>
            </w:r>
            <w:r>
              <w:rPr>
                <w:rFonts w:hint="default" w:ascii="Times New Roman" w:hAnsi="Times New Roman" w:cs="Times New Roman"/>
                <w:color w:val="auto"/>
                <w:spacing w:val="8"/>
                <w:sz w:val="24"/>
                <w:szCs w:val="24"/>
                <w:highlight w:val="none"/>
                <w:lang w:val="en-US" w:eastAsia="zh-CN"/>
              </w:rPr>
              <w:t>5</w:t>
            </w:r>
            <w:r>
              <w:rPr>
                <w:rFonts w:hint="default" w:ascii="Times New Roman" w:hAnsi="Times New Roman" w:cs="Times New Roman"/>
                <w:color w:val="auto"/>
                <w:spacing w:val="8"/>
                <w:sz w:val="24"/>
                <w:szCs w:val="24"/>
                <w:highlight w:val="none"/>
              </w:rPr>
              <w:t>t/a，根据《国家危险废物名录（2025年版）》废机油属于危险废物，废物类别为HW08废矿物油与含矿物油废物，废物代码为900-217-08，储存于</w:t>
            </w:r>
            <w:r>
              <w:rPr>
                <w:rFonts w:hint="eastAsia" w:ascii="Times New Roman" w:hAnsi="Times New Roman" w:eastAsia="宋体" w:cs="Times New Roman"/>
                <w:color w:val="auto"/>
                <w:spacing w:val="3"/>
                <w:position w:val="1"/>
                <w:sz w:val="24"/>
                <w:szCs w:val="24"/>
                <w:highlight w:val="none"/>
                <w:lang w:val="en-US" w:eastAsia="zh-CN"/>
              </w:rPr>
              <w:t>危</w:t>
            </w:r>
            <w:r>
              <w:rPr>
                <w:rFonts w:hint="eastAsia" w:ascii="Times New Roman" w:hAnsi="Times New Roman" w:eastAsia="宋体" w:cs="Times New Roman"/>
                <w:snapToGrid w:val="0"/>
                <w:color w:val="auto"/>
                <w:spacing w:val="3"/>
                <w:kern w:val="0"/>
                <w:position w:val="1"/>
                <w:sz w:val="24"/>
                <w:szCs w:val="24"/>
                <w:highlight w:val="none"/>
                <w:lang w:val="en-US" w:eastAsia="zh-CN" w:bidi="ar-SA"/>
              </w:rPr>
              <w:t>险废物</w:t>
            </w:r>
            <w:r>
              <w:rPr>
                <w:rFonts w:hint="default" w:ascii="Times New Roman" w:hAnsi="Times New Roman" w:eastAsia="宋体" w:cs="Times New Roman"/>
                <w:snapToGrid w:val="0"/>
                <w:color w:val="auto"/>
                <w:spacing w:val="3"/>
                <w:kern w:val="0"/>
                <w:position w:val="1"/>
                <w:sz w:val="24"/>
                <w:szCs w:val="24"/>
                <w:highlight w:val="none"/>
                <w:lang w:val="en-US" w:eastAsia="zh-CN" w:bidi="ar-SA"/>
              </w:rPr>
              <w:t>贮存点</w:t>
            </w:r>
            <w:r>
              <w:rPr>
                <w:rFonts w:hint="default" w:ascii="Times New Roman" w:hAnsi="Times New Roman" w:cs="Times New Roman"/>
                <w:color w:val="auto"/>
                <w:spacing w:val="8"/>
                <w:sz w:val="24"/>
                <w:szCs w:val="24"/>
                <w:highlight w:val="none"/>
              </w:rPr>
              <w:t>，定期交由有危废处置资质单位处理。</w:t>
            </w:r>
          </w:p>
          <w:p w14:paraId="730FB205">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lang w:eastAsia="zh-CN"/>
              </w:rPr>
              <w:t>（</w:t>
            </w:r>
            <w:r>
              <w:rPr>
                <w:rFonts w:hint="default" w:ascii="Times New Roman" w:hAnsi="Times New Roman" w:cs="Times New Roman"/>
                <w:color w:val="auto"/>
                <w:spacing w:val="8"/>
                <w:sz w:val="24"/>
                <w:szCs w:val="24"/>
                <w:highlight w:val="none"/>
                <w:lang w:val="en-US" w:eastAsia="zh-CN"/>
              </w:rPr>
              <w:t>5</w:t>
            </w:r>
            <w:r>
              <w:rPr>
                <w:rFonts w:hint="default" w:ascii="Times New Roman" w:hAnsi="Times New Roman" w:cs="Times New Roman"/>
                <w:color w:val="auto"/>
                <w:spacing w:val="8"/>
                <w:sz w:val="24"/>
                <w:szCs w:val="24"/>
                <w:highlight w:val="none"/>
                <w:lang w:eastAsia="zh-CN"/>
              </w:rPr>
              <w:t>）</w:t>
            </w:r>
            <w:r>
              <w:rPr>
                <w:rFonts w:hint="default" w:ascii="Times New Roman" w:hAnsi="Times New Roman" w:cs="Times New Roman"/>
                <w:color w:val="auto"/>
                <w:spacing w:val="8"/>
                <w:sz w:val="24"/>
                <w:szCs w:val="24"/>
                <w:highlight w:val="none"/>
              </w:rPr>
              <w:t>生活垃圾</w:t>
            </w:r>
          </w:p>
          <w:p w14:paraId="5D21412A">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职工的生活垃圾按每人1kg/d计，项目新增员工</w:t>
            </w:r>
            <w:r>
              <w:rPr>
                <w:rFonts w:hint="default" w:ascii="Times New Roman" w:hAnsi="Times New Roman" w:cs="Times New Roman"/>
                <w:color w:val="auto"/>
                <w:spacing w:val="8"/>
                <w:sz w:val="24"/>
                <w:szCs w:val="24"/>
                <w:highlight w:val="none"/>
                <w:lang w:val="en-US" w:eastAsia="zh-CN"/>
              </w:rPr>
              <w:t>8</w:t>
            </w:r>
            <w:r>
              <w:rPr>
                <w:rFonts w:hint="default" w:ascii="Times New Roman" w:hAnsi="Times New Roman" w:cs="Times New Roman"/>
                <w:color w:val="auto"/>
                <w:spacing w:val="8"/>
                <w:sz w:val="24"/>
                <w:szCs w:val="24"/>
                <w:highlight w:val="none"/>
              </w:rPr>
              <w:t>人，产生量为</w:t>
            </w:r>
            <w:r>
              <w:rPr>
                <w:rFonts w:hint="default" w:ascii="Times New Roman" w:hAnsi="Times New Roman" w:cs="Times New Roman"/>
                <w:color w:val="auto"/>
                <w:spacing w:val="8"/>
                <w:sz w:val="24"/>
                <w:szCs w:val="24"/>
                <w:highlight w:val="none"/>
                <w:lang w:val="en-US" w:eastAsia="zh-CN"/>
              </w:rPr>
              <w:t>8</w:t>
            </w:r>
            <w:r>
              <w:rPr>
                <w:rFonts w:hint="default" w:ascii="Times New Roman" w:hAnsi="Times New Roman" w:cs="Times New Roman"/>
                <w:color w:val="auto"/>
                <w:spacing w:val="8"/>
                <w:sz w:val="24"/>
                <w:szCs w:val="24"/>
                <w:highlight w:val="none"/>
              </w:rPr>
              <w:t>kg/d</w:t>
            </w:r>
            <w:r>
              <w:rPr>
                <w:rFonts w:hint="default" w:ascii="Times New Roman" w:hAnsi="Times New Roman" w:cs="Times New Roman"/>
                <w:color w:val="auto"/>
                <w:spacing w:val="8"/>
                <w:sz w:val="24"/>
                <w:szCs w:val="24"/>
                <w:highlight w:val="none"/>
                <w:lang w:eastAsia="zh-CN"/>
              </w:rPr>
              <w:t>（</w:t>
            </w:r>
            <w:r>
              <w:rPr>
                <w:rFonts w:hint="default" w:ascii="Times New Roman" w:hAnsi="Times New Roman" w:cs="Times New Roman"/>
                <w:color w:val="auto"/>
                <w:spacing w:val="8"/>
                <w:sz w:val="24"/>
                <w:szCs w:val="24"/>
                <w:highlight w:val="none"/>
                <w:lang w:val="en-US" w:eastAsia="zh-CN"/>
              </w:rPr>
              <w:t>1.68</w:t>
            </w:r>
            <w:r>
              <w:rPr>
                <w:rFonts w:hint="default" w:ascii="Times New Roman" w:hAnsi="Times New Roman" w:cs="Times New Roman"/>
                <w:color w:val="auto"/>
                <w:spacing w:val="8"/>
                <w:sz w:val="24"/>
                <w:szCs w:val="24"/>
                <w:highlight w:val="none"/>
              </w:rPr>
              <w:t>t/a</w:t>
            </w:r>
            <w:r>
              <w:rPr>
                <w:rFonts w:hint="default" w:ascii="Times New Roman" w:hAnsi="Times New Roman" w:cs="Times New Roman"/>
                <w:color w:val="auto"/>
                <w:spacing w:val="8"/>
                <w:sz w:val="24"/>
                <w:szCs w:val="24"/>
                <w:highlight w:val="none"/>
                <w:lang w:eastAsia="zh-CN"/>
              </w:rPr>
              <w:t>）</w:t>
            </w:r>
            <w:r>
              <w:rPr>
                <w:rFonts w:hint="default" w:ascii="Times New Roman" w:hAnsi="Times New Roman" w:cs="Times New Roman"/>
                <w:color w:val="auto"/>
                <w:spacing w:val="8"/>
                <w:sz w:val="24"/>
                <w:szCs w:val="24"/>
                <w:highlight w:val="none"/>
              </w:rPr>
              <w:t>，根据《固体废物分类与代码目录》，废物种类为SW61厨余垃圾及SW62可回收物，废物代码为900-001-S61、900-002-S61、900-002-S62，交由环卫部门统一清运。</w:t>
            </w:r>
          </w:p>
          <w:p w14:paraId="3FF3C2E9">
            <w:pPr>
              <w:keepNext w:val="0"/>
              <w:keepLines w:val="0"/>
              <w:pageBreakBefore w:val="0"/>
              <w:widowControl/>
              <w:overflowPunct/>
              <w:bidi w:val="0"/>
              <w:adjustRightInd w:val="0"/>
              <w:snapToGrid w:val="0"/>
              <w:spacing w:line="360" w:lineRule="auto"/>
              <w:ind w:firstLine="512" w:firstLineChars="200"/>
              <w:textAlignment w:val="baseline"/>
              <w:rPr>
                <w:rFonts w:hint="default" w:ascii="Times New Roman" w:hAnsi="Times New Roman" w:eastAsia="宋体" w:cs="Times New Roman"/>
                <w:snapToGrid w:val="0"/>
                <w:color w:val="auto"/>
                <w:spacing w:val="8"/>
                <w:kern w:val="0"/>
                <w:sz w:val="24"/>
                <w:szCs w:val="24"/>
                <w:highlight w:val="none"/>
                <w:lang w:val="en-US" w:eastAsia="en-US" w:bidi="ar-SA"/>
              </w:rPr>
            </w:pPr>
            <w:r>
              <w:rPr>
                <w:rFonts w:hint="default" w:ascii="Times New Roman" w:hAnsi="Times New Roman" w:eastAsia="宋体" w:cs="Times New Roman"/>
                <w:snapToGrid w:val="0"/>
                <w:color w:val="auto"/>
                <w:spacing w:val="8"/>
                <w:kern w:val="0"/>
                <w:sz w:val="24"/>
                <w:szCs w:val="24"/>
                <w:highlight w:val="none"/>
                <w:lang w:val="en-US" w:eastAsia="en-US" w:bidi="ar-SA"/>
              </w:rPr>
              <w:t>项目固废统计具体见下表4-</w:t>
            </w:r>
            <w:r>
              <w:rPr>
                <w:rFonts w:hint="default" w:ascii="Times New Roman" w:hAnsi="Times New Roman" w:eastAsia="宋体" w:cs="Times New Roman"/>
                <w:snapToGrid w:val="0"/>
                <w:color w:val="auto"/>
                <w:spacing w:val="8"/>
                <w:kern w:val="0"/>
                <w:sz w:val="24"/>
                <w:szCs w:val="24"/>
                <w:highlight w:val="none"/>
                <w:lang w:val="en-US" w:eastAsia="zh-CN" w:bidi="ar-SA"/>
              </w:rPr>
              <w:t>10</w:t>
            </w:r>
            <w:r>
              <w:rPr>
                <w:rFonts w:hint="default" w:ascii="Times New Roman" w:hAnsi="Times New Roman" w:eastAsia="宋体" w:cs="Times New Roman"/>
                <w:snapToGrid w:val="0"/>
                <w:color w:val="auto"/>
                <w:spacing w:val="8"/>
                <w:kern w:val="0"/>
                <w:sz w:val="24"/>
                <w:szCs w:val="24"/>
                <w:highlight w:val="none"/>
                <w:lang w:val="en-US" w:eastAsia="en-US" w:bidi="ar-SA"/>
              </w:rPr>
              <w:t>。</w:t>
            </w:r>
          </w:p>
          <w:p w14:paraId="0C51C75A">
            <w:pPr>
              <w:pStyle w:val="25"/>
              <w:pageBreakBefore w:val="0"/>
              <w:shd w:val="clear"/>
              <w:kinsoku/>
              <w:wordWrap w:val="0"/>
              <w:overflowPunct/>
              <w:topLinePunct/>
              <w:autoSpaceDE/>
              <w:autoSpaceDN/>
              <w:bidi w:val="0"/>
              <w:spacing w:line="240" w:lineRule="auto"/>
              <w:ind w:right="0"/>
              <w:jc w:val="center"/>
              <w:rPr>
                <w:rFonts w:hint="default" w:ascii="Times New Roman" w:hAnsi="Times New Roman" w:cs="Times New Roman"/>
                <w:b/>
                <w:bCs/>
                <w:color w:val="auto"/>
                <w:spacing w:val="5"/>
                <w:sz w:val="21"/>
                <w:szCs w:val="21"/>
                <w:highlight w:val="none"/>
              </w:rPr>
            </w:pPr>
            <w:r>
              <w:rPr>
                <w:rFonts w:hint="default" w:ascii="Times New Roman" w:hAnsi="Times New Roman" w:cs="Times New Roman"/>
                <w:b/>
                <w:bCs/>
                <w:color w:val="auto"/>
                <w:spacing w:val="6"/>
                <w:sz w:val="21"/>
                <w:szCs w:val="21"/>
                <w:highlight w:val="none"/>
              </w:rPr>
              <w:t>表</w:t>
            </w:r>
            <w:r>
              <w:rPr>
                <w:rFonts w:hint="default" w:ascii="Times New Roman" w:hAnsi="Times New Roman" w:eastAsia="Times New Roman" w:cs="Times New Roman"/>
                <w:b/>
                <w:bCs/>
                <w:color w:val="auto"/>
                <w:spacing w:val="6"/>
                <w:sz w:val="21"/>
                <w:szCs w:val="21"/>
                <w:highlight w:val="none"/>
              </w:rPr>
              <w:t>4-</w:t>
            </w:r>
            <w:r>
              <w:rPr>
                <w:rFonts w:hint="default" w:ascii="Times New Roman" w:hAnsi="Times New Roman" w:eastAsia="宋体" w:cs="Times New Roman"/>
                <w:b/>
                <w:bCs/>
                <w:color w:val="auto"/>
                <w:spacing w:val="6"/>
                <w:sz w:val="21"/>
                <w:szCs w:val="21"/>
                <w:highlight w:val="none"/>
                <w:lang w:val="en-US" w:eastAsia="zh-CN"/>
              </w:rPr>
              <w:t xml:space="preserve">10  </w:t>
            </w:r>
            <w:r>
              <w:rPr>
                <w:rFonts w:hint="default" w:ascii="Times New Roman" w:hAnsi="Times New Roman" w:cs="Times New Roman"/>
                <w:b/>
                <w:bCs/>
                <w:color w:val="auto"/>
                <w:spacing w:val="6"/>
                <w:sz w:val="21"/>
                <w:szCs w:val="21"/>
                <w:highlight w:val="none"/>
              </w:rPr>
              <w:t>建设项目运营期固体</w:t>
            </w:r>
            <w:r>
              <w:rPr>
                <w:rFonts w:hint="default" w:ascii="Times New Roman" w:hAnsi="Times New Roman" w:cs="Times New Roman"/>
                <w:b/>
                <w:bCs/>
                <w:color w:val="auto"/>
                <w:spacing w:val="5"/>
                <w:sz w:val="21"/>
                <w:szCs w:val="21"/>
                <w:highlight w:val="none"/>
              </w:rPr>
              <w:t>废物汇总表</w:t>
            </w:r>
          </w:p>
          <w:tbl>
            <w:tblPr>
              <w:tblStyle w:val="18"/>
              <w:tblW w:w="49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100"/>
              <w:gridCol w:w="1105"/>
              <w:gridCol w:w="1027"/>
              <w:gridCol w:w="1396"/>
              <w:gridCol w:w="855"/>
              <w:gridCol w:w="746"/>
              <w:gridCol w:w="1423"/>
            </w:tblGrid>
            <w:tr w14:paraId="031B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286" w:type="pct"/>
                  <w:vAlign w:val="center"/>
                </w:tcPr>
                <w:p w14:paraId="0501F8EC">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序号</w:t>
                  </w:r>
                </w:p>
              </w:tc>
              <w:tc>
                <w:tcPr>
                  <w:tcW w:w="677" w:type="pct"/>
                  <w:vAlign w:val="center"/>
                </w:tcPr>
                <w:p w14:paraId="3E0E6073">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名称</w:t>
                  </w:r>
                </w:p>
              </w:tc>
              <w:tc>
                <w:tcPr>
                  <w:tcW w:w="680" w:type="pct"/>
                  <w:vAlign w:val="center"/>
                </w:tcPr>
                <w:p w14:paraId="7A3E4FF4">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来源</w:t>
                  </w:r>
                </w:p>
              </w:tc>
              <w:tc>
                <w:tcPr>
                  <w:tcW w:w="632" w:type="pct"/>
                  <w:vAlign w:val="center"/>
                </w:tcPr>
                <w:p w14:paraId="488437CC">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废物类别</w:t>
                  </w:r>
                </w:p>
              </w:tc>
              <w:tc>
                <w:tcPr>
                  <w:tcW w:w="859" w:type="pct"/>
                  <w:vAlign w:val="center"/>
                </w:tcPr>
                <w:p w14:paraId="533AA1FD">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废物代码</w:t>
                  </w:r>
                </w:p>
              </w:tc>
              <w:tc>
                <w:tcPr>
                  <w:tcW w:w="526" w:type="pct"/>
                  <w:vAlign w:val="center"/>
                </w:tcPr>
                <w:p w14:paraId="60C8CE5C">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产生量(t/a)</w:t>
                  </w:r>
                </w:p>
              </w:tc>
              <w:tc>
                <w:tcPr>
                  <w:tcW w:w="459" w:type="pct"/>
                  <w:vAlign w:val="center"/>
                </w:tcPr>
                <w:p w14:paraId="3DFC75E3">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危险特性</w:t>
                  </w:r>
                </w:p>
              </w:tc>
              <w:tc>
                <w:tcPr>
                  <w:tcW w:w="876" w:type="pct"/>
                  <w:vAlign w:val="center"/>
                </w:tcPr>
                <w:p w14:paraId="7BD39591">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治理措施</w:t>
                  </w:r>
                </w:p>
              </w:tc>
            </w:tr>
            <w:tr w14:paraId="27321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286" w:type="pct"/>
                  <w:vAlign w:val="center"/>
                </w:tcPr>
                <w:p w14:paraId="6FC912D0">
                  <w:pPr>
                    <w:widowControl/>
                    <w:numPr>
                      <w:ilvl w:val="0"/>
                      <w:numId w:val="1"/>
                    </w:numPr>
                    <w:ind w:left="425" w:leftChars="0" w:hanging="425" w:firstLineChars="0"/>
                    <w:jc w:val="center"/>
                    <w:textAlignment w:val="center"/>
                    <w:rPr>
                      <w:rFonts w:hint="default" w:ascii="Times New Roman" w:hAnsi="Times New Roman" w:cs="Times New Roman"/>
                      <w:color w:val="auto"/>
                      <w:kern w:val="0"/>
                      <w:sz w:val="21"/>
                      <w:szCs w:val="21"/>
                      <w:highlight w:val="none"/>
                      <w:lang w:bidi="ar"/>
                    </w:rPr>
                  </w:pPr>
                </w:p>
              </w:tc>
              <w:tc>
                <w:tcPr>
                  <w:tcW w:w="677" w:type="pct"/>
                  <w:vAlign w:val="center"/>
                </w:tcPr>
                <w:p w14:paraId="075F67FA">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除尘器粉尘</w:t>
                  </w:r>
                </w:p>
              </w:tc>
              <w:tc>
                <w:tcPr>
                  <w:tcW w:w="680" w:type="pct"/>
                  <w:vAlign w:val="center"/>
                </w:tcPr>
                <w:p w14:paraId="496A0659">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袋式除尘器</w:t>
                  </w:r>
                </w:p>
              </w:tc>
              <w:tc>
                <w:tcPr>
                  <w:tcW w:w="632" w:type="pct"/>
                  <w:vAlign w:val="center"/>
                </w:tcPr>
                <w:p w14:paraId="4CAFFDE2">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一般固废</w:t>
                  </w:r>
                </w:p>
              </w:tc>
              <w:tc>
                <w:tcPr>
                  <w:tcW w:w="859" w:type="pct"/>
                  <w:vAlign w:val="center"/>
                </w:tcPr>
                <w:p w14:paraId="3F1694EA">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900-099-S17</w:t>
                  </w:r>
                </w:p>
              </w:tc>
              <w:tc>
                <w:tcPr>
                  <w:tcW w:w="526" w:type="pct"/>
                  <w:vAlign w:val="center"/>
                </w:tcPr>
                <w:p w14:paraId="6E12ECB0">
                  <w:pPr>
                    <w:widowControl/>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3.033</w:t>
                  </w:r>
                </w:p>
              </w:tc>
              <w:tc>
                <w:tcPr>
                  <w:tcW w:w="459" w:type="pct"/>
                  <w:vAlign w:val="center"/>
                </w:tcPr>
                <w:p w14:paraId="2F3E4FA7">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w:t>
                  </w:r>
                </w:p>
              </w:tc>
              <w:tc>
                <w:tcPr>
                  <w:tcW w:w="876" w:type="pct"/>
                  <w:vAlign w:val="center"/>
                </w:tcPr>
                <w:p w14:paraId="5F91347B">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回用于生产</w:t>
                  </w:r>
                </w:p>
              </w:tc>
            </w:tr>
            <w:tr w14:paraId="05F84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286" w:type="pct"/>
                  <w:vAlign w:val="center"/>
                </w:tcPr>
                <w:p w14:paraId="6E4625A5">
                  <w:pPr>
                    <w:widowControl/>
                    <w:numPr>
                      <w:ilvl w:val="0"/>
                      <w:numId w:val="1"/>
                    </w:numPr>
                    <w:ind w:left="425" w:leftChars="0" w:hanging="425" w:firstLineChars="0"/>
                    <w:jc w:val="center"/>
                    <w:textAlignment w:val="center"/>
                    <w:rPr>
                      <w:rFonts w:hint="default" w:ascii="Times New Roman" w:hAnsi="Times New Roman" w:cs="Times New Roman"/>
                      <w:color w:val="auto"/>
                      <w:kern w:val="0"/>
                      <w:sz w:val="21"/>
                      <w:szCs w:val="21"/>
                      <w:highlight w:val="none"/>
                      <w:lang w:bidi="ar"/>
                    </w:rPr>
                  </w:pPr>
                </w:p>
              </w:tc>
              <w:tc>
                <w:tcPr>
                  <w:tcW w:w="677" w:type="pct"/>
                  <w:vAlign w:val="center"/>
                </w:tcPr>
                <w:p w14:paraId="4F3AE136">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val="en-US" w:eastAsia="zh-CN" w:bidi="ar"/>
                    </w:rPr>
                    <w:t>废包装袋</w:t>
                  </w:r>
                </w:p>
              </w:tc>
              <w:tc>
                <w:tcPr>
                  <w:tcW w:w="680" w:type="pct"/>
                  <w:vAlign w:val="center"/>
                </w:tcPr>
                <w:p w14:paraId="5480B534">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元明粉</w:t>
                  </w:r>
                </w:p>
              </w:tc>
              <w:tc>
                <w:tcPr>
                  <w:tcW w:w="632" w:type="pct"/>
                  <w:vAlign w:val="center"/>
                </w:tcPr>
                <w:p w14:paraId="1E17603C">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一般固废</w:t>
                  </w:r>
                </w:p>
              </w:tc>
              <w:tc>
                <w:tcPr>
                  <w:tcW w:w="859" w:type="pct"/>
                  <w:vAlign w:val="center"/>
                </w:tcPr>
                <w:p w14:paraId="7CCEB6F7">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900-002-S62</w:t>
                  </w:r>
                </w:p>
              </w:tc>
              <w:tc>
                <w:tcPr>
                  <w:tcW w:w="526" w:type="pct"/>
                  <w:vAlign w:val="center"/>
                </w:tcPr>
                <w:p w14:paraId="12A86A70">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0.</w:t>
                  </w:r>
                  <w:r>
                    <w:rPr>
                      <w:rFonts w:hint="default" w:ascii="Times New Roman" w:hAnsi="Times New Roman" w:cs="Times New Roman"/>
                      <w:color w:val="auto"/>
                      <w:kern w:val="0"/>
                      <w:sz w:val="21"/>
                      <w:szCs w:val="21"/>
                      <w:highlight w:val="none"/>
                      <w:lang w:val="en-US" w:eastAsia="zh-CN" w:bidi="ar"/>
                    </w:rPr>
                    <w:t>2</w:t>
                  </w:r>
                </w:p>
              </w:tc>
              <w:tc>
                <w:tcPr>
                  <w:tcW w:w="459" w:type="pct"/>
                  <w:vAlign w:val="center"/>
                </w:tcPr>
                <w:p w14:paraId="726BCBF9">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w:t>
                  </w:r>
                </w:p>
              </w:tc>
              <w:tc>
                <w:tcPr>
                  <w:tcW w:w="876" w:type="pct"/>
                  <w:vAlign w:val="center"/>
                </w:tcPr>
                <w:p w14:paraId="02AD90BF">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val="en-US" w:eastAsia="zh-CN" w:bidi="ar"/>
                    </w:rPr>
                    <w:t>收集后外售</w:t>
                  </w:r>
                </w:p>
              </w:tc>
            </w:tr>
            <w:tr w14:paraId="7BE70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286" w:type="pct"/>
                  <w:vAlign w:val="center"/>
                </w:tcPr>
                <w:p w14:paraId="349889EF">
                  <w:pPr>
                    <w:widowControl/>
                    <w:numPr>
                      <w:ilvl w:val="0"/>
                      <w:numId w:val="1"/>
                    </w:numPr>
                    <w:ind w:left="425" w:leftChars="0" w:hanging="425" w:firstLineChars="0"/>
                    <w:jc w:val="center"/>
                    <w:textAlignment w:val="center"/>
                    <w:rPr>
                      <w:rFonts w:hint="default" w:ascii="Times New Roman" w:hAnsi="Times New Roman" w:cs="Times New Roman"/>
                      <w:color w:val="auto"/>
                      <w:kern w:val="0"/>
                      <w:sz w:val="21"/>
                      <w:szCs w:val="21"/>
                      <w:highlight w:val="none"/>
                      <w:lang w:bidi="ar"/>
                    </w:rPr>
                  </w:pPr>
                </w:p>
              </w:tc>
              <w:tc>
                <w:tcPr>
                  <w:tcW w:w="677" w:type="pct"/>
                  <w:vAlign w:val="center"/>
                </w:tcPr>
                <w:p w14:paraId="411F7D70">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val="en-US" w:eastAsia="zh-CN" w:bidi="ar"/>
                    </w:rPr>
                    <w:t>废包装桶</w:t>
                  </w:r>
                </w:p>
              </w:tc>
              <w:tc>
                <w:tcPr>
                  <w:tcW w:w="680" w:type="pct"/>
                  <w:vAlign w:val="center"/>
                </w:tcPr>
                <w:p w14:paraId="16DE5DDB">
                  <w:pPr>
                    <w:widowControl/>
                    <w:jc w:val="center"/>
                    <w:textAlignment w:val="center"/>
                    <w:rPr>
                      <w:rFonts w:hint="default" w:ascii="Times New Roman" w:hAnsi="Times New Roman" w:cs="Times New Roman"/>
                      <w:color w:val="auto"/>
                      <w:kern w:val="0"/>
                      <w:sz w:val="21"/>
                      <w:szCs w:val="21"/>
                      <w:highlight w:val="none"/>
                      <w:lang w:val="en-US" w:bidi="ar"/>
                    </w:rPr>
                  </w:pPr>
                  <w:r>
                    <w:rPr>
                      <w:rFonts w:hint="default" w:ascii="Times New Roman" w:hAnsi="Times New Roman" w:cs="Times New Roman"/>
                      <w:color w:val="auto"/>
                      <w:kern w:val="0"/>
                      <w:sz w:val="21"/>
                      <w:szCs w:val="21"/>
                      <w:highlight w:val="none"/>
                      <w:lang w:val="en-US" w:eastAsia="zh-CN" w:bidi="ar"/>
                    </w:rPr>
                    <w:t>三乙醇胺</w:t>
                  </w:r>
                </w:p>
              </w:tc>
              <w:tc>
                <w:tcPr>
                  <w:tcW w:w="632" w:type="pct"/>
                  <w:vAlign w:val="center"/>
                </w:tcPr>
                <w:p w14:paraId="364C47A9">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一般固废</w:t>
                  </w:r>
                </w:p>
              </w:tc>
              <w:tc>
                <w:tcPr>
                  <w:tcW w:w="859" w:type="pct"/>
                  <w:vAlign w:val="center"/>
                </w:tcPr>
                <w:p w14:paraId="04F70909">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900-002-S62</w:t>
                  </w:r>
                </w:p>
              </w:tc>
              <w:tc>
                <w:tcPr>
                  <w:tcW w:w="526" w:type="pct"/>
                  <w:vAlign w:val="center"/>
                </w:tcPr>
                <w:p w14:paraId="4CD94AD3">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0.</w:t>
                  </w:r>
                  <w:r>
                    <w:rPr>
                      <w:rFonts w:hint="default" w:ascii="Times New Roman" w:hAnsi="Times New Roman" w:cs="Times New Roman"/>
                      <w:color w:val="auto"/>
                      <w:kern w:val="0"/>
                      <w:sz w:val="21"/>
                      <w:szCs w:val="21"/>
                      <w:highlight w:val="none"/>
                      <w:lang w:val="en-US" w:eastAsia="zh-CN" w:bidi="ar"/>
                    </w:rPr>
                    <w:t>5</w:t>
                  </w:r>
                </w:p>
              </w:tc>
              <w:tc>
                <w:tcPr>
                  <w:tcW w:w="459" w:type="pct"/>
                  <w:vAlign w:val="center"/>
                </w:tcPr>
                <w:p w14:paraId="0A153B1C">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bidi="ar"/>
                    </w:rPr>
                    <w:t>/</w:t>
                  </w:r>
                </w:p>
              </w:tc>
              <w:tc>
                <w:tcPr>
                  <w:tcW w:w="876" w:type="pct"/>
                  <w:vAlign w:val="center"/>
                </w:tcPr>
                <w:p w14:paraId="7CE51CAD">
                  <w:pPr>
                    <w:widowControl/>
                    <w:jc w:val="center"/>
                    <w:textAlignment w:val="center"/>
                    <w:rPr>
                      <w:rFonts w:hint="default" w:ascii="Times New Roman" w:hAnsi="Times New Roman" w:cs="Times New Roman"/>
                      <w:color w:val="auto"/>
                      <w:kern w:val="0"/>
                      <w:sz w:val="21"/>
                      <w:szCs w:val="21"/>
                      <w:highlight w:val="none"/>
                      <w:lang w:bidi="ar"/>
                    </w:rPr>
                  </w:pPr>
                  <w:r>
                    <w:rPr>
                      <w:rFonts w:hint="default" w:ascii="Times New Roman" w:hAnsi="Times New Roman" w:cs="Times New Roman"/>
                      <w:color w:val="auto"/>
                      <w:kern w:val="0"/>
                      <w:sz w:val="21"/>
                      <w:szCs w:val="21"/>
                      <w:highlight w:val="none"/>
                      <w:lang w:val="en-US" w:eastAsia="zh-CN" w:bidi="ar"/>
                    </w:rPr>
                    <w:t>收集后由厂家回收</w:t>
                  </w:r>
                </w:p>
              </w:tc>
            </w:tr>
            <w:tr w14:paraId="0AD0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286" w:type="pct"/>
                  <w:shd w:val="clear" w:color="auto" w:fill="auto"/>
                  <w:vAlign w:val="center"/>
                </w:tcPr>
                <w:p w14:paraId="6724413C">
                  <w:pPr>
                    <w:widowControl/>
                    <w:numPr>
                      <w:ilvl w:val="0"/>
                      <w:numId w:val="1"/>
                    </w:numPr>
                    <w:ind w:left="425" w:leftChars="0" w:hanging="425" w:firstLineChars="0"/>
                    <w:jc w:val="center"/>
                    <w:textAlignment w:val="center"/>
                    <w:rPr>
                      <w:rFonts w:hint="default" w:ascii="Times New Roman" w:hAnsi="Times New Roman" w:cs="Times New Roman"/>
                      <w:color w:val="auto"/>
                      <w:kern w:val="0"/>
                      <w:sz w:val="21"/>
                      <w:szCs w:val="21"/>
                      <w:highlight w:val="none"/>
                      <w:lang w:val="en-US" w:eastAsia="zh-CN" w:bidi="ar"/>
                    </w:rPr>
                  </w:pPr>
                </w:p>
              </w:tc>
              <w:tc>
                <w:tcPr>
                  <w:tcW w:w="677" w:type="pct"/>
                  <w:shd w:val="clear" w:color="auto" w:fill="auto"/>
                  <w:vAlign w:val="center"/>
                </w:tcPr>
                <w:p w14:paraId="5D478AF5">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废机油</w:t>
                  </w:r>
                </w:p>
              </w:tc>
              <w:tc>
                <w:tcPr>
                  <w:tcW w:w="680" w:type="pct"/>
                  <w:shd w:val="clear" w:color="auto" w:fill="auto"/>
                  <w:vAlign w:val="center"/>
                </w:tcPr>
                <w:p w14:paraId="1EC7FE92">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设备维护</w:t>
                  </w:r>
                </w:p>
              </w:tc>
              <w:tc>
                <w:tcPr>
                  <w:tcW w:w="632" w:type="pct"/>
                  <w:shd w:val="clear" w:color="auto" w:fill="auto"/>
                  <w:vAlign w:val="center"/>
                </w:tcPr>
                <w:p w14:paraId="354993BD">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危险废物</w:t>
                  </w:r>
                </w:p>
              </w:tc>
              <w:tc>
                <w:tcPr>
                  <w:tcW w:w="859" w:type="pct"/>
                  <w:shd w:val="clear" w:color="auto" w:fill="auto"/>
                  <w:vAlign w:val="center"/>
                </w:tcPr>
                <w:p w14:paraId="420A3B77">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900-217-08</w:t>
                  </w:r>
                </w:p>
              </w:tc>
              <w:tc>
                <w:tcPr>
                  <w:tcW w:w="526" w:type="pct"/>
                  <w:shd w:val="clear" w:color="auto" w:fill="auto"/>
                  <w:vAlign w:val="center"/>
                </w:tcPr>
                <w:p w14:paraId="249EE82C">
                  <w:pPr>
                    <w:widowControl/>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0.</w:t>
                  </w:r>
                  <w:r>
                    <w:rPr>
                      <w:rFonts w:hint="default" w:ascii="Times New Roman" w:hAnsi="Times New Roman" w:eastAsia="宋体" w:cs="Times New Roman"/>
                      <w:color w:val="auto"/>
                      <w:kern w:val="0"/>
                      <w:sz w:val="21"/>
                      <w:szCs w:val="21"/>
                      <w:highlight w:val="none"/>
                      <w:lang w:val="en-US" w:eastAsia="zh-CN" w:bidi="ar"/>
                    </w:rPr>
                    <w:t>5</w:t>
                  </w:r>
                </w:p>
              </w:tc>
              <w:tc>
                <w:tcPr>
                  <w:tcW w:w="459" w:type="pct"/>
                  <w:shd w:val="clear" w:color="auto" w:fill="auto"/>
                  <w:vAlign w:val="center"/>
                </w:tcPr>
                <w:p w14:paraId="420B47A2">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T，I</w:t>
                  </w:r>
                </w:p>
              </w:tc>
              <w:tc>
                <w:tcPr>
                  <w:tcW w:w="876" w:type="pct"/>
                  <w:shd w:val="clear" w:color="auto" w:fill="auto"/>
                  <w:vAlign w:val="center"/>
                </w:tcPr>
                <w:p w14:paraId="72D41DEA">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定期交由有危废处置资质单位处理</w:t>
                  </w:r>
                </w:p>
              </w:tc>
            </w:tr>
            <w:tr w14:paraId="0051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286" w:type="pct"/>
                  <w:vAlign w:val="center"/>
                </w:tcPr>
                <w:p w14:paraId="33F3F51B">
                  <w:pPr>
                    <w:widowControl/>
                    <w:numPr>
                      <w:ilvl w:val="0"/>
                      <w:numId w:val="1"/>
                    </w:numPr>
                    <w:ind w:left="425" w:leftChars="0" w:hanging="425" w:firstLineChars="0"/>
                    <w:jc w:val="center"/>
                    <w:textAlignment w:val="center"/>
                    <w:rPr>
                      <w:rFonts w:hint="default" w:ascii="Times New Roman" w:hAnsi="Times New Roman" w:cs="Times New Roman"/>
                      <w:color w:val="auto"/>
                      <w:kern w:val="0"/>
                      <w:sz w:val="21"/>
                      <w:szCs w:val="21"/>
                      <w:highlight w:val="none"/>
                      <w:lang w:val="en-US" w:eastAsia="zh-CN" w:bidi="ar"/>
                    </w:rPr>
                  </w:pPr>
                </w:p>
              </w:tc>
              <w:tc>
                <w:tcPr>
                  <w:tcW w:w="677" w:type="pct"/>
                  <w:shd w:val="clear" w:color="auto" w:fill="auto"/>
                  <w:vAlign w:val="center"/>
                </w:tcPr>
                <w:p w14:paraId="527BBB5C">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生活垃圾</w:t>
                  </w:r>
                </w:p>
              </w:tc>
              <w:tc>
                <w:tcPr>
                  <w:tcW w:w="680" w:type="pct"/>
                  <w:shd w:val="clear" w:color="auto" w:fill="auto"/>
                  <w:vAlign w:val="center"/>
                </w:tcPr>
                <w:p w14:paraId="232C9CF6">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员工生活</w:t>
                  </w:r>
                </w:p>
              </w:tc>
              <w:tc>
                <w:tcPr>
                  <w:tcW w:w="632" w:type="pct"/>
                  <w:shd w:val="clear" w:color="auto" w:fill="auto"/>
                  <w:vAlign w:val="center"/>
                </w:tcPr>
                <w:p w14:paraId="4C218E4D">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w:t>
                  </w:r>
                </w:p>
              </w:tc>
              <w:tc>
                <w:tcPr>
                  <w:tcW w:w="859" w:type="pct"/>
                  <w:shd w:val="clear" w:color="auto" w:fill="auto"/>
                  <w:vAlign w:val="center"/>
                </w:tcPr>
                <w:p w14:paraId="66869920">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900-001-S61、900-002-S61、900-002-S62</w:t>
                  </w:r>
                </w:p>
              </w:tc>
              <w:tc>
                <w:tcPr>
                  <w:tcW w:w="526" w:type="pct"/>
                  <w:shd w:val="clear" w:color="auto" w:fill="auto"/>
                  <w:vAlign w:val="center"/>
                </w:tcPr>
                <w:p w14:paraId="66EEB307">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1.68</w:t>
                  </w:r>
                </w:p>
              </w:tc>
              <w:tc>
                <w:tcPr>
                  <w:tcW w:w="459" w:type="pct"/>
                  <w:shd w:val="clear" w:color="auto" w:fill="auto"/>
                  <w:vAlign w:val="center"/>
                </w:tcPr>
                <w:p w14:paraId="1031AB72">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w:t>
                  </w:r>
                </w:p>
              </w:tc>
              <w:tc>
                <w:tcPr>
                  <w:tcW w:w="876" w:type="pct"/>
                  <w:shd w:val="clear" w:color="auto" w:fill="auto"/>
                  <w:vAlign w:val="center"/>
                </w:tcPr>
                <w:p w14:paraId="3B62D3E6">
                  <w:pPr>
                    <w:widowControl/>
                    <w:jc w:val="center"/>
                    <w:textAlignment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环卫部门清运</w:t>
                  </w:r>
                </w:p>
              </w:tc>
            </w:tr>
          </w:tbl>
          <w:p w14:paraId="0BBED5C6">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80" w:firstLineChars="200"/>
              <w:jc w:val="both"/>
              <w:textAlignment w:val="auto"/>
              <w:rPr>
                <w:rFonts w:hint="default" w:ascii="Times New Roman" w:hAnsi="Times New Roman" w:eastAsia="宋体" w:cs="Times New Roman"/>
                <w:b w:val="0"/>
                <w:bCs/>
                <w:color w:val="auto"/>
                <w:kern w:val="0"/>
                <w:sz w:val="24"/>
                <w:highlight w:val="none"/>
                <w:lang w:val="en-US" w:eastAsia="zh-CN"/>
              </w:rPr>
            </w:pPr>
            <w:r>
              <w:rPr>
                <w:rFonts w:hint="eastAsia" w:ascii="Times New Roman" w:hAnsi="Times New Roman" w:eastAsia="宋体" w:cs="Times New Roman"/>
                <w:bCs/>
                <w:color w:val="auto"/>
                <w:sz w:val="24"/>
                <w:szCs w:val="24"/>
                <w:highlight w:val="none"/>
                <w:lang w:val="en-US" w:eastAsia="zh-CN"/>
              </w:rPr>
              <w:t>本项目新建</w:t>
            </w:r>
            <w:r>
              <w:rPr>
                <w:rFonts w:hint="eastAsia" w:ascii="Times New Roman" w:hAnsi="Times New Roman" w:eastAsia="宋体" w:cs="Times New Roman"/>
                <w:color w:val="auto"/>
                <w:spacing w:val="3"/>
                <w:position w:val="1"/>
                <w:sz w:val="24"/>
                <w:szCs w:val="24"/>
                <w:highlight w:val="none"/>
                <w:lang w:val="en-US" w:eastAsia="zh-CN"/>
              </w:rPr>
              <w:t>危</w:t>
            </w:r>
            <w:r>
              <w:rPr>
                <w:rFonts w:hint="eastAsia" w:ascii="Times New Roman" w:hAnsi="Times New Roman" w:eastAsia="宋体" w:cs="Times New Roman"/>
                <w:snapToGrid w:val="0"/>
                <w:color w:val="auto"/>
                <w:spacing w:val="3"/>
                <w:kern w:val="0"/>
                <w:position w:val="1"/>
                <w:sz w:val="24"/>
                <w:szCs w:val="24"/>
                <w:highlight w:val="none"/>
                <w:lang w:val="en-US" w:eastAsia="zh-CN" w:bidi="ar-SA"/>
              </w:rPr>
              <w:t>险废物</w:t>
            </w:r>
            <w:r>
              <w:rPr>
                <w:rFonts w:hint="default" w:ascii="Times New Roman" w:hAnsi="Times New Roman" w:eastAsia="宋体" w:cs="Times New Roman"/>
                <w:snapToGrid w:val="0"/>
                <w:color w:val="auto"/>
                <w:spacing w:val="3"/>
                <w:kern w:val="0"/>
                <w:position w:val="1"/>
                <w:sz w:val="24"/>
                <w:szCs w:val="24"/>
                <w:highlight w:val="none"/>
                <w:lang w:val="en-US" w:eastAsia="zh-CN" w:bidi="ar-SA"/>
              </w:rPr>
              <w:t>贮存点</w:t>
            </w:r>
            <w:r>
              <w:rPr>
                <w:rFonts w:hint="eastAsia" w:ascii="Times New Roman" w:hAnsi="Times New Roman" w:eastAsia="宋体" w:cs="Times New Roman"/>
                <w:bCs/>
                <w:color w:val="auto"/>
                <w:sz w:val="24"/>
                <w:szCs w:val="24"/>
                <w:highlight w:val="none"/>
                <w:lang w:val="en-US" w:eastAsia="zh-CN"/>
              </w:rPr>
              <w:t>一个</w:t>
            </w:r>
            <w:r>
              <w:rPr>
                <w:rFonts w:hint="eastAsia" w:ascii="Times New Roman" w:hAnsi="Times New Roman" w:eastAsia="宋体" w:cs="Times New Roman"/>
                <w:b w:val="0"/>
                <w:bCs/>
                <w:color w:val="auto"/>
                <w:kern w:val="0"/>
                <w:sz w:val="24"/>
                <w:highlight w:val="none"/>
                <w:lang w:val="en-US" w:eastAsia="zh-CN"/>
              </w:rPr>
              <w:t>，位于</w:t>
            </w:r>
            <w:r>
              <w:rPr>
                <w:rFonts w:hint="eastAsia" w:ascii="Times New Roman" w:hAnsi="Times New Roman" w:eastAsia="宋体" w:cs="Times New Roman"/>
                <w:color w:val="auto"/>
                <w:kern w:val="2"/>
                <w:sz w:val="24"/>
                <w:szCs w:val="24"/>
                <w:highlight w:val="none"/>
                <w:lang w:val="en-US" w:eastAsia="zh-CN" w:bidi="ar-SA"/>
              </w:rPr>
              <w:t>厂区东侧</w:t>
            </w:r>
            <w:r>
              <w:rPr>
                <w:rFonts w:hint="eastAsia" w:ascii="Times New Roman" w:hAnsi="Times New Roman" w:eastAsia="宋体" w:cs="Times New Roman"/>
                <w:b w:val="0"/>
                <w:bCs/>
                <w:color w:val="auto"/>
                <w:kern w:val="0"/>
                <w:sz w:val="24"/>
                <w:highlight w:val="none"/>
                <w:lang w:val="en-US" w:eastAsia="zh-CN"/>
              </w:rPr>
              <w:t>。建筑面积10m</w:t>
            </w:r>
            <w:r>
              <w:rPr>
                <w:rFonts w:hint="eastAsia" w:ascii="Times New Roman" w:hAnsi="Times New Roman" w:eastAsia="宋体" w:cs="Times New Roman"/>
                <w:b w:val="0"/>
                <w:bCs/>
                <w:color w:val="auto"/>
                <w:kern w:val="0"/>
                <w:sz w:val="24"/>
                <w:highlight w:val="none"/>
                <w:vertAlign w:val="superscript"/>
                <w:lang w:val="en-US" w:eastAsia="zh-CN"/>
              </w:rPr>
              <w:t>2</w:t>
            </w:r>
            <w:r>
              <w:rPr>
                <w:rFonts w:hint="eastAsia" w:ascii="Times New Roman" w:hAnsi="Times New Roman" w:eastAsia="宋体" w:cs="Times New Roman"/>
                <w:b w:val="0"/>
                <w:bCs/>
                <w:color w:val="auto"/>
                <w:kern w:val="0"/>
                <w:sz w:val="24"/>
                <w:highlight w:val="none"/>
                <w:vertAlign w:val="baseline"/>
                <w:lang w:val="en-US" w:eastAsia="zh-CN"/>
              </w:rPr>
              <w:t>，</w:t>
            </w:r>
            <w:r>
              <w:rPr>
                <w:rFonts w:hint="eastAsia" w:ascii="Times New Roman" w:hAnsi="Times New Roman" w:eastAsia="宋体" w:cs="Times New Roman"/>
                <w:bCs/>
                <w:color w:val="auto"/>
                <w:sz w:val="24"/>
                <w:szCs w:val="24"/>
                <w:highlight w:val="none"/>
                <w:lang w:val="en-US" w:eastAsia="zh-CN"/>
              </w:rPr>
              <w:t>本项目产生的</w:t>
            </w:r>
            <w:r>
              <w:rPr>
                <w:rFonts w:hint="default" w:ascii="Times New Roman" w:hAnsi="Times New Roman" w:eastAsia="宋体" w:cs="Times New Roman"/>
                <w:color w:val="auto"/>
                <w:kern w:val="2"/>
                <w:sz w:val="24"/>
                <w:szCs w:val="24"/>
                <w:highlight w:val="none"/>
                <w:lang w:val="en-US" w:eastAsia="zh-CN" w:bidi="ar-SA"/>
              </w:rPr>
              <w:t>危</w:t>
            </w:r>
            <w:r>
              <w:rPr>
                <w:rFonts w:hint="default" w:ascii="Times New Roman" w:hAnsi="Times New Roman" w:eastAsia="宋体" w:cs="Times New Roman"/>
                <w:b w:val="0"/>
                <w:bCs/>
                <w:color w:val="auto"/>
                <w:kern w:val="0"/>
                <w:sz w:val="24"/>
                <w:highlight w:val="none"/>
                <w:lang w:val="en-US" w:eastAsia="zh-CN"/>
              </w:rPr>
              <w:t>险废物</w:t>
            </w:r>
            <w:r>
              <w:rPr>
                <w:rFonts w:hint="eastAsia" w:ascii="Times New Roman" w:hAnsi="Times New Roman" w:eastAsia="宋体" w:cs="Times New Roman"/>
                <w:b w:val="0"/>
                <w:bCs/>
                <w:color w:val="auto"/>
                <w:kern w:val="0"/>
                <w:sz w:val="24"/>
                <w:highlight w:val="none"/>
                <w:lang w:val="en-US" w:eastAsia="zh-CN"/>
              </w:rPr>
              <w:t>主要为</w:t>
            </w:r>
            <w:r>
              <w:rPr>
                <w:rFonts w:hint="default" w:ascii="Times New Roman" w:hAnsi="Times New Roman" w:eastAsia="宋体" w:cs="Times New Roman"/>
                <w:b w:val="0"/>
                <w:bCs/>
                <w:color w:val="auto"/>
                <w:kern w:val="0"/>
                <w:sz w:val="24"/>
                <w:highlight w:val="none"/>
                <w:lang w:val="en-US" w:eastAsia="zh-CN"/>
              </w:rPr>
              <w:t>废机油</w:t>
            </w:r>
            <w:r>
              <w:rPr>
                <w:rFonts w:hint="eastAsia" w:ascii="Times New Roman" w:hAnsi="Times New Roman" w:eastAsia="宋体" w:cs="Times New Roman"/>
                <w:b w:val="0"/>
                <w:bCs/>
                <w:color w:val="auto"/>
                <w:kern w:val="0"/>
                <w:sz w:val="24"/>
                <w:highlight w:val="none"/>
                <w:lang w:val="en-US" w:eastAsia="zh-CN"/>
              </w:rPr>
              <w:t>，</w:t>
            </w:r>
            <w:r>
              <w:rPr>
                <w:rFonts w:hint="default" w:ascii="Times New Roman" w:hAnsi="Times New Roman" w:eastAsia="宋体" w:cs="Times New Roman"/>
                <w:b w:val="0"/>
                <w:bCs/>
                <w:color w:val="auto"/>
                <w:kern w:val="0"/>
                <w:sz w:val="24"/>
                <w:highlight w:val="none"/>
                <w:lang w:val="en-US" w:eastAsia="zh-CN"/>
              </w:rPr>
              <w:t>废机油</w:t>
            </w:r>
            <w:r>
              <w:rPr>
                <w:rFonts w:hint="eastAsia" w:ascii="Times New Roman" w:hAnsi="Times New Roman" w:eastAsia="宋体" w:cs="Times New Roman"/>
                <w:b w:val="0"/>
                <w:bCs/>
                <w:color w:val="auto"/>
                <w:kern w:val="0"/>
                <w:sz w:val="24"/>
                <w:highlight w:val="none"/>
                <w:lang w:val="en-US" w:eastAsia="zh-CN"/>
              </w:rPr>
              <w:t>最大储存量为0.5</w:t>
            </w:r>
            <w:r>
              <w:rPr>
                <w:rFonts w:hint="default" w:ascii="Times New Roman" w:hAnsi="Times New Roman" w:cs="Times New Roman"/>
                <w:color w:val="auto"/>
                <w:kern w:val="0"/>
                <w:sz w:val="21"/>
                <w:szCs w:val="21"/>
                <w:highlight w:val="none"/>
                <w:lang w:bidi="ar"/>
              </w:rPr>
              <w:t>t</w:t>
            </w:r>
            <w:r>
              <w:rPr>
                <w:rFonts w:hint="eastAsia" w:ascii="Times New Roman" w:hAnsi="Times New Roman" w:eastAsia="宋体" w:cs="Times New Roman"/>
                <w:color w:val="auto"/>
                <w:kern w:val="0"/>
                <w:sz w:val="21"/>
                <w:szCs w:val="21"/>
                <w:highlight w:val="none"/>
                <w:lang w:eastAsia="zh-CN" w:bidi="ar"/>
              </w:rPr>
              <w:t>，</w:t>
            </w:r>
            <w:r>
              <w:rPr>
                <w:rFonts w:hint="eastAsia" w:ascii="Times New Roman" w:hAnsi="Times New Roman" w:eastAsia="宋体" w:cs="Times New Roman"/>
                <w:bCs/>
                <w:color w:val="auto"/>
                <w:sz w:val="24"/>
                <w:szCs w:val="24"/>
                <w:highlight w:val="none"/>
                <w:lang w:val="en-US" w:eastAsia="zh-CN"/>
              </w:rPr>
              <w:t>本项目</w:t>
            </w:r>
            <w:r>
              <w:rPr>
                <w:rFonts w:hint="eastAsia" w:ascii="Times New Roman" w:hAnsi="Times New Roman" w:eastAsia="宋体" w:cs="Times New Roman"/>
                <w:b w:val="0"/>
                <w:bCs/>
                <w:color w:val="auto"/>
                <w:kern w:val="0"/>
                <w:sz w:val="24"/>
                <w:highlight w:val="none"/>
                <w:lang w:val="en-US" w:eastAsia="zh-CN"/>
              </w:rPr>
              <w:t>10m</w:t>
            </w:r>
            <w:r>
              <w:rPr>
                <w:rFonts w:hint="eastAsia" w:ascii="Times New Roman" w:hAnsi="Times New Roman" w:eastAsia="宋体" w:cs="Times New Roman"/>
                <w:b w:val="0"/>
                <w:bCs/>
                <w:color w:val="auto"/>
                <w:kern w:val="0"/>
                <w:sz w:val="24"/>
                <w:highlight w:val="none"/>
                <w:vertAlign w:val="superscript"/>
                <w:lang w:val="en-US" w:eastAsia="zh-CN"/>
              </w:rPr>
              <w:t>2</w:t>
            </w:r>
            <w:r>
              <w:rPr>
                <w:rFonts w:hint="eastAsia" w:ascii="Times New Roman" w:hAnsi="Times New Roman" w:eastAsia="宋体" w:cs="Times New Roman"/>
                <w:color w:val="auto"/>
                <w:spacing w:val="3"/>
                <w:position w:val="1"/>
                <w:sz w:val="24"/>
                <w:szCs w:val="24"/>
                <w:highlight w:val="none"/>
                <w:lang w:val="en-US" w:eastAsia="zh-CN"/>
              </w:rPr>
              <w:t>危</w:t>
            </w:r>
            <w:r>
              <w:rPr>
                <w:rFonts w:hint="eastAsia" w:ascii="Times New Roman" w:hAnsi="Times New Roman" w:eastAsia="宋体" w:cs="Times New Roman"/>
                <w:snapToGrid w:val="0"/>
                <w:color w:val="auto"/>
                <w:spacing w:val="3"/>
                <w:kern w:val="0"/>
                <w:position w:val="1"/>
                <w:sz w:val="24"/>
                <w:szCs w:val="24"/>
                <w:highlight w:val="none"/>
                <w:lang w:val="en-US" w:eastAsia="zh-CN" w:bidi="ar-SA"/>
              </w:rPr>
              <w:t>险废物</w:t>
            </w:r>
            <w:r>
              <w:rPr>
                <w:rFonts w:hint="default" w:ascii="Times New Roman" w:hAnsi="Times New Roman" w:eastAsia="宋体" w:cs="Times New Roman"/>
                <w:snapToGrid w:val="0"/>
                <w:color w:val="auto"/>
                <w:spacing w:val="3"/>
                <w:kern w:val="0"/>
                <w:position w:val="1"/>
                <w:sz w:val="24"/>
                <w:szCs w:val="24"/>
                <w:highlight w:val="none"/>
                <w:lang w:val="en-US" w:eastAsia="zh-CN" w:bidi="ar-SA"/>
              </w:rPr>
              <w:t>贮存点</w:t>
            </w:r>
            <w:r>
              <w:rPr>
                <w:rFonts w:hint="eastAsia" w:ascii="Times New Roman" w:hAnsi="Times New Roman" w:eastAsia="宋体" w:cs="Times New Roman"/>
                <w:b w:val="0"/>
                <w:bCs/>
                <w:color w:val="auto"/>
                <w:kern w:val="0"/>
                <w:sz w:val="24"/>
                <w:highlight w:val="none"/>
                <w:lang w:val="en-US" w:eastAsia="zh-CN"/>
              </w:rPr>
              <w:t>可满足</w:t>
            </w:r>
            <w:r>
              <w:rPr>
                <w:rFonts w:hint="default" w:ascii="Times New Roman" w:hAnsi="Times New Roman" w:eastAsia="宋体" w:cs="Times New Roman"/>
                <w:b w:val="0"/>
                <w:bCs/>
                <w:color w:val="auto"/>
                <w:kern w:val="0"/>
                <w:sz w:val="24"/>
                <w:highlight w:val="none"/>
                <w:lang w:val="en-US" w:eastAsia="zh-CN"/>
              </w:rPr>
              <w:t>废机油</w:t>
            </w:r>
            <w:r>
              <w:rPr>
                <w:rFonts w:hint="eastAsia" w:ascii="Times New Roman" w:hAnsi="Times New Roman" w:eastAsia="宋体" w:cs="Times New Roman"/>
                <w:b w:val="0"/>
                <w:bCs/>
                <w:color w:val="auto"/>
                <w:kern w:val="0"/>
                <w:sz w:val="24"/>
                <w:highlight w:val="none"/>
                <w:lang w:val="en-US" w:eastAsia="zh-CN"/>
              </w:rPr>
              <w:t>储存需求。</w:t>
            </w:r>
          </w:p>
          <w:p w14:paraId="6FD4EDB5">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按照《危险废物贮存污染控制标准》（GB18597-2023），</w:t>
            </w:r>
            <w:r>
              <w:rPr>
                <w:rFonts w:hint="eastAsia" w:ascii="Times New Roman" w:hAnsi="Times New Roman" w:eastAsia="宋体" w:cs="Times New Roman"/>
                <w:color w:val="auto"/>
                <w:spacing w:val="3"/>
                <w:position w:val="1"/>
                <w:sz w:val="24"/>
                <w:szCs w:val="24"/>
                <w:highlight w:val="none"/>
                <w:lang w:val="en-US" w:eastAsia="zh-CN"/>
              </w:rPr>
              <w:t>危</w:t>
            </w:r>
            <w:r>
              <w:rPr>
                <w:rFonts w:hint="eastAsia" w:ascii="Times New Roman" w:hAnsi="Times New Roman" w:eastAsia="宋体" w:cs="Times New Roman"/>
                <w:snapToGrid w:val="0"/>
                <w:color w:val="auto"/>
                <w:spacing w:val="3"/>
                <w:kern w:val="0"/>
                <w:position w:val="1"/>
                <w:sz w:val="24"/>
                <w:szCs w:val="24"/>
                <w:highlight w:val="none"/>
                <w:lang w:val="en-US" w:eastAsia="zh-CN" w:bidi="ar-SA"/>
              </w:rPr>
              <w:t>险废物</w:t>
            </w:r>
            <w:r>
              <w:rPr>
                <w:rFonts w:hint="default" w:ascii="Times New Roman" w:hAnsi="Times New Roman" w:eastAsia="宋体" w:cs="Times New Roman"/>
                <w:snapToGrid w:val="0"/>
                <w:color w:val="auto"/>
                <w:spacing w:val="3"/>
                <w:kern w:val="0"/>
                <w:position w:val="1"/>
                <w:sz w:val="24"/>
                <w:szCs w:val="24"/>
                <w:highlight w:val="none"/>
                <w:lang w:val="en-US" w:eastAsia="zh-CN" w:bidi="ar-SA"/>
              </w:rPr>
              <w:t>贮存点</w:t>
            </w:r>
            <w:r>
              <w:rPr>
                <w:rFonts w:hint="default" w:ascii="Times New Roman" w:hAnsi="Times New Roman" w:eastAsia="宋体" w:cs="Times New Roman"/>
                <w:color w:val="auto"/>
                <w:kern w:val="2"/>
                <w:sz w:val="24"/>
                <w:szCs w:val="24"/>
                <w:highlight w:val="none"/>
                <w:lang w:val="en-US" w:eastAsia="zh-CN" w:bidi="ar-SA"/>
              </w:rPr>
              <w:t>设置要求如下：</w:t>
            </w:r>
          </w:p>
          <w:p w14:paraId="2041FC50">
            <w:pPr>
              <w:keepNext w:val="0"/>
              <w:keepLines w:val="0"/>
              <w:pageBreakBefore w:val="0"/>
              <w:widowControl w:val="0"/>
              <w:numPr>
                <w:ilvl w:val="0"/>
                <w:numId w:val="0"/>
              </w:numPr>
              <w:kinsoku/>
              <w:overflowPunct/>
              <w:topLinePunct w:val="0"/>
              <w:bidi w:val="0"/>
              <w:snapToGrid/>
              <w:spacing w:line="360" w:lineRule="auto"/>
              <w:ind w:lef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cs="Times New Roman"/>
                <w:color w:val="auto"/>
                <w:kern w:val="2"/>
                <w:sz w:val="24"/>
                <w:szCs w:val="24"/>
                <w:highlight w:val="none"/>
                <w:lang w:val="en-US" w:eastAsia="zh-CN" w:bidi="ar-SA"/>
              </w:rPr>
              <w:t>1</w:t>
            </w:r>
            <w:r>
              <w:rPr>
                <w:rFonts w:hint="default" w:ascii="Times New Roman" w:hAnsi="Times New Roman" w:eastAsia="宋体" w:cs="Times New Roman"/>
                <w:color w:val="auto"/>
                <w:kern w:val="2"/>
                <w:sz w:val="24"/>
                <w:szCs w:val="24"/>
                <w:highlight w:val="none"/>
                <w:lang w:val="en-US" w:eastAsia="zh-CN" w:bidi="ar-SA"/>
              </w:rPr>
              <w:t>）对于危险固废的收集及贮存，应根据危险固废的成分，用符合国家标准的耐腐蚀、不易破损、变形和老化的容器贮存，并按规定在贮存危险固废容器上贴上标签，详细注明危险固废的名称、重量、成分、特性以及发生泄漏、扩散污染事故时的应急措施和补救办法。危险废物贮存设施或场所标志、危险废物包装标签等危险废物识别标志按HJ1276要求设置。</w:t>
            </w:r>
          </w:p>
          <w:p w14:paraId="10448262">
            <w:pPr>
              <w:keepNext w:val="0"/>
              <w:keepLines w:val="0"/>
              <w:pageBreakBefore w:val="0"/>
              <w:widowControl w:val="0"/>
              <w:numPr>
                <w:ilvl w:val="0"/>
                <w:numId w:val="0"/>
              </w:numPr>
              <w:kinsoku/>
              <w:overflowPunct/>
              <w:topLinePunct w:val="0"/>
              <w:bidi w:val="0"/>
              <w:snapToGrid/>
              <w:spacing w:line="360" w:lineRule="auto"/>
              <w:ind w:lef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cs="Times New Roman"/>
                <w:color w:val="auto"/>
                <w:kern w:val="2"/>
                <w:sz w:val="24"/>
                <w:szCs w:val="24"/>
                <w:highlight w:val="none"/>
                <w:lang w:val="en-US" w:eastAsia="zh-CN" w:bidi="ar-SA"/>
              </w:rPr>
              <w:t>2</w:t>
            </w: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危险废物贮存点</w:t>
            </w:r>
            <w:r>
              <w:rPr>
                <w:rFonts w:hint="default" w:ascii="Times New Roman" w:hAnsi="Times New Roman" w:eastAsia="宋体" w:cs="Times New Roman"/>
                <w:color w:val="auto"/>
                <w:kern w:val="2"/>
                <w:sz w:val="24"/>
                <w:szCs w:val="24"/>
                <w:highlight w:val="none"/>
                <w:lang w:val="en-US" w:eastAsia="zh-CN" w:bidi="ar-SA"/>
              </w:rPr>
              <w:t>建设堵截泄漏的裙脚，地面与裙脚用坚固的防渗材料建造，并建有隔离设施、报警装置和防风、防晒、防雨设施，基础防渗层用2mm的高密度聚乙烯材料（渗透系数不大于10</w:t>
            </w:r>
            <w:r>
              <w:rPr>
                <w:rFonts w:hint="default" w:ascii="Times New Roman" w:hAnsi="Times New Roman" w:eastAsia="宋体" w:cs="Times New Roman"/>
                <w:color w:val="auto"/>
                <w:kern w:val="2"/>
                <w:sz w:val="24"/>
                <w:szCs w:val="24"/>
                <w:highlight w:val="none"/>
                <w:vertAlign w:val="superscript"/>
                <w:lang w:val="en-US" w:eastAsia="zh-CN" w:bidi="ar-SA"/>
              </w:rPr>
              <w:t>-10</w:t>
            </w:r>
            <w:r>
              <w:rPr>
                <w:rFonts w:hint="default" w:ascii="Times New Roman" w:hAnsi="Times New Roman" w:eastAsia="宋体" w:cs="Times New Roman"/>
                <w:color w:val="auto"/>
                <w:kern w:val="2"/>
                <w:sz w:val="24"/>
                <w:szCs w:val="24"/>
                <w:highlight w:val="none"/>
                <w:lang w:val="en-US" w:eastAsia="zh-CN" w:bidi="ar-SA"/>
              </w:rPr>
              <w:t>cm/s）组成，表面用耐腐蚀材料硬化，符合国家危险固废贮存场所的建设要求。</w:t>
            </w:r>
          </w:p>
          <w:p w14:paraId="3BEDAC64">
            <w:pPr>
              <w:keepNext w:val="0"/>
              <w:keepLines w:val="0"/>
              <w:pageBreakBefore w:val="0"/>
              <w:widowControl w:val="0"/>
              <w:numPr>
                <w:ilvl w:val="0"/>
                <w:numId w:val="0"/>
              </w:numPr>
              <w:kinsoku/>
              <w:overflowPunct/>
              <w:topLinePunct w:val="0"/>
              <w:bidi w:val="0"/>
              <w:snapToGrid/>
              <w:spacing w:line="360" w:lineRule="auto"/>
              <w:ind w:left="0" w:leftChars="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cs="Times New Roman"/>
                <w:color w:val="auto"/>
                <w:kern w:val="2"/>
                <w:sz w:val="24"/>
                <w:szCs w:val="24"/>
                <w:highlight w:val="none"/>
                <w:lang w:val="en-US" w:eastAsia="zh-CN" w:bidi="ar-SA"/>
              </w:rPr>
              <w:t>3</w:t>
            </w:r>
            <w:r>
              <w:rPr>
                <w:rFonts w:hint="default" w:ascii="Times New Roman" w:hAnsi="Times New Roman" w:eastAsia="宋体" w:cs="Times New Roman"/>
                <w:color w:val="auto"/>
                <w:kern w:val="2"/>
                <w:sz w:val="24"/>
                <w:szCs w:val="24"/>
                <w:highlight w:val="none"/>
                <w:lang w:val="en-US" w:eastAsia="zh-CN" w:bidi="ar-SA"/>
              </w:rPr>
              <w:t>）公司设立专门的</w:t>
            </w:r>
            <w:r>
              <w:rPr>
                <w:rFonts w:hint="eastAsia" w:ascii="Times New Roman" w:hAnsi="Times New Roman" w:cs="Times New Roman"/>
                <w:color w:val="auto"/>
                <w:kern w:val="2"/>
                <w:sz w:val="24"/>
                <w:szCs w:val="24"/>
                <w:highlight w:val="none"/>
                <w:lang w:val="en-US" w:eastAsia="zh-CN" w:bidi="ar-SA"/>
              </w:rPr>
              <w:t>人员</w:t>
            </w:r>
            <w:r>
              <w:rPr>
                <w:rFonts w:hint="default" w:ascii="Times New Roman" w:hAnsi="Times New Roman" w:eastAsia="宋体" w:cs="Times New Roman"/>
                <w:color w:val="auto"/>
                <w:kern w:val="2"/>
                <w:sz w:val="24"/>
                <w:szCs w:val="24"/>
                <w:highlight w:val="none"/>
                <w:lang w:val="en-US" w:eastAsia="zh-CN" w:bidi="ar-SA"/>
              </w:rPr>
              <w:t>管理危险废暂存间，双人双锁，以防无关人员进入。</w:t>
            </w:r>
          </w:p>
          <w:p w14:paraId="5B901E42">
            <w:pPr>
              <w:keepNext w:val="0"/>
              <w:keepLines w:val="0"/>
              <w:pageBreakBefore w:val="0"/>
              <w:widowControl w:val="0"/>
              <w:kinsoku/>
              <w:overflowPunct/>
              <w:topLinePunct w:val="0"/>
              <w:bidi w:val="0"/>
              <w:snapToGrid/>
              <w:spacing w:line="360" w:lineRule="auto"/>
              <w:ind w:lef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cs="Times New Roman"/>
                <w:color w:val="auto"/>
                <w:kern w:val="2"/>
                <w:sz w:val="24"/>
                <w:szCs w:val="24"/>
                <w:highlight w:val="none"/>
                <w:lang w:val="en-US" w:eastAsia="zh-CN" w:bidi="ar-SA"/>
              </w:rPr>
              <w:t>4</w:t>
            </w:r>
            <w:r>
              <w:rPr>
                <w:rFonts w:hint="default" w:ascii="Times New Roman" w:hAnsi="Times New Roman" w:eastAsia="宋体" w:cs="Times New Roman"/>
                <w:color w:val="auto"/>
                <w:kern w:val="2"/>
                <w:sz w:val="24"/>
                <w:szCs w:val="24"/>
                <w:highlight w:val="none"/>
                <w:lang w:val="en-US" w:eastAsia="zh-CN" w:bidi="ar-SA"/>
              </w:rPr>
              <w:t>）危险废物临时储存场所必须按HJ1276-2022的规定设置警示标志，周围应设置围墙或其他防护栅栏。</w:t>
            </w:r>
          </w:p>
          <w:p w14:paraId="60970C57">
            <w:pPr>
              <w:keepNext w:val="0"/>
              <w:keepLines w:val="0"/>
              <w:pageBreakBefore w:val="0"/>
              <w:widowControl w:val="0"/>
              <w:kinsoku/>
              <w:overflowPunct/>
              <w:topLinePunct w:val="0"/>
              <w:bidi w:val="0"/>
              <w:snapToGrid/>
              <w:spacing w:line="360" w:lineRule="auto"/>
              <w:ind w:lef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cs="Times New Roman"/>
                <w:color w:val="auto"/>
                <w:kern w:val="2"/>
                <w:sz w:val="24"/>
                <w:szCs w:val="24"/>
                <w:highlight w:val="none"/>
                <w:lang w:val="en-US" w:eastAsia="zh-CN" w:bidi="ar-SA"/>
              </w:rPr>
              <w:t>5</w:t>
            </w:r>
            <w:r>
              <w:rPr>
                <w:rFonts w:hint="default" w:ascii="Times New Roman" w:hAnsi="Times New Roman" w:eastAsia="宋体" w:cs="Times New Roman"/>
                <w:color w:val="auto"/>
                <w:kern w:val="2"/>
                <w:sz w:val="24"/>
                <w:szCs w:val="24"/>
                <w:highlight w:val="none"/>
                <w:lang w:val="en-US" w:eastAsia="zh-CN" w:bidi="ar-SA"/>
              </w:rPr>
              <w:t>）危险废物临时储存场所应配备通讯设备、照明设施、安全防护服装及工具，并设有应急防护设施。</w:t>
            </w:r>
          </w:p>
          <w:p w14:paraId="7BCB477F">
            <w:pPr>
              <w:keepNext w:val="0"/>
              <w:keepLines w:val="0"/>
              <w:pageBreakBefore w:val="0"/>
              <w:widowControl w:val="0"/>
              <w:kinsoku/>
              <w:overflowPunct/>
              <w:topLinePunct w:val="0"/>
              <w:bidi w:val="0"/>
              <w:snapToGrid/>
              <w:spacing w:line="360" w:lineRule="auto"/>
              <w:ind w:lef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综上，通过对生产过程中产生的固废分类收集，分类处理与处置，本项目固体废物不会对周围环境产生污染影响。</w:t>
            </w:r>
          </w:p>
          <w:p w14:paraId="533A0BD5">
            <w:pPr>
              <w:pStyle w:val="25"/>
              <w:keepNext w:val="0"/>
              <w:keepLines w:val="0"/>
              <w:pageBreakBefore w:val="0"/>
              <w:widowControl/>
              <w:kinsoku/>
              <w:wordWrap w:val="0"/>
              <w:overflowPunct/>
              <w:topLinePunct/>
              <w:autoSpaceDE/>
              <w:autoSpaceDN/>
              <w:bidi w:val="0"/>
              <w:adjustRightInd w:val="0"/>
              <w:snapToGrid w:val="0"/>
              <w:spacing w:line="360" w:lineRule="auto"/>
              <w:ind w:left="0" w:leftChars="0" w:firstLine="504"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6"/>
                <w:sz w:val="24"/>
                <w:szCs w:val="24"/>
                <w:highlight w:val="none"/>
              </w:rPr>
              <w:t>4.2</w:t>
            </w:r>
            <w:r>
              <w:rPr>
                <w:rFonts w:hint="default" w:ascii="Times New Roman" w:hAnsi="Times New Roman" w:cs="Times New Roman"/>
                <w:b/>
                <w:bCs/>
                <w:color w:val="auto"/>
                <w:spacing w:val="6"/>
                <w:sz w:val="24"/>
                <w:szCs w:val="24"/>
                <w:highlight w:val="none"/>
              </w:rPr>
              <w:t>环境管理要求</w:t>
            </w:r>
          </w:p>
          <w:p w14:paraId="27EF241A">
            <w:pPr>
              <w:pStyle w:val="54"/>
              <w:keepNext w:val="0"/>
              <w:keepLines w:val="0"/>
              <w:pageBreakBefore w:val="0"/>
              <w:widowControl w:val="0"/>
              <w:kinsoku/>
              <w:overflowPunct/>
              <w:topLinePunct w:val="0"/>
              <w:bidi w:val="0"/>
              <w:snapToGrid/>
              <w:spacing w:line="360" w:lineRule="auto"/>
              <w:ind w:left="0" w:leftChars="0" w:firstLine="482" w:firstLineChars="200"/>
              <w:jc w:val="both"/>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highlight w:val="none"/>
                <w:lang w:val="en-US" w:eastAsia="zh-CN"/>
              </w:rPr>
              <w:t>4.2.1一般工业固体废物管理要求</w:t>
            </w:r>
          </w:p>
          <w:p w14:paraId="0168E20A">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firstLine="480" w:firstLineChars="200"/>
              <w:jc w:val="both"/>
              <w:textAlignment w:val="baseline"/>
              <w:rPr>
                <w:rFonts w:hint="default" w:ascii="Times New Roman" w:hAnsi="Times New Roman" w:eastAsia="宋体" w:cs="Times New Roman"/>
                <w:color w:val="auto"/>
                <w:sz w:val="24"/>
                <w:highlight w:val="none"/>
              </w:rPr>
            </w:pPr>
            <w:r>
              <w:rPr>
                <w:rFonts w:hint="default" w:ascii="Times New Roman" w:hAnsi="Times New Roman" w:eastAsia="宋体" w:cs="Times New Roman"/>
                <w:snapToGrid w:val="0"/>
                <w:color w:val="auto"/>
                <w:kern w:val="0"/>
                <w:sz w:val="24"/>
                <w:szCs w:val="21"/>
                <w:highlight w:val="none"/>
                <w:lang w:val="en-US" w:eastAsia="en-US" w:bidi="ar-SA"/>
              </w:rPr>
              <w:t>1）</w:t>
            </w:r>
            <w:r>
              <w:rPr>
                <w:rFonts w:hint="default" w:ascii="Times New Roman" w:hAnsi="Times New Roman" w:eastAsia="宋体" w:cs="Times New Roman"/>
                <w:color w:val="auto"/>
                <w:sz w:val="24"/>
                <w:highlight w:val="none"/>
              </w:rPr>
              <w:t>排污单位委托他人运输、利用、处置一般工业固体废物的，应落实《中华人民共和国固体废物污染环境防治法》等法律法规要求，对受托方的主体资格和技术能力进行核实，依法签订书面合同，在合同中约定污染防治要求等。</w:t>
            </w:r>
          </w:p>
          <w:p w14:paraId="502BF11C">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firstLine="480" w:firstLineChars="200"/>
              <w:jc w:val="both"/>
              <w:textAlignment w:val="baseline"/>
              <w:rPr>
                <w:rFonts w:hint="default" w:ascii="Times New Roman" w:hAnsi="Times New Roman" w:eastAsia="宋体" w:cs="Times New Roman"/>
                <w:color w:val="auto"/>
                <w:sz w:val="24"/>
                <w:highlight w:val="none"/>
              </w:rPr>
            </w:pPr>
            <w:r>
              <w:rPr>
                <w:rFonts w:hint="default" w:ascii="Times New Roman" w:hAnsi="Times New Roman" w:eastAsia="宋体" w:cs="Times New Roman"/>
                <w:snapToGrid w:val="0"/>
                <w:color w:val="auto"/>
                <w:kern w:val="0"/>
                <w:sz w:val="24"/>
                <w:szCs w:val="21"/>
                <w:highlight w:val="none"/>
                <w:lang w:val="en-US" w:eastAsia="en-US" w:bidi="ar-SA"/>
              </w:rPr>
              <w:t>2）</w:t>
            </w:r>
            <w:r>
              <w:rPr>
                <w:rFonts w:hint="default" w:ascii="Times New Roman" w:hAnsi="Times New Roman" w:eastAsia="宋体" w:cs="Times New Roman"/>
                <w:color w:val="auto"/>
                <w:sz w:val="24"/>
                <w:highlight w:val="none"/>
              </w:rPr>
              <w:t>采用库房、包装工具（罐、桶、包装袋等）贮存一般工业固体废物的，贮存过程应满足相应防渗漏、防雨淋、防扬尘等环境保护要求；危险废物不得进入一般工业固体废物贮存场及填埋场；不相容的一般工业固体废物应设置不同的分区进行贮存和填埋作业；贮存场、填埋场应设置清晰、完整的一般工业固体废物标志牌等。排污单位生产运营期间一般工业固体废物自行贮存/利用/处置设施的环境管理和相关设施运行维护要求还应符合</w:t>
            </w:r>
            <w:r>
              <w:rPr>
                <w:rFonts w:hint="eastAsia" w:ascii="Times New Roman" w:hAnsi="Times New Roman" w:eastAsia="宋体" w:cs="Times New Roman"/>
                <w:color w:val="auto"/>
                <w:sz w:val="24"/>
                <w:highlight w:val="none"/>
                <w:lang w:eastAsia="zh-CN"/>
              </w:rPr>
              <w:t>GB 15562.2-1995</w:t>
            </w:r>
            <w:r>
              <w:rPr>
                <w:rFonts w:hint="default" w:ascii="Times New Roman" w:hAnsi="Times New Roman" w:eastAsia="宋体" w:cs="Times New Roman"/>
                <w:color w:val="auto"/>
                <w:sz w:val="24"/>
                <w:highlight w:val="none"/>
              </w:rPr>
              <w:t>、GB18599、GB30485和HJ2035等相关标准规范要求。</w:t>
            </w:r>
          </w:p>
          <w:p w14:paraId="582ADDAC">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firstLine="480" w:firstLineChars="200"/>
              <w:jc w:val="both"/>
              <w:textAlignment w:val="baseline"/>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3）根据《一般固体废物管理台账制定指南（试行）》中要求进行台账管理。</w:t>
            </w:r>
          </w:p>
          <w:p w14:paraId="4FC661F2">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firstLine="480" w:firstLineChars="200"/>
              <w:jc w:val="both"/>
              <w:textAlignment w:val="baseline"/>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一般工业固体废物管理台账实施分级管理。鼓励产废单位采用国家建立的一般工业固体废物管理电子台账，简化数据填写、台账管理等工作。地方和企业自行开发的电子台账要实现与国家系统对接。建立电子台账的产废单位，可不再记录纸质台账。</w:t>
            </w:r>
          </w:p>
          <w:p w14:paraId="15BEB425">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firstLine="480" w:firstLineChars="200"/>
              <w:jc w:val="both"/>
              <w:textAlignment w:val="baseline"/>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台账记录表各表单的负责人对记录信息的真实性、完整性和规范性负责。</w:t>
            </w:r>
          </w:p>
          <w:p w14:paraId="18FDB74B">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firstLine="480" w:firstLineChars="200"/>
              <w:jc w:val="both"/>
              <w:textAlignment w:val="baseline"/>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产废单位应当设立专人负责台账的管理与归档，一般工业固体废物管理台账保存期限不少于5年。</w:t>
            </w:r>
          </w:p>
          <w:p w14:paraId="33998BE7">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firstLine="480" w:firstLineChars="200"/>
              <w:jc w:val="both"/>
              <w:textAlignment w:val="baseline"/>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鼓励有条件的产废单位在固体废物产生场所、贮存场所及磅秤位置等关键点位设置视频监控，提高台账记录信息的准确性。</w:t>
            </w:r>
          </w:p>
          <w:p w14:paraId="6BC3C504">
            <w:pPr>
              <w:pStyle w:val="54"/>
              <w:keepNext w:val="0"/>
              <w:keepLines w:val="0"/>
              <w:pageBreakBefore w:val="0"/>
              <w:widowControl w:val="0"/>
              <w:kinsoku/>
              <w:overflowPunct/>
              <w:topLinePunct w:val="0"/>
              <w:bidi w:val="0"/>
              <w:snapToGrid/>
              <w:spacing w:line="360" w:lineRule="auto"/>
              <w:ind w:left="0" w:leftChars="0" w:firstLine="482" w:firstLineChars="200"/>
              <w:jc w:val="both"/>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highlight w:val="none"/>
                <w:lang w:val="en-US" w:eastAsia="zh-CN"/>
              </w:rPr>
              <w:t>4.2.2危险废物管理要求</w:t>
            </w:r>
          </w:p>
          <w:p w14:paraId="5FB5311D">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1、基本原则</w:t>
            </w:r>
          </w:p>
          <w:p w14:paraId="4C6AE579">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产生危险废物的单位，应当按照</w:t>
            </w:r>
            <w:r>
              <w:rPr>
                <w:rFonts w:hint="eastAsia" w:ascii="Times New Roman" w:hAnsi="Times New Roman" w:eastAsia="宋体" w:cs="Times New Roman"/>
                <w:color w:val="auto"/>
                <w:sz w:val="24"/>
                <w:highlight w:val="none"/>
                <w:lang w:eastAsia="zh-CN"/>
              </w:rPr>
              <w:t>《危险废物管理计划和管理台账制定技术导则》（HJ 1259-2022）</w:t>
            </w:r>
            <w:r>
              <w:rPr>
                <w:rFonts w:hint="default" w:ascii="Times New Roman" w:hAnsi="Times New Roman" w:eastAsia="宋体" w:cs="Times New Roman"/>
                <w:color w:val="auto"/>
                <w:sz w:val="24"/>
                <w:highlight w:val="none"/>
              </w:rPr>
              <w:t>规定</w:t>
            </w:r>
            <w:r>
              <w:rPr>
                <w:rFonts w:hint="eastAsia" w:ascii="Times New Roman" w:hAnsi="Times New Roman" w:eastAsia="宋体" w:cs="Times New Roman"/>
                <w:color w:val="auto"/>
                <w:sz w:val="24"/>
                <w:highlight w:val="none"/>
                <w:lang w:val="en-US" w:eastAsia="zh-CN"/>
              </w:rPr>
              <w:t>进行</w:t>
            </w:r>
            <w:r>
              <w:rPr>
                <w:rFonts w:hint="default" w:ascii="Times New Roman" w:hAnsi="Times New Roman" w:eastAsia="宋体" w:cs="Times New Roman"/>
                <w:color w:val="auto"/>
                <w:sz w:val="24"/>
                <w:highlight w:val="none"/>
              </w:rPr>
              <w:t>分类管理，制定危险废物管理计划，内容应当包括减少危险废物产生量和降低危险废物危害性的措施以及危险废物贮存、利用、处置措施；建立危险废物管理台账，如实记录危险废物的种类、产生量、流向、贮存、利用、处置等有关信息；通过国家危险废物信息管理系统向所在地生态环境主管部门备案危险废物管理计划，申报危险废物有关资料。</w:t>
            </w:r>
          </w:p>
          <w:p w14:paraId="774B4DDF">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产生危险废物的单位应当按照实际情况填写记录有关内容，并对内容的真实性、准确性和完整性负责。</w:t>
            </w:r>
          </w:p>
          <w:p w14:paraId="086F1316">
            <w:pPr>
              <w:keepNext w:val="0"/>
              <w:keepLines w:val="0"/>
              <w:pageBreakBefore w:val="0"/>
              <w:widowControl w:val="0"/>
              <w:numPr>
                <w:ilvl w:val="0"/>
                <w:numId w:val="2"/>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危险废物的收集</w:t>
            </w:r>
          </w:p>
          <w:p w14:paraId="68FEFEC9">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①危险废物的收集应根据危险废物产生的工艺特征、排放周期、危险废物特性、废物管理计划等因素制定收集计划。</w:t>
            </w:r>
          </w:p>
          <w:p w14:paraId="32CD75E9">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②危险废物的收集应制定详细的操作规程，内容至少应包括适用范围、操作程序和方法、专用设备和工具、转移和交接、安全保障和应急防护等。</w:t>
            </w:r>
          </w:p>
          <w:p w14:paraId="31B69416">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③危险废物收集和转运作业人员应根据工作需要配备必要的个人防护装备，如手套、防护镜、防护服、防毒面具或口罩等。</w:t>
            </w:r>
          </w:p>
          <w:p w14:paraId="04DB2DED">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3、危险废物的运输</w:t>
            </w:r>
          </w:p>
          <w:p w14:paraId="12618706">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危险废物需按照《危险废物收集 贮存 运输技术规范》（HJ2025-2012）中的要求进行运输。产废单位负责危险废物的收集，第三方运输企业负责运输，在接收危险废物原料时，本项目工作人员和运输单位需协调相关危险废物运输车辆，要求其按照规范要求操作，避免运输途中的污染。</w:t>
            </w:r>
          </w:p>
          <w:p w14:paraId="19B97D87">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①危险废物运输应由持有危险废物经营许可证的单位按照其许可证的经营范围组织实施，承担危险废物运输的单位应获得交通运输部门颁发的危险货物运输资质。</w:t>
            </w:r>
          </w:p>
          <w:p w14:paraId="389F71B0">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②危险废物运输应执行《道路危险货物运输管理规定》（交通部令﹝2005年﹞第9号）。</w:t>
            </w:r>
          </w:p>
          <w:p w14:paraId="754419B3">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③危险废物公路运输时，运输车辆应按GB13392设置车辆标识。</w:t>
            </w:r>
          </w:p>
          <w:p w14:paraId="597B0783">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④危险废物处置利用单位必须有固定的危险废物运输车辆，并在运输车辆安装GPS装置。</w:t>
            </w:r>
          </w:p>
          <w:p w14:paraId="3255B49E">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eastAsia="宋体"/>
                <w:color w:val="auto"/>
                <w:highlight w:val="none"/>
                <w:lang w:val="en-US" w:eastAsia="zh-CN"/>
              </w:rPr>
            </w:pPr>
            <w:r>
              <w:rPr>
                <w:rFonts w:hint="eastAsia" w:ascii="Times New Roman" w:hAnsi="Times New Roman" w:eastAsia="宋体" w:cs="Times New Roman"/>
                <w:color w:val="auto"/>
                <w:sz w:val="24"/>
                <w:highlight w:val="none"/>
                <w:lang w:val="en-US" w:eastAsia="zh-CN"/>
              </w:rPr>
              <w:t>此外，项目危险废物产生、转移、贮存、利用处置等基础数据，需在新疆维吾尔自治区固体废物动态信息管理平台上申报和备案。</w:t>
            </w:r>
          </w:p>
          <w:p w14:paraId="19D0EA96">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4、危险废物管理台账制定要求</w:t>
            </w:r>
          </w:p>
          <w:p w14:paraId="45F2A418">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产生危险废物的单位应建立危险废物管理台账，落实危险废物管理台账记录的责任人，明确工作职责，并对危险废物管理台账的真实性、准确性和完整性负法律责任。</w:t>
            </w:r>
          </w:p>
          <w:p w14:paraId="0535A21D">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产生危险废物的单位应根据危险废物产生、贮存、利用、处置等环节的动态流向，如实建立各环节的危险废物管理台账。危险废物管理台账分为电子管理台账和纸质管理台账两种形式。</w:t>
            </w:r>
          </w:p>
          <w:p w14:paraId="733298ED">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firstLine="480" w:firstLineChars="200"/>
              <w:jc w:val="both"/>
              <w:textAlignment w:val="baseline"/>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产生危险废物的单位可通过国家危险废物信息管理系统、企业自建信息管理系统或第三方平台等方式记录电子管理台账。产生后盛放至容器和包装物的，应按每个容器和包装物进行记录；</w:t>
            </w:r>
          </w:p>
          <w:p w14:paraId="1172E389">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保存时间原则上应存档5年以上。</w:t>
            </w:r>
          </w:p>
          <w:p w14:paraId="09F72502">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5、联单制度</w:t>
            </w:r>
          </w:p>
          <w:p w14:paraId="35852DD8">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建设单位必须建立危险废物转移联单制度，收集贮存的危险废物应严格按照《危险废物转移管理办法》中的有关要求管理，危险废物转移程序如下：</w:t>
            </w:r>
          </w:p>
          <w:p w14:paraId="7029CDED">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①危险废物转移联单应当根据危险废物管理计划中填报的危险废物转移等备案信息填写、运行。</w:t>
            </w:r>
          </w:p>
          <w:p w14:paraId="1D47E717">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②采用联运方式转移危险废物的，前一承运人和后一承运人应当明确运输交接的时间和地点。后一承运人应当核实危险废物转移联单确定的移出人信息、前一承运人信息及危险废物相关信息。</w:t>
            </w:r>
          </w:p>
          <w:p w14:paraId="22C109B2">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③移出人每转移一车（船或者其他运输工具）/次同类危险废物，应当填写、运行一份危险废物电子转移联单；每车（船或者其他运输工具）一次转移多类危险废物的，可以填写、运行一份危险废物电子转移联单，也可以每一类危险废物填写、运行一份危险废物电子转移联单。</w:t>
            </w:r>
          </w:p>
          <w:p w14:paraId="0CFC80D7">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④采用联运方式转移危险废物的，前一承运人和后一承运人应当明确运输交接的时间和地点。后一承运人应当核实危险废物电子转移联单确定的移出人信息、前一承运人信息及危险废物相关信息。</w:t>
            </w:r>
          </w:p>
          <w:p w14:paraId="31CC49A5">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转移危险废物的，须按照国家有关规定填写危险废物电子转移联单，并向危险废物移出地设区的市级以上地方人民政府环境保护行政主管部门提出申请。移出地设区的市级以上地方人民政府环境保护行政主管部门应当经接收地设区的市级以上地方人民政府环境保护行政主管部门同意后，方可批准转移该危险废物。未经批准，不得转移。转移危险废物途经移出地、接收地以外行政区域的，危险废物移出地设区的市级以上地方人民政府环境保护行政主管部门应当及时通知沿途经过的设区的市级以上地方人民政府环境保护行政主管部门。</w:t>
            </w:r>
          </w:p>
          <w:p w14:paraId="09945D93">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6、委托处置</w:t>
            </w:r>
          </w:p>
          <w:p w14:paraId="7D8167FE">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危险废物交由有相应危废处置资质的单位进行处置，危废处置单位使用专用车辆至厂内收集、转移危险废物，建设单位不自行外运、转移。危险废物委托处置后，对环境影响不大。</w:t>
            </w:r>
          </w:p>
          <w:p w14:paraId="3B090E32">
            <w:pPr>
              <w:keepNext w:val="0"/>
              <w:keepLines w:val="0"/>
              <w:pageBreakBefore w:val="0"/>
              <w:numPr>
                <w:ilvl w:val="0"/>
                <w:numId w:val="0"/>
              </w:numPr>
              <w:kinsoku/>
              <w:wordWrap w:val="0"/>
              <w:overflowPunct/>
              <w:topLinePunct/>
              <w:autoSpaceDE/>
              <w:autoSpaceDN/>
              <w:bidi w:val="0"/>
              <w:adjustRightInd w:val="0"/>
              <w:snapToGrid w:val="0"/>
              <w:spacing w:line="360" w:lineRule="auto"/>
              <w:ind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7、管理措施</w:t>
            </w:r>
          </w:p>
          <w:p w14:paraId="0913FE7B">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firstLine="480" w:firstLineChars="200"/>
              <w:jc w:val="both"/>
              <w:textAlignment w:val="baseline"/>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企业应结合自身实际，建立危险废物管理台账，规范危险废物情况的记录，记录上须注明危险废物的种类、来源、数量、性质、产生环节、利用处置和包装容器的类别、入库日期、存放库位、废物出库日期及接收单位名称，确保厂内所有危险废物流向清楚规范。</w:t>
            </w:r>
          </w:p>
          <w:p w14:paraId="11D2E81B">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firstLine="480" w:firstLineChars="200"/>
              <w:jc w:val="both"/>
              <w:textAlignment w:val="baseline"/>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按规定申报危险废物产生、贮存、转移、利用处置等信息，制定和落实危险废物年度管理计划，执行危险废物申报登记制度，并在“固废管理系统”中备案。及时向当地环保部门申报危险废物种类、产生量、流向、处置等资料，办理临时申报登记手续。严格执行危险废物交换转移审批制度。所有危险废物交换转移向环保部门提出申请，经环保部门预审后报上级环保部门批准。危险废物交换转移前到当地环保部门网上申请联单。绝不擅自交换、向无危险废物经营许可证单位转移。必须定期对所暂存的危险废物包装容器及暂存设施进行检查，发现破损，应及时采取措施清理更换。</w:t>
            </w:r>
          </w:p>
          <w:p w14:paraId="7730E256">
            <w:pPr>
              <w:pStyle w:val="15"/>
              <w:keepNext w:val="0"/>
              <w:keepLines w:val="0"/>
              <w:pageBreakBefore w:val="0"/>
              <w:widowControl/>
              <w:overflowPunct/>
              <w:bidi w:val="0"/>
              <w:adjustRightInd w:val="0"/>
              <w:snapToGrid w:val="0"/>
              <w:spacing w:after="0" w:line="360" w:lineRule="auto"/>
              <w:ind w:left="0" w:leftChars="0" w:firstLine="480" w:firstLineChars="200"/>
              <w:jc w:val="both"/>
              <w:textAlignment w:val="baseline"/>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5.地下水、土壤环境影响及保护措施</w:t>
            </w:r>
          </w:p>
          <w:p w14:paraId="7FA0E99E">
            <w:pPr>
              <w:pStyle w:val="15"/>
              <w:keepNext w:val="0"/>
              <w:keepLines w:val="0"/>
              <w:pageBreakBefore w:val="0"/>
              <w:widowControl/>
              <w:overflowPunct/>
              <w:bidi w:val="0"/>
              <w:adjustRightInd w:val="0"/>
              <w:snapToGrid w:val="0"/>
              <w:spacing w:after="0" w:line="360" w:lineRule="auto"/>
              <w:ind w:left="0" w:leftChars="0" w:firstLine="480" w:firstLineChars="200"/>
              <w:jc w:val="both"/>
              <w:textAlignment w:val="baseline"/>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5.1地下水、土壤环境影响分析</w:t>
            </w:r>
          </w:p>
          <w:p w14:paraId="367797F9">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本项目营运期的废机油</w:t>
            </w:r>
            <w:r>
              <w:rPr>
                <w:rFonts w:hint="default" w:ascii="Times New Roman" w:hAnsi="Times New Roman" w:eastAsia="宋体" w:cs="Times New Roman"/>
                <w:color w:val="auto"/>
                <w:kern w:val="0"/>
                <w:sz w:val="24"/>
                <w:highlight w:val="none"/>
                <w:lang w:eastAsia="zh-CN"/>
              </w:rPr>
              <w:t>、</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cs="Times New Roman"/>
                <w:color w:val="auto"/>
                <w:kern w:val="0"/>
                <w:sz w:val="24"/>
                <w:highlight w:val="none"/>
              </w:rPr>
              <w:t>由专用的桶状容器盛装，正常情况下不会造成渗漏，在非正常情况下发生泄漏，若处置不当则可能导致废液渗入地下，从而影响地下水、土壤质量。</w:t>
            </w:r>
          </w:p>
          <w:p w14:paraId="5CFDE28F">
            <w:pPr>
              <w:keepNext w:val="0"/>
              <w:keepLines w:val="0"/>
              <w:pageBreakBefore w:val="0"/>
              <w:widowControl/>
              <w:kinsoku/>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本项目</w:t>
            </w:r>
            <w:r>
              <w:rPr>
                <w:rFonts w:hint="eastAsia" w:ascii="Times New Roman" w:hAnsi="Times New Roman" w:eastAsia="宋体" w:cs="Times New Roman"/>
                <w:color w:val="auto"/>
                <w:kern w:val="0"/>
                <w:sz w:val="24"/>
                <w:highlight w:val="none"/>
                <w:lang w:eastAsia="zh-CN"/>
              </w:rPr>
              <w:t>危险废物贮存点</w:t>
            </w:r>
            <w:r>
              <w:rPr>
                <w:rFonts w:hint="default" w:ascii="Times New Roman" w:hAnsi="Times New Roman" w:cs="Times New Roman"/>
                <w:color w:val="auto"/>
                <w:kern w:val="0"/>
                <w:sz w:val="24"/>
                <w:highlight w:val="none"/>
              </w:rPr>
              <w:t>采取有效的防腐、防渗、防漏措施，对整个危险废物暂存间地面、事故收集池、围堰进行硬化。针对危险废物暂存间的地面在抗渗混凝土基础上，铺设2mm厚高密度聚乙烯材料，或至少2mm厚的其他人工材料，渗透系数≤10</w:t>
            </w:r>
            <w:r>
              <w:rPr>
                <w:rFonts w:hint="default" w:ascii="Times New Roman" w:hAnsi="Times New Roman" w:cs="Times New Roman"/>
                <w:color w:val="auto"/>
                <w:kern w:val="0"/>
                <w:sz w:val="24"/>
                <w:highlight w:val="none"/>
                <w:vertAlign w:val="superscript"/>
              </w:rPr>
              <w:t>-10</w:t>
            </w:r>
            <w:r>
              <w:rPr>
                <w:rFonts w:hint="default" w:ascii="Times New Roman" w:hAnsi="Times New Roman" w:cs="Times New Roman"/>
                <w:color w:val="auto"/>
                <w:kern w:val="0"/>
                <w:sz w:val="24"/>
                <w:highlight w:val="none"/>
              </w:rPr>
              <w:t>cm/s，保证无渗漏缝，符合《危险废物贮存污染控制标准》（GB18597-2023）要求。池内刷防渗、防腐漆。项目运行期基本杜绝了地下水、土壤的污染途径，基本不会影响地下及土壤的变化。</w:t>
            </w:r>
          </w:p>
          <w:p w14:paraId="4964E278">
            <w:pPr>
              <w:keepNext w:val="0"/>
              <w:keepLines w:val="0"/>
              <w:pageBreakBefore w:val="0"/>
              <w:widowControl/>
              <w:kinsoku/>
              <w:overflowPunct/>
              <w:topLinePunct/>
              <w:autoSpaceDE/>
              <w:autoSpaceDN/>
              <w:bidi w:val="0"/>
              <w:adjustRightInd w:val="0"/>
              <w:snapToGrid w:val="0"/>
              <w:spacing w:line="360" w:lineRule="auto"/>
              <w:ind w:left="0" w:leftChars="0" w:firstLine="520" w:firstLineChars="200"/>
              <w:jc w:val="both"/>
              <w:textAlignment w:val="baseline"/>
              <w:rPr>
                <w:rFonts w:hint="default" w:ascii="Times New Roman" w:hAnsi="Times New Roman" w:eastAsia="宋体" w:cs="Times New Roman"/>
                <w:color w:val="auto"/>
                <w:spacing w:val="10"/>
                <w:sz w:val="24"/>
                <w:szCs w:val="24"/>
                <w:highlight w:val="none"/>
                <w:lang w:val="en-US" w:eastAsia="zh-CN"/>
              </w:rPr>
            </w:pP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color w:val="auto"/>
                <w:spacing w:val="10"/>
                <w:sz w:val="24"/>
                <w:szCs w:val="24"/>
                <w:highlight w:val="none"/>
                <w:lang w:val="en-US" w:eastAsia="zh-CN"/>
              </w:rPr>
              <w:t>罐区按</w:t>
            </w:r>
            <w:r>
              <w:rPr>
                <w:rFonts w:hint="default" w:ascii="Times New Roman" w:hAnsi="Times New Roman" w:eastAsia="宋体" w:cs="Times New Roman"/>
                <w:color w:val="auto"/>
                <w:spacing w:val="10"/>
                <w:sz w:val="24"/>
                <w:szCs w:val="24"/>
                <w:highlight w:val="none"/>
              </w:rPr>
              <w:t>一般防渗要求</w:t>
            </w:r>
            <w:r>
              <w:rPr>
                <w:rFonts w:hint="default" w:ascii="Times New Roman" w:hAnsi="Times New Roman" w:eastAsia="宋体" w:cs="Times New Roman"/>
                <w:color w:val="auto"/>
                <w:spacing w:val="10"/>
                <w:sz w:val="24"/>
                <w:szCs w:val="24"/>
                <w:highlight w:val="none"/>
                <w:lang w:eastAsia="zh-CN"/>
              </w:rPr>
              <w:t>，</w:t>
            </w:r>
            <w:r>
              <w:rPr>
                <w:rFonts w:hint="default" w:ascii="Times New Roman" w:hAnsi="Times New Roman" w:eastAsia="宋体" w:cs="Times New Roman"/>
                <w:color w:val="auto"/>
                <w:spacing w:val="10"/>
                <w:sz w:val="24"/>
                <w:szCs w:val="24"/>
                <w:highlight w:val="none"/>
              </w:rPr>
              <w:t>针对三乙醇胺</w:t>
            </w:r>
            <w:r>
              <w:rPr>
                <w:rFonts w:hint="default" w:ascii="Times New Roman" w:hAnsi="Times New Roman" w:eastAsia="宋体" w:cs="Times New Roman"/>
                <w:color w:val="auto"/>
                <w:spacing w:val="10"/>
                <w:sz w:val="24"/>
                <w:szCs w:val="24"/>
                <w:highlight w:val="none"/>
                <w:lang w:val="en-US" w:eastAsia="zh-CN"/>
              </w:rPr>
              <w:t>罐区</w:t>
            </w:r>
            <w:r>
              <w:rPr>
                <w:rFonts w:hint="default" w:ascii="Times New Roman" w:hAnsi="Times New Roman" w:eastAsia="宋体" w:cs="Times New Roman"/>
                <w:color w:val="auto"/>
                <w:spacing w:val="10"/>
                <w:sz w:val="24"/>
                <w:szCs w:val="24"/>
                <w:highlight w:val="none"/>
              </w:rPr>
              <w:t>可选用天然或人工材料构筑防渗层，防渗层的防渗性能不应低于1.5m厚渗透系数为1.0×10</w:t>
            </w:r>
            <w:r>
              <w:rPr>
                <w:rFonts w:hint="default" w:ascii="Times New Roman" w:hAnsi="Times New Roman" w:eastAsia="宋体" w:cs="Times New Roman"/>
                <w:color w:val="auto"/>
                <w:spacing w:val="10"/>
                <w:sz w:val="24"/>
                <w:szCs w:val="24"/>
                <w:highlight w:val="none"/>
                <w:vertAlign w:val="superscript"/>
              </w:rPr>
              <w:t>-7</w:t>
            </w:r>
            <w:r>
              <w:rPr>
                <w:rFonts w:hint="default" w:ascii="Times New Roman" w:hAnsi="Times New Roman" w:eastAsia="宋体" w:cs="Times New Roman"/>
                <w:color w:val="auto"/>
                <w:spacing w:val="10"/>
                <w:sz w:val="24"/>
                <w:szCs w:val="24"/>
                <w:highlight w:val="none"/>
              </w:rPr>
              <w:t>cm/s的等效黏土层的防渗性能。</w:t>
            </w:r>
          </w:p>
          <w:p w14:paraId="619A1B65">
            <w:pPr>
              <w:keepNext w:val="0"/>
              <w:keepLines w:val="0"/>
              <w:pageBreakBefore w:val="0"/>
              <w:widowControl/>
              <w:kinsoku/>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综上，在加强管理、规范操作、加强日常维护的情况下，发生非正常情况导致地下水、土壤环境污染的概率较小。</w:t>
            </w:r>
          </w:p>
          <w:p w14:paraId="557D1777">
            <w:pPr>
              <w:pStyle w:val="15"/>
              <w:keepNext w:val="0"/>
              <w:keepLines w:val="0"/>
              <w:pageBreakBefore w:val="0"/>
              <w:widowControl/>
              <w:overflowPunct/>
              <w:bidi w:val="0"/>
              <w:adjustRightInd w:val="0"/>
              <w:snapToGrid w:val="0"/>
              <w:spacing w:after="0" w:line="360" w:lineRule="auto"/>
              <w:ind w:left="0" w:leftChars="0" w:firstLine="480" w:firstLineChars="200"/>
              <w:jc w:val="both"/>
              <w:textAlignment w:val="baseline"/>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5.2防治措施</w:t>
            </w:r>
          </w:p>
          <w:p w14:paraId="5C113369">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为了进一步降低废液渗入地下对地下水及土壤产生影响，建议建设单位采取下列措施：</w:t>
            </w:r>
          </w:p>
          <w:p w14:paraId="3A534460">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（1）制定危险废物贮存库定期巡检制度，每天由专人负责对危险废物包装桶进行检查，如果发现有泄漏情况，立即上报并立刻对包装桶进行更换。</w:t>
            </w:r>
          </w:p>
          <w:p w14:paraId="4CA38A62">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（2）源头控制措施：项目危险废物的装卸、暂存过程中，检查收集桶密封情况，防止危险废物跑、冒、滴、漏。</w:t>
            </w:r>
          </w:p>
          <w:p w14:paraId="00FBCBFE">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（3）地面防渗措施：定期检测各防渗措施，防止危险废物的跑、冒、滴、漏，将污染物的环境风险事故降到最低。</w:t>
            </w:r>
          </w:p>
          <w:p w14:paraId="73128AC1">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（4）加强厂内危险废物管理、环境风险事故处置能力，及时清运危险废物，缩短危险废物厂内储存时间。</w:t>
            </w:r>
          </w:p>
          <w:p w14:paraId="2DDB40B7">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（5）分区防控措施</w:t>
            </w:r>
          </w:p>
          <w:p w14:paraId="4F2B0883">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为防止贮存过程中跑、冒、滴、漏的物料腐蚀地面，污染物入渗污染地下水，对厂区进行分区防渗处理。具体如下：</w:t>
            </w:r>
          </w:p>
          <w:p w14:paraId="58B98D0D">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①根据污染区通过各种途径可能进入地下水环境的各种有毒有害原辅材料、产品的泄漏量及其他各类污染物的性质、产生和排放量，将</w:t>
            </w:r>
            <w:r>
              <w:rPr>
                <w:rFonts w:hint="eastAsia" w:ascii="Times New Roman" w:hAnsi="Times New Roman" w:eastAsia="宋体" w:cs="Times New Roman"/>
                <w:color w:val="auto"/>
                <w:kern w:val="0"/>
                <w:sz w:val="24"/>
                <w:highlight w:val="none"/>
                <w:lang w:eastAsia="zh-CN"/>
              </w:rPr>
              <w:t>危险废物贮存点</w:t>
            </w:r>
            <w:r>
              <w:rPr>
                <w:rFonts w:hint="default" w:ascii="Times New Roman" w:hAnsi="Times New Roman" w:cs="Times New Roman"/>
                <w:color w:val="auto"/>
                <w:kern w:val="0"/>
                <w:sz w:val="24"/>
                <w:highlight w:val="none"/>
              </w:rPr>
              <w:t>进一步分为重点防渗区，</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color w:val="auto"/>
                <w:spacing w:val="10"/>
                <w:sz w:val="24"/>
                <w:szCs w:val="24"/>
                <w:highlight w:val="none"/>
                <w:lang w:val="en-US" w:eastAsia="zh-CN"/>
              </w:rPr>
              <w:t>罐区</w:t>
            </w:r>
            <w:r>
              <w:rPr>
                <w:rFonts w:hint="default" w:ascii="Times New Roman" w:hAnsi="Times New Roman" w:cs="Times New Roman"/>
                <w:color w:val="auto"/>
                <w:kern w:val="0"/>
                <w:sz w:val="24"/>
                <w:highlight w:val="none"/>
              </w:rPr>
              <w:t>分为一般防渗区，其他区域为简单防渗区；</w:t>
            </w:r>
          </w:p>
          <w:p w14:paraId="47B8FB51">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②重点污染防治区参照《危险废物贮存污染控制标准》（GB18597-2023）《危险废物收集贮存运输技术规范》（HJ2025-2012）制定防渗设计方案。</w:t>
            </w:r>
          </w:p>
          <w:p w14:paraId="7A89B0B7">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③</w:t>
            </w:r>
            <w:r>
              <w:rPr>
                <w:rFonts w:hint="default" w:ascii="Times New Roman" w:hAnsi="Times New Roman" w:cs="Times New Roman"/>
                <w:color w:val="auto"/>
                <w:sz w:val="24"/>
                <w:highlight w:val="none"/>
              </w:rPr>
              <w:t>一般防渗结构区主要为</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color w:val="auto"/>
                <w:spacing w:val="10"/>
                <w:sz w:val="24"/>
                <w:szCs w:val="24"/>
                <w:highlight w:val="none"/>
                <w:lang w:val="en-US" w:eastAsia="zh-CN"/>
              </w:rPr>
              <w:t>罐区</w:t>
            </w:r>
            <w:r>
              <w:rPr>
                <w:rFonts w:hint="default" w:ascii="Times New Roman" w:hAnsi="Times New Roman" w:cs="Times New Roman"/>
                <w:color w:val="auto"/>
                <w:sz w:val="24"/>
                <w:highlight w:val="none"/>
              </w:rPr>
              <w:t>，地面硬化处理，并按照相关要求设置防渗层，可选用天然或人工材料构筑防渗层，防渗层的防渗性能不应低于1.5m厚渗透系数为1.0×10</w:t>
            </w:r>
            <w:r>
              <w:rPr>
                <w:rFonts w:hint="default" w:ascii="Times New Roman" w:hAnsi="Times New Roman" w:cs="Times New Roman"/>
                <w:color w:val="auto"/>
                <w:sz w:val="24"/>
                <w:highlight w:val="none"/>
                <w:vertAlign w:val="superscript"/>
              </w:rPr>
              <w:t>-7</w:t>
            </w:r>
            <w:r>
              <w:rPr>
                <w:rFonts w:hint="default" w:ascii="Times New Roman" w:hAnsi="Times New Roman" w:cs="Times New Roman"/>
                <w:color w:val="auto"/>
                <w:sz w:val="24"/>
                <w:highlight w:val="none"/>
              </w:rPr>
              <w:t>cm/s的等效黏土层的防渗性能。</w:t>
            </w:r>
          </w:p>
          <w:p w14:paraId="44E8C1DB">
            <w:pPr>
              <w:keepNext w:val="0"/>
              <w:keepLines w:val="0"/>
              <w:pageBreakBefore w:val="0"/>
              <w:widowControl/>
              <w:kinsoku/>
              <w:wordWrap w:val="0"/>
              <w:overflowPunct/>
              <w:topLinePunct/>
              <w:autoSpaceDE/>
              <w:autoSpaceDN/>
              <w:bidi w:val="0"/>
              <w:adjustRightInd w:val="0"/>
              <w:snapToGrid w:val="0"/>
              <w:spacing w:line="360" w:lineRule="auto"/>
              <w:ind w:left="0" w:leftChars="0" w:firstLine="480" w:firstLineChars="200"/>
              <w:jc w:val="both"/>
              <w:textAlignment w:val="baseline"/>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本项目防渗情况详见下表4-1</w:t>
            </w:r>
            <w:r>
              <w:rPr>
                <w:rFonts w:hint="default" w:ascii="Times New Roman" w:hAnsi="Times New Roman" w:eastAsia="宋体" w:cs="Times New Roman"/>
                <w:color w:val="auto"/>
                <w:kern w:val="0"/>
                <w:sz w:val="24"/>
                <w:highlight w:val="none"/>
                <w:lang w:val="en-US" w:eastAsia="zh-CN"/>
              </w:rPr>
              <w:t>1</w:t>
            </w:r>
            <w:r>
              <w:rPr>
                <w:rFonts w:hint="default" w:ascii="Times New Roman" w:hAnsi="Times New Roman" w:cs="Times New Roman"/>
                <w:color w:val="auto"/>
                <w:kern w:val="0"/>
                <w:sz w:val="24"/>
                <w:highlight w:val="none"/>
              </w:rPr>
              <w:t>。</w:t>
            </w:r>
          </w:p>
          <w:p w14:paraId="71C7E852">
            <w:pPr>
              <w:pStyle w:val="22"/>
              <w:keepNext w:val="0"/>
              <w:keepLines w:val="0"/>
              <w:pageBreakBefore w:val="0"/>
              <w:widowControl/>
              <w:overflowPunct/>
              <w:topLinePunct/>
              <w:autoSpaceDE/>
              <w:autoSpaceDN/>
              <w:bidi w:val="0"/>
              <w:adjustRightInd w:val="0"/>
              <w:snapToGrid w:val="0"/>
              <w:spacing w:beforeLines="0" w:line="240" w:lineRule="auto"/>
              <w:ind w:firstLine="0" w:firstLineChars="0"/>
              <w:jc w:val="center"/>
              <w:textAlignment w:val="baseline"/>
              <w:rPr>
                <w:rFonts w:hint="default" w:ascii="Times New Roman" w:hAnsi="Times New Roman" w:eastAsia="宋体" w:cs="Times New Roman"/>
                <w:b/>
                <w:bCs w:val="0"/>
                <w:snapToGrid w:val="0"/>
                <w:color w:val="auto"/>
                <w:kern w:val="0"/>
                <w:sz w:val="21"/>
                <w:szCs w:val="21"/>
                <w:highlight w:val="none"/>
                <w:lang w:val="en-US" w:eastAsia="en-US" w:bidi="ar-SA"/>
              </w:rPr>
            </w:pPr>
            <w:r>
              <w:rPr>
                <w:rFonts w:hint="default" w:ascii="Times New Roman" w:hAnsi="Times New Roman" w:eastAsia="宋体" w:cs="Times New Roman"/>
                <w:b/>
                <w:bCs w:val="0"/>
                <w:snapToGrid w:val="0"/>
                <w:color w:val="auto"/>
                <w:kern w:val="0"/>
                <w:sz w:val="21"/>
                <w:szCs w:val="21"/>
                <w:highlight w:val="none"/>
                <w:lang w:val="en-US" w:eastAsia="en-US" w:bidi="ar-SA"/>
              </w:rPr>
              <w:t>表4-1</w:t>
            </w:r>
            <w:r>
              <w:rPr>
                <w:rFonts w:hint="default" w:ascii="Times New Roman" w:hAnsi="Times New Roman" w:eastAsia="宋体" w:cs="Times New Roman"/>
                <w:b/>
                <w:bCs w:val="0"/>
                <w:snapToGrid w:val="0"/>
                <w:color w:val="auto"/>
                <w:kern w:val="0"/>
                <w:sz w:val="21"/>
                <w:szCs w:val="21"/>
                <w:highlight w:val="none"/>
                <w:lang w:val="en-US" w:eastAsia="zh-CN" w:bidi="ar-SA"/>
              </w:rPr>
              <w:t>1</w:t>
            </w:r>
            <w:r>
              <w:rPr>
                <w:rFonts w:hint="default" w:ascii="Times New Roman" w:hAnsi="Times New Roman" w:eastAsia="宋体" w:cs="Times New Roman"/>
                <w:b/>
                <w:bCs w:val="0"/>
                <w:snapToGrid w:val="0"/>
                <w:color w:val="auto"/>
                <w:kern w:val="0"/>
                <w:sz w:val="21"/>
                <w:szCs w:val="21"/>
                <w:highlight w:val="none"/>
                <w:lang w:val="en-US" w:eastAsia="en-US" w:bidi="ar-SA"/>
              </w:rPr>
              <w:t xml:space="preserve">    厂区分区防渗措施一览表</w:t>
            </w:r>
          </w:p>
          <w:tbl>
            <w:tblPr>
              <w:tblStyle w:val="19"/>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2353"/>
              <w:gridCol w:w="3905"/>
            </w:tblGrid>
            <w:tr w14:paraId="6D48B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1137" w:type="pct"/>
                  <w:vAlign w:val="center"/>
                </w:tcPr>
                <w:p w14:paraId="43B82985">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snapToGrid w:val="0"/>
                      <w:color w:val="auto"/>
                      <w:kern w:val="0"/>
                      <w:sz w:val="21"/>
                      <w:szCs w:val="21"/>
                      <w:highlight w:val="none"/>
                      <w:lang w:val="en-US" w:eastAsia="en-US" w:bidi="ar-SA"/>
                    </w:rPr>
                  </w:pPr>
                  <w:r>
                    <w:rPr>
                      <w:rFonts w:hint="default" w:ascii="Times New Roman" w:hAnsi="Times New Roman" w:eastAsia="宋体" w:cs="Times New Roman"/>
                      <w:bCs/>
                      <w:snapToGrid w:val="0"/>
                      <w:color w:val="auto"/>
                      <w:kern w:val="0"/>
                      <w:sz w:val="21"/>
                      <w:szCs w:val="21"/>
                      <w:highlight w:val="none"/>
                      <w:lang w:val="en-US" w:eastAsia="en-US" w:bidi="ar-SA"/>
                    </w:rPr>
                    <w:t>名称</w:t>
                  </w:r>
                </w:p>
              </w:tc>
              <w:tc>
                <w:tcPr>
                  <w:tcW w:w="1452" w:type="pct"/>
                  <w:vAlign w:val="center"/>
                </w:tcPr>
                <w:p w14:paraId="75EC1C41">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snapToGrid w:val="0"/>
                      <w:color w:val="auto"/>
                      <w:kern w:val="0"/>
                      <w:sz w:val="21"/>
                      <w:szCs w:val="21"/>
                      <w:highlight w:val="none"/>
                      <w:lang w:val="en-US" w:eastAsia="en-US" w:bidi="ar-SA"/>
                    </w:rPr>
                  </w:pPr>
                  <w:r>
                    <w:rPr>
                      <w:rFonts w:hint="default" w:ascii="Times New Roman" w:hAnsi="Times New Roman" w:eastAsia="宋体" w:cs="Times New Roman"/>
                      <w:bCs/>
                      <w:snapToGrid w:val="0"/>
                      <w:color w:val="auto"/>
                      <w:kern w:val="0"/>
                      <w:sz w:val="21"/>
                      <w:szCs w:val="21"/>
                      <w:highlight w:val="none"/>
                      <w:lang w:val="en-US" w:eastAsia="en-US" w:bidi="ar-SA"/>
                    </w:rPr>
                    <w:t>范围</w:t>
                  </w:r>
                </w:p>
              </w:tc>
              <w:tc>
                <w:tcPr>
                  <w:tcW w:w="2409" w:type="pct"/>
                  <w:vAlign w:val="center"/>
                </w:tcPr>
                <w:p w14:paraId="2AAC0AE7">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snapToGrid w:val="0"/>
                      <w:color w:val="auto"/>
                      <w:kern w:val="0"/>
                      <w:sz w:val="21"/>
                      <w:szCs w:val="21"/>
                      <w:highlight w:val="none"/>
                      <w:lang w:val="en-US" w:eastAsia="en-US" w:bidi="ar-SA"/>
                    </w:rPr>
                  </w:pPr>
                  <w:r>
                    <w:rPr>
                      <w:rFonts w:hint="default" w:ascii="Times New Roman" w:hAnsi="Times New Roman" w:eastAsia="宋体" w:cs="Times New Roman"/>
                      <w:bCs/>
                      <w:snapToGrid w:val="0"/>
                      <w:color w:val="auto"/>
                      <w:kern w:val="0"/>
                      <w:sz w:val="21"/>
                      <w:szCs w:val="21"/>
                      <w:highlight w:val="none"/>
                      <w:lang w:val="en-US" w:eastAsia="en-US" w:bidi="ar-SA"/>
                    </w:rPr>
                    <w:t>防渗要求</w:t>
                  </w:r>
                </w:p>
              </w:tc>
            </w:tr>
            <w:tr w14:paraId="42CBC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1137" w:type="pct"/>
                  <w:tcBorders>
                    <w:tl2br w:val="nil"/>
                    <w:tr2bl w:val="nil"/>
                  </w:tcBorders>
                  <w:vAlign w:val="center"/>
                </w:tcPr>
                <w:p w14:paraId="1A741DAC">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snapToGrid w:val="0"/>
                      <w:color w:val="auto"/>
                      <w:kern w:val="0"/>
                      <w:sz w:val="21"/>
                      <w:szCs w:val="21"/>
                      <w:highlight w:val="none"/>
                      <w:lang w:val="en-US" w:eastAsia="en-US" w:bidi="ar-SA"/>
                    </w:rPr>
                  </w:pPr>
                  <w:r>
                    <w:rPr>
                      <w:rFonts w:hint="default" w:ascii="Times New Roman" w:hAnsi="Times New Roman" w:eastAsia="宋体" w:cs="Times New Roman"/>
                      <w:bCs/>
                      <w:snapToGrid w:val="0"/>
                      <w:color w:val="auto"/>
                      <w:kern w:val="0"/>
                      <w:sz w:val="21"/>
                      <w:szCs w:val="21"/>
                      <w:highlight w:val="none"/>
                      <w:lang w:val="en-US" w:eastAsia="en-US" w:bidi="ar-SA"/>
                    </w:rPr>
                    <w:t>重点防渗区</w:t>
                  </w:r>
                </w:p>
              </w:tc>
              <w:tc>
                <w:tcPr>
                  <w:tcW w:w="1452" w:type="pct"/>
                  <w:tcBorders>
                    <w:tl2br w:val="nil"/>
                    <w:tr2bl w:val="nil"/>
                  </w:tcBorders>
                  <w:vAlign w:val="center"/>
                </w:tcPr>
                <w:p w14:paraId="709FB1AD">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snapToGrid w:val="0"/>
                      <w:color w:val="auto"/>
                      <w:kern w:val="0"/>
                      <w:sz w:val="21"/>
                      <w:szCs w:val="21"/>
                      <w:highlight w:val="none"/>
                      <w:lang w:val="en-US" w:eastAsia="en-US" w:bidi="ar-SA"/>
                    </w:rPr>
                  </w:pPr>
                  <w:r>
                    <w:rPr>
                      <w:rFonts w:hint="default" w:ascii="Times New Roman" w:hAnsi="Times New Roman" w:eastAsia="宋体" w:cs="Times New Roman"/>
                      <w:bCs/>
                      <w:snapToGrid w:val="0"/>
                      <w:color w:val="auto"/>
                      <w:kern w:val="0"/>
                      <w:sz w:val="21"/>
                      <w:szCs w:val="21"/>
                      <w:highlight w:val="none"/>
                      <w:lang w:val="en-US" w:eastAsia="en-US" w:bidi="ar-SA"/>
                    </w:rPr>
                    <w:t>危险废物暂存间</w:t>
                  </w:r>
                </w:p>
              </w:tc>
              <w:tc>
                <w:tcPr>
                  <w:tcW w:w="2409" w:type="pct"/>
                  <w:tcBorders>
                    <w:tl2br w:val="nil"/>
                    <w:tr2bl w:val="nil"/>
                  </w:tcBorders>
                  <w:vAlign w:val="center"/>
                </w:tcPr>
                <w:p w14:paraId="7F4E3E86">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snapToGrid w:val="0"/>
                      <w:color w:val="auto"/>
                      <w:kern w:val="0"/>
                      <w:sz w:val="21"/>
                      <w:szCs w:val="21"/>
                      <w:highlight w:val="none"/>
                      <w:lang w:val="en-US" w:eastAsia="en-US" w:bidi="ar-SA"/>
                    </w:rPr>
                  </w:pPr>
                  <w:r>
                    <w:rPr>
                      <w:rFonts w:hint="default" w:ascii="Times New Roman" w:hAnsi="Times New Roman" w:eastAsia="宋体" w:cs="Times New Roman"/>
                      <w:bCs/>
                      <w:snapToGrid w:val="0"/>
                      <w:color w:val="auto"/>
                      <w:kern w:val="0"/>
                      <w:sz w:val="21"/>
                      <w:szCs w:val="21"/>
                      <w:highlight w:val="none"/>
                      <w:lang w:val="en-US" w:eastAsia="en-US" w:bidi="ar-SA"/>
                    </w:rPr>
                    <w:t>混凝土防渗，渗透系数≤10</w:t>
                  </w:r>
                  <w:r>
                    <w:rPr>
                      <w:rFonts w:hint="default" w:ascii="Times New Roman" w:hAnsi="Times New Roman" w:eastAsia="宋体" w:cs="Times New Roman"/>
                      <w:bCs/>
                      <w:snapToGrid w:val="0"/>
                      <w:color w:val="auto"/>
                      <w:kern w:val="0"/>
                      <w:sz w:val="21"/>
                      <w:szCs w:val="21"/>
                      <w:highlight w:val="none"/>
                      <w:vertAlign w:val="superscript"/>
                      <w:lang w:val="en-US" w:eastAsia="en-US" w:bidi="ar-SA"/>
                    </w:rPr>
                    <w:t>-10</w:t>
                  </w:r>
                  <w:r>
                    <w:rPr>
                      <w:rFonts w:hint="default" w:ascii="Times New Roman" w:hAnsi="Times New Roman" w:eastAsia="宋体" w:cs="Times New Roman"/>
                      <w:bCs/>
                      <w:snapToGrid w:val="0"/>
                      <w:color w:val="auto"/>
                      <w:kern w:val="0"/>
                      <w:sz w:val="21"/>
                      <w:szCs w:val="21"/>
                      <w:highlight w:val="none"/>
                      <w:lang w:val="en-US" w:eastAsia="en-US" w:bidi="ar-SA"/>
                    </w:rPr>
                    <w:t>cm/s</w:t>
                  </w:r>
                </w:p>
              </w:tc>
            </w:tr>
            <w:tr w14:paraId="5E4C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1137" w:type="pct"/>
                  <w:tcBorders>
                    <w:tl2br w:val="nil"/>
                    <w:tr2bl w:val="nil"/>
                  </w:tcBorders>
                  <w:vAlign w:val="center"/>
                </w:tcPr>
                <w:p w14:paraId="5A7930E7">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snapToGrid w:val="0"/>
                      <w:color w:val="auto"/>
                      <w:kern w:val="0"/>
                      <w:sz w:val="21"/>
                      <w:szCs w:val="21"/>
                      <w:highlight w:val="none"/>
                      <w:lang w:val="en-US" w:eastAsia="en-US" w:bidi="ar-SA"/>
                    </w:rPr>
                  </w:pPr>
                  <w:r>
                    <w:rPr>
                      <w:rFonts w:hint="default" w:ascii="Times New Roman" w:hAnsi="Times New Roman" w:eastAsia="宋体" w:cs="Times New Roman"/>
                      <w:bCs/>
                      <w:snapToGrid w:val="0"/>
                      <w:color w:val="auto"/>
                      <w:kern w:val="0"/>
                      <w:sz w:val="21"/>
                      <w:szCs w:val="21"/>
                      <w:highlight w:val="none"/>
                      <w:lang w:val="en-US" w:eastAsia="en-US" w:bidi="ar-SA"/>
                    </w:rPr>
                    <w:t>一般防渗区</w:t>
                  </w:r>
                </w:p>
              </w:tc>
              <w:tc>
                <w:tcPr>
                  <w:tcW w:w="1452" w:type="pct"/>
                  <w:tcBorders>
                    <w:tl2br w:val="nil"/>
                    <w:tr2bl w:val="nil"/>
                  </w:tcBorders>
                  <w:vAlign w:val="center"/>
                </w:tcPr>
                <w:p w14:paraId="53BDABB2">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snapToGrid w:val="0"/>
                      <w:color w:val="auto"/>
                      <w:kern w:val="0"/>
                      <w:sz w:val="21"/>
                      <w:szCs w:val="21"/>
                      <w:highlight w:val="none"/>
                      <w:lang w:val="en-US" w:eastAsia="en-US" w:bidi="ar-SA"/>
                    </w:rPr>
                  </w:pPr>
                  <w:r>
                    <w:rPr>
                      <w:rFonts w:hint="default" w:ascii="Times New Roman" w:hAnsi="Times New Roman" w:eastAsia="宋体" w:cs="Times New Roman"/>
                      <w:bCs/>
                      <w:snapToGrid w:val="0"/>
                      <w:color w:val="auto"/>
                      <w:kern w:val="0"/>
                      <w:sz w:val="21"/>
                      <w:szCs w:val="21"/>
                      <w:highlight w:val="none"/>
                      <w:lang w:val="en-US" w:eastAsia="en-US" w:bidi="ar-SA"/>
                    </w:rPr>
                    <w:t>三乙醇胺</w:t>
                  </w:r>
                  <w:r>
                    <w:rPr>
                      <w:rFonts w:hint="default" w:ascii="Times New Roman" w:hAnsi="Times New Roman" w:eastAsia="宋体" w:cs="Times New Roman"/>
                      <w:bCs/>
                      <w:snapToGrid w:val="0"/>
                      <w:color w:val="auto"/>
                      <w:kern w:val="0"/>
                      <w:sz w:val="21"/>
                      <w:szCs w:val="21"/>
                      <w:highlight w:val="none"/>
                      <w:lang w:val="en-US" w:eastAsia="zh-CN" w:bidi="ar-SA"/>
                    </w:rPr>
                    <w:t>罐区</w:t>
                  </w:r>
                </w:p>
              </w:tc>
              <w:tc>
                <w:tcPr>
                  <w:tcW w:w="2409" w:type="pct"/>
                  <w:tcBorders>
                    <w:tl2br w:val="nil"/>
                    <w:tr2bl w:val="nil"/>
                  </w:tcBorders>
                  <w:vAlign w:val="center"/>
                </w:tcPr>
                <w:p w14:paraId="31C7E371">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color w:val="auto"/>
                      <w:kern w:val="0"/>
                      <w:sz w:val="21"/>
                      <w:szCs w:val="21"/>
                      <w:highlight w:val="none"/>
                      <w:lang w:bidi="ar"/>
                    </w:rPr>
                  </w:pPr>
                  <w:r>
                    <w:rPr>
                      <w:rFonts w:hint="default" w:ascii="Times New Roman" w:hAnsi="Times New Roman" w:eastAsia="宋体" w:cs="Times New Roman"/>
                      <w:bCs/>
                      <w:color w:val="auto"/>
                      <w:kern w:val="0"/>
                      <w:sz w:val="21"/>
                      <w:szCs w:val="21"/>
                      <w:highlight w:val="none"/>
                      <w:lang w:bidi="ar"/>
                    </w:rPr>
                    <w:t>地面硬化，铺设防渗膜</w:t>
                  </w:r>
                </w:p>
              </w:tc>
            </w:tr>
            <w:tr w14:paraId="16BDF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137" w:type="pct"/>
                  <w:tcBorders>
                    <w:tl2br w:val="nil"/>
                    <w:tr2bl w:val="nil"/>
                  </w:tcBorders>
                  <w:vAlign w:val="center"/>
                </w:tcPr>
                <w:p w14:paraId="7BD8CA99">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snapToGrid w:val="0"/>
                      <w:color w:val="auto"/>
                      <w:kern w:val="0"/>
                      <w:sz w:val="21"/>
                      <w:szCs w:val="21"/>
                      <w:highlight w:val="none"/>
                      <w:lang w:val="en-US" w:eastAsia="en-US" w:bidi="ar-SA"/>
                    </w:rPr>
                  </w:pPr>
                  <w:r>
                    <w:rPr>
                      <w:rFonts w:hint="default" w:ascii="Times New Roman" w:hAnsi="Times New Roman" w:eastAsia="宋体" w:cs="Times New Roman"/>
                      <w:bCs/>
                      <w:snapToGrid w:val="0"/>
                      <w:color w:val="auto"/>
                      <w:kern w:val="0"/>
                      <w:sz w:val="21"/>
                      <w:szCs w:val="21"/>
                      <w:highlight w:val="none"/>
                      <w:lang w:val="en-US" w:eastAsia="en-US" w:bidi="ar-SA"/>
                    </w:rPr>
                    <w:t>简单防渗区</w:t>
                  </w:r>
                </w:p>
              </w:tc>
              <w:tc>
                <w:tcPr>
                  <w:tcW w:w="1452" w:type="pct"/>
                  <w:tcBorders>
                    <w:tl2br w:val="nil"/>
                    <w:tr2bl w:val="nil"/>
                  </w:tcBorders>
                  <w:vAlign w:val="center"/>
                </w:tcPr>
                <w:p w14:paraId="1A771ABA">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snapToGrid w:val="0"/>
                      <w:color w:val="auto"/>
                      <w:kern w:val="0"/>
                      <w:sz w:val="21"/>
                      <w:szCs w:val="21"/>
                      <w:highlight w:val="none"/>
                      <w:lang w:val="en-US" w:eastAsia="en-US" w:bidi="ar-SA"/>
                    </w:rPr>
                  </w:pPr>
                  <w:r>
                    <w:rPr>
                      <w:rFonts w:hint="default" w:ascii="Times New Roman" w:hAnsi="Times New Roman" w:eastAsia="宋体" w:cs="Times New Roman"/>
                      <w:bCs/>
                      <w:snapToGrid w:val="0"/>
                      <w:color w:val="auto"/>
                      <w:kern w:val="0"/>
                      <w:sz w:val="21"/>
                      <w:szCs w:val="21"/>
                      <w:highlight w:val="none"/>
                      <w:lang w:val="en-US" w:eastAsia="en-US" w:bidi="ar-SA"/>
                    </w:rPr>
                    <w:t>其他区域</w:t>
                  </w:r>
                </w:p>
              </w:tc>
              <w:tc>
                <w:tcPr>
                  <w:tcW w:w="2409" w:type="pct"/>
                  <w:tcBorders>
                    <w:tl2br w:val="nil"/>
                    <w:tr2bl w:val="nil"/>
                  </w:tcBorders>
                  <w:vAlign w:val="center"/>
                </w:tcPr>
                <w:p w14:paraId="0912A625">
                  <w:pPr>
                    <w:keepNext w:val="0"/>
                    <w:keepLines w:val="0"/>
                    <w:pageBreakBefore w:val="0"/>
                    <w:widowControl/>
                    <w:overflowPunct/>
                    <w:topLinePunct/>
                    <w:autoSpaceDE/>
                    <w:autoSpaceDN/>
                    <w:bidi w:val="0"/>
                    <w:adjustRightInd w:val="0"/>
                    <w:snapToGrid w:val="0"/>
                    <w:jc w:val="center"/>
                    <w:textAlignment w:val="baseline"/>
                    <w:rPr>
                      <w:rFonts w:hint="default" w:ascii="Times New Roman" w:hAnsi="Times New Roman" w:eastAsia="宋体" w:cs="Times New Roman"/>
                      <w:bCs/>
                      <w:color w:val="auto"/>
                      <w:kern w:val="0"/>
                      <w:sz w:val="21"/>
                      <w:szCs w:val="21"/>
                      <w:highlight w:val="none"/>
                      <w:lang w:bidi="ar"/>
                    </w:rPr>
                  </w:pPr>
                  <w:r>
                    <w:rPr>
                      <w:rFonts w:hint="default" w:ascii="Times New Roman" w:hAnsi="Times New Roman" w:eastAsia="宋体" w:cs="Times New Roman"/>
                      <w:bCs/>
                      <w:color w:val="auto"/>
                      <w:kern w:val="0"/>
                      <w:sz w:val="21"/>
                      <w:szCs w:val="21"/>
                      <w:highlight w:val="none"/>
                      <w:lang w:bidi="ar"/>
                    </w:rPr>
                    <w:t>地面硬化</w:t>
                  </w:r>
                </w:p>
              </w:tc>
            </w:tr>
          </w:tbl>
          <w:p w14:paraId="1CF23794">
            <w:pPr>
              <w:pStyle w:val="25"/>
              <w:keepNext w:val="0"/>
              <w:keepLines w:val="0"/>
              <w:pageBreakBefore w:val="0"/>
              <w:widowControl/>
              <w:kinsoku/>
              <w:wordWrap w:val="0"/>
              <w:overflowPunct/>
              <w:topLinePunct/>
              <w:autoSpaceDE/>
              <w:autoSpaceDN/>
              <w:bidi w:val="0"/>
              <w:adjustRightInd w:val="0"/>
              <w:snapToGrid w:val="0"/>
              <w:spacing w:line="360" w:lineRule="auto"/>
              <w:ind w:left="0" w:firstLine="502"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5"/>
                <w:sz w:val="24"/>
                <w:szCs w:val="24"/>
                <w:highlight w:val="none"/>
              </w:rPr>
              <w:t>7、生态环境影响和保护措施</w:t>
            </w:r>
          </w:p>
          <w:p w14:paraId="77377638">
            <w:pPr>
              <w:pStyle w:val="25"/>
              <w:keepNext w:val="0"/>
              <w:keepLines w:val="0"/>
              <w:pageBreakBefore w:val="0"/>
              <w:widowControl/>
              <w:kinsoku/>
              <w:wordWrap w:val="0"/>
              <w:overflowPunct/>
              <w:topLinePunct/>
              <w:autoSpaceDE/>
              <w:autoSpaceDN/>
              <w:bidi w:val="0"/>
              <w:adjustRightInd w:val="0"/>
              <w:snapToGrid w:val="0"/>
              <w:spacing w:line="360" w:lineRule="auto"/>
              <w:ind w:left="0" w:firstLine="504" w:firstLineChars="200"/>
              <w:jc w:val="both"/>
              <w:textAlignment w:val="baseline"/>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6"/>
                <w:sz w:val="24"/>
                <w:szCs w:val="24"/>
                <w:highlight w:val="none"/>
                <w:lang w:val="en-US" w:eastAsia="zh-CN"/>
              </w:rPr>
              <w:t>本项目位于昌吉回族自治州玛纳斯县塔河工业园区新疆华房盛泰保温材料科技有限公司8#生产厂房，项目区属于受人类活动影响的城市建成区，区内自然植被较少，同时附近无珍稀动植物资源，项目建成后应加强厂区绿化，改善项目区生态环境。</w:t>
            </w:r>
          </w:p>
          <w:p w14:paraId="1F8F30B5">
            <w:pPr>
              <w:pStyle w:val="25"/>
              <w:keepNext w:val="0"/>
              <w:keepLines w:val="0"/>
              <w:pageBreakBefore w:val="0"/>
              <w:widowControl/>
              <w:kinsoku/>
              <w:wordWrap w:val="0"/>
              <w:overflowPunct/>
              <w:topLinePunct/>
              <w:autoSpaceDE/>
              <w:autoSpaceDN/>
              <w:bidi w:val="0"/>
              <w:adjustRightInd w:val="0"/>
              <w:snapToGrid w:val="0"/>
              <w:spacing w:line="360" w:lineRule="auto"/>
              <w:ind w:left="0" w:firstLine="498" w:firstLineChars="200"/>
              <w:textAlignment w:val="baseline"/>
              <w:rPr>
                <w:rFonts w:hint="default" w:ascii="Times New Roman" w:hAnsi="Times New Roman" w:eastAsia="宋体" w:cs="Times New Roman"/>
                <w:b/>
                <w:bCs/>
                <w:color w:val="auto"/>
                <w:spacing w:val="4"/>
                <w:sz w:val="24"/>
                <w:szCs w:val="24"/>
                <w:highlight w:val="none"/>
              </w:rPr>
            </w:pPr>
            <w:r>
              <w:rPr>
                <w:rFonts w:hint="default" w:ascii="Times New Roman" w:hAnsi="Times New Roman" w:eastAsia="宋体" w:cs="Times New Roman"/>
                <w:b/>
                <w:bCs/>
                <w:color w:val="auto"/>
                <w:spacing w:val="4"/>
                <w:sz w:val="24"/>
                <w:szCs w:val="24"/>
                <w:highlight w:val="none"/>
              </w:rPr>
              <w:t>8、环境风险分析</w:t>
            </w:r>
          </w:p>
          <w:p w14:paraId="54717EC1">
            <w:pPr>
              <w:pStyle w:val="25"/>
              <w:keepNext w:val="0"/>
              <w:keepLines w:val="0"/>
              <w:pageBreakBefore w:val="0"/>
              <w:widowControl/>
              <w:kinsoku/>
              <w:wordWrap w:val="0"/>
              <w:overflowPunct/>
              <w:topLinePunct/>
              <w:autoSpaceDE/>
              <w:autoSpaceDN/>
              <w:bidi w:val="0"/>
              <w:adjustRightInd w:val="0"/>
              <w:snapToGrid w:val="0"/>
              <w:spacing w:line="360" w:lineRule="auto"/>
              <w:ind w:left="0" w:firstLine="502" w:firstLineChars="200"/>
              <w:textAlignment w:val="baseline"/>
              <w:rPr>
                <w:rFonts w:hint="default" w:ascii="Times New Roman" w:hAnsi="Times New Roman" w:eastAsia="宋体" w:cs="Times New Roman"/>
                <w:b/>
                <w:bCs/>
                <w:color w:val="auto"/>
                <w:spacing w:val="5"/>
                <w:sz w:val="24"/>
                <w:szCs w:val="24"/>
                <w:highlight w:val="none"/>
              </w:rPr>
            </w:pPr>
            <w:r>
              <w:rPr>
                <w:rFonts w:hint="default" w:ascii="Times New Roman" w:hAnsi="Times New Roman" w:eastAsia="宋体" w:cs="Times New Roman"/>
                <w:b/>
                <w:bCs/>
                <w:color w:val="auto"/>
                <w:spacing w:val="5"/>
                <w:sz w:val="24"/>
                <w:szCs w:val="24"/>
                <w:highlight w:val="none"/>
                <w:lang w:val="en-US" w:eastAsia="zh-CN"/>
              </w:rPr>
              <w:t>8.1</w:t>
            </w:r>
            <w:r>
              <w:rPr>
                <w:rFonts w:hint="default" w:ascii="Times New Roman" w:hAnsi="Times New Roman" w:eastAsia="宋体" w:cs="Times New Roman"/>
                <w:b/>
                <w:bCs/>
                <w:color w:val="auto"/>
                <w:spacing w:val="5"/>
                <w:sz w:val="24"/>
                <w:szCs w:val="24"/>
                <w:highlight w:val="none"/>
              </w:rPr>
              <w:t>风险调查</w:t>
            </w:r>
          </w:p>
          <w:p w14:paraId="44D8600F">
            <w:pPr>
              <w:pStyle w:val="25"/>
              <w:keepNext w:val="0"/>
              <w:keepLines w:val="0"/>
              <w:pageBreakBefore w:val="0"/>
              <w:widowControl/>
              <w:kinsoku/>
              <w:wordWrap w:val="0"/>
              <w:overflowPunct/>
              <w:topLinePunct/>
              <w:autoSpaceDE/>
              <w:autoSpaceDN/>
              <w:bidi w:val="0"/>
              <w:adjustRightInd w:val="0"/>
              <w:snapToGrid w:val="0"/>
              <w:spacing w:line="360" w:lineRule="auto"/>
              <w:ind w:left="0" w:firstLine="524" w:firstLineChars="200"/>
              <w:textAlignment w:val="baseline"/>
              <w:rPr>
                <w:rFonts w:hint="default" w:ascii="Times New Roman" w:hAnsi="Times New Roman" w:eastAsia="宋体" w:cs="Times New Roman"/>
                <w:color w:val="auto"/>
                <w:spacing w:val="11"/>
                <w:sz w:val="24"/>
                <w:szCs w:val="24"/>
                <w:highlight w:val="none"/>
              </w:rPr>
            </w:pPr>
            <w:r>
              <w:rPr>
                <w:rFonts w:hint="default" w:ascii="Times New Roman" w:hAnsi="Times New Roman" w:eastAsia="宋体" w:cs="Times New Roman"/>
                <w:color w:val="auto"/>
                <w:spacing w:val="11"/>
                <w:sz w:val="24"/>
                <w:szCs w:val="24"/>
                <w:highlight w:val="none"/>
                <w:lang w:eastAsia="zh-CN"/>
              </w:rPr>
              <w:t>（</w:t>
            </w:r>
            <w:r>
              <w:rPr>
                <w:rFonts w:hint="default" w:ascii="Times New Roman" w:hAnsi="Times New Roman" w:eastAsia="宋体" w:cs="Times New Roman"/>
                <w:color w:val="auto"/>
                <w:spacing w:val="11"/>
                <w:sz w:val="24"/>
                <w:szCs w:val="24"/>
                <w:highlight w:val="none"/>
                <w:lang w:val="en-US" w:eastAsia="zh-CN"/>
              </w:rPr>
              <w:t>1</w:t>
            </w:r>
            <w:r>
              <w:rPr>
                <w:rFonts w:hint="default" w:ascii="Times New Roman" w:hAnsi="Times New Roman" w:eastAsia="宋体" w:cs="Times New Roman"/>
                <w:color w:val="auto"/>
                <w:spacing w:val="11"/>
                <w:sz w:val="24"/>
                <w:szCs w:val="24"/>
                <w:highlight w:val="none"/>
                <w:lang w:eastAsia="zh-CN"/>
              </w:rPr>
              <w:t>）</w:t>
            </w:r>
            <w:r>
              <w:rPr>
                <w:rFonts w:hint="default" w:ascii="Times New Roman" w:hAnsi="Times New Roman" w:eastAsia="宋体" w:cs="Times New Roman"/>
                <w:color w:val="auto"/>
                <w:spacing w:val="11"/>
                <w:sz w:val="24"/>
                <w:szCs w:val="24"/>
                <w:highlight w:val="none"/>
              </w:rPr>
              <w:t>风险调查</w:t>
            </w:r>
          </w:p>
          <w:p w14:paraId="561D4390">
            <w:pPr>
              <w:pStyle w:val="25"/>
              <w:keepNext w:val="0"/>
              <w:keepLines w:val="0"/>
              <w:pageBreakBefore w:val="0"/>
              <w:widowControl/>
              <w:kinsoku/>
              <w:wordWrap w:val="0"/>
              <w:overflowPunct/>
              <w:topLinePunct/>
              <w:autoSpaceDE/>
              <w:autoSpaceDN/>
              <w:bidi w:val="0"/>
              <w:adjustRightInd w:val="0"/>
              <w:snapToGrid w:val="0"/>
              <w:spacing w:line="360" w:lineRule="auto"/>
              <w:ind w:left="0" w:firstLine="524"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1"/>
                <w:sz w:val="24"/>
                <w:szCs w:val="24"/>
                <w:highlight w:val="none"/>
              </w:rPr>
              <w:t>经调查，本项目涉及危险物质主要为</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color w:val="auto"/>
                <w:spacing w:val="10"/>
                <w:sz w:val="24"/>
                <w:szCs w:val="24"/>
                <w:highlight w:val="none"/>
                <w:lang w:val="en-US" w:eastAsia="zh-CN"/>
              </w:rPr>
              <w:t>和</w:t>
            </w:r>
            <w:r>
              <w:rPr>
                <w:rFonts w:hint="default" w:ascii="Times New Roman" w:hAnsi="Times New Roman" w:eastAsia="宋体" w:cs="Times New Roman"/>
                <w:color w:val="auto"/>
                <w:spacing w:val="8"/>
                <w:sz w:val="24"/>
                <w:szCs w:val="24"/>
                <w:highlight w:val="none"/>
              </w:rPr>
              <w:t>废机油</w:t>
            </w:r>
            <w:r>
              <w:rPr>
                <w:rFonts w:hint="default" w:ascii="Times New Roman" w:hAnsi="Times New Roman" w:eastAsia="宋体" w:cs="Times New Roman"/>
                <w:color w:val="auto"/>
                <w:spacing w:val="11"/>
                <w:sz w:val="24"/>
                <w:szCs w:val="24"/>
                <w:highlight w:val="none"/>
              </w:rPr>
              <w:t>，危险</w:t>
            </w:r>
            <w:r>
              <w:rPr>
                <w:rFonts w:hint="default" w:ascii="Times New Roman" w:hAnsi="Times New Roman" w:eastAsia="宋体" w:cs="Times New Roman"/>
                <w:color w:val="auto"/>
                <w:spacing w:val="8"/>
                <w:sz w:val="24"/>
                <w:szCs w:val="24"/>
                <w:highlight w:val="none"/>
              </w:rPr>
              <w:t>物质数量、分布情况见表4-</w:t>
            </w:r>
            <w:r>
              <w:rPr>
                <w:rFonts w:hint="default" w:ascii="Times New Roman" w:hAnsi="Times New Roman" w:eastAsia="宋体" w:cs="Times New Roman"/>
                <w:color w:val="auto"/>
                <w:spacing w:val="8"/>
                <w:sz w:val="24"/>
                <w:szCs w:val="24"/>
                <w:highlight w:val="none"/>
                <w:lang w:val="en-US" w:eastAsia="zh-CN"/>
              </w:rPr>
              <w:t>12</w:t>
            </w:r>
            <w:r>
              <w:rPr>
                <w:rFonts w:hint="default" w:ascii="Times New Roman" w:hAnsi="Times New Roman" w:eastAsia="宋体" w:cs="Times New Roman"/>
                <w:color w:val="auto"/>
                <w:spacing w:val="8"/>
                <w:sz w:val="24"/>
                <w:szCs w:val="24"/>
                <w:highlight w:val="none"/>
              </w:rPr>
              <w:t>。</w:t>
            </w:r>
          </w:p>
          <w:p w14:paraId="1F5C6A8F">
            <w:pPr>
              <w:pStyle w:val="25"/>
              <w:pageBreakBefore w:val="0"/>
              <w:kinsoku/>
              <w:wordWrap w:val="0"/>
              <w:overflowPunct/>
              <w:topLinePunct/>
              <w:autoSpaceDE/>
              <w:autoSpaceDN/>
              <w:bidi w:val="0"/>
              <w:spacing w:before="1" w:line="218" w:lineRule="auto"/>
              <w:ind w:left="1616"/>
              <w:rPr>
                <w:rFonts w:hint="default" w:ascii="Times New Roman" w:hAnsi="Times New Roman" w:cs="Times New Roman" w:eastAsiaTheme="majorEastAsia"/>
                <w:color w:val="auto"/>
                <w:spacing w:val="-13"/>
                <w:sz w:val="21"/>
                <w:szCs w:val="21"/>
                <w:highlight w:val="none"/>
              </w:rPr>
            </w:pPr>
            <w:r>
              <w:rPr>
                <w:rFonts w:hint="default" w:ascii="Times New Roman" w:hAnsi="Times New Roman" w:cs="Times New Roman" w:eastAsiaTheme="majorEastAsia"/>
                <w:b/>
                <w:bCs/>
                <w:color w:val="auto"/>
                <w:spacing w:val="-13"/>
                <w:sz w:val="21"/>
                <w:szCs w:val="21"/>
                <w:highlight w:val="none"/>
              </w:rPr>
              <w:t>表4-</w:t>
            </w:r>
            <w:r>
              <w:rPr>
                <w:rFonts w:hint="default" w:ascii="Times New Roman" w:hAnsi="Times New Roman" w:cs="Times New Roman" w:eastAsiaTheme="majorEastAsia"/>
                <w:b/>
                <w:bCs/>
                <w:color w:val="auto"/>
                <w:spacing w:val="-13"/>
                <w:sz w:val="21"/>
                <w:szCs w:val="21"/>
                <w:highlight w:val="none"/>
                <w:lang w:val="en-US" w:eastAsia="zh-CN"/>
              </w:rPr>
              <w:t xml:space="preserve">12  </w:t>
            </w:r>
            <w:r>
              <w:rPr>
                <w:rFonts w:hint="default" w:ascii="Times New Roman" w:hAnsi="Times New Roman" w:cs="Times New Roman" w:eastAsiaTheme="majorEastAsia"/>
                <w:b/>
                <w:bCs/>
                <w:color w:val="auto"/>
                <w:spacing w:val="-13"/>
                <w:sz w:val="21"/>
                <w:szCs w:val="21"/>
                <w:highlight w:val="none"/>
              </w:rPr>
              <w:t>项目涉及危险物质数量、分布情况等情况</w:t>
            </w:r>
          </w:p>
          <w:tbl>
            <w:tblPr>
              <w:tblStyle w:val="24"/>
              <w:tblW w:w="495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7"/>
              <w:gridCol w:w="1162"/>
              <w:gridCol w:w="1665"/>
              <w:gridCol w:w="1619"/>
              <w:gridCol w:w="996"/>
              <w:gridCol w:w="721"/>
              <w:gridCol w:w="815"/>
            </w:tblGrid>
            <w:tr w14:paraId="1C7F7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jc w:val="center"/>
              </w:trPr>
              <w:tc>
                <w:tcPr>
                  <w:tcW w:w="711" w:type="pct"/>
                  <w:vAlign w:val="center"/>
                </w:tcPr>
                <w:p w14:paraId="08396607">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pacing w:val="5"/>
                      <w:sz w:val="21"/>
                      <w:szCs w:val="21"/>
                      <w:highlight w:val="none"/>
                    </w:rPr>
                    <w:t>名称</w:t>
                  </w:r>
                </w:p>
              </w:tc>
              <w:tc>
                <w:tcPr>
                  <w:tcW w:w="714" w:type="pct"/>
                  <w:vAlign w:val="center"/>
                </w:tcPr>
                <w:p w14:paraId="6163E961">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pacing w:val="-5"/>
                      <w:sz w:val="21"/>
                      <w:szCs w:val="21"/>
                      <w:highlight w:val="none"/>
                    </w:rPr>
                    <w:t>CAS号</w:t>
                  </w:r>
                </w:p>
              </w:tc>
              <w:tc>
                <w:tcPr>
                  <w:tcW w:w="1023" w:type="pct"/>
                  <w:vAlign w:val="center"/>
                </w:tcPr>
                <w:p w14:paraId="7BD77CD3">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pacing w:val="-3"/>
                      <w:sz w:val="21"/>
                      <w:szCs w:val="21"/>
                      <w:highlight w:val="none"/>
                    </w:rPr>
                  </w:pPr>
                  <w:r>
                    <w:rPr>
                      <w:rFonts w:hint="default" w:ascii="Times New Roman" w:hAnsi="Times New Roman" w:cs="Times New Roman" w:eastAsiaTheme="majorEastAsia"/>
                      <w:color w:val="auto"/>
                      <w:spacing w:val="-3"/>
                      <w:sz w:val="21"/>
                      <w:szCs w:val="21"/>
                      <w:highlight w:val="none"/>
                    </w:rPr>
                    <w:t>分布情况</w:t>
                  </w:r>
                </w:p>
              </w:tc>
              <w:tc>
                <w:tcPr>
                  <w:tcW w:w="995" w:type="pct"/>
                  <w:vAlign w:val="center"/>
                </w:tcPr>
                <w:p w14:paraId="53290E28">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pacing w:val="-1"/>
                      <w:sz w:val="21"/>
                      <w:szCs w:val="21"/>
                      <w:highlight w:val="none"/>
                    </w:rPr>
                    <w:t>储存方式及形态</w:t>
                  </w:r>
                </w:p>
              </w:tc>
              <w:tc>
                <w:tcPr>
                  <w:tcW w:w="612" w:type="pct"/>
                  <w:vAlign w:val="center"/>
                </w:tcPr>
                <w:p w14:paraId="1EE1BC5E">
                  <w:pPr>
                    <w:pStyle w:val="25"/>
                    <w:pageBreakBefore w:val="0"/>
                    <w:kinsoku/>
                    <w:wordWrap w:val="0"/>
                    <w:overflowPunct/>
                    <w:topLinePunct/>
                    <w:autoSpaceDE/>
                    <w:autoSpaceDN/>
                    <w:bidi w:val="0"/>
                    <w:spacing w:before="22" w:line="220" w:lineRule="auto"/>
                    <w:ind w:left="109"/>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pacing w:val="2"/>
                      <w:sz w:val="21"/>
                      <w:szCs w:val="21"/>
                      <w:highlight w:val="none"/>
                    </w:rPr>
                    <w:t>在线量/储</w:t>
                  </w:r>
                  <w:r>
                    <w:rPr>
                      <w:rFonts w:hint="default" w:ascii="Times New Roman" w:hAnsi="Times New Roman" w:cs="Times New Roman" w:eastAsiaTheme="majorEastAsia"/>
                      <w:color w:val="auto"/>
                      <w:spacing w:val="6"/>
                      <w:sz w:val="21"/>
                      <w:szCs w:val="21"/>
                      <w:highlight w:val="none"/>
                    </w:rPr>
                    <w:t>存量t</w:t>
                  </w:r>
                </w:p>
              </w:tc>
              <w:tc>
                <w:tcPr>
                  <w:tcW w:w="441" w:type="pct"/>
                  <w:shd w:val="clear" w:color="auto" w:fill="auto"/>
                  <w:vAlign w:val="center"/>
                </w:tcPr>
                <w:p w14:paraId="4D11D27A">
                  <w:pPr>
                    <w:pStyle w:val="53"/>
                    <w:adjustRightInd w:val="0"/>
                    <w:jc w:val="center"/>
                    <w:rPr>
                      <w:rFonts w:hint="default" w:ascii="Times New Roman" w:hAnsi="Times New Roman" w:cs="Times New Roman" w:eastAsiaTheme="majorEastAsia"/>
                      <w:b/>
                      <w:bCs/>
                      <w:snapToGrid w:val="0"/>
                      <w:color w:val="auto"/>
                      <w:kern w:val="0"/>
                      <w:sz w:val="21"/>
                      <w:szCs w:val="21"/>
                      <w:highlight w:val="none"/>
                      <w:lang w:val="en-US" w:eastAsia="en-US" w:bidi="ar-SA"/>
                    </w:rPr>
                  </w:pPr>
                  <w:r>
                    <w:rPr>
                      <w:rFonts w:hint="default" w:ascii="Times New Roman" w:hAnsi="Times New Roman" w:cs="Times New Roman" w:eastAsiaTheme="majorEastAsia"/>
                      <w:b/>
                      <w:bCs/>
                      <w:color w:val="auto"/>
                      <w:sz w:val="21"/>
                      <w:szCs w:val="21"/>
                      <w:highlight w:val="none"/>
                    </w:rPr>
                    <w:t>临界量（t）</w:t>
                  </w:r>
                </w:p>
              </w:tc>
              <w:tc>
                <w:tcPr>
                  <w:tcW w:w="501" w:type="pct"/>
                  <w:shd w:val="clear" w:color="auto" w:fill="auto"/>
                  <w:vAlign w:val="center"/>
                </w:tcPr>
                <w:p w14:paraId="0BA04661">
                  <w:pPr>
                    <w:pStyle w:val="53"/>
                    <w:adjustRightInd w:val="0"/>
                    <w:jc w:val="center"/>
                    <w:rPr>
                      <w:rFonts w:hint="default" w:ascii="Times New Roman" w:hAnsi="Times New Roman" w:cs="Times New Roman" w:eastAsiaTheme="majorEastAsia"/>
                      <w:b/>
                      <w:bCs/>
                      <w:color w:val="auto"/>
                      <w:sz w:val="21"/>
                      <w:szCs w:val="21"/>
                      <w:highlight w:val="none"/>
                    </w:rPr>
                  </w:pPr>
                  <w:r>
                    <w:rPr>
                      <w:rFonts w:hint="default" w:ascii="Times New Roman" w:hAnsi="Times New Roman" w:cs="Times New Roman" w:eastAsiaTheme="majorEastAsia"/>
                      <w:b/>
                      <w:bCs/>
                      <w:color w:val="auto"/>
                      <w:sz w:val="21"/>
                      <w:szCs w:val="21"/>
                      <w:highlight w:val="none"/>
                    </w:rPr>
                    <w:t>qn/Qn</w:t>
                  </w:r>
                </w:p>
              </w:tc>
            </w:tr>
            <w:tr w14:paraId="7E990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11" w:type="pct"/>
                  <w:vAlign w:val="center"/>
                </w:tcPr>
                <w:p w14:paraId="3AE3990F">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pacing w:val="10"/>
                      <w:sz w:val="21"/>
                      <w:szCs w:val="21"/>
                      <w:highlight w:val="none"/>
                    </w:rPr>
                    <w:t>三乙醇胺</w:t>
                  </w:r>
                </w:p>
              </w:tc>
              <w:tc>
                <w:tcPr>
                  <w:tcW w:w="714" w:type="pct"/>
                  <w:vAlign w:val="center"/>
                </w:tcPr>
                <w:p w14:paraId="49D6EBDA">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z w:val="21"/>
                      <w:szCs w:val="21"/>
                      <w:highlight w:val="none"/>
                    </w:rPr>
                    <w:t>/</w:t>
                  </w:r>
                </w:p>
              </w:tc>
              <w:tc>
                <w:tcPr>
                  <w:tcW w:w="1023" w:type="pct"/>
                  <w:vAlign w:val="center"/>
                </w:tcPr>
                <w:p w14:paraId="48F8EC0E">
                  <w:pPr>
                    <w:pStyle w:val="25"/>
                    <w:pageBreakBefore w:val="0"/>
                    <w:kinsoku/>
                    <w:wordWrap w:val="0"/>
                    <w:overflowPunct/>
                    <w:topLinePunct/>
                    <w:autoSpaceDE/>
                    <w:autoSpaceDN/>
                    <w:bidi w:val="0"/>
                    <w:spacing w:before="41" w:line="219" w:lineRule="auto"/>
                    <w:ind w:left="106"/>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pacing w:val="2"/>
                      <w:sz w:val="21"/>
                      <w:szCs w:val="21"/>
                      <w:highlight w:val="none"/>
                      <w:lang w:val="en-US" w:eastAsia="zh-CN"/>
                    </w:rPr>
                    <w:t>输送带</w:t>
                  </w:r>
                  <w:r>
                    <w:rPr>
                      <w:rFonts w:hint="default" w:ascii="Times New Roman" w:hAnsi="Times New Roman" w:cs="Times New Roman" w:eastAsiaTheme="majorEastAsia"/>
                      <w:color w:val="auto"/>
                      <w:spacing w:val="2"/>
                      <w:sz w:val="21"/>
                      <w:szCs w:val="21"/>
                      <w:highlight w:val="none"/>
                    </w:rPr>
                    <w:t>及</w:t>
                  </w:r>
                  <w:r>
                    <w:rPr>
                      <w:rFonts w:hint="default" w:ascii="Times New Roman" w:hAnsi="Times New Roman" w:cs="Times New Roman" w:eastAsiaTheme="majorEastAsia"/>
                      <w:color w:val="auto"/>
                      <w:spacing w:val="-2"/>
                      <w:sz w:val="21"/>
                      <w:szCs w:val="21"/>
                      <w:highlight w:val="none"/>
                    </w:rPr>
                    <w:t>储罐</w:t>
                  </w:r>
                </w:p>
              </w:tc>
              <w:tc>
                <w:tcPr>
                  <w:tcW w:w="995" w:type="pct"/>
                  <w:vAlign w:val="center"/>
                </w:tcPr>
                <w:p w14:paraId="6B5175E5">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pacing w:val="-2"/>
                      <w:sz w:val="21"/>
                      <w:szCs w:val="21"/>
                      <w:highlight w:val="none"/>
                    </w:rPr>
                    <w:t>罐</w:t>
                  </w:r>
                  <w:r>
                    <w:rPr>
                      <w:rFonts w:hint="default" w:ascii="Times New Roman" w:hAnsi="Times New Roman" w:cs="Times New Roman" w:eastAsiaTheme="majorEastAsia"/>
                      <w:color w:val="auto"/>
                      <w:spacing w:val="-2"/>
                      <w:sz w:val="21"/>
                      <w:szCs w:val="21"/>
                      <w:highlight w:val="none"/>
                      <w:lang w:val="en-US" w:eastAsia="zh-CN"/>
                    </w:rPr>
                    <w:t>装</w:t>
                  </w:r>
                  <w:r>
                    <w:rPr>
                      <w:rFonts w:hint="default" w:ascii="Times New Roman" w:hAnsi="Times New Roman" w:cs="Times New Roman" w:eastAsiaTheme="majorEastAsia"/>
                      <w:color w:val="auto"/>
                      <w:spacing w:val="-2"/>
                      <w:sz w:val="21"/>
                      <w:szCs w:val="21"/>
                      <w:highlight w:val="none"/>
                    </w:rPr>
                    <w:t>、液态</w:t>
                  </w:r>
                </w:p>
              </w:tc>
              <w:tc>
                <w:tcPr>
                  <w:tcW w:w="612" w:type="pct"/>
                  <w:vAlign w:val="center"/>
                </w:tcPr>
                <w:p w14:paraId="20E67583">
                  <w:pPr>
                    <w:pStyle w:val="25"/>
                    <w:pageBreakBefore w:val="0"/>
                    <w:kinsoku/>
                    <w:wordWrap w:val="0"/>
                    <w:overflowPunct/>
                    <w:topLinePunct/>
                    <w:autoSpaceDE/>
                    <w:autoSpaceDN/>
                    <w:bidi w:val="0"/>
                    <w:ind w:left="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80</w:t>
                  </w:r>
                </w:p>
              </w:tc>
              <w:tc>
                <w:tcPr>
                  <w:tcW w:w="441" w:type="pct"/>
                  <w:vAlign w:val="center"/>
                </w:tcPr>
                <w:p w14:paraId="5F6B632F">
                  <w:pPr>
                    <w:pStyle w:val="25"/>
                    <w:pageBreakBefore w:val="0"/>
                    <w:kinsoku/>
                    <w:wordWrap w:val="0"/>
                    <w:overflowPunct/>
                    <w:topLinePunct/>
                    <w:autoSpaceDE/>
                    <w:autoSpaceDN/>
                    <w:bidi w:val="0"/>
                    <w:ind w:left="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2500</w:t>
                  </w:r>
                </w:p>
              </w:tc>
              <w:tc>
                <w:tcPr>
                  <w:tcW w:w="501" w:type="pct"/>
                  <w:vAlign w:val="center"/>
                </w:tcPr>
                <w:p w14:paraId="3173BDFF">
                  <w:pPr>
                    <w:pStyle w:val="25"/>
                    <w:pageBreakBefore w:val="0"/>
                    <w:kinsoku/>
                    <w:wordWrap w:val="0"/>
                    <w:overflowPunct/>
                    <w:topLinePunct/>
                    <w:autoSpaceDE/>
                    <w:autoSpaceDN/>
                    <w:bidi w:val="0"/>
                    <w:ind w:left="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0.032</w:t>
                  </w:r>
                </w:p>
              </w:tc>
            </w:tr>
            <w:tr w14:paraId="33A97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jc w:val="center"/>
              </w:trPr>
              <w:tc>
                <w:tcPr>
                  <w:tcW w:w="711" w:type="pct"/>
                  <w:vAlign w:val="center"/>
                </w:tcPr>
                <w:p w14:paraId="1FF053B2">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pacing w:val="10"/>
                      <w:sz w:val="21"/>
                      <w:szCs w:val="21"/>
                      <w:highlight w:val="none"/>
                    </w:rPr>
                  </w:pPr>
                  <w:r>
                    <w:rPr>
                      <w:rFonts w:hint="default" w:ascii="Times New Roman" w:hAnsi="Times New Roman" w:cs="Times New Roman" w:eastAsiaTheme="majorEastAsia"/>
                      <w:color w:val="auto"/>
                      <w:spacing w:val="8"/>
                      <w:sz w:val="21"/>
                      <w:szCs w:val="21"/>
                      <w:highlight w:val="none"/>
                    </w:rPr>
                    <w:t>废机油</w:t>
                  </w:r>
                </w:p>
              </w:tc>
              <w:tc>
                <w:tcPr>
                  <w:tcW w:w="714" w:type="pct"/>
                  <w:vAlign w:val="center"/>
                </w:tcPr>
                <w:p w14:paraId="3E13C328">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z w:val="21"/>
                      <w:szCs w:val="21"/>
                      <w:highlight w:val="none"/>
                      <w:shd w:val="clear" w:color="auto" w:fill="FFFFFF"/>
                    </w:rPr>
                    <w:t>25496-72-4</w:t>
                  </w:r>
                </w:p>
              </w:tc>
              <w:tc>
                <w:tcPr>
                  <w:tcW w:w="1023" w:type="pct"/>
                  <w:vAlign w:val="center"/>
                </w:tcPr>
                <w:p w14:paraId="366B968D">
                  <w:pPr>
                    <w:pStyle w:val="25"/>
                    <w:pageBreakBefore w:val="0"/>
                    <w:kinsoku/>
                    <w:wordWrap w:val="0"/>
                    <w:overflowPunct/>
                    <w:topLinePunct/>
                    <w:autoSpaceDE/>
                    <w:autoSpaceDN/>
                    <w:bidi w:val="0"/>
                    <w:spacing w:before="41" w:line="219" w:lineRule="auto"/>
                    <w:ind w:left="106"/>
                    <w:jc w:val="center"/>
                    <w:rPr>
                      <w:rFonts w:hint="default" w:ascii="Times New Roman" w:hAnsi="Times New Roman" w:cs="Times New Roman" w:eastAsiaTheme="majorEastAsia"/>
                      <w:color w:val="auto"/>
                      <w:spacing w:val="2"/>
                      <w:sz w:val="21"/>
                      <w:szCs w:val="21"/>
                      <w:highlight w:val="none"/>
                      <w:lang w:val="en-US" w:eastAsia="zh-CN"/>
                    </w:rPr>
                  </w:pPr>
                  <w:r>
                    <w:rPr>
                      <w:rFonts w:hint="default" w:ascii="Times New Roman" w:hAnsi="Times New Roman" w:eastAsia="宋体" w:cs="Times New Roman"/>
                      <w:bCs/>
                      <w:snapToGrid w:val="0"/>
                      <w:color w:val="auto"/>
                      <w:kern w:val="0"/>
                      <w:sz w:val="21"/>
                      <w:szCs w:val="21"/>
                      <w:highlight w:val="none"/>
                      <w:lang w:val="en-US" w:eastAsia="en-US" w:bidi="ar-SA"/>
                    </w:rPr>
                    <w:t>危险废物暂存间</w:t>
                  </w:r>
                </w:p>
              </w:tc>
              <w:tc>
                <w:tcPr>
                  <w:tcW w:w="995" w:type="pct"/>
                  <w:vAlign w:val="center"/>
                </w:tcPr>
                <w:p w14:paraId="62F16A96">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pacing w:val="-2"/>
                      <w:sz w:val="21"/>
                      <w:szCs w:val="21"/>
                      <w:highlight w:val="none"/>
                    </w:rPr>
                  </w:pPr>
                  <w:r>
                    <w:rPr>
                      <w:rFonts w:hint="default" w:ascii="Times New Roman" w:hAnsi="Times New Roman" w:cs="Times New Roman" w:eastAsiaTheme="majorEastAsia"/>
                      <w:color w:val="auto"/>
                      <w:spacing w:val="-2"/>
                      <w:sz w:val="21"/>
                      <w:szCs w:val="21"/>
                      <w:highlight w:val="none"/>
                    </w:rPr>
                    <w:t>罐</w:t>
                  </w:r>
                  <w:r>
                    <w:rPr>
                      <w:rFonts w:hint="default" w:ascii="Times New Roman" w:hAnsi="Times New Roman" w:cs="Times New Roman" w:eastAsiaTheme="majorEastAsia"/>
                      <w:color w:val="auto"/>
                      <w:spacing w:val="-2"/>
                      <w:sz w:val="21"/>
                      <w:szCs w:val="21"/>
                      <w:highlight w:val="none"/>
                      <w:lang w:val="en-US" w:eastAsia="zh-CN"/>
                    </w:rPr>
                    <w:t>装</w:t>
                  </w:r>
                  <w:r>
                    <w:rPr>
                      <w:rFonts w:hint="default" w:ascii="Times New Roman" w:hAnsi="Times New Roman" w:cs="Times New Roman" w:eastAsiaTheme="majorEastAsia"/>
                      <w:color w:val="auto"/>
                      <w:spacing w:val="-2"/>
                      <w:sz w:val="21"/>
                      <w:szCs w:val="21"/>
                      <w:highlight w:val="none"/>
                    </w:rPr>
                    <w:t>、</w:t>
                  </w:r>
                  <w:r>
                    <w:rPr>
                      <w:rFonts w:hint="default" w:ascii="Times New Roman" w:hAnsi="Times New Roman" w:cs="Times New Roman" w:eastAsiaTheme="majorEastAsia"/>
                      <w:color w:val="auto"/>
                      <w:spacing w:val="-2"/>
                      <w:sz w:val="21"/>
                      <w:szCs w:val="21"/>
                      <w:highlight w:val="none"/>
                      <w:lang w:val="en-US" w:eastAsia="zh-CN"/>
                    </w:rPr>
                    <w:t>半固</w:t>
                  </w:r>
                  <w:r>
                    <w:rPr>
                      <w:rFonts w:hint="default" w:ascii="Times New Roman" w:hAnsi="Times New Roman" w:cs="Times New Roman" w:eastAsiaTheme="majorEastAsia"/>
                      <w:color w:val="auto"/>
                      <w:spacing w:val="-2"/>
                      <w:sz w:val="21"/>
                      <w:szCs w:val="21"/>
                      <w:highlight w:val="none"/>
                    </w:rPr>
                    <w:t>态</w:t>
                  </w:r>
                </w:p>
              </w:tc>
              <w:tc>
                <w:tcPr>
                  <w:tcW w:w="612" w:type="pct"/>
                  <w:vAlign w:val="center"/>
                </w:tcPr>
                <w:p w14:paraId="444D281F">
                  <w:pPr>
                    <w:pStyle w:val="25"/>
                    <w:pageBreakBefore w:val="0"/>
                    <w:kinsoku/>
                    <w:wordWrap w:val="0"/>
                    <w:overflowPunct/>
                    <w:topLinePunct/>
                    <w:autoSpaceDE/>
                    <w:autoSpaceDN/>
                    <w:bidi w:val="0"/>
                    <w:ind w:left="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0.5</w:t>
                  </w:r>
                </w:p>
              </w:tc>
              <w:tc>
                <w:tcPr>
                  <w:tcW w:w="441" w:type="pct"/>
                  <w:vAlign w:val="center"/>
                </w:tcPr>
                <w:p w14:paraId="72EDFAE9">
                  <w:pPr>
                    <w:pStyle w:val="25"/>
                    <w:pageBreakBefore w:val="0"/>
                    <w:kinsoku/>
                    <w:wordWrap w:val="0"/>
                    <w:overflowPunct/>
                    <w:topLinePunct/>
                    <w:autoSpaceDE/>
                    <w:autoSpaceDN/>
                    <w:bidi w:val="0"/>
                    <w:ind w:left="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2500</w:t>
                  </w:r>
                </w:p>
              </w:tc>
              <w:tc>
                <w:tcPr>
                  <w:tcW w:w="501" w:type="pct"/>
                  <w:vAlign w:val="center"/>
                </w:tcPr>
                <w:p w14:paraId="21CDEC54">
                  <w:pPr>
                    <w:pStyle w:val="25"/>
                    <w:pageBreakBefore w:val="0"/>
                    <w:kinsoku/>
                    <w:wordWrap w:val="0"/>
                    <w:overflowPunct/>
                    <w:topLinePunct/>
                    <w:autoSpaceDE/>
                    <w:autoSpaceDN/>
                    <w:bidi w:val="0"/>
                    <w:ind w:left="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0.0002</w:t>
                  </w:r>
                </w:p>
              </w:tc>
            </w:tr>
            <w:tr w14:paraId="26D85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jc w:val="center"/>
              </w:trPr>
              <w:tc>
                <w:tcPr>
                  <w:tcW w:w="4498" w:type="pct"/>
                  <w:gridSpan w:val="6"/>
                  <w:vAlign w:val="center"/>
                </w:tcPr>
                <w:p w14:paraId="5CFB8401">
                  <w:pPr>
                    <w:pStyle w:val="25"/>
                    <w:pageBreakBefore w:val="0"/>
                    <w:kinsoku/>
                    <w:wordWrap w:val="0"/>
                    <w:overflowPunct/>
                    <w:topLinePunct/>
                    <w:autoSpaceDE/>
                    <w:autoSpaceDN/>
                    <w:bidi w:val="0"/>
                    <w:ind w:left="0"/>
                    <w:jc w:val="center"/>
                    <w:rPr>
                      <w:rFonts w:hint="default" w:ascii="Times New Roman" w:hAnsi="Times New Roman" w:cs="Times New Roman" w:eastAsiaTheme="majorEastAsia"/>
                      <w:color w:val="auto"/>
                      <w:sz w:val="21"/>
                      <w:szCs w:val="21"/>
                      <w:highlight w:val="none"/>
                      <w:lang w:val="en-US" w:eastAsia="zh-CN"/>
                    </w:rPr>
                  </w:pPr>
                  <w:r>
                    <w:rPr>
                      <w:rFonts w:hint="default" w:ascii="Times New Roman" w:hAnsi="Times New Roman" w:cs="Times New Roman" w:eastAsiaTheme="majorEastAsia"/>
                      <w:color w:val="auto"/>
                      <w:sz w:val="21"/>
                      <w:szCs w:val="21"/>
                      <w:highlight w:val="none"/>
                      <w:lang w:val="en-US" w:eastAsia="zh-CN"/>
                    </w:rPr>
                    <w:t>合计</w:t>
                  </w:r>
                </w:p>
              </w:tc>
              <w:tc>
                <w:tcPr>
                  <w:tcW w:w="501" w:type="pct"/>
                  <w:shd w:val="clear" w:color="auto" w:fill="auto"/>
                  <w:vAlign w:val="center"/>
                </w:tcPr>
                <w:p w14:paraId="6069A305">
                  <w:pPr>
                    <w:pStyle w:val="25"/>
                    <w:pageBreakBefore w:val="0"/>
                    <w:kinsoku/>
                    <w:wordWrap w:val="0"/>
                    <w:overflowPunct/>
                    <w:topLinePunct/>
                    <w:autoSpaceDE/>
                    <w:autoSpaceDN/>
                    <w:bidi w:val="0"/>
                    <w:ind w:left="0" w:leftChars="0"/>
                    <w:jc w:val="center"/>
                    <w:rPr>
                      <w:rFonts w:hint="default" w:ascii="Times New Roman" w:hAnsi="Times New Roman" w:cs="Times New Roman" w:eastAsiaTheme="majorEastAsia"/>
                      <w:snapToGrid w:val="0"/>
                      <w:color w:val="auto"/>
                      <w:kern w:val="0"/>
                      <w:sz w:val="21"/>
                      <w:szCs w:val="21"/>
                      <w:highlight w:val="none"/>
                      <w:lang w:val="en-US" w:eastAsia="zh-CN" w:bidi="ar-SA"/>
                    </w:rPr>
                  </w:pPr>
                  <w:r>
                    <w:rPr>
                      <w:rFonts w:hint="default" w:ascii="Times New Roman" w:hAnsi="Times New Roman" w:cs="Times New Roman" w:eastAsiaTheme="majorEastAsia"/>
                      <w:color w:val="auto"/>
                      <w:sz w:val="21"/>
                      <w:szCs w:val="21"/>
                      <w:highlight w:val="none"/>
                      <w:lang w:val="en-US" w:eastAsia="zh-CN"/>
                    </w:rPr>
                    <w:fldChar w:fldCharType="begin"/>
                  </w:r>
                  <w:r>
                    <w:rPr>
                      <w:rFonts w:hint="default" w:ascii="Times New Roman" w:hAnsi="Times New Roman" w:cs="Times New Roman" w:eastAsiaTheme="majorEastAsia"/>
                      <w:color w:val="auto"/>
                      <w:sz w:val="21"/>
                      <w:szCs w:val="21"/>
                      <w:highlight w:val="none"/>
                      <w:lang w:val="en-US" w:eastAsia="zh-CN"/>
                    </w:rPr>
                    <w:instrText xml:space="preserve"> = sum(G2:G3) \* MERGEFORMAT </w:instrText>
                  </w:r>
                  <w:r>
                    <w:rPr>
                      <w:rFonts w:hint="default" w:ascii="Times New Roman" w:hAnsi="Times New Roman" w:cs="Times New Roman" w:eastAsiaTheme="majorEastAsia"/>
                      <w:color w:val="auto"/>
                      <w:sz w:val="21"/>
                      <w:szCs w:val="21"/>
                      <w:highlight w:val="none"/>
                      <w:lang w:val="en-US" w:eastAsia="zh-CN"/>
                    </w:rPr>
                    <w:fldChar w:fldCharType="separate"/>
                  </w:r>
                  <w:r>
                    <w:rPr>
                      <w:rFonts w:hint="default" w:ascii="Times New Roman" w:hAnsi="Times New Roman" w:cs="Times New Roman" w:eastAsiaTheme="majorEastAsia"/>
                      <w:color w:val="auto"/>
                      <w:sz w:val="21"/>
                      <w:szCs w:val="21"/>
                      <w:highlight w:val="none"/>
                      <w:lang w:val="en-US" w:eastAsia="zh-CN"/>
                    </w:rPr>
                    <w:t>0.0322</w:t>
                  </w:r>
                  <w:r>
                    <w:rPr>
                      <w:rFonts w:hint="default" w:ascii="Times New Roman" w:hAnsi="Times New Roman" w:cs="Times New Roman" w:eastAsiaTheme="majorEastAsia"/>
                      <w:color w:val="auto"/>
                      <w:sz w:val="21"/>
                      <w:szCs w:val="21"/>
                      <w:highlight w:val="none"/>
                      <w:lang w:val="en-US" w:eastAsia="zh-CN"/>
                    </w:rPr>
                    <w:fldChar w:fldCharType="end"/>
                  </w:r>
                </w:p>
              </w:tc>
            </w:tr>
          </w:tbl>
          <w:p w14:paraId="5A756C24">
            <w:pPr>
              <w:pStyle w:val="25"/>
              <w:keepNext w:val="0"/>
              <w:keepLines w:val="0"/>
              <w:pageBreakBefore w:val="0"/>
              <w:widowControl/>
              <w:kinsoku/>
              <w:wordWrap w:val="0"/>
              <w:overflowPunct/>
              <w:topLinePunct/>
              <w:autoSpaceDE/>
              <w:autoSpaceDN/>
              <w:bidi w:val="0"/>
              <w:adjustRightInd w:val="0"/>
              <w:snapToGrid w:val="0"/>
              <w:spacing w:line="360" w:lineRule="auto"/>
              <w:ind w:left="0" w:firstLine="524" w:firstLineChars="200"/>
              <w:textAlignment w:val="baseline"/>
              <w:rPr>
                <w:rFonts w:hint="default" w:ascii="Times New Roman" w:hAnsi="Times New Roman" w:eastAsia="宋体" w:cs="Times New Roman"/>
                <w:color w:val="auto"/>
                <w:spacing w:val="11"/>
                <w:sz w:val="24"/>
                <w:szCs w:val="24"/>
                <w:highlight w:val="none"/>
              </w:rPr>
            </w:pPr>
            <w:r>
              <w:rPr>
                <w:rFonts w:hint="default" w:ascii="Times New Roman" w:hAnsi="Times New Roman" w:eastAsia="宋体" w:cs="Times New Roman"/>
                <w:color w:val="auto"/>
                <w:spacing w:val="11"/>
                <w:sz w:val="24"/>
                <w:szCs w:val="24"/>
                <w:highlight w:val="none"/>
                <w:lang w:eastAsia="zh-CN"/>
              </w:rPr>
              <w:t>（</w:t>
            </w:r>
            <w:r>
              <w:rPr>
                <w:rFonts w:hint="default" w:ascii="Times New Roman" w:hAnsi="Times New Roman" w:eastAsia="宋体" w:cs="Times New Roman"/>
                <w:color w:val="auto"/>
                <w:spacing w:val="11"/>
                <w:sz w:val="24"/>
                <w:szCs w:val="24"/>
                <w:highlight w:val="none"/>
                <w:lang w:val="en-US" w:eastAsia="zh-CN"/>
              </w:rPr>
              <w:t>2</w:t>
            </w:r>
            <w:r>
              <w:rPr>
                <w:rFonts w:hint="default" w:ascii="Times New Roman" w:hAnsi="Times New Roman" w:eastAsia="宋体" w:cs="Times New Roman"/>
                <w:color w:val="auto"/>
                <w:spacing w:val="11"/>
                <w:sz w:val="24"/>
                <w:szCs w:val="24"/>
                <w:highlight w:val="none"/>
                <w:lang w:eastAsia="zh-CN"/>
              </w:rPr>
              <w:t>）</w:t>
            </w:r>
            <w:r>
              <w:rPr>
                <w:rFonts w:hint="default" w:ascii="Times New Roman" w:hAnsi="Times New Roman" w:eastAsia="宋体" w:cs="Times New Roman"/>
                <w:color w:val="auto"/>
                <w:spacing w:val="11"/>
                <w:sz w:val="24"/>
                <w:szCs w:val="24"/>
                <w:highlight w:val="none"/>
              </w:rPr>
              <w:t>环境风险潜势初判：根据《建设项目环境风险评价技术导则》(HJ/T169-2018)附录C中当存在多种危险物质时，按下列式子计算危险物质数量与其临界量比值Q。</w:t>
            </w:r>
          </w:p>
          <w:p w14:paraId="0795C642">
            <w:pPr>
              <w:pStyle w:val="25"/>
              <w:keepNext w:val="0"/>
              <w:keepLines w:val="0"/>
              <w:pageBreakBefore w:val="0"/>
              <w:widowControl/>
              <w:kinsoku/>
              <w:wordWrap w:val="0"/>
              <w:overflowPunct/>
              <w:topLinePunct/>
              <w:autoSpaceDE/>
              <w:autoSpaceDN/>
              <w:bidi w:val="0"/>
              <w:adjustRightInd w:val="0"/>
              <w:snapToGrid w:val="0"/>
              <w:spacing w:line="360" w:lineRule="auto"/>
              <w:ind w:left="0" w:firstLine="524" w:firstLineChars="200"/>
              <w:jc w:val="center"/>
              <w:textAlignment w:val="baseline"/>
              <w:rPr>
                <w:rFonts w:hint="default" w:ascii="Times New Roman" w:hAnsi="Times New Roman" w:eastAsia="宋体" w:cs="Times New Roman"/>
                <w:color w:val="auto"/>
                <w:spacing w:val="11"/>
                <w:sz w:val="24"/>
                <w:szCs w:val="24"/>
                <w:highlight w:val="none"/>
              </w:rPr>
            </w:pPr>
            <w:r>
              <w:rPr>
                <w:rFonts w:hint="default" w:ascii="Times New Roman" w:hAnsi="Times New Roman" w:eastAsia="宋体" w:cs="Times New Roman"/>
                <w:color w:val="auto"/>
                <w:spacing w:val="11"/>
                <w:sz w:val="24"/>
                <w:szCs w:val="24"/>
                <w:highlight w:val="none"/>
              </w:rPr>
              <w:drawing>
                <wp:inline distT="0" distB="0" distL="0" distR="0">
                  <wp:extent cx="1644650" cy="343535"/>
                  <wp:effectExtent l="0" t="0" r="12700" b="18415"/>
                  <wp:docPr id="8" name="IM 2"/>
                  <wp:cNvGraphicFramePr/>
                  <a:graphic xmlns:a="http://schemas.openxmlformats.org/drawingml/2006/main">
                    <a:graphicData uri="http://schemas.openxmlformats.org/drawingml/2006/picture">
                      <pic:pic xmlns:pic="http://schemas.openxmlformats.org/drawingml/2006/picture">
                        <pic:nvPicPr>
                          <pic:cNvPr id="8" name="IM 2"/>
                          <pic:cNvPicPr/>
                        </pic:nvPicPr>
                        <pic:blipFill>
                          <a:blip r:embed="rId33"/>
                          <a:stretch>
                            <a:fillRect/>
                          </a:stretch>
                        </pic:blipFill>
                        <pic:spPr>
                          <a:xfrm>
                            <a:off x="0" y="0"/>
                            <a:ext cx="1644829" cy="344037"/>
                          </a:xfrm>
                          <a:prstGeom prst="rect">
                            <a:avLst/>
                          </a:prstGeom>
                        </pic:spPr>
                      </pic:pic>
                    </a:graphicData>
                  </a:graphic>
                </wp:inline>
              </w:drawing>
            </w:r>
          </w:p>
          <w:p w14:paraId="38F30003">
            <w:pPr>
              <w:pStyle w:val="25"/>
              <w:keepNext w:val="0"/>
              <w:keepLines w:val="0"/>
              <w:pageBreakBefore w:val="0"/>
              <w:widowControl/>
              <w:kinsoku/>
              <w:wordWrap w:val="0"/>
              <w:overflowPunct/>
              <w:topLinePunct/>
              <w:autoSpaceDE/>
              <w:autoSpaceDN/>
              <w:bidi w:val="0"/>
              <w:adjustRightInd w:val="0"/>
              <w:snapToGrid w:val="0"/>
              <w:spacing w:line="360" w:lineRule="auto"/>
              <w:ind w:left="0" w:firstLine="524" w:firstLineChars="200"/>
              <w:textAlignment w:val="baseline"/>
              <w:rPr>
                <w:rFonts w:hint="default" w:ascii="Times New Roman" w:hAnsi="Times New Roman" w:eastAsia="宋体" w:cs="Times New Roman"/>
                <w:color w:val="auto"/>
                <w:spacing w:val="11"/>
                <w:sz w:val="24"/>
                <w:szCs w:val="24"/>
                <w:highlight w:val="none"/>
                <w:lang w:eastAsia="zh-CN"/>
              </w:rPr>
            </w:pPr>
            <w:r>
              <w:rPr>
                <w:rFonts w:hint="default" w:ascii="Times New Roman" w:hAnsi="Times New Roman" w:eastAsia="宋体" w:cs="Times New Roman"/>
                <w:color w:val="auto"/>
                <w:spacing w:val="11"/>
                <w:sz w:val="24"/>
                <w:szCs w:val="24"/>
                <w:highlight w:val="none"/>
              </w:rPr>
              <w:t>式中：q</w:t>
            </w:r>
            <w:r>
              <w:rPr>
                <w:rFonts w:hint="default" w:ascii="Times New Roman" w:hAnsi="Times New Roman" w:eastAsia="宋体" w:cs="Times New Roman"/>
                <w:color w:val="auto"/>
                <w:spacing w:val="11"/>
                <w:sz w:val="24"/>
                <w:szCs w:val="24"/>
                <w:highlight w:val="none"/>
                <w:vertAlign w:val="subscript"/>
              </w:rPr>
              <w:t>1</w:t>
            </w:r>
            <w:r>
              <w:rPr>
                <w:rFonts w:hint="default" w:ascii="Times New Roman" w:hAnsi="Times New Roman" w:eastAsia="宋体" w:cs="Times New Roman"/>
                <w:color w:val="auto"/>
                <w:spacing w:val="11"/>
                <w:sz w:val="24"/>
                <w:szCs w:val="24"/>
                <w:highlight w:val="none"/>
              </w:rPr>
              <w:t>、q</w:t>
            </w:r>
            <w:r>
              <w:rPr>
                <w:rFonts w:hint="default" w:ascii="Times New Roman" w:hAnsi="Times New Roman" w:eastAsia="宋体" w:cs="Times New Roman"/>
                <w:color w:val="auto"/>
                <w:spacing w:val="11"/>
                <w:sz w:val="24"/>
                <w:szCs w:val="24"/>
                <w:highlight w:val="none"/>
                <w:vertAlign w:val="subscript"/>
              </w:rPr>
              <w:t>2</w:t>
            </w:r>
            <w:r>
              <w:rPr>
                <w:rFonts w:hint="default" w:ascii="Times New Roman" w:hAnsi="Times New Roman" w:eastAsia="宋体" w:cs="Times New Roman"/>
                <w:color w:val="auto"/>
                <w:spacing w:val="11"/>
                <w:sz w:val="24"/>
                <w:szCs w:val="24"/>
                <w:highlight w:val="none"/>
              </w:rPr>
              <w:t>、…qn—每种危险物质的最大存在总量，t</w:t>
            </w:r>
            <w:r>
              <w:rPr>
                <w:rFonts w:hint="default" w:ascii="Times New Roman" w:hAnsi="Times New Roman" w:eastAsia="宋体" w:cs="Times New Roman"/>
                <w:color w:val="auto"/>
                <w:spacing w:val="11"/>
                <w:sz w:val="24"/>
                <w:szCs w:val="24"/>
                <w:highlight w:val="none"/>
                <w:lang w:eastAsia="zh-CN"/>
              </w:rPr>
              <w:t>；</w:t>
            </w:r>
          </w:p>
          <w:p w14:paraId="2F94BE57">
            <w:pPr>
              <w:pStyle w:val="25"/>
              <w:keepNext w:val="0"/>
              <w:keepLines w:val="0"/>
              <w:pageBreakBefore w:val="0"/>
              <w:widowControl/>
              <w:kinsoku/>
              <w:wordWrap w:val="0"/>
              <w:overflowPunct/>
              <w:topLinePunct/>
              <w:autoSpaceDE/>
              <w:autoSpaceDN/>
              <w:bidi w:val="0"/>
              <w:adjustRightInd w:val="0"/>
              <w:snapToGrid w:val="0"/>
              <w:spacing w:line="360" w:lineRule="auto"/>
              <w:ind w:left="0" w:firstLine="524" w:firstLineChars="200"/>
              <w:textAlignment w:val="baseline"/>
              <w:rPr>
                <w:rFonts w:hint="default" w:ascii="Times New Roman" w:hAnsi="Times New Roman" w:eastAsia="宋体" w:cs="Times New Roman"/>
                <w:color w:val="auto"/>
                <w:spacing w:val="11"/>
                <w:sz w:val="24"/>
                <w:szCs w:val="24"/>
                <w:highlight w:val="none"/>
              </w:rPr>
            </w:pPr>
            <w:r>
              <w:rPr>
                <w:rFonts w:hint="default" w:ascii="Times New Roman" w:hAnsi="Times New Roman" w:eastAsia="宋体" w:cs="Times New Roman"/>
                <w:color w:val="auto"/>
                <w:spacing w:val="11"/>
                <w:sz w:val="24"/>
                <w:szCs w:val="24"/>
                <w:highlight w:val="none"/>
              </w:rPr>
              <w:t>Q</w:t>
            </w:r>
            <w:r>
              <w:rPr>
                <w:rFonts w:hint="default" w:ascii="Times New Roman" w:hAnsi="Times New Roman" w:eastAsia="宋体" w:cs="Times New Roman"/>
                <w:color w:val="auto"/>
                <w:spacing w:val="11"/>
                <w:sz w:val="24"/>
                <w:szCs w:val="24"/>
                <w:highlight w:val="none"/>
                <w:vertAlign w:val="subscript"/>
              </w:rPr>
              <w:t>1</w:t>
            </w:r>
            <w:r>
              <w:rPr>
                <w:rFonts w:hint="default" w:ascii="Times New Roman" w:hAnsi="Times New Roman" w:eastAsia="宋体" w:cs="Times New Roman"/>
                <w:color w:val="auto"/>
                <w:spacing w:val="11"/>
                <w:sz w:val="24"/>
                <w:szCs w:val="24"/>
                <w:highlight w:val="none"/>
              </w:rPr>
              <w:t>、Q</w:t>
            </w:r>
            <w:r>
              <w:rPr>
                <w:rFonts w:hint="default" w:ascii="Times New Roman" w:hAnsi="Times New Roman" w:eastAsia="宋体" w:cs="Times New Roman"/>
                <w:color w:val="auto"/>
                <w:spacing w:val="11"/>
                <w:sz w:val="24"/>
                <w:szCs w:val="24"/>
                <w:highlight w:val="none"/>
                <w:vertAlign w:val="subscript"/>
              </w:rPr>
              <w:t>2</w:t>
            </w:r>
            <w:r>
              <w:rPr>
                <w:rFonts w:hint="default" w:ascii="Times New Roman" w:hAnsi="Times New Roman" w:eastAsia="宋体" w:cs="Times New Roman"/>
                <w:color w:val="auto"/>
                <w:spacing w:val="11"/>
                <w:sz w:val="24"/>
                <w:szCs w:val="24"/>
                <w:highlight w:val="none"/>
              </w:rPr>
              <w:t>、.Qn——每种危险物质的临界量，t;</w:t>
            </w:r>
          </w:p>
          <w:p w14:paraId="09777F0D">
            <w:pPr>
              <w:pStyle w:val="25"/>
              <w:keepNext w:val="0"/>
              <w:keepLines w:val="0"/>
              <w:pageBreakBefore w:val="0"/>
              <w:widowControl/>
              <w:kinsoku/>
              <w:wordWrap w:val="0"/>
              <w:overflowPunct/>
              <w:topLinePunct/>
              <w:autoSpaceDE/>
              <w:autoSpaceDN/>
              <w:bidi w:val="0"/>
              <w:adjustRightInd w:val="0"/>
              <w:snapToGrid w:val="0"/>
              <w:spacing w:line="360" w:lineRule="auto"/>
              <w:ind w:left="0" w:firstLine="524" w:firstLineChars="200"/>
              <w:textAlignment w:val="baseline"/>
              <w:rPr>
                <w:rFonts w:hint="default" w:ascii="Times New Roman" w:hAnsi="Times New Roman" w:eastAsia="宋体" w:cs="Times New Roman"/>
                <w:color w:val="auto"/>
                <w:spacing w:val="11"/>
                <w:sz w:val="24"/>
                <w:szCs w:val="24"/>
                <w:highlight w:val="none"/>
                <w:lang w:val="en-US" w:eastAsia="zh-CN"/>
              </w:rPr>
            </w:pPr>
            <w:r>
              <w:rPr>
                <w:rFonts w:hint="default" w:ascii="Times New Roman" w:hAnsi="Times New Roman" w:eastAsia="宋体" w:cs="Times New Roman"/>
                <w:color w:val="auto"/>
                <w:spacing w:val="11"/>
                <w:sz w:val="24"/>
                <w:szCs w:val="24"/>
                <w:highlight w:val="none"/>
              </w:rPr>
              <w:t>当Q&lt;1时，该项目环境风险潜势为I</w:t>
            </w:r>
            <w:r>
              <w:rPr>
                <w:rFonts w:hint="default" w:ascii="Times New Roman" w:hAnsi="Times New Roman" w:eastAsia="宋体" w:cs="Times New Roman"/>
                <w:color w:val="auto"/>
                <w:spacing w:val="11"/>
                <w:sz w:val="24"/>
                <w:szCs w:val="24"/>
                <w:highlight w:val="none"/>
                <w:lang w:eastAsia="zh-CN"/>
              </w:rPr>
              <w:t>，</w:t>
            </w:r>
            <w:r>
              <w:rPr>
                <w:rFonts w:hint="default" w:ascii="Times New Roman" w:hAnsi="Times New Roman" w:eastAsia="宋体" w:cs="Times New Roman"/>
                <w:color w:val="auto"/>
                <w:spacing w:val="11"/>
                <w:sz w:val="24"/>
                <w:szCs w:val="24"/>
                <w:highlight w:val="none"/>
                <w:lang w:val="en-US" w:eastAsia="zh-CN"/>
              </w:rPr>
              <w:t>为简单分析。</w:t>
            </w:r>
          </w:p>
          <w:p w14:paraId="707CA5EA">
            <w:pPr>
              <w:pStyle w:val="25"/>
              <w:keepNext w:val="0"/>
              <w:keepLines w:val="0"/>
              <w:pageBreakBefore w:val="0"/>
              <w:widowControl/>
              <w:kinsoku/>
              <w:wordWrap w:val="0"/>
              <w:overflowPunct/>
              <w:topLinePunct/>
              <w:autoSpaceDE/>
              <w:autoSpaceDN/>
              <w:bidi w:val="0"/>
              <w:adjustRightInd w:val="0"/>
              <w:snapToGrid w:val="0"/>
              <w:spacing w:line="360" w:lineRule="auto"/>
              <w:ind w:left="0" w:firstLine="524" w:firstLineChars="200"/>
              <w:textAlignment w:val="baseline"/>
              <w:rPr>
                <w:rFonts w:hint="default" w:ascii="Times New Roman" w:hAnsi="Times New Roman" w:eastAsia="宋体" w:cs="Times New Roman"/>
                <w:color w:val="auto"/>
                <w:spacing w:val="11"/>
                <w:sz w:val="24"/>
                <w:szCs w:val="24"/>
                <w:highlight w:val="none"/>
              </w:rPr>
            </w:pPr>
            <w:r>
              <w:rPr>
                <w:rFonts w:hint="default" w:ascii="Times New Roman" w:hAnsi="Times New Roman" w:eastAsia="宋体" w:cs="Times New Roman"/>
                <w:color w:val="auto"/>
                <w:spacing w:val="11"/>
                <w:sz w:val="24"/>
                <w:szCs w:val="24"/>
                <w:highlight w:val="none"/>
              </w:rPr>
              <w:t>当Q≥1时，将Q值划分为：</w:t>
            </w:r>
          </w:p>
          <w:p w14:paraId="63B8BDF2">
            <w:pPr>
              <w:pStyle w:val="25"/>
              <w:keepNext w:val="0"/>
              <w:keepLines w:val="0"/>
              <w:pageBreakBefore w:val="0"/>
              <w:widowControl/>
              <w:kinsoku/>
              <w:wordWrap w:val="0"/>
              <w:overflowPunct/>
              <w:topLinePunct/>
              <w:autoSpaceDE/>
              <w:autoSpaceDN/>
              <w:bidi w:val="0"/>
              <w:adjustRightInd w:val="0"/>
              <w:snapToGrid w:val="0"/>
              <w:spacing w:line="360" w:lineRule="auto"/>
              <w:ind w:left="0" w:firstLine="524" w:firstLineChars="200"/>
              <w:textAlignment w:val="baseline"/>
              <w:rPr>
                <w:rFonts w:hint="default" w:ascii="Times New Roman" w:hAnsi="Times New Roman" w:eastAsia="宋体" w:cs="Times New Roman"/>
                <w:color w:val="auto"/>
                <w:spacing w:val="11"/>
                <w:sz w:val="24"/>
                <w:szCs w:val="24"/>
                <w:highlight w:val="none"/>
              </w:rPr>
            </w:pPr>
            <w:r>
              <w:rPr>
                <w:rFonts w:hint="default" w:ascii="Times New Roman" w:hAnsi="Times New Roman" w:eastAsia="宋体" w:cs="Times New Roman"/>
                <w:color w:val="auto"/>
                <w:spacing w:val="11"/>
                <w:sz w:val="24"/>
                <w:szCs w:val="24"/>
                <w:highlight w:val="none"/>
              </w:rPr>
              <w:t>(1)1≤Q&lt;10;(2)10≤Q&lt;100;(3)Q≥100。</w:t>
            </w:r>
          </w:p>
          <w:p w14:paraId="4C499D49">
            <w:pPr>
              <w:pStyle w:val="25"/>
              <w:keepNext w:val="0"/>
              <w:keepLines w:val="0"/>
              <w:pageBreakBefore w:val="0"/>
              <w:widowControl/>
              <w:kinsoku/>
              <w:wordWrap w:val="0"/>
              <w:overflowPunct/>
              <w:topLinePunct/>
              <w:autoSpaceDE/>
              <w:autoSpaceDN/>
              <w:bidi w:val="0"/>
              <w:adjustRightInd w:val="0"/>
              <w:snapToGrid w:val="0"/>
              <w:spacing w:line="360" w:lineRule="auto"/>
              <w:ind w:left="0" w:firstLine="524" w:firstLineChars="200"/>
              <w:textAlignment w:val="baseline"/>
              <w:rPr>
                <w:rFonts w:hint="default" w:ascii="Times New Roman" w:hAnsi="Times New Roman" w:eastAsia="宋体" w:cs="Times New Roman"/>
                <w:color w:val="auto"/>
                <w:spacing w:val="11"/>
                <w:sz w:val="24"/>
                <w:szCs w:val="24"/>
                <w:highlight w:val="none"/>
                <w:lang w:val="en-US" w:eastAsia="zh-CN"/>
              </w:rPr>
            </w:pPr>
            <w:r>
              <w:rPr>
                <w:rFonts w:hint="default" w:ascii="Times New Roman" w:hAnsi="Times New Roman" w:eastAsia="宋体" w:cs="Times New Roman"/>
                <w:color w:val="auto"/>
                <w:spacing w:val="11"/>
                <w:sz w:val="24"/>
                <w:szCs w:val="24"/>
                <w:highlight w:val="none"/>
                <w:lang w:val="en-US" w:eastAsia="zh-CN"/>
              </w:rPr>
              <w:t>根据表4-</w:t>
            </w:r>
            <w:r>
              <w:rPr>
                <w:rFonts w:hint="default" w:ascii="Times New Roman" w:hAnsi="Times New Roman" w:cs="Times New Roman"/>
                <w:color w:val="auto"/>
                <w:spacing w:val="11"/>
                <w:sz w:val="24"/>
                <w:szCs w:val="24"/>
                <w:highlight w:val="none"/>
                <w:lang w:val="en-US" w:eastAsia="zh-CN"/>
              </w:rPr>
              <w:t>12</w:t>
            </w:r>
            <w:r>
              <w:rPr>
                <w:rFonts w:hint="default" w:ascii="Times New Roman" w:hAnsi="Times New Roman" w:eastAsia="宋体" w:cs="Times New Roman"/>
                <w:color w:val="auto"/>
                <w:spacing w:val="11"/>
                <w:sz w:val="24"/>
                <w:szCs w:val="24"/>
                <w:highlight w:val="none"/>
                <w:lang w:val="en-US" w:eastAsia="zh-CN"/>
              </w:rPr>
              <w:t>判断，本项目Q=0.032</w:t>
            </w:r>
            <w:r>
              <w:rPr>
                <w:rFonts w:hint="default" w:ascii="Times New Roman" w:hAnsi="Times New Roman" w:cs="Times New Roman"/>
                <w:color w:val="auto"/>
                <w:spacing w:val="11"/>
                <w:sz w:val="24"/>
                <w:szCs w:val="24"/>
                <w:highlight w:val="none"/>
                <w:lang w:val="en-US" w:eastAsia="zh-CN"/>
              </w:rPr>
              <w:t>2</w:t>
            </w:r>
            <w:r>
              <w:rPr>
                <w:rFonts w:hint="default" w:ascii="Times New Roman" w:hAnsi="Times New Roman" w:eastAsia="宋体" w:cs="Times New Roman"/>
                <w:color w:val="auto"/>
                <w:spacing w:val="11"/>
                <w:sz w:val="24"/>
                <w:szCs w:val="24"/>
                <w:highlight w:val="none"/>
                <w:lang w:val="en-US" w:eastAsia="zh-CN"/>
              </w:rPr>
              <w:t>&lt;1，项目环境风险潜势为I，为简单分析。</w:t>
            </w:r>
          </w:p>
          <w:p w14:paraId="67383AD8">
            <w:pPr>
              <w:pStyle w:val="25"/>
              <w:keepNext w:val="0"/>
              <w:keepLines w:val="0"/>
              <w:pageBreakBefore w:val="0"/>
              <w:widowControl/>
              <w:kinsoku/>
              <w:wordWrap w:val="0"/>
              <w:overflowPunct/>
              <w:topLinePunct/>
              <w:autoSpaceDE/>
              <w:autoSpaceDN/>
              <w:bidi w:val="0"/>
              <w:adjustRightInd w:val="0"/>
              <w:snapToGrid w:val="0"/>
              <w:spacing w:line="360" w:lineRule="auto"/>
              <w:ind w:firstLine="526" w:firstLineChars="200"/>
              <w:textAlignment w:val="baseline"/>
              <w:rPr>
                <w:rFonts w:hint="default" w:ascii="Times New Roman" w:hAnsi="Times New Roman" w:eastAsia="宋体" w:cs="Times New Roman"/>
                <w:b/>
                <w:bCs/>
                <w:color w:val="auto"/>
                <w:spacing w:val="11"/>
                <w:sz w:val="24"/>
                <w:szCs w:val="24"/>
                <w:highlight w:val="none"/>
                <w:lang w:val="en-US" w:eastAsia="zh-CN"/>
              </w:rPr>
            </w:pPr>
            <w:r>
              <w:rPr>
                <w:rFonts w:hint="default" w:ascii="Times New Roman" w:hAnsi="Times New Roman" w:eastAsia="宋体" w:cs="Times New Roman"/>
                <w:b/>
                <w:bCs/>
                <w:color w:val="auto"/>
                <w:spacing w:val="11"/>
                <w:sz w:val="24"/>
                <w:szCs w:val="24"/>
                <w:highlight w:val="none"/>
                <w:lang w:val="en-US" w:eastAsia="zh-CN"/>
              </w:rPr>
              <w:t>8.2风险分析</w:t>
            </w:r>
          </w:p>
          <w:p w14:paraId="0275EB0A">
            <w:pPr>
              <w:spacing w:line="360" w:lineRule="auto"/>
              <w:ind w:firstLine="480" w:firstLineChars="200"/>
              <w:rPr>
                <w:color w:val="auto"/>
                <w:sz w:val="24"/>
                <w:highlight w:val="none"/>
              </w:rPr>
            </w:pPr>
            <w:r>
              <w:rPr>
                <w:color w:val="auto"/>
                <w:sz w:val="24"/>
                <w:highlight w:val="none"/>
              </w:rPr>
              <w:t>本项目运营期风险主要是</w:t>
            </w:r>
            <w:r>
              <w:rPr>
                <w:rFonts w:hint="default"/>
                <w:color w:val="auto"/>
                <w:sz w:val="24"/>
                <w:highlight w:val="none"/>
                <w:lang w:val="en-US" w:eastAsia="zh-CN"/>
              </w:rPr>
              <w:t>三乙醇胺</w:t>
            </w:r>
            <w:r>
              <w:rPr>
                <w:rFonts w:hint="eastAsia"/>
                <w:color w:val="auto"/>
                <w:sz w:val="24"/>
                <w:highlight w:val="none"/>
                <w:lang w:val="en-US" w:eastAsia="zh-CN"/>
              </w:rPr>
              <w:t>和</w:t>
            </w:r>
            <w:r>
              <w:rPr>
                <w:rFonts w:hint="default"/>
                <w:color w:val="auto"/>
                <w:sz w:val="24"/>
                <w:highlight w:val="none"/>
              </w:rPr>
              <w:t>废机油</w:t>
            </w:r>
            <w:r>
              <w:rPr>
                <w:color w:val="auto"/>
                <w:sz w:val="24"/>
                <w:highlight w:val="none"/>
              </w:rPr>
              <w:t>泄漏</w:t>
            </w:r>
            <w:r>
              <w:rPr>
                <w:rFonts w:hint="eastAsia"/>
                <w:color w:val="auto"/>
                <w:sz w:val="24"/>
                <w:highlight w:val="none"/>
                <w:lang w:val="en-US" w:eastAsia="zh-CN"/>
              </w:rPr>
              <w:t>导致</w:t>
            </w:r>
            <w:r>
              <w:rPr>
                <w:color w:val="auto"/>
                <w:sz w:val="24"/>
                <w:highlight w:val="none"/>
              </w:rPr>
              <w:t>火灾事故对环境的影响。</w:t>
            </w:r>
          </w:p>
          <w:p w14:paraId="00C68B25">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本项目</w:t>
            </w:r>
            <w:r>
              <w:rPr>
                <w:rFonts w:hint="default"/>
                <w:color w:val="auto"/>
                <w:sz w:val="24"/>
                <w:highlight w:val="none"/>
                <w:lang w:val="en-US" w:eastAsia="zh-CN"/>
              </w:rPr>
              <w:t>三乙醇胺</w:t>
            </w:r>
            <w:r>
              <w:rPr>
                <w:rFonts w:hint="eastAsia"/>
                <w:color w:val="auto"/>
                <w:sz w:val="24"/>
                <w:highlight w:val="none"/>
                <w:lang w:val="en-US" w:eastAsia="zh-CN"/>
              </w:rPr>
              <w:t>和</w:t>
            </w:r>
            <w:r>
              <w:rPr>
                <w:rFonts w:hint="default"/>
                <w:color w:val="auto"/>
                <w:sz w:val="24"/>
                <w:highlight w:val="none"/>
              </w:rPr>
              <w:t>废机油</w:t>
            </w:r>
            <w:r>
              <w:rPr>
                <w:color w:val="auto"/>
                <w:sz w:val="24"/>
                <w:highlight w:val="none"/>
              </w:rPr>
              <w:t>泄漏存在火灾等风险，</w:t>
            </w:r>
            <w:r>
              <w:rPr>
                <w:rFonts w:hint="default"/>
                <w:color w:val="auto"/>
                <w:sz w:val="24"/>
                <w:highlight w:val="none"/>
                <w:lang w:val="en-US" w:eastAsia="zh-CN"/>
              </w:rPr>
              <w:t>三乙醇胺</w:t>
            </w:r>
            <w:r>
              <w:rPr>
                <w:rFonts w:hint="eastAsia"/>
                <w:color w:val="auto"/>
                <w:sz w:val="24"/>
                <w:highlight w:val="none"/>
                <w:lang w:val="en-US" w:eastAsia="zh-CN"/>
              </w:rPr>
              <w:t>和</w:t>
            </w:r>
            <w:r>
              <w:rPr>
                <w:rFonts w:hint="eastAsia"/>
                <w:color w:val="auto"/>
                <w:sz w:val="24"/>
                <w:highlight w:val="none"/>
              </w:rPr>
              <w:t>废机油</w:t>
            </w:r>
            <w:r>
              <w:rPr>
                <w:color w:val="auto"/>
                <w:sz w:val="24"/>
                <w:highlight w:val="none"/>
              </w:rPr>
              <w:t>储存期间若发生泄漏，则容易导致火灾等风险事故；主要为火灾，在未及时采取对策措施的情况下对周围环境有一定的影响；引发的火灾会迅速蔓延，燃烧产物主要为CO</w:t>
            </w:r>
            <w:r>
              <w:rPr>
                <w:color w:val="auto"/>
                <w:sz w:val="24"/>
                <w:highlight w:val="none"/>
                <w:vertAlign w:val="subscript"/>
              </w:rPr>
              <w:t>2</w:t>
            </w:r>
            <w:r>
              <w:rPr>
                <w:color w:val="auto"/>
                <w:sz w:val="24"/>
                <w:highlight w:val="none"/>
              </w:rPr>
              <w:t>和水蒸汽，同时伴随浓烟，挥发至空气中，会造成大气污染，会对人的健康造成危害。正常状况下，项目危废暂存库根据</w:t>
            </w:r>
            <w:r>
              <w:rPr>
                <w:color w:val="auto"/>
                <w:sz w:val="24"/>
                <w:highlight w:val="none"/>
                <w:lang w:val="zh-CN"/>
              </w:rPr>
              <w:t>危险废物贮存的</w:t>
            </w:r>
            <w:r>
              <w:rPr>
                <w:color w:val="auto"/>
                <w:sz w:val="24"/>
                <w:highlight w:val="none"/>
              </w:rPr>
              <w:t>相关规范及要求，已进行重点防渗处理</w:t>
            </w:r>
            <w:r>
              <w:rPr>
                <w:rFonts w:hint="eastAsia" w:eastAsia="宋体"/>
                <w:color w:val="auto"/>
                <w:sz w:val="24"/>
                <w:highlight w:val="none"/>
                <w:lang w:eastAsia="zh-CN"/>
              </w:rPr>
              <w:t>；</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color w:val="auto"/>
                <w:spacing w:val="10"/>
                <w:sz w:val="24"/>
                <w:szCs w:val="24"/>
                <w:highlight w:val="none"/>
                <w:lang w:val="en-US" w:eastAsia="zh-CN"/>
              </w:rPr>
              <w:t>罐区</w:t>
            </w:r>
            <w:r>
              <w:rPr>
                <w:rFonts w:hint="default" w:ascii="Times New Roman" w:hAnsi="Times New Roman" w:cs="Times New Roman"/>
                <w:color w:val="auto"/>
                <w:sz w:val="24"/>
                <w:highlight w:val="none"/>
              </w:rPr>
              <w:t>地面硬化处理，并按照相关要求设置防渗层，</w:t>
            </w:r>
            <w:r>
              <w:rPr>
                <w:color w:val="auto"/>
                <w:sz w:val="24"/>
                <w:highlight w:val="none"/>
              </w:rPr>
              <w:t>运行期间进行定期巡检，在正常贮存的状态下，不会对厂区内土壤环境产生影响。在非正常工况下，</w:t>
            </w:r>
            <w:r>
              <w:rPr>
                <w:color w:val="auto"/>
                <w:sz w:val="24"/>
                <w:highlight w:val="none"/>
                <w:lang w:val="zh-CN"/>
              </w:rPr>
              <w:t>当</w:t>
            </w:r>
            <w:r>
              <w:rPr>
                <w:rFonts w:hint="default" w:ascii="Times New Roman" w:hAnsi="Times New Roman" w:eastAsia="宋体" w:cs="Times New Roman"/>
                <w:color w:val="auto"/>
                <w:spacing w:val="10"/>
                <w:sz w:val="24"/>
                <w:szCs w:val="24"/>
                <w:highlight w:val="none"/>
              </w:rPr>
              <w:t>三乙醇胺</w:t>
            </w:r>
            <w:r>
              <w:rPr>
                <w:rFonts w:hint="default" w:ascii="Times New Roman" w:hAnsi="Times New Roman" w:eastAsia="宋体" w:cs="Times New Roman"/>
                <w:color w:val="auto"/>
                <w:spacing w:val="10"/>
                <w:sz w:val="24"/>
                <w:szCs w:val="24"/>
                <w:highlight w:val="none"/>
                <w:lang w:val="en-US" w:eastAsia="zh-CN"/>
              </w:rPr>
              <w:t>罐区</w:t>
            </w:r>
            <w:r>
              <w:rPr>
                <w:rFonts w:hint="default" w:ascii="Times New Roman" w:hAnsi="Times New Roman" w:cs="Times New Roman"/>
                <w:color w:val="auto"/>
                <w:sz w:val="24"/>
                <w:highlight w:val="none"/>
              </w:rPr>
              <w:t>地面</w:t>
            </w:r>
            <w:r>
              <w:rPr>
                <w:rFonts w:hint="eastAsia" w:ascii="Times New Roman" w:hAnsi="Times New Roman" w:eastAsia="宋体" w:cs="Times New Roman"/>
                <w:color w:val="auto"/>
                <w:sz w:val="24"/>
                <w:highlight w:val="none"/>
                <w:lang w:val="en-US" w:eastAsia="zh-CN"/>
              </w:rPr>
              <w:t>和</w:t>
            </w:r>
            <w:r>
              <w:rPr>
                <w:color w:val="auto"/>
                <w:sz w:val="24"/>
                <w:highlight w:val="none"/>
                <w:lang w:val="zh-CN"/>
              </w:rPr>
              <w:t>危废暂存库防渗效果不好，或地面防渗层因系统老化、腐蚀等原因不能正常运行或保护效果达不到设计要求时，或出现跑冒滴漏等非正常状况下，将导致</w:t>
            </w:r>
            <w:r>
              <w:rPr>
                <w:rFonts w:hint="eastAsia"/>
                <w:color w:val="auto"/>
                <w:sz w:val="24"/>
                <w:highlight w:val="none"/>
                <w:lang w:val="zh-CN"/>
              </w:rPr>
              <w:t>废机油</w:t>
            </w:r>
            <w:r>
              <w:rPr>
                <w:color w:val="auto"/>
                <w:sz w:val="24"/>
                <w:highlight w:val="none"/>
                <w:lang w:val="zh-CN"/>
              </w:rPr>
              <w:t>泄漏入外环境，</w:t>
            </w:r>
            <w:r>
              <w:rPr>
                <w:color w:val="auto"/>
                <w:sz w:val="24"/>
                <w:highlight w:val="none"/>
              </w:rPr>
              <w:t>导致含有污染物的少量污水通过泄漏点进入包气带，从而污染土壤。</w:t>
            </w:r>
          </w:p>
          <w:p w14:paraId="5BD4B9DF">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w:t>
            </w:r>
            <w:r>
              <w:rPr>
                <w:rFonts w:hint="eastAsia"/>
                <w:color w:val="auto"/>
                <w:sz w:val="24"/>
                <w:highlight w:val="none"/>
              </w:rPr>
              <w:t>3</w:t>
            </w:r>
            <w:r>
              <w:rPr>
                <w:color w:val="auto"/>
                <w:sz w:val="24"/>
                <w:highlight w:val="none"/>
              </w:rPr>
              <w:t xml:space="preserve">）环境风险防范措施及应急要求 </w:t>
            </w:r>
          </w:p>
          <w:p w14:paraId="0AEB9007">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1）运输过程的环境风险防范</w:t>
            </w:r>
          </w:p>
          <w:p w14:paraId="0A01121F">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本项目生产原料采用</w:t>
            </w:r>
            <w:r>
              <w:rPr>
                <w:rFonts w:hint="eastAsia"/>
                <w:color w:val="auto"/>
                <w:sz w:val="24"/>
                <w:highlight w:val="none"/>
                <w:lang w:eastAsia="zh-CN"/>
              </w:rPr>
              <w:t>厢式货车</w:t>
            </w:r>
            <w:r>
              <w:rPr>
                <w:color w:val="auto"/>
                <w:sz w:val="24"/>
                <w:highlight w:val="none"/>
              </w:rPr>
              <w:t>运输，运输过程风险事故发生概率较小，要求在输送环节上尽可能的减少人为的不安全行为，遵守交通规则，最大程度减少交通事故导致的散落或起火，同时输送车辆要配有专门的灭火设施，以降低火灾风险。合理选择行驶时间、路线、停车地点，同时要避开上下班等的交通高峰期，降低运输过程中的交通事故发生的可能。装卸作业由专人负责安全监督。</w:t>
            </w:r>
          </w:p>
          <w:p w14:paraId="6620DDDD">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2）储存过程的环境风险防范</w:t>
            </w:r>
          </w:p>
          <w:p w14:paraId="15EC66BE">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项目在原料储存过程中需采取一系列风险管理措施，具体包括：</w:t>
            </w:r>
          </w:p>
          <w:p w14:paraId="292E3961">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①存储场设置明显的标志；</w:t>
            </w:r>
          </w:p>
          <w:p w14:paraId="6D5BF41C">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②分区存放，按生产计划合理进料；</w:t>
            </w:r>
          </w:p>
          <w:p w14:paraId="7BB0C703">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③对各类火种、火源和有散发火花危险的机械设备、作业活动，以及可燃、易燃物品等实行严格管理，禁止人员带火种进入存储场，对存储场动火实行全过程安全监督制；</w:t>
            </w:r>
          </w:p>
          <w:p w14:paraId="47CFAD35">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④对各类安全设施、消防器材，进行定期检查，并将发现的问题责任到人落实整改；</w:t>
            </w:r>
          </w:p>
          <w:p w14:paraId="0534B27C">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⑤贮存场所，实行安全责任制。</w:t>
            </w:r>
          </w:p>
          <w:p w14:paraId="51AFE58F">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3）其他风险防范措施</w:t>
            </w:r>
          </w:p>
          <w:p w14:paraId="640686B9">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①存储场内不得设置移动照明、配电线路与货垛之间应按规范的要求保持足够的防火间距，不得在堆垛上方架设临时线路，不得设置移动照明和配电板等。对生产区和仓储区及其他需要配置的地方，安装事故应急照明和疏散指示标志。</w:t>
            </w:r>
          </w:p>
          <w:p w14:paraId="696B56FF">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加强消防设施的维护与保养使其保持在良好的性能状态，减少机械伤害的发生。</w:t>
            </w:r>
          </w:p>
          <w:p w14:paraId="55F57523">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③加强安全教育，强化安全意识，具备相应的安全知识，原料区域安全管理人员必须增强安全意识和法制观念，掌握安全卫生基本知识，具有一定的安全管理和决策能力。</w:t>
            </w:r>
          </w:p>
          <w:p w14:paraId="449BAD43">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④要落实消防安全责任制，严格各项规章制度。原料区的各项消防安全规章制度不能光挂在墙上，关键要落到实处，加强违规违章操作人员的管理和查处，要经常进行消防安全教育，实行车辆进出的登记查问制度、火种管理制度、动用明火制度、货物进出仓库的检查制度、货物堆放制度、巡查制度。</w:t>
            </w:r>
          </w:p>
          <w:p w14:paraId="2352AC3F">
            <w:pPr>
              <w:keepNext w:val="0"/>
              <w:keepLines w:val="0"/>
              <w:pageBreakBefore w:val="0"/>
              <w:widowControl/>
              <w:kinsoku/>
              <w:wordWrap w:val="0"/>
              <w:overflowPunct/>
              <w:topLinePunct/>
              <w:autoSpaceDE/>
              <w:autoSpaceDN/>
              <w:bidi w:val="0"/>
              <w:adjustRightInd w:val="0"/>
              <w:snapToGrid w:val="0"/>
              <w:spacing w:line="360" w:lineRule="auto"/>
              <w:ind w:firstLine="526" w:firstLineChars="200"/>
              <w:jc w:val="both"/>
              <w:textAlignment w:val="baseline"/>
              <w:rPr>
                <w:rFonts w:hint="default" w:ascii="Times New Roman" w:hAnsi="Times New Roman" w:eastAsia="宋体" w:cs="Times New Roman"/>
                <w:b/>
                <w:bCs/>
                <w:snapToGrid w:val="0"/>
                <w:color w:val="auto"/>
                <w:spacing w:val="11"/>
                <w:kern w:val="0"/>
                <w:sz w:val="24"/>
                <w:szCs w:val="24"/>
                <w:highlight w:val="none"/>
                <w:lang w:val="en-US" w:eastAsia="zh-CN" w:bidi="ar-SA"/>
              </w:rPr>
            </w:pPr>
            <w:r>
              <w:rPr>
                <w:rFonts w:hint="eastAsia" w:ascii="Times New Roman" w:hAnsi="Times New Roman" w:eastAsia="宋体" w:cs="Times New Roman"/>
                <w:b/>
                <w:bCs/>
                <w:snapToGrid w:val="0"/>
                <w:color w:val="auto"/>
                <w:spacing w:val="11"/>
                <w:kern w:val="0"/>
                <w:sz w:val="24"/>
                <w:szCs w:val="24"/>
                <w:highlight w:val="none"/>
                <w:lang w:val="en-US" w:eastAsia="zh-CN" w:bidi="ar-SA"/>
              </w:rPr>
              <w:t>8.3应急预案</w:t>
            </w:r>
          </w:p>
          <w:p w14:paraId="35A6BC9D">
            <w:pPr>
              <w:keepNext w:val="0"/>
              <w:keepLines w:val="0"/>
              <w:pageBreakBefore w:val="0"/>
              <w:widowControl/>
              <w:kinsoku/>
              <w:wordWrap w:val="0"/>
              <w:overflowPunct/>
              <w:topLinePunct/>
              <w:autoSpaceDE/>
              <w:autoSpaceDN/>
              <w:bidi w:val="0"/>
              <w:adjustRightInd w:val="0"/>
              <w:snapToGrid w:val="0"/>
              <w:spacing w:line="360" w:lineRule="auto"/>
              <w:ind w:firstLine="480" w:firstLineChars="200"/>
              <w:jc w:val="both"/>
              <w:textAlignment w:val="baseline"/>
              <w:rPr>
                <w:color w:val="auto"/>
                <w:sz w:val="24"/>
                <w:highlight w:val="none"/>
              </w:rPr>
            </w:pPr>
            <w:r>
              <w:rPr>
                <w:color w:val="auto"/>
                <w:sz w:val="24"/>
                <w:highlight w:val="none"/>
              </w:rPr>
              <w:t>建设单位应按照《企业事业单位突发环境事件应急预案备案管理办法（试行）》（环发〔2015〕4号）的要求建立环境风险事故应急预案，应急预案所要求的基本内容可参照表4-</w:t>
            </w:r>
            <w:r>
              <w:rPr>
                <w:rFonts w:hint="eastAsia"/>
                <w:color w:val="auto"/>
                <w:sz w:val="24"/>
                <w:highlight w:val="none"/>
              </w:rPr>
              <w:t>1</w:t>
            </w:r>
            <w:r>
              <w:rPr>
                <w:rFonts w:hint="eastAsia" w:eastAsia="宋体"/>
                <w:color w:val="auto"/>
                <w:sz w:val="24"/>
                <w:highlight w:val="none"/>
                <w:lang w:val="en-US" w:eastAsia="zh-CN"/>
              </w:rPr>
              <w:t>3</w:t>
            </w:r>
            <w:r>
              <w:rPr>
                <w:color w:val="auto"/>
                <w:sz w:val="24"/>
                <w:highlight w:val="none"/>
              </w:rPr>
              <w:t>中的相关内容</w:t>
            </w:r>
            <w:r>
              <w:rPr>
                <w:rFonts w:hint="eastAsia"/>
                <w:color w:val="auto"/>
                <w:sz w:val="24"/>
                <w:highlight w:val="none"/>
              </w:rPr>
              <w:t>。</w:t>
            </w:r>
          </w:p>
          <w:p w14:paraId="589E90B3">
            <w:pPr>
              <w:pStyle w:val="22"/>
              <w:spacing w:line="240" w:lineRule="auto"/>
              <w:ind w:left="0" w:leftChars="0" w:firstLine="0" w:firstLineChars="0"/>
              <w:jc w:val="center"/>
              <w:rPr>
                <w:rFonts w:hint="default"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表4</w:t>
            </w:r>
            <w:r>
              <w:rPr>
                <w:rFonts w:hint="default" w:ascii="Arial" w:hAnsi="Arial" w:eastAsia="Arial" w:cs="Arial"/>
                <w:snapToGrid w:val="0"/>
                <w:color w:val="auto"/>
                <w:kern w:val="0"/>
                <w:sz w:val="21"/>
                <w:szCs w:val="21"/>
                <w:highlight w:val="none"/>
                <w:lang w:val="en-US" w:eastAsia="en-US" w:bidi="ar-SA"/>
              </w:rPr>
              <w:t>-</w:t>
            </w:r>
            <w:r>
              <w:rPr>
                <w:rFonts w:hint="eastAsia" w:ascii="Arial" w:hAnsi="Arial" w:eastAsia="Arial" w:cs="Arial"/>
                <w:snapToGrid w:val="0"/>
                <w:color w:val="auto"/>
                <w:kern w:val="0"/>
                <w:sz w:val="21"/>
                <w:szCs w:val="21"/>
                <w:highlight w:val="none"/>
                <w:lang w:val="en-US" w:eastAsia="en-US" w:bidi="ar-SA"/>
              </w:rPr>
              <w:t>1</w:t>
            </w:r>
            <w:r>
              <w:rPr>
                <w:rFonts w:hint="eastAsia" w:ascii="Arial" w:hAnsi="Arial" w:eastAsia="Arial" w:cs="Arial"/>
                <w:snapToGrid w:val="0"/>
                <w:color w:val="auto"/>
                <w:kern w:val="0"/>
                <w:sz w:val="21"/>
                <w:szCs w:val="21"/>
                <w:highlight w:val="none"/>
                <w:lang w:val="en-US" w:eastAsia="zh-CN" w:bidi="ar-SA"/>
              </w:rPr>
              <w:t>3</w:t>
            </w:r>
            <w:r>
              <w:rPr>
                <w:rFonts w:hint="default" w:ascii="Arial" w:hAnsi="Arial" w:eastAsia="Arial" w:cs="Arial"/>
                <w:snapToGrid w:val="0"/>
                <w:color w:val="auto"/>
                <w:kern w:val="0"/>
                <w:sz w:val="21"/>
                <w:szCs w:val="21"/>
                <w:highlight w:val="none"/>
                <w:lang w:val="en-US" w:eastAsia="en-US" w:bidi="ar-SA"/>
              </w:rPr>
              <w:t xml:space="preserve">  </w:t>
            </w:r>
            <w:r>
              <w:rPr>
                <w:rFonts w:hint="eastAsia" w:ascii="Arial" w:hAnsi="Arial" w:eastAsia="Arial" w:cs="Arial"/>
                <w:snapToGrid w:val="0"/>
                <w:color w:val="auto"/>
                <w:kern w:val="0"/>
                <w:sz w:val="21"/>
                <w:szCs w:val="21"/>
                <w:highlight w:val="none"/>
                <w:lang w:val="en-US" w:eastAsia="en-US" w:bidi="ar-SA"/>
              </w:rPr>
              <w:t>本项目环境风险应急预案内容一览表</w:t>
            </w:r>
          </w:p>
          <w:tbl>
            <w:tblPr>
              <w:tblStyle w:val="18"/>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133"/>
              <w:gridCol w:w="6164"/>
            </w:tblGrid>
            <w:tr w14:paraId="21313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6" w:type="pct"/>
                  <w:vAlign w:val="center"/>
                </w:tcPr>
                <w:p w14:paraId="56220FAC">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序号</w:t>
                  </w:r>
                </w:p>
              </w:tc>
              <w:tc>
                <w:tcPr>
                  <w:tcW w:w="704" w:type="pct"/>
                  <w:vAlign w:val="center"/>
                </w:tcPr>
                <w:p w14:paraId="73C021DB">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项目</w:t>
                  </w:r>
                </w:p>
              </w:tc>
              <w:tc>
                <w:tcPr>
                  <w:tcW w:w="3829" w:type="pct"/>
                  <w:vAlign w:val="center"/>
                </w:tcPr>
                <w:p w14:paraId="2CDFCFBD">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主要内容</w:t>
                  </w:r>
                </w:p>
              </w:tc>
            </w:tr>
            <w:tr w14:paraId="7D23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466" w:type="pct"/>
                  <w:tcBorders>
                    <w:tl2br w:val="nil"/>
                    <w:tr2bl w:val="nil"/>
                  </w:tcBorders>
                  <w:vAlign w:val="center"/>
                </w:tcPr>
                <w:p w14:paraId="79443B8E">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1</w:t>
                  </w:r>
                </w:p>
              </w:tc>
              <w:tc>
                <w:tcPr>
                  <w:tcW w:w="704" w:type="pct"/>
                  <w:tcBorders>
                    <w:tl2br w:val="nil"/>
                    <w:tr2bl w:val="nil"/>
                  </w:tcBorders>
                  <w:vAlign w:val="center"/>
                </w:tcPr>
                <w:p w14:paraId="49ADB00B">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应急计划区</w:t>
                  </w:r>
                </w:p>
              </w:tc>
              <w:tc>
                <w:tcPr>
                  <w:tcW w:w="3829" w:type="pct"/>
                  <w:tcBorders>
                    <w:tl2br w:val="nil"/>
                    <w:tr2bl w:val="nil"/>
                  </w:tcBorders>
                  <w:vAlign w:val="center"/>
                </w:tcPr>
                <w:p w14:paraId="274780C5">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主要危险源：生产车间、贮存区、相关环保设施等；环境保护目标</w:t>
                  </w:r>
                </w:p>
              </w:tc>
            </w:tr>
            <w:tr w14:paraId="62A1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66" w:type="pct"/>
                  <w:tcBorders>
                    <w:tl2br w:val="nil"/>
                    <w:tr2bl w:val="nil"/>
                  </w:tcBorders>
                  <w:vAlign w:val="center"/>
                </w:tcPr>
                <w:p w14:paraId="634FD52F">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2</w:t>
                  </w:r>
                </w:p>
              </w:tc>
              <w:tc>
                <w:tcPr>
                  <w:tcW w:w="704" w:type="pct"/>
                  <w:tcBorders>
                    <w:tl2br w:val="nil"/>
                    <w:tr2bl w:val="nil"/>
                  </w:tcBorders>
                  <w:vAlign w:val="center"/>
                </w:tcPr>
                <w:p w14:paraId="08B268AF">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应急组织结构</w:t>
                  </w:r>
                </w:p>
              </w:tc>
              <w:tc>
                <w:tcPr>
                  <w:tcW w:w="3829" w:type="pct"/>
                  <w:tcBorders>
                    <w:tl2br w:val="nil"/>
                    <w:tr2bl w:val="nil"/>
                  </w:tcBorders>
                  <w:vAlign w:val="center"/>
                </w:tcPr>
                <w:p w14:paraId="3F66B7AC">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公司设置应急组织机构，经理为应急计划、协调第一人，应急人员必须为培训上岗熟练工；区域应急组织结构由当地政府、相关行业专家、卫生安全相关单位组成，并由当地政府进行统一调度</w:t>
                  </w:r>
                </w:p>
              </w:tc>
            </w:tr>
            <w:tr w14:paraId="3E384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466" w:type="pct"/>
                  <w:tcBorders>
                    <w:tl2br w:val="nil"/>
                    <w:tr2bl w:val="nil"/>
                  </w:tcBorders>
                  <w:vAlign w:val="center"/>
                </w:tcPr>
                <w:p w14:paraId="5A76C741">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3</w:t>
                  </w:r>
                </w:p>
              </w:tc>
              <w:tc>
                <w:tcPr>
                  <w:tcW w:w="704" w:type="pct"/>
                  <w:tcBorders>
                    <w:tl2br w:val="nil"/>
                    <w:tr2bl w:val="nil"/>
                  </w:tcBorders>
                  <w:vAlign w:val="center"/>
                </w:tcPr>
                <w:p w14:paraId="19C6E3F4">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预案分级响应条件</w:t>
                  </w:r>
                </w:p>
              </w:tc>
              <w:tc>
                <w:tcPr>
                  <w:tcW w:w="3829" w:type="pct"/>
                  <w:tcBorders>
                    <w:tl2br w:val="nil"/>
                    <w:tr2bl w:val="nil"/>
                  </w:tcBorders>
                  <w:vAlign w:val="center"/>
                </w:tcPr>
                <w:p w14:paraId="7E23CB39">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根据事故的严重程度制定相应级别的应急预案，以及适合相应情况的处理措施。</w:t>
                  </w:r>
                </w:p>
              </w:tc>
            </w:tr>
            <w:tr w14:paraId="7F6CB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66" w:type="pct"/>
                  <w:tcBorders>
                    <w:tl2br w:val="nil"/>
                    <w:tr2bl w:val="nil"/>
                  </w:tcBorders>
                  <w:vAlign w:val="center"/>
                </w:tcPr>
                <w:p w14:paraId="0F8C8C00">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4</w:t>
                  </w:r>
                </w:p>
              </w:tc>
              <w:tc>
                <w:tcPr>
                  <w:tcW w:w="704" w:type="pct"/>
                  <w:tcBorders>
                    <w:tl2br w:val="nil"/>
                    <w:tr2bl w:val="nil"/>
                  </w:tcBorders>
                  <w:vAlign w:val="center"/>
                </w:tcPr>
                <w:p w14:paraId="1DE38EA7">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报警、通讯联络方式</w:t>
                  </w:r>
                </w:p>
              </w:tc>
              <w:tc>
                <w:tcPr>
                  <w:tcW w:w="3829" w:type="pct"/>
                  <w:tcBorders>
                    <w:tl2br w:val="nil"/>
                    <w:tr2bl w:val="nil"/>
                  </w:tcBorders>
                  <w:vAlign w:val="center"/>
                </w:tcPr>
                <w:p w14:paraId="3DE46E6A">
                  <w:pPr>
                    <w:pStyle w:val="50"/>
                    <w:keepNext w:val="0"/>
                    <w:keepLines w:val="0"/>
                    <w:pageBreakBefore w:val="0"/>
                    <w:widowControl/>
                    <w:kinsoku/>
                    <w:wordWrap w:val="0"/>
                    <w:overflowPunct/>
                    <w:topLinePunct/>
                    <w:autoSpaceDE/>
                    <w:autoSpaceDN/>
                    <w:bidi w:val="0"/>
                    <w:adjustRightInd w:val="0"/>
                    <w:snapToGrid w:val="0"/>
                    <w:spacing w:line="240" w:lineRule="auto"/>
                    <w:jc w:val="center"/>
                    <w:textAlignment w:val="baseline"/>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逐一细化应急状态下各主要负责部门的报警通信方式、地点、电话号码以及相关配套的交通保障、管制、消防联络方法，涉及跨区域的还应与相关区域环境保护部门和上级环保部门保持联系，及时通报事故处理情况，以获得区域性支援。</w:t>
                  </w:r>
                </w:p>
              </w:tc>
            </w:tr>
            <w:tr w14:paraId="62635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6" w:type="pct"/>
                  <w:tcBorders>
                    <w:tl2br w:val="nil"/>
                    <w:tr2bl w:val="nil"/>
                  </w:tcBorders>
                  <w:vAlign w:val="center"/>
                </w:tcPr>
                <w:p w14:paraId="08FCE6C2">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5</w:t>
                  </w:r>
                </w:p>
              </w:tc>
              <w:tc>
                <w:tcPr>
                  <w:tcW w:w="704" w:type="pct"/>
                  <w:tcBorders>
                    <w:tl2br w:val="nil"/>
                    <w:tr2bl w:val="nil"/>
                  </w:tcBorders>
                  <w:vAlign w:val="center"/>
                </w:tcPr>
                <w:p w14:paraId="692D4650">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应急环境监测</w:t>
                  </w:r>
                </w:p>
              </w:tc>
              <w:tc>
                <w:tcPr>
                  <w:tcW w:w="3829" w:type="pct"/>
                  <w:tcBorders>
                    <w:tl2br w:val="nil"/>
                    <w:tr2bl w:val="nil"/>
                  </w:tcBorders>
                  <w:vAlign w:val="center"/>
                </w:tcPr>
                <w:p w14:paraId="08EF60DA">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组织专业队伍负责对事故现场进行侦察监测，对事故性质、参数与后果进行评估，专为指挥部门提供决策依据。</w:t>
                  </w:r>
                </w:p>
              </w:tc>
            </w:tr>
            <w:tr w14:paraId="5279D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jc w:val="center"/>
              </w:trPr>
              <w:tc>
                <w:tcPr>
                  <w:tcW w:w="466" w:type="pct"/>
                  <w:tcBorders>
                    <w:tl2br w:val="nil"/>
                    <w:tr2bl w:val="nil"/>
                  </w:tcBorders>
                  <w:vAlign w:val="center"/>
                </w:tcPr>
                <w:p w14:paraId="17817A77">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6</w:t>
                  </w:r>
                </w:p>
              </w:tc>
              <w:tc>
                <w:tcPr>
                  <w:tcW w:w="704" w:type="pct"/>
                  <w:tcBorders>
                    <w:tl2br w:val="nil"/>
                    <w:tr2bl w:val="nil"/>
                  </w:tcBorders>
                  <w:vAlign w:val="center"/>
                </w:tcPr>
                <w:p w14:paraId="5D43E7BE">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抢险、救援控制措施</w:t>
                  </w:r>
                </w:p>
              </w:tc>
              <w:tc>
                <w:tcPr>
                  <w:tcW w:w="3829" w:type="pct"/>
                  <w:tcBorders>
                    <w:tl2br w:val="nil"/>
                    <w:tr2bl w:val="nil"/>
                  </w:tcBorders>
                  <w:vAlign w:val="center"/>
                </w:tcPr>
                <w:p w14:paraId="111E4CED">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严格规定事故多发区、事故现场、邻近区域、控制防火区域设置控制和清除污染措施及相应设备的数量、使用方法、使用人员。</w:t>
                  </w:r>
                </w:p>
              </w:tc>
            </w:tr>
            <w:tr w14:paraId="4D268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466" w:type="pct"/>
                  <w:tcBorders>
                    <w:tl2br w:val="nil"/>
                    <w:tr2bl w:val="nil"/>
                  </w:tcBorders>
                  <w:vAlign w:val="center"/>
                </w:tcPr>
                <w:p w14:paraId="286B6C6B">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7</w:t>
                  </w:r>
                </w:p>
              </w:tc>
              <w:tc>
                <w:tcPr>
                  <w:tcW w:w="704" w:type="pct"/>
                  <w:tcBorders>
                    <w:tl2br w:val="nil"/>
                    <w:tr2bl w:val="nil"/>
                  </w:tcBorders>
                  <w:vAlign w:val="center"/>
                </w:tcPr>
                <w:p w14:paraId="5B51D44A">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人员紧急撤离、疏散计划</w:t>
                  </w:r>
                </w:p>
              </w:tc>
              <w:tc>
                <w:tcPr>
                  <w:tcW w:w="3829" w:type="pct"/>
                  <w:tcBorders>
                    <w:tl2br w:val="nil"/>
                    <w:tr2bl w:val="nil"/>
                  </w:tcBorders>
                  <w:vAlign w:val="center"/>
                </w:tcPr>
                <w:p w14:paraId="6D4A0ECB">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事故现场、工厂邻近区、受事故影响的区域人员及公众对有毒有害物质应急剂量控制规定，制定紧急撤离组织计划和救护，医疗救护与公众健康。</w:t>
                  </w:r>
                </w:p>
              </w:tc>
            </w:tr>
            <w:tr w14:paraId="1AE4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466" w:type="pct"/>
                  <w:tcBorders>
                    <w:tl2br w:val="nil"/>
                    <w:tr2bl w:val="nil"/>
                  </w:tcBorders>
                  <w:vAlign w:val="center"/>
                </w:tcPr>
                <w:p w14:paraId="5951393A">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8</w:t>
                  </w:r>
                </w:p>
              </w:tc>
              <w:tc>
                <w:tcPr>
                  <w:tcW w:w="704" w:type="pct"/>
                  <w:tcBorders>
                    <w:tl2br w:val="nil"/>
                    <w:tr2bl w:val="nil"/>
                  </w:tcBorders>
                  <w:vAlign w:val="center"/>
                </w:tcPr>
                <w:p w14:paraId="1C0D5185">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事故应急救援关闭程序</w:t>
                  </w:r>
                </w:p>
              </w:tc>
              <w:tc>
                <w:tcPr>
                  <w:tcW w:w="3829" w:type="pct"/>
                  <w:tcBorders>
                    <w:tl2br w:val="nil"/>
                    <w:tr2bl w:val="nil"/>
                  </w:tcBorders>
                  <w:vAlign w:val="center"/>
                </w:tcPr>
                <w:p w14:paraId="45FD20ED">
                  <w:pPr>
                    <w:pStyle w:val="50"/>
                    <w:keepNext w:val="0"/>
                    <w:keepLines w:val="0"/>
                    <w:pageBreakBefore w:val="0"/>
                    <w:widowControl/>
                    <w:kinsoku/>
                    <w:wordWrap w:val="0"/>
                    <w:overflowPunct/>
                    <w:topLinePunct/>
                    <w:autoSpaceDE/>
                    <w:autoSpaceDN/>
                    <w:bidi w:val="0"/>
                    <w:adjustRightInd w:val="0"/>
                    <w:snapToGrid w:val="0"/>
                    <w:spacing w:line="240" w:lineRule="auto"/>
                    <w:jc w:val="center"/>
                    <w:textAlignment w:val="baseline"/>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制定相关应急状态终止程序，事故现场、受影响范围内的善后处理、恢复措施，邻近区域解除事故警戒及善后恢复措施。</w:t>
                  </w:r>
                </w:p>
              </w:tc>
            </w:tr>
            <w:tr w14:paraId="0924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66" w:type="pct"/>
                  <w:tcBorders>
                    <w:tl2br w:val="nil"/>
                    <w:tr2bl w:val="nil"/>
                  </w:tcBorders>
                  <w:vAlign w:val="center"/>
                </w:tcPr>
                <w:p w14:paraId="5C7622CD">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9</w:t>
                  </w:r>
                </w:p>
              </w:tc>
              <w:tc>
                <w:tcPr>
                  <w:tcW w:w="704" w:type="pct"/>
                  <w:tcBorders>
                    <w:tl2br w:val="nil"/>
                    <w:tr2bl w:val="nil"/>
                  </w:tcBorders>
                  <w:vAlign w:val="center"/>
                </w:tcPr>
                <w:p w14:paraId="3B21EEA3">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事故恢复措施</w:t>
                  </w:r>
                </w:p>
              </w:tc>
              <w:tc>
                <w:tcPr>
                  <w:tcW w:w="3829" w:type="pct"/>
                  <w:tcBorders>
                    <w:tl2br w:val="nil"/>
                    <w:tr2bl w:val="nil"/>
                  </w:tcBorders>
                  <w:vAlign w:val="center"/>
                </w:tcPr>
                <w:p w14:paraId="1FCCA6BA">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制定有关的环境恢复措施，组织专业人员对事故后的环境变化进行监测，对事故应急措施的环境可行性进行后影响评价。</w:t>
                  </w:r>
                </w:p>
              </w:tc>
            </w:tr>
            <w:tr w14:paraId="6F37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466" w:type="pct"/>
                  <w:tcBorders>
                    <w:tl2br w:val="nil"/>
                    <w:tr2bl w:val="nil"/>
                  </w:tcBorders>
                  <w:vAlign w:val="center"/>
                </w:tcPr>
                <w:p w14:paraId="6AA30F72">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10</w:t>
                  </w:r>
                </w:p>
              </w:tc>
              <w:tc>
                <w:tcPr>
                  <w:tcW w:w="704" w:type="pct"/>
                  <w:tcBorders>
                    <w:tl2br w:val="nil"/>
                    <w:tr2bl w:val="nil"/>
                  </w:tcBorders>
                  <w:vAlign w:val="center"/>
                </w:tcPr>
                <w:p w14:paraId="0C948074">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应急培训计划</w:t>
                  </w:r>
                </w:p>
              </w:tc>
              <w:tc>
                <w:tcPr>
                  <w:tcW w:w="3829" w:type="pct"/>
                  <w:tcBorders>
                    <w:tl2br w:val="nil"/>
                    <w:tr2bl w:val="nil"/>
                  </w:tcBorders>
                  <w:vAlign w:val="center"/>
                </w:tcPr>
                <w:p w14:paraId="3810952B">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定期安排有关人员进行培训与演练。</w:t>
                  </w:r>
                </w:p>
              </w:tc>
            </w:tr>
            <w:tr w14:paraId="7DDB5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466" w:type="pct"/>
                  <w:tcBorders>
                    <w:tl2br w:val="nil"/>
                    <w:tr2bl w:val="nil"/>
                  </w:tcBorders>
                  <w:vAlign w:val="center"/>
                </w:tcPr>
                <w:p w14:paraId="3A8B3096">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11</w:t>
                  </w:r>
                </w:p>
              </w:tc>
              <w:tc>
                <w:tcPr>
                  <w:tcW w:w="704" w:type="pct"/>
                  <w:tcBorders>
                    <w:tl2br w:val="nil"/>
                    <w:tr2bl w:val="nil"/>
                  </w:tcBorders>
                  <w:vAlign w:val="center"/>
                </w:tcPr>
                <w:p w14:paraId="08D3B68C">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公众教育和信息</w:t>
                  </w:r>
                </w:p>
              </w:tc>
              <w:tc>
                <w:tcPr>
                  <w:tcW w:w="3829" w:type="pct"/>
                  <w:tcBorders>
                    <w:tl2br w:val="nil"/>
                    <w:tr2bl w:val="nil"/>
                  </w:tcBorders>
                  <w:vAlign w:val="center"/>
                </w:tcPr>
                <w:p w14:paraId="3D0EDA59">
                  <w:pPr>
                    <w:pStyle w:val="50"/>
                    <w:spacing w:line="240" w:lineRule="auto"/>
                    <w:jc w:val="center"/>
                    <w:rPr>
                      <w:rFonts w:hint="eastAsia" w:ascii="Arial" w:hAnsi="Arial" w:eastAsia="Arial" w:cs="Arial"/>
                      <w:snapToGrid w:val="0"/>
                      <w:color w:val="auto"/>
                      <w:kern w:val="0"/>
                      <w:sz w:val="21"/>
                      <w:szCs w:val="21"/>
                      <w:highlight w:val="none"/>
                      <w:lang w:val="en-US" w:eastAsia="en-US" w:bidi="ar-SA"/>
                    </w:rPr>
                  </w:pPr>
                  <w:r>
                    <w:rPr>
                      <w:rFonts w:hint="eastAsia" w:ascii="Arial" w:hAnsi="Arial" w:eastAsia="Arial" w:cs="Arial"/>
                      <w:snapToGrid w:val="0"/>
                      <w:color w:val="auto"/>
                      <w:kern w:val="0"/>
                      <w:sz w:val="21"/>
                      <w:szCs w:val="21"/>
                      <w:highlight w:val="none"/>
                      <w:lang w:val="en-US" w:eastAsia="en-US" w:bidi="ar-SA"/>
                    </w:rPr>
                    <w:t>对工厂邻近地区开展公众教育、培训和发布有关信息。</w:t>
                  </w:r>
                </w:p>
              </w:tc>
            </w:tr>
          </w:tbl>
          <w:p w14:paraId="62E7D3F3">
            <w:pPr>
              <w:pStyle w:val="15"/>
              <w:spacing w:after="0" w:line="360" w:lineRule="auto"/>
              <w:ind w:firstLine="482" w:firstLineChars="200"/>
              <w:rPr>
                <w:b/>
                <w:bCs/>
                <w:color w:val="auto"/>
                <w:sz w:val="24"/>
                <w:highlight w:val="none"/>
              </w:rPr>
            </w:pPr>
            <w:r>
              <w:rPr>
                <w:rFonts w:hint="eastAsia" w:eastAsia="宋体"/>
                <w:b/>
                <w:bCs/>
                <w:color w:val="auto"/>
                <w:sz w:val="24"/>
                <w:highlight w:val="none"/>
                <w:lang w:val="en-US" w:eastAsia="zh-CN"/>
              </w:rPr>
              <w:t>8</w:t>
            </w:r>
            <w:r>
              <w:rPr>
                <w:rFonts w:hint="eastAsia"/>
                <w:b/>
                <w:bCs/>
                <w:color w:val="auto"/>
                <w:sz w:val="24"/>
                <w:highlight w:val="none"/>
              </w:rPr>
              <w:t>.4环境风险影响分析结论</w:t>
            </w:r>
          </w:p>
          <w:p w14:paraId="72BAFF32">
            <w:pPr>
              <w:autoSpaceDE w:val="0"/>
              <w:autoSpaceDN w:val="0"/>
              <w:adjustRightInd w:val="0"/>
              <w:snapToGrid w:val="0"/>
              <w:spacing w:line="360" w:lineRule="auto"/>
              <w:ind w:firstLine="480" w:firstLineChars="200"/>
              <w:rPr>
                <w:color w:val="auto"/>
                <w:kern w:val="0"/>
                <w:sz w:val="24"/>
                <w:highlight w:val="none"/>
              </w:rPr>
            </w:pPr>
            <w:r>
              <w:rPr>
                <w:color w:val="auto"/>
                <w:kern w:val="0"/>
                <w:sz w:val="24"/>
                <w:highlight w:val="none"/>
              </w:rPr>
              <w:t>本项目</w:t>
            </w:r>
            <w:r>
              <w:rPr>
                <w:rFonts w:hint="eastAsia"/>
                <w:color w:val="auto"/>
                <w:kern w:val="0"/>
                <w:sz w:val="24"/>
                <w:highlight w:val="none"/>
              </w:rPr>
              <w:t>未构成</w:t>
            </w:r>
            <w:r>
              <w:rPr>
                <w:color w:val="auto"/>
                <w:kern w:val="0"/>
                <w:sz w:val="24"/>
                <w:highlight w:val="none"/>
              </w:rPr>
              <w:t>重大危险源，在经过安全防范措施后能够基本杜绝风险事故发生，经认真贯彻预案中的应急措施，可将风险降至</w:t>
            </w:r>
            <w:r>
              <w:rPr>
                <w:rFonts w:hint="eastAsia"/>
                <w:color w:val="auto"/>
                <w:kern w:val="0"/>
                <w:sz w:val="24"/>
                <w:highlight w:val="none"/>
              </w:rPr>
              <w:t>可</w:t>
            </w:r>
            <w:r>
              <w:rPr>
                <w:color w:val="auto"/>
                <w:kern w:val="0"/>
                <w:sz w:val="24"/>
                <w:highlight w:val="none"/>
              </w:rPr>
              <w:t>接受水平内，故本项目的环境风险是可接受的。</w:t>
            </w:r>
          </w:p>
          <w:p w14:paraId="5CE29482">
            <w:pPr>
              <w:pStyle w:val="25"/>
              <w:pageBreakBefore w:val="0"/>
              <w:kinsoku/>
              <w:wordWrap w:val="0"/>
              <w:overflowPunct/>
              <w:topLinePunct/>
              <w:autoSpaceDE/>
              <w:autoSpaceDN/>
              <w:bidi w:val="0"/>
              <w:spacing w:line="240" w:lineRule="auto"/>
              <w:jc w:val="center"/>
              <w:rPr>
                <w:rFonts w:hint="default" w:ascii="Times New Roman" w:hAnsi="Times New Roman" w:cs="Times New Roman" w:eastAsiaTheme="minorEastAsia"/>
                <w:b/>
                <w:bCs/>
                <w:color w:val="auto"/>
                <w:spacing w:val="11"/>
                <w:sz w:val="21"/>
                <w:szCs w:val="21"/>
                <w:highlight w:val="none"/>
                <w:lang w:val="en-US" w:eastAsia="zh-CN"/>
              </w:rPr>
            </w:pPr>
            <w:r>
              <w:rPr>
                <w:rFonts w:hint="default" w:ascii="Times New Roman" w:hAnsi="Times New Roman" w:cs="Times New Roman" w:eastAsiaTheme="minorEastAsia"/>
                <w:b/>
                <w:bCs/>
                <w:color w:val="auto"/>
                <w:spacing w:val="11"/>
                <w:sz w:val="21"/>
                <w:szCs w:val="21"/>
                <w:highlight w:val="none"/>
                <w:lang w:val="en-US" w:eastAsia="zh-CN"/>
              </w:rPr>
              <w:t>表4-1</w:t>
            </w:r>
            <w:r>
              <w:rPr>
                <w:rFonts w:hint="eastAsia" w:ascii="Times New Roman" w:hAnsi="Times New Roman" w:cs="Times New Roman" w:eastAsiaTheme="minorEastAsia"/>
                <w:b/>
                <w:bCs/>
                <w:color w:val="auto"/>
                <w:spacing w:val="11"/>
                <w:sz w:val="21"/>
                <w:szCs w:val="21"/>
                <w:highlight w:val="none"/>
                <w:lang w:val="en-US" w:eastAsia="zh-CN"/>
              </w:rPr>
              <w:t>4</w:t>
            </w:r>
            <w:r>
              <w:rPr>
                <w:rFonts w:hint="default" w:ascii="Times New Roman" w:hAnsi="Times New Roman" w:cs="Times New Roman" w:eastAsiaTheme="minorEastAsia"/>
                <w:b/>
                <w:bCs/>
                <w:color w:val="auto"/>
                <w:spacing w:val="11"/>
                <w:sz w:val="21"/>
                <w:szCs w:val="21"/>
                <w:highlight w:val="none"/>
                <w:lang w:val="en-US" w:eastAsia="zh-CN"/>
              </w:rPr>
              <w:t>建设项目环境风险简单分析内容表</w:t>
            </w:r>
          </w:p>
          <w:tbl>
            <w:tblPr>
              <w:tblStyle w:val="24"/>
              <w:tblW w:w="8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55"/>
              <w:gridCol w:w="5180"/>
            </w:tblGrid>
            <w:tr w14:paraId="44111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jc w:val="center"/>
              </w:trPr>
              <w:tc>
                <w:tcPr>
                  <w:tcW w:w="2855" w:type="dxa"/>
                  <w:vAlign w:val="center"/>
                </w:tcPr>
                <w:p w14:paraId="6A78FCE2">
                  <w:pPr>
                    <w:pStyle w:val="25"/>
                    <w:pageBreakBefore w:val="0"/>
                    <w:kinsoku/>
                    <w:wordWrap w:val="0"/>
                    <w:overflowPunct/>
                    <w:topLinePunct/>
                    <w:autoSpaceDE/>
                    <w:autoSpaceDN/>
                    <w:bidi w:val="0"/>
                    <w:spacing w:line="240" w:lineRule="auto"/>
                    <w:jc w:val="center"/>
                    <w:rPr>
                      <w:rFonts w:hint="default" w:ascii="Times New Roman" w:hAnsi="Times New Roman" w:cs="Times New Roman" w:eastAsiaTheme="minorEastAsia"/>
                      <w:color w:val="auto"/>
                      <w:spacing w:val="11"/>
                      <w:sz w:val="21"/>
                      <w:szCs w:val="21"/>
                      <w:highlight w:val="none"/>
                      <w:lang w:val="en-US" w:eastAsia="zh-CN"/>
                    </w:rPr>
                  </w:pPr>
                  <w:r>
                    <w:rPr>
                      <w:rFonts w:hint="default" w:ascii="Times New Roman" w:hAnsi="Times New Roman" w:cs="Times New Roman" w:eastAsiaTheme="minorEastAsia"/>
                      <w:color w:val="auto"/>
                      <w:spacing w:val="11"/>
                      <w:sz w:val="21"/>
                      <w:szCs w:val="21"/>
                      <w:highlight w:val="none"/>
                      <w:lang w:val="en-US" w:eastAsia="zh-CN"/>
                    </w:rPr>
                    <w:t>建设地点</w:t>
                  </w:r>
                </w:p>
              </w:tc>
              <w:tc>
                <w:tcPr>
                  <w:tcW w:w="5180" w:type="dxa"/>
                  <w:vAlign w:val="center"/>
                </w:tcPr>
                <w:p w14:paraId="670C037C">
                  <w:pPr>
                    <w:pStyle w:val="25"/>
                    <w:pageBreakBefore w:val="0"/>
                    <w:kinsoku/>
                    <w:wordWrap w:val="0"/>
                    <w:overflowPunct/>
                    <w:topLinePunct/>
                    <w:autoSpaceDE/>
                    <w:autoSpaceDN/>
                    <w:bidi w:val="0"/>
                    <w:spacing w:line="240" w:lineRule="auto"/>
                    <w:jc w:val="center"/>
                    <w:rPr>
                      <w:rFonts w:hint="default" w:ascii="Times New Roman" w:hAnsi="Times New Roman" w:cs="Times New Roman" w:eastAsiaTheme="minorEastAsia"/>
                      <w:color w:val="auto"/>
                      <w:spacing w:val="11"/>
                      <w:sz w:val="21"/>
                      <w:szCs w:val="21"/>
                      <w:highlight w:val="none"/>
                      <w:lang w:val="en-US" w:eastAsia="zh-CN"/>
                    </w:rPr>
                  </w:pPr>
                  <w:r>
                    <w:rPr>
                      <w:rFonts w:hint="default" w:ascii="Times New Roman" w:hAnsi="Times New Roman" w:cs="Times New Roman" w:eastAsiaTheme="minorEastAsia"/>
                      <w:color w:val="auto"/>
                      <w:spacing w:val="6"/>
                      <w:sz w:val="21"/>
                      <w:szCs w:val="21"/>
                      <w:highlight w:val="none"/>
                    </w:rPr>
                    <w:t>昌吉回族自治州玛纳斯县</w:t>
                  </w:r>
                  <w:r>
                    <w:rPr>
                      <w:rFonts w:hint="default" w:ascii="Times New Roman" w:hAnsi="Times New Roman" w:cs="Times New Roman" w:eastAsiaTheme="minorEastAsia"/>
                      <w:color w:val="auto"/>
                      <w:spacing w:val="6"/>
                      <w:sz w:val="21"/>
                      <w:szCs w:val="21"/>
                      <w:highlight w:val="none"/>
                      <w:lang w:val="en-US" w:eastAsia="zh-CN"/>
                    </w:rPr>
                    <w:t>塔河工业园区新疆华房盛泰保温材料科技有限公司8#生产厂房</w:t>
                  </w:r>
                </w:p>
              </w:tc>
            </w:tr>
            <w:tr w14:paraId="547DD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855" w:type="dxa"/>
                  <w:vAlign w:val="center"/>
                </w:tcPr>
                <w:p w14:paraId="2C3E292D">
                  <w:pPr>
                    <w:pStyle w:val="25"/>
                    <w:pageBreakBefore w:val="0"/>
                    <w:kinsoku/>
                    <w:wordWrap w:val="0"/>
                    <w:overflowPunct/>
                    <w:topLinePunct/>
                    <w:autoSpaceDE/>
                    <w:autoSpaceDN/>
                    <w:bidi w:val="0"/>
                    <w:spacing w:line="240" w:lineRule="auto"/>
                    <w:jc w:val="center"/>
                    <w:rPr>
                      <w:rFonts w:hint="default" w:ascii="Times New Roman" w:hAnsi="Times New Roman" w:cs="Times New Roman" w:eastAsiaTheme="minorEastAsia"/>
                      <w:color w:val="auto"/>
                      <w:spacing w:val="11"/>
                      <w:sz w:val="21"/>
                      <w:szCs w:val="21"/>
                      <w:highlight w:val="none"/>
                      <w:lang w:val="en-US" w:eastAsia="zh-CN"/>
                    </w:rPr>
                  </w:pPr>
                  <w:r>
                    <w:rPr>
                      <w:rFonts w:hint="default" w:ascii="Times New Roman" w:hAnsi="Times New Roman" w:cs="Times New Roman" w:eastAsiaTheme="minorEastAsia"/>
                      <w:color w:val="auto"/>
                      <w:spacing w:val="11"/>
                      <w:sz w:val="21"/>
                      <w:szCs w:val="21"/>
                      <w:highlight w:val="none"/>
                      <w:lang w:val="en-US" w:eastAsia="zh-CN"/>
                    </w:rPr>
                    <w:t>地理坐标</w:t>
                  </w:r>
                </w:p>
              </w:tc>
              <w:tc>
                <w:tcPr>
                  <w:tcW w:w="5180" w:type="dxa"/>
                  <w:vAlign w:val="center"/>
                </w:tcPr>
                <w:p w14:paraId="5479DCF7">
                  <w:pPr>
                    <w:pStyle w:val="25"/>
                    <w:pageBreakBefore w:val="0"/>
                    <w:kinsoku/>
                    <w:wordWrap w:val="0"/>
                    <w:overflowPunct/>
                    <w:topLinePunct/>
                    <w:autoSpaceDE/>
                    <w:autoSpaceDN/>
                    <w:bidi w:val="0"/>
                    <w:spacing w:line="240" w:lineRule="auto"/>
                    <w:ind w:left="0" w:firstLine="460" w:firstLineChars="200"/>
                    <w:jc w:val="center"/>
                    <w:rPr>
                      <w:rFonts w:hint="default" w:ascii="Times New Roman" w:hAnsi="Times New Roman" w:cs="Times New Roman" w:eastAsiaTheme="minorEastAsia"/>
                      <w:color w:val="auto"/>
                      <w:spacing w:val="11"/>
                      <w:sz w:val="21"/>
                      <w:szCs w:val="21"/>
                      <w:highlight w:val="none"/>
                      <w:lang w:val="en-US" w:eastAsia="zh-CN"/>
                    </w:rPr>
                  </w:pPr>
                  <w:r>
                    <w:rPr>
                      <w:rFonts w:hint="default" w:ascii="Times New Roman" w:hAnsi="Times New Roman" w:cs="Times New Roman" w:eastAsiaTheme="minorEastAsia"/>
                      <w:snapToGrid w:val="0"/>
                      <w:color w:val="auto"/>
                      <w:spacing w:val="10"/>
                      <w:kern w:val="0"/>
                      <w:sz w:val="21"/>
                      <w:szCs w:val="21"/>
                      <w:highlight w:val="none"/>
                      <w:lang w:val="en-US" w:eastAsia="zh-CN" w:bidi="ar-SA"/>
                    </w:rPr>
                    <w:t>E86°20′4.513"，N44°12′41.926"</w:t>
                  </w:r>
                </w:p>
              </w:tc>
            </w:tr>
            <w:tr w14:paraId="239FF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855" w:type="dxa"/>
                  <w:vAlign w:val="center"/>
                </w:tcPr>
                <w:p w14:paraId="4BD069AC">
                  <w:pPr>
                    <w:pStyle w:val="25"/>
                    <w:pageBreakBefore w:val="0"/>
                    <w:kinsoku/>
                    <w:wordWrap w:val="0"/>
                    <w:overflowPunct/>
                    <w:topLinePunct/>
                    <w:autoSpaceDE/>
                    <w:autoSpaceDN/>
                    <w:bidi w:val="0"/>
                    <w:spacing w:line="240" w:lineRule="auto"/>
                    <w:jc w:val="center"/>
                    <w:rPr>
                      <w:rFonts w:hint="default" w:ascii="Times New Roman" w:hAnsi="Times New Roman" w:cs="Times New Roman" w:eastAsiaTheme="minorEastAsia"/>
                      <w:color w:val="auto"/>
                      <w:spacing w:val="11"/>
                      <w:sz w:val="21"/>
                      <w:szCs w:val="21"/>
                      <w:highlight w:val="none"/>
                      <w:lang w:val="en-US" w:eastAsia="zh-CN"/>
                    </w:rPr>
                  </w:pPr>
                  <w:r>
                    <w:rPr>
                      <w:rFonts w:hint="default" w:ascii="Times New Roman" w:hAnsi="Times New Roman" w:cs="Times New Roman" w:eastAsiaTheme="minorEastAsia"/>
                      <w:color w:val="auto"/>
                      <w:spacing w:val="11"/>
                      <w:sz w:val="21"/>
                      <w:szCs w:val="21"/>
                      <w:highlight w:val="none"/>
                      <w:lang w:val="en-US" w:eastAsia="zh-CN"/>
                    </w:rPr>
                    <w:t>主要危险物质及分布</w:t>
                  </w:r>
                </w:p>
              </w:tc>
              <w:tc>
                <w:tcPr>
                  <w:tcW w:w="5180" w:type="dxa"/>
                  <w:vAlign w:val="center"/>
                </w:tcPr>
                <w:p w14:paraId="5C1B4D3C">
                  <w:pPr>
                    <w:pStyle w:val="7"/>
                    <w:rPr>
                      <w:rFonts w:hint="eastAsia" w:ascii="Times New Roman" w:hAnsi="Times New Roman" w:eastAsia="宋体" w:cs="Times New Roman"/>
                      <w:color w:val="auto"/>
                      <w:spacing w:val="11"/>
                      <w:sz w:val="21"/>
                      <w:szCs w:val="21"/>
                      <w:highlight w:val="none"/>
                      <w:lang w:val="en-US" w:eastAsia="zh-CN"/>
                    </w:rPr>
                  </w:pPr>
                  <w:r>
                    <w:rPr>
                      <w:rFonts w:hint="default" w:ascii="Times New Roman" w:hAnsi="Times New Roman" w:cs="Times New Roman" w:eastAsiaTheme="minorEastAsia"/>
                      <w:color w:val="auto"/>
                      <w:spacing w:val="11"/>
                      <w:sz w:val="21"/>
                      <w:szCs w:val="21"/>
                      <w:highlight w:val="none"/>
                      <w:lang w:val="en-US" w:eastAsia="zh-CN"/>
                    </w:rPr>
                    <w:t>主要危险物质为三乙醇胺</w:t>
                  </w:r>
                  <w:r>
                    <w:rPr>
                      <w:rFonts w:hint="eastAsia"/>
                      <w:color w:val="auto"/>
                      <w:highlight w:val="none"/>
                      <w:lang w:eastAsia="zh-CN"/>
                    </w:rPr>
                    <w:t>、</w:t>
                  </w:r>
                  <w:r>
                    <w:rPr>
                      <w:rFonts w:hint="eastAsia" w:eastAsia="宋体"/>
                      <w:color w:val="auto"/>
                      <w:highlight w:val="none"/>
                      <w:lang w:val="en-US" w:eastAsia="zh-CN"/>
                    </w:rPr>
                    <w:t>废机油</w:t>
                  </w:r>
                </w:p>
              </w:tc>
            </w:tr>
            <w:tr w14:paraId="198F0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2855" w:type="dxa"/>
                  <w:vAlign w:val="center"/>
                </w:tcPr>
                <w:p w14:paraId="3E7D2948">
                  <w:pPr>
                    <w:pStyle w:val="25"/>
                    <w:pageBreakBefore w:val="0"/>
                    <w:kinsoku/>
                    <w:wordWrap w:val="0"/>
                    <w:overflowPunct/>
                    <w:topLinePunct/>
                    <w:autoSpaceDE/>
                    <w:autoSpaceDN/>
                    <w:bidi w:val="0"/>
                    <w:spacing w:line="240" w:lineRule="auto"/>
                    <w:jc w:val="center"/>
                    <w:rPr>
                      <w:rFonts w:hint="default" w:ascii="Times New Roman" w:hAnsi="Times New Roman" w:cs="Times New Roman" w:eastAsiaTheme="minorEastAsia"/>
                      <w:color w:val="auto"/>
                      <w:spacing w:val="11"/>
                      <w:sz w:val="21"/>
                      <w:szCs w:val="21"/>
                      <w:highlight w:val="none"/>
                      <w:lang w:val="en-US" w:eastAsia="zh-CN"/>
                    </w:rPr>
                  </w:pPr>
                  <w:r>
                    <w:rPr>
                      <w:rFonts w:hint="default" w:ascii="Times New Roman" w:hAnsi="Times New Roman" w:cs="Times New Roman" w:eastAsiaTheme="minorEastAsia"/>
                      <w:color w:val="auto"/>
                      <w:spacing w:val="11"/>
                      <w:sz w:val="21"/>
                      <w:szCs w:val="21"/>
                      <w:highlight w:val="none"/>
                      <w:lang w:val="en-US" w:eastAsia="zh-CN"/>
                    </w:rPr>
                    <w:t>环境影响途径及危害后果(大气、地表水、地下水等)</w:t>
                  </w:r>
                </w:p>
              </w:tc>
              <w:tc>
                <w:tcPr>
                  <w:tcW w:w="5180" w:type="dxa"/>
                  <w:vAlign w:val="center"/>
                </w:tcPr>
                <w:p w14:paraId="17ABCC32">
                  <w:pPr>
                    <w:pStyle w:val="25"/>
                    <w:pageBreakBefore w:val="0"/>
                    <w:kinsoku/>
                    <w:wordWrap w:val="0"/>
                    <w:overflowPunct/>
                    <w:topLinePunct/>
                    <w:autoSpaceDE/>
                    <w:autoSpaceDN/>
                    <w:bidi w:val="0"/>
                    <w:spacing w:line="240" w:lineRule="auto"/>
                    <w:jc w:val="center"/>
                    <w:rPr>
                      <w:rFonts w:hint="default" w:ascii="Times New Roman" w:hAnsi="Times New Roman" w:cs="Times New Roman" w:eastAsiaTheme="minorEastAsia"/>
                      <w:color w:val="auto"/>
                      <w:spacing w:val="11"/>
                      <w:sz w:val="21"/>
                      <w:szCs w:val="21"/>
                      <w:highlight w:val="none"/>
                      <w:lang w:val="en-US" w:eastAsia="zh-CN"/>
                    </w:rPr>
                  </w:pPr>
                  <w:r>
                    <w:rPr>
                      <w:rFonts w:hint="eastAsia" w:eastAsia="宋体"/>
                      <w:color w:val="auto"/>
                      <w:highlight w:val="none"/>
                      <w:lang w:val="en-US" w:eastAsia="zh-CN"/>
                    </w:rPr>
                    <w:t>废机油</w:t>
                  </w:r>
                  <w:r>
                    <w:rPr>
                      <w:rFonts w:hint="eastAsia"/>
                      <w:color w:val="auto"/>
                      <w:highlight w:val="none"/>
                      <w:lang w:val="en-US" w:eastAsia="zh-CN"/>
                    </w:rPr>
                    <w:t>和</w:t>
                  </w:r>
                  <w:r>
                    <w:rPr>
                      <w:rFonts w:hint="default" w:ascii="Times New Roman" w:hAnsi="Times New Roman" w:cs="Times New Roman" w:eastAsiaTheme="minorEastAsia"/>
                      <w:color w:val="auto"/>
                      <w:spacing w:val="11"/>
                      <w:sz w:val="21"/>
                      <w:szCs w:val="21"/>
                      <w:highlight w:val="none"/>
                      <w:lang w:val="en-US" w:eastAsia="zh-CN"/>
                    </w:rPr>
                    <w:t>三乙醇胺泄漏、以及泄漏</w:t>
                  </w:r>
                  <w:r>
                    <w:rPr>
                      <w:rFonts w:hint="eastAsia" w:ascii="Times New Roman" w:hAnsi="Times New Roman" w:cs="Times New Roman" w:eastAsiaTheme="minorEastAsia"/>
                      <w:color w:val="auto"/>
                      <w:spacing w:val="11"/>
                      <w:sz w:val="21"/>
                      <w:szCs w:val="21"/>
                      <w:highlight w:val="none"/>
                      <w:lang w:val="en-US" w:eastAsia="zh-CN"/>
                    </w:rPr>
                    <w:t>引发</w:t>
                  </w:r>
                  <w:r>
                    <w:rPr>
                      <w:rFonts w:hint="default" w:ascii="Times New Roman" w:hAnsi="Times New Roman" w:cs="Times New Roman" w:eastAsiaTheme="minorEastAsia"/>
                      <w:color w:val="auto"/>
                      <w:spacing w:val="11"/>
                      <w:sz w:val="21"/>
                      <w:szCs w:val="21"/>
                      <w:highlight w:val="none"/>
                      <w:lang w:val="en-US" w:eastAsia="zh-CN"/>
                    </w:rPr>
                    <w:t>火灾次生环境风险</w:t>
                  </w:r>
                </w:p>
              </w:tc>
            </w:tr>
            <w:tr w14:paraId="31DA1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 w:hRule="atLeast"/>
                <w:jc w:val="center"/>
              </w:trPr>
              <w:tc>
                <w:tcPr>
                  <w:tcW w:w="2855" w:type="dxa"/>
                  <w:vAlign w:val="center"/>
                </w:tcPr>
                <w:p w14:paraId="615C2C6D">
                  <w:pPr>
                    <w:pStyle w:val="25"/>
                    <w:pageBreakBefore w:val="0"/>
                    <w:kinsoku/>
                    <w:wordWrap w:val="0"/>
                    <w:overflowPunct/>
                    <w:topLinePunct/>
                    <w:autoSpaceDE/>
                    <w:autoSpaceDN/>
                    <w:bidi w:val="0"/>
                    <w:spacing w:line="240" w:lineRule="auto"/>
                    <w:jc w:val="center"/>
                    <w:rPr>
                      <w:rFonts w:hint="default" w:ascii="Times New Roman" w:hAnsi="Times New Roman" w:cs="Times New Roman" w:eastAsiaTheme="minorEastAsia"/>
                      <w:color w:val="auto"/>
                      <w:spacing w:val="11"/>
                      <w:sz w:val="21"/>
                      <w:szCs w:val="21"/>
                      <w:highlight w:val="none"/>
                      <w:lang w:val="en-US" w:eastAsia="zh-CN"/>
                    </w:rPr>
                  </w:pPr>
                  <w:r>
                    <w:rPr>
                      <w:rFonts w:hint="default" w:ascii="Times New Roman" w:hAnsi="Times New Roman" w:cs="Times New Roman" w:eastAsiaTheme="minorEastAsia"/>
                      <w:color w:val="auto"/>
                      <w:spacing w:val="11"/>
                      <w:sz w:val="21"/>
                      <w:szCs w:val="21"/>
                      <w:highlight w:val="none"/>
                      <w:lang w:val="en-US" w:eastAsia="zh-CN"/>
                    </w:rPr>
                    <w:t>风险防范措施要求</w:t>
                  </w:r>
                </w:p>
              </w:tc>
              <w:tc>
                <w:tcPr>
                  <w:tcW w:w="5180" w:type="dxa"/>
                  <w:vAlign w:val="center"/>
                </w:tcPr>
                <w:p w14:paraId="455F7A90">
                  <w:pPr>
                    <w:pStyle w:val="25"/>
                    <w:pageBreakBefore w:val="0"/>
                    <w:kinsoku/>
                    <w:wordWrap w:val="0"/>
                    <w:overflowPunct/>
                    <w:topLinePunct/>
                    <w:autoSpaceDE/>
                    <w:autoSpaceDN/>
                    <w:bidi w:val="0"/>
                    <w:spacing w:line="240" w:lineRule="auto"/>
                    <w:ind w:left="0" w:firstLine="464" w:firstLineChars="200"/>
                    <w:jc w:val="center"/>
                    <w:rPr>
                      <w:rFonts w:hint="default" w:ascii="Times New Roman" w:hAnsi="Times New Roman" w:cs="Times New Roman" w:eastAsiaTheme="minorEastAsia"/>
                      <w:color w:val="auto"/>
                      <w:spacing w:val="11"/>
                      <w:sz w:val="21"/>
                      <w:szCs w:val="21"/>
                      <w:highlight w:val="none"/>
                      <w:lang w:val="en-US" w:eastAsia="zh-CN"/>
                    </w:rPr>
                  </w:pPr>
                  <w:r>
                    <w:rPr>
                      <w:rFonts w:hint="default" w:ascii="Times New Roman" w:hAnsi="Times New Roman" w:cs="Times New Roman" w:eastAsiaTheme="minorEastAsia"/>
                      <w:color w:val="auto"/>
                      <w:spacing w:val="11"/>
                      <w:sz w:val="21"/>
                      <w:szCs w:val="21"/>
                      <w:highlight w:val="none"/>
                      <w:lang w:val="en-US" w:eastAsia="zh-CN"/>
                    </w:rPr>
                    <w:t>见上文风险防范措施。</w:t>
                  </w:r>
                </w:p>
              </w:tc>
            </w:tr>
          </w:tbl>
          <w:p w14:paraId="3444F9EC">
            <w:pPr>
              <w:pStyle w:val="22"/>
              <w:keepNext w:val="0"/>
              <w:keepLines w:val="0"/>
              <w:pageBreakBefore w:val="0"/>
              <w:widowControl/>
              <w:kinsoku w:val="0"/>
              <w:wordWrap/>
              <w:overflowPunct/>
              <w:topLinePunct w:val="0"/>
              <w:autoSpaceDE w:val="0"/>
              <w:autoSpaceDN w:val="0"/>
              <w:bidi w:val="0"/>
              <w:adjustRightInd w:val="0"/>
              <w:snapToGrid w:val="0"/>
              <w:spacing w:beforeLines="0" w:line="240" w:lineRule="auto"/>
              <w:ind w:firstLine="0" w:firstLineChars="0"/>
              <w:textAlignment w:val="baseline"/>
              <w:rPr>
                <w:rFonts w:hint="eastAsia" w:ascii="Arial" w:hAnsi="Arial" w:eastAsia="Arial" w:cs="Arial"/>
                <w:snapToGrid w:val="0"/>
                <w:color w:val="auto"/>
                <w:kern w:val="0"/>
                <w:sz w:val="21"/>
                <w:szCs w:val="21"/>
                <w:highlight w:val="none"/>
                <w:lang w:val="en-US" w:eastAsia="en-US" w:bidi="ar-SA"/>
              </w:rPr>
            </w:pPr>
          </w:p>
          <w:p w14:paraId="3BE29A69">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9、排污口规范化管理</w:t>
            </w:r>
          </w:p>
          <w:p w14:paraId="0646E392">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position w:val="1"/>
                <w:sz w:val="24"/>
                <w:szCs w:val="24"/>
                <w:highlight w:val="none"/>
              </w:rPr>
              <w:t>（1）排污口立标管理</w:t>
            </w:r>
          </w:p>
          <w:p w14:paraId="5BF0FE6C">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68" w:firstLineChars="200"/>
              <w:textAlignment w:val="baseline"/>
              <w:rPr>
                <w:rFonts w:hint="default" w:ascii="Times New Roman" w:hAnsi="Times New Roman" w:eastAsia="仿宋" w:cs="Times New Roman"/>
                <w:color w:val="auto"/>
                <w:sz w:val="24"/>
                <w:szCs w:val="24"/>
                <w:highlight w:val="none"/>
              </w:rPr>
            </w:pPr>
            <w:r>
              <w:rPr>
                <w:rFonts w:hint="eastAsia" w:ascii="宋体" w:hAnsi="宋体" w:eastAsia="宋体" w:cs="宋体"/>
                <w:color w:val="auto"/>
                <w:spacing w:val="-3"/>
                <w:sz w:val="24"/>
                <w:szCs w:val="24"/>
                <w:highlight w:val="none"/>
              </w:rPr>
              <w:t>①企业污染物排放口的标志，按《环境保护图形标志一排放口（源）》(GB15562.1-1995）</w:t>
            </w:r>
            <w:r>
              <w:rPr>
                <w:rFonts w:hint="eastAsia" w:ascii="宋体" w:hAnsi="宋体" w:eastAsia="宋体" w:cs="宋体"/>
                <w:color w:val="auto"/>
                <w:spacing w:val="9"/>
                <w:sz w:val="24"/>
                <w:szCs w:val="24"/>
                <w:highlight w:val="none"/>
              </w:rPr>
              <w:t>及《关于印发排放口标志牌技术规格的通知》（环办﹝2003﹞95号）的规定，设置国家环保部统一制作的环境保护图形标志牌。各排放口（源）标志牌设置示意图见表4</w:t>
            </w:r>
            <w:r>
              <w:rPr>
                <w:rFonts w:hint="eastAsia" w:ascii="宋体" w:hAnsi="宋体" w:eastAsia="宋体" w:cs="宋体"/>
                <w:color w:val="auto"/>
                <w:spacing w:val="8"/>
                <w:sz w:val="24"/>
                <w:szCs w:val="24"/>
                <w:highlight w:val="none"/>
              </w:rPr>
              <w:t>-</w:t>
            </w:r>
            <w:r>
              <w:rPr>
                <w:rFonts w:hint="eastAsia" w:ascii="宋体" w:hAnsi="宋体" w:eastAsia="宋体" w:cs="宋体"/>
                <w:color w:val="auto"/>
                <w:spacing w:val="8"/>
                <w:sz w:val="24"/>
                <w:szCs w:val="24"/>
                <w:highlight w:val="none"/>
                <w:lang w:val="en-US" w:eastAsia="zh-CN"/>
              </w:rPr>
              <w:t>9</w:t>
            </w:r>
            <w:r>
              <w:rPr>
                <w:rFonts w:hint="eastAsia" w:ascii="宋体" w:hAnsi="宋体" w:eastAsia="宋体" w:cs="宋体"/>
                <w:color w:val="auto"/>
                <w:spacing w:val="8"/>
                <w:sz w:val="24"/>
                <w:szCs w:val="24"/>
                <w:highlight w:val="none"/>
              </w:rPr>
              <w:t>。</w:t>
            </w:r>
          </w:p>
          <w:p w14:paraId="0AD1469D">
            <w:pPr>
              <w:pStyle w:val="25"/>
              <w:pageBreakBefore w:val="0"/>
              <w:kinsoku/>
              <w:wordWrap w:val="0"/>
              <w:overflowPunct/>
              <w:topLinePunct/>
              <w:autoSpaceDE/>
              <w:autoSpaceDN/>
              <w:bidi w:val="0"/>
              <w:spacing w:before="127" w:line="228" w:lineRule="auto"/>
              <w:ind w:left="2171"/>
              <w:rPr>
                <w:rFonts w:hint="default" w:ascii="Times New Roman" w:hAnsi="Times New Roman" w:eastAsia="宋体" w:cs="Times New Roman"/>
                <w:b/>
                <w:bCs/>
                <w:color w:val="auto"/>
                <w:spacing w:val="5"/>
                <w:sz w:val="21"/>
                <w:szCs w:val="21"/>
                <w:highlight w:val="none"/>
              </w:rPr>
            </w:pPr>
            <w:r>
              <w:rPr>
                <w:rFonts w:hint="default" w:ascii="Times New Roman" w:hAnsi="Times New Roman" w:eastAsia="宋体" w:cs="Times New Roman"/>
                <w:b/>
                <w:bCs/>
                <w:color w:val="auto"/>
                <w:spacing w:val="6"/>
                <w:sz w:val="21"/>
                <w:szCs w:val="21"/>
                <w:highlight w:val="none"/>
              </w:rPr>
              <w:t>表4-</w:t>
            </w:r>
            <w:r>
              <w:rPr>
                <w:rFonts w:hint="default" w:ascii="Times New Roman" w:hAnsi="Times New Roman" w:eastAsia="宋体" w:cs="Times New Roman"/>
                <w:b/>
                <w:bCs/>
                <w:color w:val="auto"/>
                <w:spacing w:val="6"/>
                <w:sz w:val="21"/>
                <w:szCs w:val="21"/>
                <w:highlight w:val="none"/>
                <w:lang w:val="en-US" w:eastAsia="zh-CN"/>
              </w:rPr>
              <w:t xml:space="preserve">9  </w:t>
            </w:r>
            <w:r>
              <w:rPr>
                <w:rFonts w:hint="default" w:ascii="Times New Roman" w:hAnsi="Times New Roman" w:eastAsia="宋体" w:cs="Times New Roman"/>
                <w:b/>
                <w:bCs/>
                <w:color w:val="auto"/>
                <w:spacing w:val="6"/>
                <w:sz w:val="21"/>
                <w:szCs w:val="21"/>
                <w:highlight w:val="none"/>
              </w:rPr>
              <w:t>各排污口（源）标志牌设</w:t>
            </w:r>
            <w:r>
              <w:rPr>
                <w:rFonts w:hint="default" w:ascii="Times New Roman" w:hAnsi="Times New Roman" w:eastAsia="宋体" w:cs="Times New Roman"/>
                <w:b/>
                <w:bCs/>
                <w:color w:val="auto"/>
                <w:spacing w:val="5"/>
                <w:sz w:val="21"/>
                <w:szCs w:val="21"/>
                <w:highlight w:val="none"/>
              </w:rPr>
              <w:t>置示意图表</w:t>
            </w:r>
          </w:p>
          <w:tbl>
            <w:tblPr>
              <w:tblStyle w:val="19"/>
              <w:tblW w:w="49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
              <w:gridCol w:w="19"/>
              <w:gridCol w:w="3236"/>
              <w:gridCol w:w="2426"/>
              <w:gridCol w:w="92"/>
              <w:gridCol w:w="803"/>
              <w:gridCol w:w="1079"/>
            </w:tblGrid>
            <w:tr w14:paraId="4AB98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6" w:type="pct"/>
                  <w:gridSpan w:val="2"/>
                  <w:vAlign w:val="center"/>
                </w:tcPr>
                <w:p w14:paraId="0F551B1B">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序号</w:t>
                  </w:r>
                </w:p>
              </w:tc>
              <w:tc>
                <w:tcPr>
                  <w:tcW w:w="2006" w:type="pct"/>
                  <w:vAlign w:val="center"/>
                </w:tcPr>
                <w:p w14:paraId="392FDBFA">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eastAsia="en-US" w:bidi="en-US"/>
                    </w:rPr>
                  </w:pPr>
                  <w:r>
                    <w:rPr>
                      <w:rFonts w:hint="default" w:ascii="Times New Roman" w:hAnsi="Times New Roman" w:eastAsia="宋体" w:cs="Times New Roman"/>
                      <w:color w:val="auto"/>
                      <w:kern w:val="0"/>
                      <w:sz w:val="21"/>
                      <w:szCs w:val="21"/>
                      <w:highlight w:val="none"/>
                      <w:lang w:bidi="en-US"/>
                    </w:rPr>
                    <w:t>提示图形符合</w:t>
                  </w:r>
                </w:p>
              </w:tc>
              <w:tc>
                <w:tcPr>
                  <w:tcW w:w="1561" w:type="pct"/>
                  <w:gridSpan w:val="2"/>
                  <w:vAlign w:val="center"/>
                </w:tcPr>
                <w:p w14:paraId="1735935D">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警告图形符号</w:t>
                  </w:r>
                </w:p>
              </w:tc>
              <w:tc>
                <w:tcPr>
                  <w:tcW w:w="498" w:type="pct"/>
                  <w:vAlign w:val="center"/>
                </w:tcPr>
                <w:p w14:paraId="6B1CB2C2">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名称</w:t>
                  </w:r>
                </w:p>
              </w:tc>
              <w:tc>
                <w:tcPr>
                  <w:tcW w:w="666" w:type="pct"/>
                  <w:vAlign w:val="center"/>
                </w:tcPr>
                <w:p w14:paraId="1222CB10">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功能</w:t>
                  </w:r>
                </w:p>
              </w:tc>
            </w:tr>
            <w:tr w14:paraId="11547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6" w:type="pct"/>
                  <w:gridSpan w:val="2"/>
                  <w:vAlign w:val="center"/>
                </w:tcPr>
                <w:p w14:paraId="4083566E">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1</w:t>
                  </w:r>
                </w:p>
              </w:tc>
              <w:tc>
                <w:tcPr>
                  <w:tcW w:w="2006" w:type="pct"/>
                  <w:vAlign w:val="center"/>
                </w:tcPr>
                <w:p w14:paraId="022E2493">
                  <w:pPr>
                    <w:pageBreakBefore w:val="0"/>
                    <w:widowControl/>
                    <w:kinsoku/>
                    <w:wordWrap w:val="0"/>
                    <w:overflowPunct/>
                    <w:topLinePunct/>
                    <w:autoSpaceDE/>
                    <w:autoSpaceDN/>
                    <w:bidi w:val="0"/>
                    <w:spacing w:before="48" w:beforeLines="20" w:after="48" w:afterLines="20"/>
                    <w:jc w:val="center"/>
                    <w:rPr>
                      <w:rFonts w:hint="default" w:ascii="Times New Roman" w:hAnsi="Times New Roman" w:eastAsia="宋体" w:cs="Times New Roman"/>
                      <w:color w:val="auto"/>
                      <w:kern w:val="0"/>
                      <w:sz w:val="21"/>
                      <w:szCs w:val="21"/>
                      <w:highlight w:val="none"/>
                      <w:lang w:eastAsia="en-US" w:bidi="en-US"/>
                    </w:rPr>
                  </w:pPr>
                  <w:r>
                    <w:rPr>
                      <w:rFonts w:hint="default" w:ascii="Times New Roman" w:hAnsi="Times New Roman" w:eastAsia="宋体" w:cs="Times New Roman"/>
                      <w:color w:val="auto"/>
                      <w:kern w:val="0"/>
                      <w:sz w:val="21"/>
                      <w:szCs w:val="21"/>
                      <w:highlight w:val="none"/>
                    </w:rPr>
                    <w:drawing>
                      <wp:inline distT="0" distB="0" distL="0" distR="0">
                        <wp:extent cx="1009650" cy="1017905"/>
                        <wp:effectExtent l="0" t="0" r="0" b="10795"/>
                        <wp:docPr id="2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1009650" cy="1017905"/>
                                </a:xfrm>
                                <a:prstGeom prst="rect">
                                  <a:avLst/>
                                </a:prstGeom>
                                <a:noFill/>
                                <a:ln>
                                  <a:noFill/>
                                </a:ln>
                              </pic:spPr>
                            </pic:pic>
                          </a:graphicData>
                        </a:graphic>
                      </wp:inline>
                    </w:drawing>
                  </w:r>
                </w:p>
              </w:tc>
              <w:tc>
                <w:tcPr>
                  <w:tcW w:w="1561" w:type="pct"/>
                  <w:gridSpan w:val="2"/>
                  <w:vAlign w:val="center"/>
                </w:tcPr>
                <w:p w14:paraId="5F941F61">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eastAsia="en-US" w:bidi="en-US"/>
                    </w:rPr>
                  </w:pPr>
                  <w:r>
                    <w:rPr>
                      <w:rFonts w:hint="default" w:ascii="Times New Roman" w:hAnsi="Times New Roman" w:eastAsia="宋体" w:cs="Times New Roman"/>
                      <w:color w:val="auto"/>
                      <w:kern w:val="0"/>
                      <w:sz w:val="21"/>
                      <w:szCs w:val="21"/>
                      <w:highlight w:val="none"/>
                    </w:rPr>
                    <w:drawing>
                      <wp:inline distT="0" distB="0" distL="0" distR="0">
                        <wp:extent cx="1078230" cy="1078230"/>
                        <wp:effectExtent l="0" t="0" r="7620" b="7620"/>
                        <wp:docPr id="2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1078230" cy="1078230"/>
                                </a:xfrm>
                                <a:prstGeom prst="rect">
                                  <a:avLst/>
                                </a:prstGeom>
                                <a:noFill/>
                                <a:ln>
                                  <a:noFill/>
                                </a:ln>
                              </pic:spPr>
                            </pic:pic>
                          </a:graphicData>
                        </a:graphic>
                      </wp:inline>
                    </w:drawing>
                  </w:r>
                </w:p>
              </w:tc>
              <w:tc>
                <w:tcPr>
                  <w:tcW w:w="498" w:type="pct"/>
                  <w:vAlign w:val="center"/>
                </w:tcPr>
                <w:p w14:paraId="2C772C80">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废气排放口</w:t>
                  </w:r>
                </w:p>
              </w:tc>
              <w:tc>
                <w:tcPr>
                  <w:tcW w:w="666" w:type="pct"/>
                  <w:vAlign w:val="center"/>
                </w:tcPr>
                <w:p w14:paraId="747F19E7">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表示废气向大气环境排放</w:t>
                  </w:r>
                </w:p>
              </w:tc>
            </w:tr>
            <w:tr w14:paraId="6A70D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6" w:type="pct"/>
                  <w:gridSpan w:val="2"/>
                  <w:shd w:val="clear" w:color="auto" w:fill="auto"/>
                  <w:vAlign w:val="center"/>
                </w:tcPr>
                <w:p w14:paraId="7AF6DBDA">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lang w:bidi="en-US"/>
                    </w:rPr>
                    <w:t>2</w:t>
                  </w:r>
                </w:p>
              </w:tc>
              <w:tc>
                <w:tcPr>
                  <w:tcW w:w="2006" w:type="pct"/>
                  <w:shd w:val="clear" w:color="auto" w:fill="auto"/>
                  <w:vAlign w:val="center"/>
                </w:tcPr>
                <w:p w14:paraId="07DCFECB">
                  <w:pPr>
                    <w:pageBreakBefore w:val="0"/>
                    <w:widowControl/>
                    <w:kinsoku/>
                    <w:wordWrap w:val="0"/>
                    <w:overflowPunct/>
                    <w:topLinePunct/>
                    <w:autoSpaceDE/>
                    <w:autoSpaceDN/>
                    <w:bidi w:val="0"/>
                    <w:spacing w:before="48" w:beforeLines="20" w:after="48" w:afterLines="2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rPr>
                    <w:drawing>
                      <wp:inline distT="0" distB="0" distL="0" distR="0">
                        <wp:extent cx="1087120" cy="1094740"/>
                        <wp:effectExtent l="0" t="0" r="17780" b="1016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1087120" cy="1094740"/>
                                </a:xfrm>
                                <a:prstGeom prst="rect">
                                  <a:avLst/>
                                </a:prstGeom>
                                <a:noFill/>
                                <a:ln>
                                  <a:noFill/>
                                </a:ln>
                              </pic:spPr>
                            </pic:pic>
                          </a:graphicData>
                        </a:graphic>
                      </wp:inline>
                    </w:drawing>
                  </w:r>
                </w:p>
              </w:tc>
              <w:tc>
                <w:tcPr>
                  <w:tcW w:w="1561" w:type="pct"/>
                  <w:gridSpan w:val="2"/>
                  <w:shd w:val="clear" w:color="auto" w:fill="auto"/>
                  <w:vAlign w:val="center"/>
                </w:tcPr>
                <w:p w14:paraId="3DFD249D">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rPr>
                    <w:drawing>
                      <wp:inline distT="0" distB="0" distL="0" distR="0">
                        <wp:extent cx="1190625" cy="1198880"/>
                        <wp:effectExtent l="0" t="0" r="9525" b="127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1190625" cy="1198880"/>
                                </a:xfrm>
                                <a:prstGeom prst="rect">
                                  <a:avLst/>
                                </a:prstGeom>
                                <a:noFill/>
                                <a:ln>
                                  <a:noFill/>
                                </a:ln>
                              </pic:spPr>
                            </pic:pic>
                          </a:graphicData>
                        </a:graphic>
                      </wp:inline>
                    </w:drawing>
                  </w:r>
                </w:p>
              </w:tc>
              <w:tc>
                <w:tcPr>
                  <w:tcW w:w="498" w:type="pct"/>
                  <w:shd w:val="clear" w:color="auto" w:fill="auto"/>
                  <w:vAlign w:val="center"/>
                </w:tcPr>
                <w:p w14:paraId="1FF55788">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lang w:bidi="en-US"/>
                    </w:rPr>
                    <w:t>废水排放口</w:t>
                  </w:r>
                </w:p>
              </w:tc>
              <w:tc>
                <w:tcPr>
                  <w:tcW w:w="666" w:type="pct"/>
                  <w:shd w:val="clear" w:color="auto" w:fill="auto"/>
                  <w:vAlign w:val="center"/>
                </w:tcPr>
                <w:p w14:paraId="0A745B49">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lang w:bidi="en-US"/>
                    </w:rPr>
                    <w:t>表示废水向水体排放</w:t>
                  </w:r>
                </w:p>
              </w:tc>
            </w:tr>
            <w:tr w14:paraId="25138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6" w:type="pct"/>
                  <w:gridSpan w:val="2"/>
                  <w:shd w:val="clear" w:color="auto" w:fill="auto"/>
                  <w:vAlign w:val="center"/>
                </w:tcPr>
                <w:p w14:paraId="7E2A60C6">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lang w:bidi="en-US"/>
                    </w:rPr>
                    <w:t>3</w:t>
                  </w:r>
                </w:p>
              </w:tc>
              <w:tc>
                <w:tcPr>
                  <w:tcW w:w="2006" w:type="pct"/>
                  <w:shd w:val="clear" w:color="auto" w:fill="auto"/>
                  <w:vAlign w:val="center"/>
                </w:tcPr>
                <w:p w14:paraId="36995328">
                  <w:pPr>
                    <w:pageBreakBefore w:val="0"/>
                    <w:widowControl/>
                    <w:kinsoku/>
                    <w:wordWrap w:val="0"/>
                    <w:overflowPunct/>
                    <w:topLinePunct/>
                    <w:autoSpaceDE/>
                    <w:autoSpaceDN/>
                    <w:bidi w:val="0"/>
                    <w:spacing w:before="48" w:beforeLines="20" w:after="48" w:afterLines="2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rPr>
                    <w:drawing>
                      <wp:inline distT="0" distB="0" distL="0" distR="0">
                        <wp:extent cx="1077595" cy="1077595"/>
                        <wp:effectExtent l="0" t="0" r="8255" b="825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1077595" cy="1077595"/>
                                </a:xfrm>
                                <a:prstGeom prst="rect">
                                  <a:avLst/>
                                </a:prstGeom>
                                <a:noFill/>
                                <a:ln>
                                  <a:noFill/>
                                </a:ln>
                              </pic:spPr>
                            </pic:pic>
                          </a:graphicData>
                        </a:graphic>
                      </wp:inline>
                    </w:drawing>
                  </w:r>
                </w:p>
              </w:tc>
              <w:tc>
                <w:tcPr>
                  <w:tcW w:w="1561" w:type="pct"/>
                  <w:gridSpan w:val="2"/>
                  <w:shd w:val="clear" w:color="auto" w:fill="auto"/>
                  <w:vAlign w:val="center"/>
                </w:tcPr>
                <w:p w14:paraId="2C71510A">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rPr>
                    <w:drawing>
                      <wp:inline distT="0" distB="0" distL="0" distR="0">
                        <wp:extent cx="1242060" cy="1104265"/>
                        <wp:effectExtent l="0" t="0" r="15240" b="63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1242060" cy="1104265"/>
                                </a:xfrm>
                                <a:prstGeom prst="rect">
                                  <a:avLst/>
                                </a:prstGeom>
                                <a:noFill/>
                                <a:ln>
                                  <a:noFill/>
                                </a:ln>
                              </pic:spPr>
                            </pic:pic>
                          </a:graphicData>
                        </a:graphic>
                      </wp:inline>
                    </w:drawing>
                  </w:r>
                </w:p>
              </w:tc>
              <w:tc>
                <w:tcPr>
                  <w:tcW w:w="498" w:type="pct"/>
                  <w:shd w:val="clear" w:color="auto" w:fill="auto"/>
                  <w:vAlign w:val="center"/>
                </w:tcPr>
                <w:p w14:paraId="4C531AA7">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lang w:bidi="en-US"/>
                    </w:rPr>
                    <w:t>噪声排放源</w:t>
                  </w:r>
                </w:p>
              </w:tc>
              <w:tc>
                <w:tcPr>
                  <w:tcW w:w="666" w:type="pct"/>
                  <w:shd w:val="clear" w:color="auto" w:fill="auto"/>
                  <w:vAlign w:val="center"/>
                </w:tcPr>
                <w:p w14:paraId="11A7923D">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lang w:bidi="en-US"/>
                    </w:rPr>
                    <w:t>表示噪声向外环境排放</w:t>
                  </w:r>
                </w:p>
              </w:tc>
            </w:tr>
            <w:tr w14:paraId="7E008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6" w:type="pct"/>
                  <w:gridSpan w:val="2"/>
                  <w:shd w:val="clear" w:color="auto" w:fill="auto"/>
                  <w:vAlign w:val="center"/>
                </w:tcPr>
                <w:p w14:paraId="36F95056">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lang w:bidi="en-US"/>
                    </w:rPr>
                    <w:t>4</w:t>
                  </w:r>
                </w:p>
              </w:tc>
              <w:tc>
                <w:tcPr>
                  <w:tcW w:w="2006" w:type="pct"/>
                  <w:shd w:val="clear" w:color="auto" w:fill="auto"/>
                  <w:vAlign w:val="center"/>
                </w:tcPr>
                <w:p w14:paraId="2841977D">
                  <w:pPr>
                    <w:pageBreakBefore w:val="0"/>
                    <w:widowControl/>
                    <w:kinsoku/>
                    <w:wordWrap w:val="0"/>
                    <w:overflowPunct/>
                    <w:topLinePunct/>
                    <w:autoSpaceDE/>
                    <w:autoSpaceDN/>
                    <w:bidi w:val="0"/>
                    <w:spacing w:before="48" w:beforeLines="20" w:after="48" w:afterLines="2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rPr>
                    <w:drawing>
                      <wp:inline distT="0" distB="0" distL="0" distR="0">
                        <wp:extent cx="1087120" cy="1087120"/>
                        <wp:effectExtent l="0" t="0" r="17780" b="1778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1087120" cy="1087120"/>
                                </a:xfrm>
                                <a:prstGeom prst="rect">
                                  <a:avLst/>
                                </a:prstGeom>
                                <a:noFill/>
                                <a:ln>
                                  <a:noFill/>
                                </a:ln>
                              </pic:spPr>
                            </pic:pic>
                          </a:graphicData>
                        </a:graphic>
                      </wp:inline>
                    </w:drawing>
                  </w:r>
                </w:p>
              </w:tc>
              <w:tc>
                <w:tcPr>
                  <w:tcW w:w="1561" w:type="pct"/>
                  <w:gridSpan w:val="2"/>
                  <w:shd w:val="clear" w:color="auto" w:fill="auto"/>
                  <w:vAlign w:val="center"/>
                </w:tcPr>
                <w:p w14:paraId="2D6316F1">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rPr>
                    <w:drawing>
                      <wp:inline distT="0" distB="0" distL="0" distR="0">
                        <wp:extent cx="1242060" cy="1155700"/>
                        <wp:effectExtent l="0" t="0" r="15240" b="635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1242060" cy="1155700"/>
                                </a:xfrm>
                                <a:prstGeom prst="rect">
                                  <a:avLst/>
                                </a:prstGeom>
                                <a:noFill/>
                                <a:ln>
                                  <a:noFill/>
                                </a:ln>
                              </pic:spPr>
                            </pic:pic>
                          </a:graphicData>
                        </a:graphic>
                      </wp:inline>
                    </w:drawing>
                  </w:r>
                </w:p>
              </w:tc>
              <w:tc>
                <w:tcPr>
                  <w:tcW w:w="498" w:type="pct"/>
                  <w:shd w:val="clear" w:color="auto" w:fill="auto"/>
                  <w:vAlign w:val="center"/>
                </w:tcPr>
                <w:p w14:paraId="4E205605">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lang w:eastAsia="en-US" w:bidi="en-US"/>
                    </w:rPr>
                    <w:t>一般固体废物</w:t>
                  </w:r>
                </w:p>
              </w:tc>
              <w:tc>
                <w:tcPr>
                  <w:tcW w:w="666" w:type="pct"/>
                  <w:shd w:val="clear" w:color="auto" w:fill="auto"/>
                  <w:vAlign w:val="center"/>
                </w:tcPr>
                <w:p w14:paraId="06EB46B1">
                  <w:pPr>
                    <w:pageBreakBefore w:val="0"/>
                    <w:widowControl/>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en-US" w:bidi="en-US"/>
                    </w:rPr>
                  </w:pPr>
                  <w:r>
                    <w:rPr>
                      <w:rFonts w:hint="default" w:ascii="Times New Roman" w:hAnsi="Times New Roman" w:eastAsia="宋体" w:cs="Times New Roman"/>
                      <w:color w:val="auto"/>
                      <w:kern w:val="0"/>
                      <w:sz w:val="21"/>
                      <w:szCs w:val="21"/>
                      <w:highlight w:val="none"/>
                      <w:lang w:bidi="en-US"/>
                    </w:rPr>
                    <w:t>表示一般固体废物贮存、处置场</w:t>
                  </w:r>
                </w:p>
              </w:tc>
            </w:tr>
            <w:tr w14:paraId="57704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5000" w:type="pct"/>
                  <w:gridSpan w:val="7"/>
                  <w:vAlign w:val="center"/>
                </w:tcPr>
                <w:p w14:paraId="26DEEEC2">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危险废物</w:t>
                  </w:r>
                </w:p>
              </w:tc>
            </w:tr>
            <w:tr w14:paraId="45AFD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254" w:type="pct"/>
                  <w:vAlign w:val="center"/>
                </w:tcPr>
                <w:p w14:paraId="713C6285">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5</w:t>
                  </w:r>
                </w:p>
              </w:tc>
              <w:tc>
                <w:tcPr>
                  <w:tcW w:w="3522" w:type="pct"/>
                  <w:gridSpan w:val="3"/>
                  <w:vAlign w:val="center"/>
                </w:tcPr>
                <w:p w14:paraId="6CD06FCA">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rPr>
                    <w:drawing>
                      <wp:inline distT="0" distB="0" distL="0" distR="0">
                        <wp:extent cx="2127885" cy="1414145"/>
                        <wp:effectExtent l="0" t="0" r="5715" b="14605"/>
                        <wp:docPr id="3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2127885" cy="1414145"/>
                                </a:xfrm>
                                <a:prstGeom prst="rect">
                                  <a:avLst/>
                                </a:prstGeom>
                                <a:noFill/>
                                <a:ln>
                                  <a:noFill/>
                                </a:ln>
                              </pic:spPr>
                            </pic:pic>
                          </a:graphicData>
                        </a:graphic>
                      </wp:inline>
                    </w:drawing>
                  </w:r>
                </w:p>
              </w:tc>
              <w:tc>
                <w:tcPr>
                  <w:tcW w:w="1222" w:type="pct"/>
                  <w:gridSpan w:val="3"/>
                  <w:vAlign w:val="center"/>
                </w:tcPr>
                <w:p w14:paraId="5AD8637F">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危险废物标签</w:t>
                  </w:r>
                </w:p>
              </w:tc>
            </w:tr>
            <w:tr w14:paraId="13B59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0" w:hRule="atLeast"/>
                <w:jc w:val="center"/>
              </w:trPr>
              <w:tc>
                <w:tcPr>
                  <w:tcW w:w="254" w:type="pct"/>
                  <w:vAlign w:val="center"/>
                </w:tcPr>
                <w:p w14:paraId="331DF6FA">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6</w:t>
                  </w:r>
                </w:p>
              </w:tc>
              <w:tc>
                <w:tcPr>
                  <w:tcW w:w="3522" w:type="pct"/>
                  <w:gridSpan w:val="3"/>
                  <w:vAlign w:val="center"/>
                </w:tcPr>
                <w:p w14:paraId="13B59F72">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rPr>
                    <w:drawing>
                      <wp:inline distT="0" distB="0" distL="0" distR="0">
                        <wp:extent cx="2836545" cy="1785620"/>
                        <wp:effectExtent l="0" t="0" r="1905" b="508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2848527" cy="1793105"/>
                                </a:xfrm>
                                <a:prstGeom prst="rect">
                                  <a:avLst/>
                                </a:prstGeom>
                                <a:noFill/>
                                <a:ln>
                                  <a:noFill/>
                                </a:ln>
                              </pic:spPr>
                            </pic:pic>
                          </a:graphicData>
                        </a:graphic>
                      </wp:inline>
                    </w:drawing>
                  </w:r>
                </w:p>
              </w:tc>
              <w:tc>
                <w:tcPr>
                  <w:tcW w:w="1222" w:type="pct"/>
                  <w:gridSpan w:val="3"/>
                  <w:vAlign w:val="center"/>
                </w:tcPr>
                <w:p w14:paraId="6DA39C77">
                  <w:pPr>
                    <w:pageBreakBefore w:val="0"/>
                    <w:widowControl/>
                    <w:kinsoku/>
                    <w:wordWrap w:val="0"/>
                    <w:overflowPunct/>
                    <w:topLinePunct/>
                    <w:autoSpaceDE/>
                    <w:autoSpaceDN/>
                    <w:bidi w:val="0"/>
                    <w:jc w:val="center"/>
                    <w:rPr>
                      <w:rFonts w:hint="default" w:ascii="Times New Roman" w:hAnsi="Times New Roman" w:eastAsia="宋体" w:cs="Times New Roman"/>
                      <w:color w:val="auto"/>
                      <w:kern w:val="0"/>
                      <w:sz w:val="21"/>
                      <w:szCs w:val="21"/>
                      <w:highlight w:val="none"/>
                      <w:lang w:bidi="en-US"/>
                    </w:rPr>
                  </w:pPr>
                  <w:r>
                    <w:rPr>
                      <w:rFonts w:hint="default" w:ascii="Times New Roman" w:hAnsi="Times New Roman" w:eastAsia="宋体" w:cs="Times New Roman"/>
                      <w:color w:val="auto"/>
                      <w:kern w:val="0"/>
                      <w:sz w:val="21"/>
                      <w:szCs w:val="21"/>
                      <w:highlight w:val="none"/>
                      <w:lang w:bidi="en-US"/>
                    </w:rPr>
                    <w:t>危险废物贮存设施标志</w:t>
                  </w:r>
                </w:p>
              </w:tc>
            </w:tr>
          </w:tbl>
          <w:p w14:paraId="27E81FE9">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2"/>
                <w:sz w:val="24"/>
                <w:szCs w:val="24"/>
                <w:highlight w:val="none"/>
              </w:rPr>
              <w:t>②环境保护图形标志牌设置位置应距污染物排放口</w:t>
            </w:r>
            <w:r>
              <w:rPr>
                <w:rFonts w:hint="default" w:ascii="Times New Roman" w:hAnsi="Times New Roman" w:eastAsia="宋体" w:cs="Times New Roman"/>
                <w:color w:val="auto"/>
                <w:spacing w:val="11"/>
                <w:sz w:val="24"/>
                <w:szCs w:val="24"/>
                <w:highlight w:val="none"/>
              </w:rPr>
              <w:t>（源）及固体废物贮存（处置）</w:t>
            </w:r>
            <w:r>
              <w:rPr>
                <w:rFonts w:hint="default" w:ascii="Times New Roman" w:hAnsi="Times New Roman" w:eastAsia="宋体" w:cs="Times New Roman"/>
                <w:color w:val="auto"/>
                <w:spacing w:val="12"/>
                <w:sz w:val="24"/>
                <w:szCs w:val="24"/>
                <w:highlight w:val="none"/>
              </w:rPr>
              <w:t>场或采样点较近，且醒目处，并能长久保留。设置高度一般为：环境保护图形标志牌上</w:t>
            </w:r>
            <w:r>
              <w:rPr>
                <w:rFonts w:hint="default" w:ascii="Times New Roman" w:hAnsi="Times New Roman" w:eastAsia="宋体" w:cs="Times New Roman"/>
                <w:color w:val="auto"/>
                <w:spacing w:val="6"/>
                <w:sz w:val="24"/>
                <w:szCs w:val="24"/>
                <w:highlight w:val="none"/>
              </w:rPr>
              <w:t>缘距离地面2m。</w:t>
            </w:r>
          </w:p>
          <w:p w14:paraId="59D8A273">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2"/>
                <w:sz w:val="24"/>
                <w:szCs w:val="24"/>
                <w:highlight w:val="none"/>
              </w:rPr>
              <w:t>③排污口标志牌辅助标志的内容依次为：</w:t>
            </w:r>
            <w:r>
              <w:rPr>
                <w:rFonts w:hint="default" w:ascii="Times New Roman" w:hAnsi="Times New Roman" w:eastAsia="宋体" w:cs="Times New Roman"/>
                <w:color w:val="auto"/>
                <w:sz w:val="24"/>
                <w:szCs w:val="24"/>
                <w:highlight w:val="none"/>
              </w:rPr>
              <w:t>xx</w:t>
            </w:r>
            <w:r>
              <w:rPr>
                <w:rFonts w:hint="default" w:ascii="Times New Roman" w:hAnsi="Times New Roman" w:eastAsia="宋体" w:cs="Times New Roman"/>
                <w:color w:val="auto"/>
                <w:spacing w:val="12"/>
                <w:sz w:val="24"/>
                <w:szCs w:val="24"/>
                <w:highlight w:val="none"/>
              </w:rPr>
              <w:t>排污口标志牌、排污口编号、执行的排放标准、主要污染物及允许排放限值、排放去向、</w:t>
            </w:r>
            <w:r>
              <w:rPr>
                <w:rFonts w:hint="default" w:ascii="Times New Roman" w:hAnsi="Times New Roman" w:eastAsia="宋体" w:cs="Times New Roman"/>
                <w:color w:val="auto"/>
                <w:sz w:val="24"/>
                <w:szCs w:val="24"/>
                <w:highlight w:val="none"/>
              </w:rPr>
              <w:t>xx</w:t>
            </w:r>
            <w:r>
              <w:rPr>
                <w:rFonts w:hint="default" w:ascii="Times New Roman" w:hAnsi="Times New Roman" w:eastAsia="宋体" w:cs="Times New Roman"/>
                <w:color w:val="auto"/>
                <w:spacing w:val="12"/>
                <w:sz w:val="24"/>
                <w:szCs w:val="24"/>
                <w:highlight w:val="none"/>
              </w:rPr>
              <w:t>生态环境局监制、监督举报电话等字样；排污口的图形标志和辅助标志应在标志牌上单面显示，易于被公众和环保执法人</w:t>
            </w:r>
            <w:r>
              <w:rPr>
                <w:rFonts w:hint="default" w:ascii="Times New Roman" w:hAnsi="Times New Roman" w:eastAsia="宋体" w:cs="Times New Roman"/>
                <w:color w:val="auto"/>
                <w:spacing w:val="7"/>
                <w:sz w:val="24"/>
                <w:szCs w:val="24"/>
                <w:highlight w:val="none"/>
              </w:rPr>
              <w:t>员发现和识别。</w:t>
            </w:r>
          </w:p>
          <w:p w14:paraId="4328C3DB">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2"/>
                <w:sz w:val="24"/>
                <w:szCs w:val="24"/>
                <w:highlight w:val="none"/>
              </w:rPr>
              <w:t>④排污口标志牌的图形标志、图形颜色及装置颜色、标志牌材质、表面处理、外观</w:t>
            </w:r>
            <w:r>
              <w:rPr>
                <w:rFonts w:hint="default" w:ascii="Times New Roman" w:hAnsi="Times New Roman" w:eastAsia="宋体" w:cs="Times New Roman"/>
                <w:color w:val="auto"/>
                <w:spacing w:val="2"/>
                <w:sz w:val="24"/>
                <w:szCs w:val="24"/>
                <w:highlight w:val="none"/>
              </w:rPr>
              <w:t>质量以及字体等要求应符合《环境保护图形标志—排放口（源）》(</w:t>
            </w:r>
            <w:r>
              <w:rPr>
                <w:rFonts w:hint="default" w:ascii="Times New Roman" w:hAnsi="Times New Roman" w:eastAsia="宋体" w:cs="Times New Roman"/>
                <w:color w:val="auto"/>
                <w:sz w:val="24"/>
                <w:szCs w:val="24"/>
                <w:highlight w:val="none"/>
              </w:rPr>
              <w:t>GB</w:t>
            </w:r>
            <w:r>
              <w:rPr>
                <w:rFonts w:hint="default" w:ascii="Times New Roman" w:hAnsi="Times New Roman" w:eastAsia="宋体" w:cs="Times New Roman"/>
                <w:color w:val="auto"/>
                <w:spacing w:val="2"/>
                <w:sz w:val="24"/>
                <w:szCs w:val="24"/>
                <w:highlight w:val="none"/>
              </w:rPr>
              <w:t>15562.1-1995)、《环</w:t>
            </w:r>
            <w:r>
              <w:rPr>
                <w:rFonts w:hint="default" w:ascii="Times New Roman" w:hAnsi="Times New Roman" w:eastAsia="宋体" w:cs="Times New Roman"/>
                <w:color w:val="auto"/>
                <w:spacing w:val="7"/>
                <w:sz w:val="24"/>
                <w:szCs w:val="24"/>
                <w:highlight w:val="none"/>
              </w:rPr>
              <w:t>境保护图形标识固体废物贮存（处置）场》(</w:t>
            </w:r>
            <w:r>
              <w:rPr>
                <w:rFonts w:hint="default" w:ascii="Times New Roman" w:hAnsi="Times New Roman" w:eastAsia="宋体" w:cs="Times New Roman"/>
                <w:color w:val="auto"/>
                <w:sz w:val="24"/>
                <w:szCs w:val="24"/>
                <w:highlight w:val="none"/>
              </w:rPr>
              <w:t>GB</w:t>
            </w:r>
            <w:r>
              <w:rPr>
                <w:rFonts w:hint="default" w:ascii="Times New Roman" w:hAnsi="Times New Roman" w:eastAsia="宋体" w:cs="Times New Roman"/>
                <w:color w:val="auto"/>
                <w:spacing w:val="7"/>
                <w:sz w:val="24"/>
                <w:szCs w:val="24"/>
                <w:highlight w:val="none"/>
              </w:rPr>
              <w:t>15562.2-1995)（2023年修改）等的要求。</w:t>
            </w:r>
          </w:p>
          <w:p w14:paraId="42F0B615">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8" w:firstLineChars="200"/>
              <w:jc w:val="both"/>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7"/>
                <w:position w:val="1"/>
                <w:sz w:val="24"/>
                <w:szCs w:val="24"/>
                <w:highlight w:val="none"/>
              </w:rPr>
              <w:t>（2）排污口建档管理</w:t>
            </w:r>
          </w:p>
          <w:p w14:paraId="5728500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4" w:firstLineChars="200"/>
              <w:jc w:val="both"/>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1"/>
                <w:sz w:val="24"/>
                <w:szCs w:val="24"/>
                <w:highlight w:val="none"/>
              </w:rPr>
              <w:t>①要求使用国家环保部统一印刷的《中华人民共和国规范化</w:t>
            </w:r>
            <w:r>
              <w:rPr>
                <w:rFonts w:hint="default" w:ascii="Times New Roman" w:hAnsi="Times New Roman" w:eastAsia="宋体" w:cs="Times New Roman"/>
                <w:color w:val="auto"/>
                <w:spacing w:val="10"/>
                <w:sz w:val="24"/>
                <w:szCs w:val="24"/>
                <w:highlight w:val="none"/>
              </w:rPr>
              <w:t>排污口标志登记证》，</w:t>
            </w:r>
            <w:r>
              <w:rPr>
                <w:rFonts w:hint="default" w:ascii="Times New Roman" w:hAnsi="Times New Roman" w:eastAsia="宋体" w:cs="Times New Roman"/>
                <w:color w:val="auto"/>
                <w:spacing w:val="7"/>
                <w:sz w:val="24"/>
                <w:szCs w:val="24"/>
                <w:highlight w:val="none"/>
              </w:rPr>
              <w:t>并按要求填写有关内容。</w:t>
            </w:r>
          </w:p>
          <w:p w14:paraId="268F2ACE">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2"/>
                <w:sz w:val="24"/>
                <w:szCs w:val="24"/>
                <w:highlight w:val="none"/>
              </w:rPr>
              <w:t>②根据排污口管理档案内容要求，应将主要污染物种类、数量、浓度、排放去向达</w:t>
            </w:r>
            <w:r>
              <w:rPr>
                <w:rFonts w:hint="default" w:ascii="Times New Roman" w:hAnsi="Times New Roman" w:eastAsia="宋体" w:cs="Times New Roman"/>
                <w:color w:val="auto"/>
                <w:spacing w:val="8"/>
                <w:sz w:val="24"/>
                <w:szCs w:val="24"/>
                <w:highlight w:val="none"/>
              </w:rPr>
              <w:t>标情况及设施运行情况记录于档案。</w:t>
            </w:r>
          </w:p>
          <w:p w14:paraId="372DD04C">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90" w:firstLineChars="200"/>
              <w:jc w:val="both"/>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2"/>
                <w:sz w:val="24"/>
                <w:szCs w:val="24"/>
                <w:highlight w:val="none"/>
              </w:rPr>
              <w:t>10、排污许可证</w:t>
            </w:r>
          </w:p>
          <w:p w14:paraId="4CB893E5">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9"/>
                <w:sz w:val="24"/>
                <w:szCs w:val="24"/>
                <w:highlight w:val="none"/>
              </w:rPr>
              <w:t>根据《固定污染源排污许可分类管理名录》（2019年</w:t>
            </w:r>
            <w:r>
              <w:rPr>
                <w:rFonts w:hint="default" w:ascii="Times New Roman" w:hAnsi="Times New Roman" w:eastAsia="宋体" w:cs="Times New Roman"/>
                <w:color w:val="auto"/>
                <w:spacing w:val="19"/>
                <w:sz w:val="24"/>
                <w:szCs w:val="24"/>
                <w:highlight w:val="none"/>
              </w:rPr>
              <w:t>），</w:t>
            </w:r>
            <w:r>
              <w:rPr>
                <w:rFonts w:hint="default" w:ascii="Times New Roman" w:hAnsi="Times New Roman" w:eastAsia="宋体" w:cs="Times New Roman"/>
                <w:color w:val="auto"/>
                <w:spacing w:val="9"/>
                <w:sz w:val="24"/>
                <w:szCs w:val="24"/>
                <w:highlight w:val="none"/>
              </w:rPr>
              <w:t>本项目属于</w:t>
            </w:r>
            <w:r>
              <w:rPr>
                <w:rFonts w:hint="default" w:ascii="Times New Roman" w:hAnsi="Times New Roman" w:eastAsia="宋体" w:cs="Times New Roman"/>
                <w:color w:val="auto"/>
                <w:spacing w:val="6"/>
                <w:sz w:val="24"/>
                <w:szCs w:val="24"/>
                <w:highlight w:val="none"/>
                <w:lang w:val="en-US" w:eastAsia="zh-CN"/>
              </w:rPr>
              <w:t>简化</w:t>
            </w:r>
            <w:r>
              <w:rPr>
                <w:rFonts w:hint="default" w:ascii="Times New Roman" w:hAnsi="Times New Roman" w:eastAsia="宋体" w:cs="Times New Roman"/>
                <w:color w:val="auto"/>
                <w:spacing w:val="6"/>
                <w:sz w:val="24"/>
                <w:szCs w:val="24"/>
                <w:highlight w:val="none"/>
              </w:rPr>
              <w:t>管理</w:t>
            </w:r>
            <w:r>
              <w:rPr>
                <w:rFonts w:hint="default" w:ascii="Times New Roman" w:hAnsi="Times New Roman" w:eastAsia="宋体" w:cs="Times New Roman"/>
                <w:color w:val="auto"/>
                <w:spacing w:val="9"/>
                <w:sz w:val="24"/>
                <w:szCs w:val="24"/>
                <w:highlight w:val="none"/>
              </w:rPr>
              <w:t>，</w:t>
            </w:r>
            <w:r>
              <w:rPr>
                <w:rFonts w:hint="default" w:ascii="Times New Roman" w:hAnsi="Times New Roman" w:eastAsia="宋体" w:cs="Times New Roman"/>
                <w:color w:val="auto"/>
                <w:spacing w:val="7"/>
                <w:sz w:val="24"/>
                <w:szCs w:val="24"/>
                <w:highlight w:val="none"/>
              </w:rPr>
              <w:t>排污许可分类管理情况见表4-</w:t>
            </w:r>
            <w:r>
              <w:rPr>
                <w:rFonts w:hint="default" w:ascii="Times New Roman" w:hAnsi="Times New Roman" w:eastAsia="宋体" w:cs="Times New Roman"/>
                <w:color w:val="auto"/>
                <w:spacing w:val="7"/>
                <w:sz w:val="24"/>
                <w:szCs w:val="24"/>
                <w:highlight w:val="none"/>
                <w:lang w:val="en-US" w:eastAsia="zh-CN"/>
              </w:rPr>
              <w:t>13</w:t>
            </w:r>
            <w:r>
              <w:rPr>
                <w:rFonts w:hint="default" w:ascii="Times New Roman" w:hAnsi="Times New Roman" w:eastAsia="宋体" w:cs="Times New Roman"/>
                <w:color w:val="auto"/>
                <w:spacing w:val="7"/>
                <w:sz w:val="24"/>
                <w:szCs w:val="24"/>
                <w:highlight w:val="none"/>
              </w:rPr>
              <w:t>。</w:t>
            </w:r>
          </w:p>
          <w:p w14:paraId="7CA4AB37">
            <w:pPr>
              <w:pStyle w:val="25"/>
              <w:pageBreakBefore w:val="0"/>
              <w:kinsoku/>
              <w:wordWrap w:val="0"/>
              <w:overflowPunct/>
              <w:topLinePunct/>
              <w:autoSpaceDE/>
              <w:autoSpaceDN/>
              <w:bidi w:val="0"/>
              <w:spacing w:before="39" w:line="228" w:lineRule="auto"/>
              <w:ind w:left="2855"/>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b/>
                <w:bCs/>
                <w:color w:val="auto"/>
                <w:spacing w:val="5"/>
                <w:sz w:val="21"/>
                <w:szCs w:val="21"/>
                <w:highlight w:val="none"/>
              </w:rPr>
              <w:t>表4-</w:t>
            </w:r>
            <w:r>
              <w:rPr>
                <w:rFonts w:hint="default" w:ascii="Times New Roman" w:hAnsi="Times New Roman" w:cs="Times New Roman" w:eastAsiaTheme="majorEastAsia"/>
                <w:b/>
                <w:bCs/>
                <w:color w:val="auto"/>
                <w:spacing w:val="5"/>
                <w:sz w:val="21"/>
                <w:szCs w:val="21"/>
                <w:highlight w:val="none"/>
                <w:lang w:val="en-US" w:eastAsia="zh-CN"/>
              </w:rPr>
              <w:t>13</w:t>
            </w:r>
            <w:r>
              <w:rPr>
                <w:rFonts w:hint="default" w:ascii="Times New Roman" w:hAnsi="Times New Roman" w:cs="Times New Roman" w:eastAsiaTheme="majorEastAsia"/>
                <w:b/>
                <w:bCs/>
                <w:color w:val="auto"/>
                <w:spacing w:val="5"/>
                <w:sz w:val="21"/>
                <w:szCs w:val="21"/>
                <w:highlight w:val="none"/>
              </w:rPr>
              <w:t>项目排污许可分类管理</w:t>
            </w:r>
          </w:p>
          <w:tbl>
            <w:tblPr>
              <w:tblStyle w:val="24"/>
              <w:tblW w:w="7981"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5"/>
              <w:gridCol w:w="5834"/>
              <w:gridCol w:w="1132"/>
            </w:tblGrid>
            <w:tr w14:paraId="363A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1015" w:type="dxa"/>
                  <w:vAlign w:val="center"/>
                </w:tcPr>
                <w:p w14:paraId="7DBE14A2">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b w:val="0"/>
                      <w:bCs w:val="0"/>
                      <w:color w:val="auto"/>
                      <w:spacing w:val="5"/>
                      <w:sz w:val="21"/>
                      <w:szCs w:val="21"/>
                      <w:highlight w:val="none"/>
                    </w:rPr>
                    <w:t>行业类别</w:t>
                  </w:r>
                </w:p>
              </w:tc>
              <w:tc>
                <w:tcPr>
                  <w:tcW w:w="5834" w:type="dxa"/>
                  <w:vAlign w:val="center"/>
                </w:tcPr>
                <w:p w14:paraId="79A4364E">
                  <w:pPr>
                    <w:pStyle w:val="25"/>
                    <w:pageBreakBefore w:val="0"/>
                    <w:kinsoku/>
                    <w:wordWrap w:val="0"/>
                    <w:overflowPunct/>
                    <w:topLinePunct/>
                    <w:autoSpaceDE/>
                    <w:autoSpaceDN/>
                    <w:bidi w:val="0"/>
                    <w:spacing w:before="36" w:line="228"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b w:val="0"/>
                      <w:bCs w:val="0"/>
                      <w:color w:val="auto"/>
                      <w:spacing w:val="5"/>
                      <w:sz w:val="21"/>
                      <w:szCs w:val="21"/>
                      <w:highlight w:val="none"/>
                    </w:rPr>
                    <w:t>分类内容</w:t>
                  </w:r>
                </w:p>
              </w:tc>
              <w:tc>
                <w:tcPr>
                  <w:tcW w:w="1132" w:type="dxa"/>
                  <w:vAlign w:val="center"/>
                </w:tcPr>
                <w:p w14:paraId="5B64F25D">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b w:val="0"/>
                      <w:bCs w:val="0"/>
                      <w:color w:val="auto"/>
                      <w:spacing w:val="5"/>
                      <w:sz w:val="21"/>
                      <w:szCs w:val="21"/>
                      <w:highlight w:val="none"/>
                    </w:rPr>
                    <w:t>管理类别</w:t>
                  </w:r>
                </w:p>
              </w:tc>
            </w:tr>
            <w:tr w14:paraId="579A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5" w:hRule="atLeast"/>
              </w:trPr>
              <w:tc>
                <w:tcPr>
                  <w:tcW w:w="1015" w:type="dxa"/>
                  <w:vAlign w:val="center"/>
                </w:tcPr>
                <w:p w14:paraId="0D7F09F0">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z w:val="21"/>
                      <w:szCs w:val="21"/>
                      <w:highlight w:val="none"/>
                    </w:rPr>
                    <w:t>64</w:t>
                  </w:r>
                  <w:r>
                    <w:rPr>
                      <w:rFonts w:hint="default" w:ascii="Times New Roman" w:hAnsi="Times New Roman" w:cs="Times New Roman" w:eastAsiaTheme="majorEastAsia"/>
                      <w:color w:val="auto"/>
                      <w:sz w:val="21"/>
                      <w:szCs w:val="21"/>
                      <w:highlight w:val="none"/>
                      <w:lang w:eastAsia="zh-CN"/>
                    </w:rPr>
                    <w:t>、</w:t>
                  </w:r>
                  <w:r>
                    <w:rPr>
                      <w:rFonts w:hint="default" w:ascii="Times New Roman" w:hAnsi="Times New Roman" w:cs="Times New Roman" w:eastAsiaTheme="majorEastAsia"/>
                      <w:color w:val="auto"/>
                      <w:sz w:val="21"/>
                      <w:szCs w:val="21"/>
                      <w:highlight w:val="none"/>
                    </w:rPr>
                    <w:t>砖瓦、石材等建筑材料制造303</w:t>
                  </w:r>
                </w:p>
              </w:tc>
              <w:tc>
                <w:tcPr>
                  <w:tcW w:w="5834" w:type="dxa"/>
                  <w:vAlign w:val="center"/>
                </w:tcPr>
                <w:p w14:paraId="4B133512">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z w:val="21"/>
                      <w:szCs w:val="21"/>
                      <w:highlight w:val="none"/>
                    </w:rPr>
                    <w:t>粘土砖瓦及建筑砌块制造 3031(除以煤或者煤矸石为燃料的烧结砖瓦以外的)，建筑用石加工3032，防水建筑材料制造3033，隔热和隔音材料制造3034，其他建筑材料制造3039，以上均不含仅切割加工的</w:t>
                  </w:r>
                </w:p>
              </w:tc>
              <w:tc>
                <w:tcPr>
                  <w:tcW w:w="1132" w:type="dxa"/>
                  <w:vAlign w:val="center"/>
                </w:tcPr>
                <w:p w14:paraId="164F2171">
                  <w:pPr>
                    <w:pStyle w:val="25"/>
                    <w:pageBreakBefore w:val="0"/>
                    <w:kinsoku/>
                    <w:wordWrap w:val="0"/>
                    <w:overflowPunct/>
                    <w:topLinePunct/>
                    <w:autoSpaceDE/>
                    <w:autoSpaceDN/>
                    <w:bidi w:val="0"/>
                    <w:spacing w:line="240" w:lineRule="auto"/>
                    <w:ind w:left="0"/>
                    <w:jc w:val="center"/>
                    <w:rPr>
                      <w:rFonts w:hint="default" w:ascii="Times New Roman" w:hAnsi="Times New Roman" w:cs="Times New Roman" w:eastAsiaTheme="majorEastAsia"/>
                      <w:color w:val="auto"/>
                      <w:sz w:val="21"/>
                      <w:szCs w:val="21"/>
                      <w:highlight w:val="none"/>
                    </w:rPr>
                  </w:pPr>
                  <w:r>
                    <w:rPr>
                      <w:rFonts w:hint="default" w:ascii="Times New Roman" w:hAnsi="Times New Roman" w:cs="Times New Roman" w:eastAsiaTheme="majorEastAsia"/>
                      <w:color w:val="auto"/>
                      <w:spacing w:val="6"/>
                      <w:sz w:val="21"/>
                      <w:szCs w:val="21"/>
                      <w:highlight w:val="none"/>
                      <w:lang w:val="en-US" w:eastAsia="zh-CN"/>
                    </w:rPr>
                    <w:t>简化</w:t>
                  </w:r>
                  <w:r>
                    <w:rPr>
                      <w:rFonts w:hint="default" w:ascii="Times New Roman" w:hAnsi="Times New Roman" w:cs="Times New Roman" w:eastAsiaTheme="majorEastAsia"/>
                      <w:color w:val="auto"/>
                      <w:spacing w:val="6"/>
                      <w:sz w:val="21"/>
                      <w:szCs w:val="21"/>
                      <w:highlight w:val="none"/>
                    </w:rPr>
                    <w:t>管理</w:t>
                  </w:r>
                </w:p>
              </w:tc>
            </w:tr>
          </w:tbl>
          <w:p w14:paraId="2FB70715">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8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2"/>
                <w:sz w:val="24"/>
                <w:szCs w:val="24"/>
                <w:highlight w:val="none"/>
              </w:rPr>
              <w:t>11</w:t>
            </w:r>
            <w:r>
              <w:rPr>
                <w:rFonts w:hint="default" w:ascii="Times New Roman" w:hAnsi="Times New Roman" w:cs="Times New Roman"/>
                <w:b/>
                <w:bCs/>
                <w:color w:val="auto"/>
                <w:spacing w:val="2"/>
                <w:sz w:val="24"/>
                <w:szCs w:val="24"/>
                <w:highlight w:val="none"/>
              </w:rPr>
              <w:t>、环境管理</w:t>
            </w:r>
          </w:p>
          <w:p w14:paraId="78E836FA">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2"/>
                <w:sz w:val="24"/>
                <w:szCs w:val="24"/>
                <w:highlight w:val="none"/>
              </w:rPr>
              <w:t>项目环境保护管理是指工程在施工期、营运期执行和遵守国家、省、市有关环境保护法律、法规、政策和标准，接受地方环境保护主管部门的环境监督，调整和制定环境保护规划和目标，把不利影响减免到最低限度，加强项目环境管理，及时调整工程运行</w:t>
            </w:r>
            <w:r>
              <w:rPr>
                <w:rFonts w:hint="default" w:ascii="Times New Roman" w:hAnsi="Times New Roman" w:cs="Times New Roman"/>
                <w:color w:val="auto"/>
                <w:spacing w:val="9"/>
                <w:sz w:val="24"/>
                <w:szCs w:val="24"/>
                <w:highlight w:val="none"/>
              </w:rPr>
              <w:t>方式和环境保护措施，最终达到保护环境的目的，取得更好的综合环境效益。</w:t>
            </w:r>
          </w:p>
          <w:p w14:paraId="581F9A7B">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0"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color w:val="auto"/>
                <w:spacing w:val="5"/>
                <w:position w:val="1"/>
                <w:sz w:val="24"/>
                <w:szCs w:val="24"/>
                <w:highlight w:val="none"/>
              </w:rPr>
              <w:t>1</w:t>
            </w:r>
            <w:r>
              <w:rPr>
                <w:rFonts w:hint="default" w:ascii="Times New Roman" w:hAnsi="Times New Roman" w:cs="Times New Roman"/>
                <w:color w:val="auto"/>
                <w:spacing w:val="5"/>
                <w:position w:val="1"/>
                <w:sz w:val="24"/>
                <w:szCs w:val="24"/>
                <w:highlight w:val="none"/>
              </w:rPr>
              <w:t>、环境管理机构与人员</w:t>
            </w:r>
          </w:p>
          <w:p w14:paraId="37E252C0">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2"/>
                <w:sz w:val="24"/>
                <w:szCs w:val="24"/>
                <w:highlight w:val="none"/>
              </w:rPr>
              <w:t>营运期环境由建设单位负责具体的环境管理和监测，环境监测可委托有资质单</w:t>
            </w:r>
            <w:r>
              <w:rPr>
                <w:rFonts w:hint="default" w:ascii="Times New Roman" w:hAnsi="Times New Roman" w:cs="Times New Roman"/>
                <w:color w:val="auto"/>
                <w:spacing w:val="11"/>
                <w:sz w:val="24"/>
                <w:szCs w:val="24"/>
                <w:highlight w:val="none"/>
              </w:rPr>
              <w:t>位进</w:t>
            </w:r>
            <w:r>
              <w:rPr>
                <w:rFonts w:hint="default" w:ascii="Times New Roman" w:hAnsi="Times New Roman" w:cs="Times New Roman"/>
                <w:color w:val="auto"/>
                <w:spacing w:val="-2"/>
                <w:sz w:val="24"/>
                <w:szCs w:val="24"/>
                <w:highlight w:val="none"/>
              </w:rPr>
              <w:t>行。</w:t>
            </w:r>
          </w:p>
          <w:p w14:paraId="7F577B32">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4"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color w:val="auto"/>
                <w:spacing w:val="6"/>
                <w:position w:val="1"/>
                <w:sz w:val="24"/>
                <w:szCs w:val="24"/>
                <w:highlight w:val="none"/>
              </w:rPr>
              <w:t>2</w:t>
            </w:r>
            <w:r>
              <w:rPr>
                <w:rFonts w:hint="default" w:ascii="Times New Roman" w:hAnsi="Times New Roman" w:cs="Times New Roman"/>
                <w:color w:val="auto"/>
                <w:spacing w:val="6"/>
                <w:position w:val="1"/>
                <w:sz w:val="24"/>
                <w:szCs w:val="24"/>
                <w:highlight w:val="none"/>
              </w:rPr>
              <w:t>、环境管理机构职责</w:t>
            </w:r>
          </w:p>
          <w:p w14:paraId="74BBD0D4">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9"/>
                <w:sz w:val="24"/>
                <w:szCs w:val="24"/>
                <w:highlight w:val="none"/>
              </w:rPr>
              <w:t>环境管理机构负责项目营运期的环境管理与环境监测工作，主要职责：</w:t>
            </w:r>
          </w:p>
          <w:p w14:paraId="55EE31DA">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9"/>
                <w:sz w:val="24"/>
                <w:szCs w:val="24"/>
                <w:highlight w:val="none"/>
              </w:rPr>
              <w:t>①编制、提出该项目运营期的短期环境保护计划及长远环境保护规划。</w:t>
            </w:r>
          </w:p>
          <w:p w14:paraId="419B3EE6">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2"/>
                <w:sz w:val="24"/>
                <w:szCs w:val="24"/>
                <w:highlight w:val="none"/>
              </w:rPr>
              <w:t>②贯彻落实国家和地方的环境保护法律、法规、政策和标准，直接接受环保主管部</w:t>
            </w:r>
            <w:r>
              <w:rPr>
                <w:rFonts w:hint="default" w:ascii="Times New Roman" w:hAnsi="Times New Roman" w:cs="Times New Roman"/>
                <w:color w:val="auto"/>
                <w:spacing w:val="8"/>
                <w:sz w:val="24"/>
                <w:szCs w:val="24"/>
                <w:highlight w:val="none"/>
              </w:rPr>
              <w:t>门的监督、领导，配合环境保护主管部门做好环保工作。</w:t>
            </w:r>
          </w:p>
          <w:p w14:paraId="6F6117D6">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2"/>
                <w:sz w:val="24"/>
                <w:szCs w:val="24"/>
                <w:highlight w:val="none"/>
              </w:rPr>
              <w:t>③领导并组织环境监测工作，制定和实施监测方案，定期向主管部门及市环境保护</w:t>
            </w:r>
            <w:r>
              <w:rPr>
                <w:rFonts w:hint="default" w:ascii="Times New Roman" w:hAnsi="Times New Roman" w:cs="Times New Roman"/>
                <w:color w:val="auto"/>
                <w:spacing w:val="6"/>
                <w:sz w:val="24"/>
                <w:szCs w:val="24"/>
                <w:highlight w:val="none"/>
              </w:rPr>
              <w:t>主管部门上报。</w:t>
            </w:r>
          </w:p>
          <w:p w14:paraId="4A20FF77">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2"/>
                <w:sz w:val="24"/>
                <w:szCs w:val="24"/>
                <w:highlight w:val="none"/>
              </w:rPr>
              <w:t>④监督项目各排污口污染物排放情况，按《环境保护图形标志―排放口（源）》</w:t>
            </w:r>
            <w:r>
              <w:rPr>
                <w:rFonts w:hint="default" w:ascii="Times New Roman" w:hAnsi="Times New Roman" w:cs="Times New Roman"/>
                <w:color w:val="auto"/>
                <w:spacing w:val="3"/>
                <w:sz w:val="24"/>
                <w:szCs w:val="24"/>
                <w:highlight w:val="none"/>
              </w:rPr>
              <w:t>（</w:t>
            </w:r>
            <w:r>
              <w:rPr>
                <w:rFonts w:hint="default" w:ascii="Times New Roman" w:hAnsi="Times New Roman" w:eastAsia="Times New Roman" w:cs="Times New Roman"/>
                <w:color w:val="auto"/>
                <w:sz w:val="24"/>
                <w:szCs w:val="24"/>
                <w:highlight w:val="none"/>
              </w:rPr>
              <w:t>GB</w:t>
            </w:r>
            <w:r>
              <w:rPr>
                <w:rFonts w:hint="default" w:ascii="Times New Roman" w:hAnsi="Times New Roman" w:eastAsia="Times New Roman" w:cs="Times New Roman"/>
                <w:color w:val="auto"/>
                <w:spacing w:val="3"/>
                <w:sz w:val="24"/>
                <w:szCs w:val="24"/>
                <w:highlight w:val="none"/>
              </w:rPr>
              <w:t>15562.1-1995</w:t>
            </w:r>
            <w:r>
              <w:rPr>
                <w:rFonts w:hint="default" w:ascii="Times New Roman" w:hAnsi="Times New Roman" w:cs="Times New Roman"/>
                <w:color w:val="auto"/>
                <w:spacing w:val="3"/>
                <w:sz w:val="24"/>
                <w:szCs w:val="24"/>
                <w:highlight w:val="none"/>
              </w:rPr>
              <w:t>）的图形，在各气、水、声排污口（源）挂牌标识，做到各排污口（源）</w:t>
            </w:r>
            <w:r>
              <w:rPr>
                <w:rFonts w:hint="default" w:ascii="Times New Roman" w:hAnsi="Times New Roman" w:cs="Times New Roman"/>
                <w:color w:val="auto"/>
                <w:spacing w:val="9"/>
                <w:sz w:val="24"/>
                <w:szCs w:val="24"/>
                <w:highlight w:val="none"/>
              </w:rPr>
              <w:t>的环保标志明显，便于企业管理和公众监督，确保污染物达到国家排放标准。</w:t>
            </w:r>
          </w:p>
          <w:p w14:paraId="1F7A26B9">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color w:val="auto"/>
                <w:spacing w:val="7"/>
                <w:position w:val="1"/>
                <w:sz w:val="24"/>
                <w:szCs w:val="24"/>
                <w:highlight w:val="none"/>
              </w:rPr>
              <w:t>3</w:t>
            </w:r>
            <w:r>
              <w:rPr>
                <w:rFonts w:hint="default" w:ascii="Times New Roman" w:hAnsi="Times New Roman" w:cs="Times New Roman"/>
                <w:color w:val="auto"/>
                <w:spacing w:val="7"/>
                <w:position w:val="1"/>
                <w:sz w:val="24"/>
                <w:szCs w:val="24"/>
                <w:highlight w:val="none"/>
              </w:rPr>
              <w:t>、项目运营期的环境保护管理</w:t>
            </w:r>
          </w:p>
          <w:p w14:paraId="11F0BB3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8"/>
                <w:sz w:val="24"/>
                <w:szCs w:val="24"/>
                <w:highlight w:val="none"/>
              </w:rPr>
              <w:t>①根据国家环保政策、标准及环境监测要求，制定该项目营运期环保管理规章制度、各种污染物排放控制指标；</w:t>
            </w:r>
          </w:p>
          <w:p w14:paraId="031F6FE8">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2"/>
                <w:sz w:val="24"/>
                <w:szCs w:val="24"/>
                <w:highlight w:val="none"/>
              </w:rPr>
              <w:t>②负责该项目内所有环保设施的日常运行管理，保障各环保设施的正常运行，并对</w:t>
            </w:r>
            <w:r>
              <w:rPr>
                <w:rFonts w:hint="default" w:ascii="Times New Roman" w:hAnsi="Times New Roman" w:cs="Times New Roman"/>
                <w:color w:val="auto"/>
                <w:spacing w:val="8"/>
                <w:sz w:val="24"/>
                <w:szCs w:val="24"/>
                <w:highlight w:val="none"/>
              </w:rPr>
              <w:t>环保设施的改进提出积极的建议；</w:t>
            </w:r>
          </w:p>
          <w:p w14:paraId="180D8DC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2"/>
                <w:sz w:val="24"/>
                <w:szCs w:val="24"/>
                <w:highlight w:val="none"/>
              </w:rPr>
              <w:t>③负责该项目营运期环境监测工作，及时掌握该项目污染状况，整理监测数据，建</w:t>
            </w:r>
            <w:r>
              <w:rPr>
                <w:rFonts w:hint="default" w:ascii="Times New Roman" w:hAnsi="Times New Roman" w:cs="Times New Roman"/>
                <w:color w:val="auto"/>
                <w:spacing w:val="7"/>
                <w:sz w:val="24"/>
                <w:szCs w:val="24"/>
                <w:highlight w:val="none"/>
              </w:rPr>
              <w:t>立污染源档案；</w:t>
            </w:r>
          </w:p>
          <w:p w14:paraId="2C96452C">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12"/>
                <w:sz w:val="24"/>
                <w:szCs w:val="24"/>
                <w:highlight w:val="none"/>
              </w:rPr>
              <w:t>④该项目营运期的环境管理由建设单位承担，并接受环境保护主管部门的指导和监</w:t>
            </w:r>
            <w:r>
              <w:rPr>
                <w:rFonts w:hint="default" w:ascii="Times New Roman" w:hAnsi="Times New Roman" w:cs="Times New Roman"/>
                <w:color w:val="auto"/>
                <w:spacing w:val="-2"/>
                <w:sz w:val="24"/>
                <w:szCs w:val="24"/>
                <w:highlight w:val="none"/>
              </w:rPr>
              <w:t>督；</w:t>
            </w:r>
          </w:p>
          <w:p w14:paraId="45113358">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2"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8"/>
                <w:sz w:val="24"/>
                <w:szCs w:val="24"/>
                <w:highlight w:val="none"/>
              </w:rPr>
              <w:t>⑤负责对本单位职工进行环保宣传工作。</w:t>
            </w:r>
          </w:p>
          <w:p w14:paraId="298E37C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492"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eastAsia="Times New Roman" w:cs="Times New Roman"/>
                <w:b/>
                <w:bCs/>
                <w:color w:val="auto"/>
                <w:spacing w:val="3"/>
                <w:sz w:val="24"/>
                <w:szCs w:val="24"/>
                <w:highlight w:val="none"/>
              </w:rPr>
              <w:t>12</w:t>
            </w:r>
            <w:r>
              <w:rPr>
                <w:rFonts w:hint="default" w:ascii="Times New Roman" w:hAnsi="Times New Roman" w:cs="Times New Roman"/>
                <w:b/>
                <w:bCs/>
                <w:color w:val="auto"/>
                <w:spacing w:val="3"/>
                <w:sz w:val="24"/>
                <w:szCs w:val="24"/>
                <w:highlight w:val="none"/>
              </w:rPr>
              <w:t>、环保投资估算</w:t>
            </w:r>
          </w:p>
          <w:p w14:paraId="175D853F">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04" w:firstLineChars="200"/>
              <w:jc w:val="both"/>
              <w:textAlignment w:val="baseline"/>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6"/>
                <w:sz w:val="24"/>
                <w:szCs w:val="24"/>
                <w:highlight w:val="none"/>
              </w:rPr>
              <w:t>本次目总投资</w:t>
            </w:r>
            <w:r>
              <w:rPr>
                <w:rFonts w:hint="default" w:ascii="Times New Roman" w:hAnsi="Times New Roman" w:cs="Times New Roman"/>
                <w:color w:val="auto"/>
                <w:spacing w:val="6"/>
                <w:sz w:val="24"/>
                <w:szCs w:val="24"/>
                <w:highlight w:val="none"/>
                <w:lang w:val="en-US" w:eastAsia="zh-CN"/>
              </w:rPr>
              <w:t>10</w:t>
            </w:r>
            <w:r>
              <w:rPr>
                <w:rFonts w:hint="default" w:ascii="Times New Roman" w:hAnsi="Times New Roman" w:eastAsia="Times New Roman" w:cs="Times New Roman"/>
                <w:color w:val="auto"/>
                <w:spacing w:val="6"/>
                <w:sz w:val="24"/>
                <w:szCs w:val="24"/>
                <w:highlight w:val="none"/>
              </w:rPr>
              <w:t>0</w:t>
            </w:r>
            <w:r>
              <w:rPr>
                <w:rFonts w:hint="default" w:ascii="Times New Roman" w:hAnsi="Times New Roman" w:cs="Times New Roman"/>
                <w:color w:val="auto"/>
                <w:spacing w:val="6"/>
                <w:sz w:val="24"/>
                <w:szCs w:val="24"/>
                <w:highlight w:val="none"/>
              </w:rPr>
              <w:t>万元，其中环保投资</w:t>
            </w:r>
            <w:r>
              <w:rPr>
                <w:rFonts w:hint="eastAsia" w:ascii="Times New Roman" w:hAnsi="Times New Roman" w:cs="Times New Roman"/>
                <w:color w:val="auto"/>
                <w:spacing w:val="6"/>
                <w:sz w:val="24"/>
                <w:szCs w:val="24"/>
                <w:highlight w:val="none"/>
                <w:lang w:val="en-US" w:eastAsia="zh-CN"/>
              </w:rPr>
              <w:t>24</w:t>
            </w:r>
            <w:r>
              <w:rPr>
                <w:rFonts w:hint="default" w:ascii="Times New Roman" w:hAnsi="Times New Roman" w:cs="Times New Roman"/>
                <w:color w:val="auto"/>
                <w:spacing w:val="6"/>
                <w:sz w:val="24"/>
                <w:szCs w:val="24"/>
                <w:highlight w:val="none"/>
              </w:rPr>
              <w:t>万元，占总投资的</w:t>
            </w:r>
            <w:r>
              <w:rPr>
                <w:rFonts w:hint="eastAsia" w:ascii="Times New Roman" w:hAnsi="Times New Roman" w:cs="Times New Roman"/>
                <w:color w:val="auto"/>
                <w:spacing w:val="6"/>
                <w:sz w:val="24"/>
                <w:szCs w:val="24"/>
                <w:highlight w:val="none"/>
                <w:lang w:val="en-US" w:eastAsia="zh-CN"/>
              </w:rPr>
              <w:t>24</w:t>
            </w:r>
            <w:r>
              <w:rPr>
                <w:rFonts w:hint="default" w:ascii="Times New Roman" w:hAnsi="Times New Roman" w:eastAsia="Times New Roman" w:cs="Times New Roman"/>
                <w:color w:val="auto"/>
                <w:spacing w:val="6"/>
                <w:sz w:val="24"/>
                <w:szCs w:val="24"/>
                <w:highlight w:val="none"/>
              </w:rPr>
              <w:t>%</w:t>
            </w:r>
            <w:r>
              <w:rPr>
                <w:rFonts w:hint="default" w:ascii="Times New Roman" w:hAnsi="Times New Roman" w:cs="Times New Roman"/>
                <w:color w:val="auto"/>
                <w:spacing w:val="6"/>
                <w:sz w:val="24"/>
                <w:szCs w:val="24"/>
                <w:highlight w:val="none"/>
              </w:rPr>
              <w:t>。项目环保</w:t>
            </w:r>
            <w:r>
              <w:rPr>
                <w:rFonts w:hint="default" w:ascii="Times New Roman" w:hAnsi="Times New Roman" w:cs="Times New Roman"/>
                <w:color w:val="auto"/>
                <w:spacing w:val="5"/>
                <w:sz w:val="24"/>
                <w:szCs w:val="24"/>
                <w:highlight w:val="none"/>
              </w:rPr>
              <w:t>投资情况见表</w:t>
            </w:r>
            <w:r>
              <w:rPr>
                <w:rFonts w:hint="default" w:ascii="Times New Roman" w:hAnsi="Times New Roman" w:eastAsia="Times New Roman" w:cs="Times New Roman"/>
                <w:color w:val="auto"/>
                <w:spacing w:val="5"/>
                <w:sz w:val="24"/>
                <w:szCs w:val="24"/>
                <w:highlight w:val="none"/>
              </w:rPr>
              <w:t>4-</w:t>
            </w:r>
            <w:r>
              <w:rPr>
                <w:rFonts w:hint="default" w:ascii="Times New Roman" w:hAnsi="Times New Roman" w:eastAsia="宋体" w:cs="Times New Roman"/>
                <w:color w:val="auto"/>
                <w:spacing w:val="5"/>
                <w:sz w:val="24"/>
                <w:szCs w:val="24"/>
                <w:highlight w:val="none"/>
                <w:lang w:val="en-US" w:eastAsia="zh-CN"/>
              </w:rPr>
              <w:t>1</w:t>
            </w:r>
            <w:r>
              <w:rPr>
                <w:rFonts w:hint="default" w:ascii="Times New Roman" w:hAnsi="Times New Roman" w:cs="Times New Roman"/>
                <w:color w:val="auto"/>
                <w:spacing w:val="5"/>
                <w:sz w:val="24"/>
                <w:szCs w:val="24"/>
                <w:highlight w:val="none"/>
                <w:lang w:val="en-US" w:eastAsia="zh-CN"/>
              </w:rPr>
              <w:t>4</w:t>
            </w:r>
            <w:r>
              <w:rPr>
                <w:rFonts w:hint="default" w:ascii="Times New Roman" w:hAnsi="Times New Roman" w:cs="Times New Roman"/>
                <w:color w:val="auto"/>
                <w:spacing w:val="5"/>
                <w:sz w:val="24"/>
                <w:szCs w:val="24"/>
                <w:highlight w:val="none"/>
              </w:rPr>
              <w:t>。</w:t>
            </w:r>
          </w:p>
          <w:p w14:paraId="6518511B">
            <w:pPr>
              <w:pStyle w:val="25"/>
              <w:pageBreakBefore w:val="0"/>
              <w:kinsoku/>
              <w:wordWrap w:val="0"/>
              <w:overflowPunct/>
              <w:topLinePunct/>
              <w:autoSpaceDE/>
              <w:autoSpaceDN/>
              <w:bidi w:val="0"/>
              <w:spacing w:before="38" w:line="229" w:lineRule="auto"/>
              <w:jc w:val="center"/>
              <w:outlineLvl w:val="2"/>
              <w:rPr>
                <w:rFonts w:hint="default" w:ascii="Times New Roman" w:hAnsi="Times New Roman" w:eastAsia="宋体" w:cs="Times New Roman"/>
                <w:b/>
                <w:bCs/>
                <w:color w:val="auto"/>
                <w:spacing w:val="5"/>
                <w:sz w:val="21"/>
                <w:szCs w:val="21"/>
                <w:highlight w:val="none"/>
              </w:rPr>
            </w:pPr>
            <w:r>
              <w:rPr>
                <w:rFonts w:hint="default" w:ascii="Times New Roman" w:hAnsi="Times New Roman" w:eastAsia="宋体" w:cs="Times New Roman"/>
                <w:b/>
                <w:bCs/>
                <w:color w:val="auto"/>
                <w:spacing w:val="5"/>
                <w:sz w:val="21"/>
                <w:szCs w:val="21"/>
                <w:highlight w:val="none"/>
              </w:rPr>
              <w:t>表4-</w:t>
            </w:r>
            <w:r>
              <w:rPr>
                <w:rFonts w:hint="default" w:ascii="Times New Roman" w:hAnsi="Times New Roman" w:eastAsia="宋体" w:cs="Times New Roman"/>
                <w:b/>
                <w:bCs/>
                <w:color w:val="auto"/>
                <w:spacing w:val="5"/>
                <w:sz w:val="21"/>
                <w:szCs w:val="21"/>
                <w:highlight w:val="none"/>
                <w:lang w:val="en-US" w:eastAsia="zh-CN"/>
              </w:rPr>
              <w:t xml:space="preserve">14  </w:t>
            </w:r>
            <w:r>
              <w:rPr>
                <w:rFonts w:hint="default" w:ascii="Times New Roman" w:hAnsi="Times New Roman" w:eastAsia="宋体" w:cs="Times New Roman"/>
                <w:b/>
                <w:bCs/>
                <w:color w:val="auto"/>
                <w:spacing w:val="5"/>
                <w:sz w:val="21"/>
                <w:szCs w:val="21"/>
                <w:highlight w:val="none"/>
              </w:rPr>
              <w:t>环保投资情况一览表</w:t>
            </w:r>
          </w:p>
          <w:tbl>
            <w:tblPr>
              <w:tblStyle w:val="24"/>
              <w:tblW w:w="49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4"/>
              <w:gridCol w:w="5467"/>
              <w:gridCol w:w="1360"/>
            </w:tblGrid>
            <w:tr w14:paraId="7E34F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792" w:type="pct"/>
                  <w:vAlign w:val="center"/>
                </w:tcPr>
                <w:p w14:paraId="58FC2B1E">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污染物</w:t>
                  </w:r>
                </w:p>
              </w:tc>
              <w:tc>
                <w:tcPr>
                  <w:tcW w:w="3368" w:type="pct"/>
                  <w:vAlign w:val="center"/>
                </w:tcPr>
                <w:p w14:paraId="56203F47">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项目</w:t>
                  </w:r>
                </w:p>
              </w:tc>
              <w:tc>
                <w:tcPr>
                  <w:tcW w:w="838" w:type="pct"/>
                  <w:vAlign w:val="top"/>
                </w:tcPr>
                <w:p w14:paraId="1C5EAB2D">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环保投资</w:t>
                  </w:r>
                </w:p>
                <w:p w14:paraId="6A5EE0FA">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（万元）</w:t>
                  </w:r>
                </w:p>
              </w:tc>
            </w:tr>
            <w:tr w14:paraId="6093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2" w:hRule="atLeast"/>
                <w:jc w:val="center"/>
              </w:trPr>
              <w:tc>
                <w:tcPr>
                  <w:tcW w:w="792" w:type="pct"/>
                  <w:vMerge w:val="restart"/>
                  <w:vAlign w:val="center"/>
                </w:tcPr>
                <w:p w14:paraId="05990B0A">
                  <w:pPr>
                    <w:pageBreakBefore w:val="0"/>
                    <w:kinsoku/>
                    <w:wordWrap w:val="0"/>
                    <w:overflowPunct/>
                    <w:topLinePunct/>
                    <w:autoSpaceDE/>
                    <w:autoSpaceDN/>
                    <w:bidi w:val="0"/>
                    <w:spacing w:line="240" w:lineRule="auto"/>
                    <w:jc w:val="center"/>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zh-CN" w:bidi="ar-SA"/>
                    </w:rPr>
                    <w:t>废气</w:t>
                  </w:r>
                </w:p>
              </w:tc>
              <w:tc>
                <w:tcPr>
                  <w:tcW w:w="3368" w:type="pct"/>
                  <w:vAlign w:val="center"/>
                </w:tcPr>
                <w:p w14:paraId="7B2233B6">
                  <w:pPr>
                    <w:pStyle w:val="25"/>
                    <w:pageBreakBefore w:val="0"/>
                    <w:kinsoku/>
                    <w:wordWrap w:val="0"/>
                    <w:overflowPunct/>
                    <w:topLinePunct/>
                    <w:autoSpaceDE/>
                    <w:autoSpaceDN/>
                    <w:bidi w:val="0"/>
                    <w:spacing w:line="240" w:lineRule="auto"/>
                    <w:ind w:left="0" w:right="0" w:firstLine="0"/>
                    <w:jc w:val="center"/>
                    <w:outlineLvl w:val="2"/>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en-US" w:bidi="ar-SA"/>
                    </w:rPr>
                    <w:t>上料、混合搅拌废气采用1套“布袋除尘+15m高排气筒</w:t>
                  </w:r>
                  <w:r>
                    <w:rPr>
                      <w:rFonts w:hint="default" w:ascii="Times New Roman" w:hAnsi="Times New Roman" w:eastAsia="宋体" w:cs="Times New Roman"/>
                      <w:snapToGrid w:val="0"/>
                      <w:color w:val="auto"/>
                      <w:spacing w:val="8"/>
                      <w:kern w:val="0"/>
                      <w:sz w:val="21"/>
                      <w:szCs w:val="21"/>
                      <w:highlight w:val="none"/>
                      <w:lang w:val="en-US" w:eastAsia="zh-CN" w:bidi="ar-SA"/>
                    </w:rPr>
                    <w:t>排</w:t>
                  </w:r>
                  <w:r>
                    <w:rPr>
                      <w:rFonts w:hint="default" w:ascii="Times New Roman" w:hAnsi="Times New Roman" w:eastAsia="宋体" w:cs="Times New Roman"/>
                      <w:snapToGrid w:val="0"/>
                      <w:color w:val="auto"/>
                      <w:spacing w:val="8"/>
                      <w:kern w:val="0"/>
                      <w:sz w:val="21"/>
                      <w:szCs w:val="21"/>
                      <w:highlight w:val="none"/>
                      <w:lang w:val="en-US" w:eastAsia="en-US" w:bidi="ar-SA"/>
                    </w:rPr>
                    <w:t>放</w:t>
                  </w:r>
                </w:p>
              </w:tc>
              <w:tc>
                <w:tcPr>
                  <w:tcW w:w="838" w:type="pct"/>
                  <w:vAlign w:val="top"/>
                </w:tcPr>
                <w:p w14:paraId="28346772">
                  <w:pPr>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en-US" w:bidi="ar-SA"/>
                    </w:rPr>
                    <w:t>10</w:t>
                  </w:r>
                </w:p>
              </w:tc>
            </w:tr>
            <w:tr w14:paraId="6B6F2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92" w:type="pct"/>
                  <w:vMerge w:val="continue"/>
                  <w:vAlign w:val="center"/>
                </w:tcPr>
                <w:p w14:paraId="4B40B19F">
                  <w:pPr>
                    <w:pageBreakBefore w:val="0"/>
                    <w:kinsoku/>
                    <w:wordWrap w:val="0"/>
                    <w:overflowPunct/>
                    <w:topLinePunct/>
                    <w:autoSpaceDE/>
                    <w:autoSpaceDN/>
                    <w:bidi w:val="0"/>
                    <w:spacing w:line="240" w:lineRule="auto"/>
                    <w:jc w:val="center"/>
                    <w:rPr>
                      <w:rFonts w:hint="default" w:ascii="Times New Roman" w:hAnsi="Times New Roman" w:eastAsia="宋体" w:cs="Times New Roman"/>
                      <w:snapToGrid w:val="0"/>
                      <w:color w:val="auto"/>
                      <w:spacing w:val="8"/>
                      <w:kern w:val="0"/>
                      <w:sz w:val="21"/>
                      <w:szCs w:val="21"/>
                      <w:highlight w:val="none"/>
                      <w:lang w:val="en-US" w:eastAsia="en-US" w:bidi="ar-SA"/>
                    </w:rPr>
                  </w:pPr>
                </w:p>
              </w:tc>
              <w:tc>
                <w:tcPr>
                  <w:tcW w:w="3368" w:type="pct"/>
                  <w:vAlign w:val="center"/>
                </w:tcPr>
                <w:p w14:paraId="3491116C">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zh-CN" w:bidi="ar-SA"/>
                    </w:rPr>
                  </w:pPr>
                  <w:r>
                    <w:rPr>
                      <w:rFonts w:hint="default" w:ascii="Times New Roman" w:hAnsi="Times New Roman" w:eastAsia="宋体" w:cs="Times New Roman"/>
                      <w:snapToGrid w:val="0"/>
                      <w:color w:val="auto"/>
                      <w:spacing w:val="8"/>
                      <w:kern w:val="0"/>
                      <w:sz w:val="21"/>
                      <w:szCs w:val="21"/>
                      <w:highlight w:val="none"/>
                      <w:lang w:val="en-US" w:eastAsia="en-US" w:bidi="ar-SA"/>
                    </w:rPr>
                    <w:t>堆场</w:t>
                  </w:r>
                  <w:r>
                    <w:rPr>
                      <w:rFonts w:hint="default" w:ascii="Times New Roman" w:hAnsi="Times New Roman" w:eastAsia="宋体" w:cs="Times New Roman"/>
                      <w:snapToGrid w:val="0"/>
                      <w:color w:val="auto"/>
                      <w:spacing w:val="8"/>
                      <w:kern w:val="0"/>
                      <w:sz w:val="21"/>
                      <w:szCs w:val="21"/>
                      <w:highlight w:val="none"/>
                      <w:lang w:val="en-US" w:eastAsia="zh-CN" w:bidi="ar-SA"/>
                    </w:rPr>
                    <w:t>洒水</w:t>
                  </w:r>
                </w:p>
              </w:tc>
              <w:tc>
                <w:tcPr>
                  <w:tcW w:w="838" w:type="pct"/>
                  <w:vAlign w:val="top"/>
                </w:tcPr>
                <w:p w14:paraId="0CE478D2">
                  <w:pPr>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snapToGrid w:val="0"/>
                      <w:color w:val="auto"/>
                      <w:spacing w:val="8"/>
                      <w:kern w:val="0"/>
                      <w:sz w:val="21"/>
                      <w:szCs w:val="21"/>
                      <w:highlight w:val="none"/>
                      <w:lang w:val="en-US" w:eastAsia="zh-CN" w:bidi="ar-SA"/>
                    </w:rPr>
                  </w:pPr>
                  <w:r>
                    <w:rPr>
                      <w:rFonts w:hint="default" w:ascii="Times New Roman" w:hAnsi="Times New Roman" w:eastAsia="宋体" w:cs="Times New Roman"/>
                      <w:snapToGrid w:val="0"/>
                      <w:color w:val="auto"/>
                      <w:spacing w:val="8"/>
                      <w:kern w:val="0"/>
                      <w:sz w:val="21"/>
                      <w:szCs w:val="21"/>
                      <w:highlight w:val="none"/>
                      <w:lang w:val="en-US" w:eastAsia="zh-CN" w:bidi="ar-SA"/>
                    </w:rPr>
                    <w:t>1</w:t>
                  </w:r>
                </w:p>
              </w:tc>
            </w:tr>
            <w:tr w14:paraId="4CFF9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1" w:hRule="atLeast"/>
                <w:jc w:val="center"/>
              </w:trPr>
              <w:tc>
                <w:tcPr>
                  <w:tcW w:w="792" w:type="pct"/>
                  <w:vAlign w:val="center"/>
                </w:tcPr>
                <w:p w14:paraId="384A51B4">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en-US" w:bidi="ar-SA"/>
                    </w:rPr>
                    <w:t>噪声</w:t>
                  </w:r>
                </w:p>
              </w:tc>
              <w:tc>
                <w:tcPr>
                  <w:tcW w:w="3368" w:type="pct"/>
                  <w:vAlign w:val="center"/>
                </w:tcPr>
                <w:p w14:paraId="2F7CB0DC">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en-US" w:bidi="ar-SA"/>
                    </w:rPr>
                    <w:t>选用低噪声设备、基础减振等措施</w:t>
                  </w:r>
                </w:p>
              </w:tc>
              <w:tc>
                <w:tcPr>
                  <w:tcW w:w="838" w:type="pct"/>
                  <w:vAlign w:val="top"/>
                </w:tcPr>
                <w:p w14:paraId="1D2048EB">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zh-CN" w:bidi="ar-SA"/>
                    </w:rPr>
                  </w:pPr>
                  <w:r>
                    <w:rPr>
                      <w:rFonts w:hint="default" w:ascii="Times New Roman" w:hAnsi="Times New Roman" w:eastAsia="宋体" w:cs="Times New Roman"/>
                      <w:snapToGrid w:val="0"/>
                      <w:color w:val="auto"/>
                      <w:spacing w:val="8"/>
                      <w:kern w:val="0"/>
                      <w:sz w:val="21"/>
                      <w:szCs w:val="21"/>
                      <w:highlight w:val="none"/>
                      <w:lang w:val="en-US" w:eastAsia="zh-CN" w:bidi="ar-SA"/>
                    </w:rPr>
                    <w:t>1</w:t>
                  </w:r>
                </w:p>
              </w:tc>
            </w:tr>
            <w:tr w14:paraId="2D7F2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1" w:hRule="atLeast"/>
                <w:jc w:val="center"/>
              </w:trPr>
              <w:tc>
                <w:tcPr>
                  <w:tcW w:w="792" w:type="pct"/>
                  <w:vAlign w:val="center"/>
                </w:tcPr>
                <w:p w14:paraId="53A9CA3F">
                  <w:pPr>
                    <w:pStyle w:val="25"/>
                    <w:pageBreakBefore w:val="0"/>
                    <w:kinsoku/>
                    <w:wordWrap w:val="0"/>
                    <w:overflowPunct/>
                    <w:topLinePunct/>
                    <w:autoSpaceDE/>
                    <w:autoSpaceDN/>
                    <w:bidi w:val="0"/>
                    <w:spacing w:line="240" w:lineRule="auto"/>
                    <w:ind w:left="0"/>
                    <w:jc w:val="center"/>
                    <w:outlineLvl w:val="2"/>
                    <w:rPr>
                      <w:rFonts w:hint="eastAsia" w:ascii="Times New Roman" w:hAnsi="Times New Roman" w:eastAsia="宋体" w:cs="Times New Roman"/>
                      <w:snapToGrid w:val="0"/>
                      <w:color w:val="auto"/>
                      <w:spacing w:val="8"/>
                      <w:kern w:val="0"/>
                      <w:sz w:val="21"/>
                      <w:szCs w:val="21"/>
                      <w:highlight w:val="none"/>
                      <w:lang w:val="en-US" w:eastAsia="zh-CN" w:bidi="ar-SA"/>
                    </w:rPr>
                  </w:pPr>
                  <w:r>
                    <w:rPr>
                      <w:rFonts w:hint="eastAsia" w:ascii="Times New Roman" w:hAnsi="Times New Roman" w:cs="Times New Roman"/>
                      <w:snapToGrid w:val="0"/>
                      <w:color w:val="auto"/>
                      <w:spacing w:val="8"/>
                      <w:kern w:val="0"/>
                      <w:sz w:val="21"/>
                      <w:szCs w:val="21"/>
                      <w:highlight w:val="none"/>
                      <w:lang w:val="en-US" w:eastAsia="zh-CN" w:bidi="ar-SA"/>
                    </w:rPr>
                    <w:t>固废</w:t>
                  </w:r>
                </w:p>
              </w:tc>
              <w:tc>
                <w:tcPr>
                  <w:tcW w:w="3368" w:type="pct"/>
                  <w:vAlign w:val="center"/>
                </w:tcPr>
                <w:p w14:paraId="74E40162">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en-US" w:bidi="ar-SA"/>
                    </w:rPr>
                    <w:t>危险废物暂存间</w:t>
                  </w:r>
                  <w:r>
                    <w:rPr>
                      <w:rFonts w:hint="eastAsia" w:ascii="Times New Roman" w:hAnsi="Times New Roman" w:eastAsia="宋体" w:cs="Times New Roman"/>
                      <w:snapToGrid w:val="0"/>
                      <w:color w:val="auto"/>
                      <w:spacing w:val="8"/>
                      <w:kern w:val="0"/>
                      <w:sz w:val="21"/>
                      <w:szCs w:val="21"/>
                      <w:highlight w:val="none"/>
                      <w:lang w:val="en-US" w:eastAsia="zh-CN" w:bidi="ar-SA"/>
                    </w:rPr>
                    <w:t>及危废委托处置费用</w:t>
                  </w:r>
                </w:p>
              </w:tc>
              <w:tc>
                <w:tcPr>
                  <w:tcW w:w="838" w:type="pct"/>
                  <w:vAlign w:val="top"/>
                </w:tcPr>
                <w:p w14:paraId="7C6D78EF">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zh-CN" w:bidi="ar-SA"/>
                    </w:rPr>
                  </w:pPr>
                  <w:r>
                    <w:rPr>
                      <w:rFonts w:hint="eastAsia" w:ascii="Times New Roman" w:hAnsi="Times New Roman" w:cs="Times New Roman"/>
                      <w:snapToGrid w:val="0"/>
                      <w:color w:val="auto"/>
                      <w:spacing w:val="8"/>
                      <w:kern w:val="0"/>
                      <w:sz w:val="21"/>
                      <w:szCs w:val="21"/>
                      <w:highlight w:val="none"/>
                      <w:lang w:val="en-US" w:eastAsia="zh-CN" w:bidi="ar-SA"/>
                    </w:rPr>
                    <w:t>5</w:t>
                  </w:r>
                </w:p>
              </w:tc>
            </w:tr>
            <w:tr w14:paraId="3317E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2" w:hRule="atLeast"/>
                <w:jc w:val="center"/>
              </w:trPr>
              <w:tc>
                <w:tcPr>
                  <w:tcW w:w="792" w:type="pct"/>
                  <w:vAlign w:val="center"/>
                </w:tcPr>
                <w:p w14:paraId="226ED462">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en-US" w:bidi="ar-SA"/>
                    </w:rPr>
                    <w:t>环境风险</w:t>
                  </w:r>
                </w:p>
              </w:tc>
              <w:tc>
                <w:tcPr>
                  <w:tcW w:w="3368" w:type="pct"/>
                  <w:vAlign w:val="center"/>
                </w:tcPr>
                <w:p w14:paraId="3DD075A0">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en-US" w:bidi="ar-SA"/>
                    </w:rPr>
                    <w:t>建立完善的应急管理体系。</w:t>
                  </w:r>
                </w:p>
              </w:tc>
              <w:tc>
                <w:tcPr>
                  <w:tcW w:w="838" w:type="pct"/>
                  <w:vAlign w:val="top"/>
                </w:tcPr>
                <w:p w14:paraId="5AE6BE82">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zh-CN" w:bidi="ar-SA"/>
                    </w:rPr>
                  </w:pPr>
                  <w:r>
                    <w:rPr>
                      <w:rFonts w:hint="default" w:ascii="Times New Roman" w:hAnsi="Times New Roman" w:eastAsia="宋体" w:cs="Times New Roman"/>
                      <w:snapToGrid w:val="0"/>
                      <w:color w:val="auto"/>
                      <w:spacing w:val="8"/>
                      <w:kern w:val="0"/>
                      <w:sz w:val="21"/>
                      <w:szCs w:val="21"/>
                      <w:highlight w:val="none"/>
                      <w:lang w:val="en-US" w:eastAsia="zh-CN" w:bidi="ar-SA"/>
                    </w:rPr>
                    <w:t>2</w:t>
                  </w:r>
                </w:p>
              </w:tc>
            </w:tr>
            <w:tr w14:paraId="461EB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5" w:hRule="atLeast"/>
                <w:jc w:val="center"/>
              </w:trPr>
              <w:tc>
                <w:tcPr>
                  <w:tcW w:w="792" w:type="pct"/>
                  <w:vAlign w:val="center"/>
                </w:tcPr>
                <w:p w14:paraId="3FE3A11A">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en-US" w:bidi="ar-SA"/>
                    </w:rPr>
                    <w:t>其他环境管理要求</w:t>
                  </w:r>
                </w:p>
              </w:tc>
              <w:tc>
                <w:tcPr>
                  <w:tcW w:w="3368" w:type="pct"/>
                  <w:vAlign w:val="center"/>
                </w:tcPr>
                <w:p w14:paraId="41755FC9">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en-US" w:bidi="ar-SA"/>
                    </w:rPr>
                    <w:t>环保验收、排污许可、应急预案、环境监测、排污口规范化管理</w:t>
                  </w:r>
                  <w:r>
                    <w:rPr>
                      <w:rFonts w:hint="default" w:ascii="Times New Roman" w:hAnsi="Times New Roman" w:eastAsia="宋体" w:cs="Times New Roman"/>
                      <w:snapToGrid w:val="0"/>
                      <w:color w:val="auto"/>
                      <w:spacing w:val="8"/>
                      <w:kern w:val="0"/>
                      <w:sz w:val="21"/>
                      <w:szCs w:val="21"/>
                      <w:highlight w:val="none"/>
                      <w:lang w:val="en-US" w:eastAsia="zh-CN" w:bidi="ar-SA"/>
                    </w:rPr>
                    <w:t>，</w:t>
                  </w:r>
                  <w:r>
                    <w:rPr>
                      <w:rFonts w:hint="default" w:ascii="Times New Roman" w:hAnsi="Times New Roman" w:eastAsia="宋体" w:cs="Times New Roman"/>
                      <w:snapToGrid w:val="0"/>
                      <w:color w:val="auto"/>
                      <w:spacing w:val="8"/>
                      <w:kern w:val="0"/>
                      <w:sz w:val="21"/>
                      <w:szCs w:val="21"/>
                      <w:highlight w:val="none"/>
                      <w:lang w:val="en-US" w:eastAsia="en-US" w:bidi="ar-SA"/>
                    </w:rPr>
                    <w:t>其他环境管理及环保设施运维等</w:t>
                  </w:r>
                </w:p>
              </w:tc>
              <w:tc>
                <w:tcPr>
                  <w:tcW w:w="838" w:type="pct"/>
                  <w:vAlign w:val="center"/>
                </w:tcPr>
                <w:p w14:paraId="00EE47AD">
                  <w:pPr>
                    <w:pStyle w:val="25"/>
                    <w:pageBreakBefore w:val="0"/>
                    <w:kinsoku/>
                    <w:wordWrap w:val="0"/>
                    <w:overflowPunct/>
                    <w:topLinePunct/>
                    <w:autoSpaceDE/>
                    <w:autoSpaceDN/>
                    <w:bidi w:val="0"/>
                    <w:spacing w:line="240" w:lineRule="auto"/>
                    <w:ind w:left="0"/>
                    <w:jc w:val="center"/>
                    <w:outlineLvl w:val="2"/>
                    <w:rPr>
                      <w:rFonts w:hint="default" w:ascii="Times New Roman" w:hAnsi="Times New Roman" w:eastAsia="宋体" w:cs="Times New Roman"/>
                      <w:snapToGrid w:val="0"/>
                      <w:color w:val="auto"/>
                      <w:spacing w:val="8"/>
                      <w:kern w:val="0"/>
                      <w:sz w:val="21"/>
                      <w:szCs w:val="21"/>
                      <w:highlight w:val="none"/>
                      <w:lang w:val="en-US" w:eastAsia="zh-CN" w:bidi="ar-SA"/>
                    </w:rPr>
                  </w:pPr>
                  <w:r>
                    <w:rPr>
                      <w:rFonts w:hint="default" w:ascii="Times New Roman" w:hAnsi="Times New Roman" w:eastAsia="宋体" w:cs="Times New Roman"/>
                      <w:snapToGrid w:val="0"/>
                      <w:color w:val="auto"/>
                      <w:spacing w:val="8"/>
                      <w:kern w:val="0"/>
                      <w:sz w:val="21"/>
                      <w:szCs w:val="21"/>
                      <w:highlight w:val="none"/>
                      <w:lang w:val="en-US" w:eastAsia="zh-CN" w:bidi="ar-SA"/>
                    </w:rPr>
                    <w:t>5</w:t>
                  </w:r>
                </w:p>
              </w:tc>
            </w:tr>
            <w:tr w14:paraId="6DC33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161" w:type="pct"/>
                  <w:gridSpan w:val="2"/>
                  <w:vAlign w:val="center"/>
                </w:tcPr>
                <w:p w14:paraId="37D4BFC1">
                  <w:pPr>
                    <w:pStyle w:val="25"/>
                    <w:pageBreakBefore w:val="0"/>
                    <w:kinsoku/>
                    <w:wordWrap w:val="0"/>
                    <w:overflowPunct/>
                    <w:topLinePunct/>
                    <w:autoSpaceDE/>
                    <w:autoSpaceDN/>
                    <w:bidi w:val="0"/>
                    <w:spacing w:line="240" w:lineRule="auto"/>
                    <w:ind w:left="0" w:right="0" w:firstLine="0"/>
                    <w:jc w:val="center"/>
                    <w:outlineLvl w:val="2"/>
                    <w:rPr>
                      <w:rFonts w:hint="default" w:ascii="Times New Roman" w:hAnsi="Times New Roman" w:eastAsia="宋体" w:cs="Times New Roman"/>
                      <w:color w:val="auto"/>
                      <w:spacing w:val="9"/>
                      <w:sz w:val="21"/>
                      <w:szCs w:val="21"/>
                      <w:highlight w:val="none"/>
                      <w:lang w:val="en-US" w:eastAsia="zh-CN"/>
                    </w:rPr>
                  </w:pPr>
                  <w:r>
                    <w:rPr>
                      <w:rFonts w:hint="default" w:ascii="Times New Roman" w:hAnsi="Times New Roman" w:eastAsia="宋体" w:cs="Times New Roman"/>
                      <w:color w:val="auto"/>
                      <w:spacing w:val="9"/>
                      <w:sz w:val="21"/>
                      <w:szCs w:val="21"/>
                      <w:highlight w:val="none"/>
                      <w:lang w:val="en-US" w:eastAsia="zh-CN"/>
                    </w:rPr>
                    <w:t>合计</w:t>
                  </w:r>
                </w:p>
              </w:tc>
              <w:tc>
                <w:tcPr>
                  <w:tcW w:w="838" w:type="pct"/>
                  <w:vAlign w:val="top"/>
                </w:tcPr>
                <w:p w14:paraId="69A53C68">
                  <w:pPr>
                    <w:pageBreakBefore w:val="0"/>
                    <w:kinsoku/>
                    <w:wordWrap w:val="0"/>
                    <w:overflowPunct/>
                    <w:topLinePunct/>
                    <w:autoSpaceDE/>
                    <w:autoSpaceDN/>
                    <w:bidi w:val="0"/>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24</w:t>
                  </w:r>
                </w:p>
              </w:tc>
            </w:tr>
          </w:tbl>
          <w:p w14:paraId="70B062E5">
            <w:pPr>
              <w:pStyle w:val="25"/>
              <w:keepNext w:val="0"/>
              <w:keepLines w:val="0"/>
              <w:pageBreakBefore w:val="0"/>
              <w:widowControl/>
              <w:kinsoku/>
              <w:wordWrap w:val="0"/>
              <w:overflowPunct/>
              <w:topLinePunct/>
              <w:autoSpaceDE/>
              <w:autoSpaceDN/>
              <w:bidi w:val="0"/>
              <w:adjustRightInd w:val="0"/>
              <w:snapToGrid w:val="0"/>
              <w:spacing w:line="360" w:lineRule="auto"/>
              <w:ind w:left="0" w:firstLine="494"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3"/>
                <w:sz w:val="24"/>
                <w:szCs w:val="24"/>
                <w:highlight w:val="none"/>
              </w:rPr>
              <w:t>13、环保竣工验收</w:t>
            </w:r>
          </w:p>
          <w:p w14:paraId="2553D07F">
            <w:pPr>
              <w:pStyle w:val="25"/>
              <w:keepNext w:val="0"/>
              <w:keepLines w:val="0"/>
              <w:pageBreakBefore w:val="0"/>
              <w:widowControl/>
              <w:kinsoku/>
              <w:wordWrap w:val="0"/>
              <w:overflowPunct/>
              <w:topLinePunct/>
              <w:autoSpaceDE/>
              <w:autoSpaceDN/>
              <w:bidi w:val="0"/>
              <w:adjustRightInd w:val="0"/>
              <w:snapToGrid w:val="0"/>
              <w:spacing w:line="360" w:lineRule="auto"/>
              <w:ind w:left="0" w:firstLine="512"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8"/>
                <w:sz w:val="24"/>
                <w:szCs w:val="24"/>
                <w:highlight w:val="none"/>
              </w:rPr>
              <w:t>建设项目竣工环境保护企业自行验收工作程序：</w:t>
            </w:r>
          </w:p>
          <w:p w14:paraId="7204D77E">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9"/>
                <w:sz w:val="24"/>
                <w:szCs w:val="24"/>
                <w:highlight w:val="none"/>
              </w:rPr>
              <w:t>（1）在建设项目竣工后、正式投入生产或运行前，企业按照环</w:t>
            </w:r>
            <w:r>
              <w:rPr>
                <w:rFonts w:hint="default" w:ascii="Times New Roman" w:hAnsi="Times New Roman" w:eastAsia="宋体" w:cs="Times New Roman"/>
                <w:color w:val="auto"/>
                <w:spacing w:val="8"/>
                <w:sz w:val="24"/>
                <w:szCs w:val="24"/>
                <w:highlight w:val="none"/>
              </w:rPr>
              <w:t>境影响报告表及其批</w:t>
            </w:r>
            <w:r>
              <w:rPr>
                <w:rFonts w:hint="default" w:ascii="Times New Roman" w:hAnsi="Times New Roman" w:eastAsia="宋体" w:cs="Times New Roman"/>
                <w:color w:val="auto"/>
                <w:spacing w:val="9"/>
                <w:sz w:val="24"/>
                <w:szCs w:val="24"/>
                <w:highlight w:val="none"/>
              </w:rPr>
              <w:t>复文件要求，对与主体工程配套建设的环境保护设施落实情况进行查验。</w:t>
            </w:r>
          </w:p>
          <w:p w14:paraId="0E09015A">
            <w:pPr>
              <w:pStyle w:val="25"/>
              <w:keepNext w:val="0"/>
              <w:keepLines w:val="0"/>
              <w:pageBreakBefore w:val="0"/>
              <w:widowControl/>
              <w:kinsoku/>
              <w:wordWrap w:val="0"/>
              <w:overflowPunct/>
              <w:topLinePunct/>
              <w:autoSpaceDE/>
              <w:autoSpaceDN/>
              <w:bidi w:val="0"/>
              <w:adjustRightInd w:val="0"/>
              <w:snapToGrid w:val="0"/>
              <w:spacing w:line="360" w:lineRule="auto"/>
              <w:ind w:right="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9"/>
                <w:sz w:val="24"/>
                <w:szCs w:val="24"/>
                <w:highlight w:val="none"/>
              </w:rPr>
              <w:t>（2）按照环境保护主管部门制定的竣工环境保护验收技术规范</w:t>
            </w:r>
            <w:r>
              <w:rPr>
                <w:rFonts w:hint="default" w:ascii="Times New Roman" w:hAnsi="Times New Roman" w:eastAsia="宋体" w:cs="Times New Roman"/>
                <w:color w:val="auto"/>
                <w:spacing w:val="8"/>
                <w:sz w:val="24"/>
                <w:szCs w:val="24"/>
                <w:highlight w:val="none"/>
              </w:rPr>
              <w:t>，企业自行编制或委</w:t>
            </w:r>
            <w:r>
              <w:rPr>
                <w:rFonts w:hint="default" w:ascii="Times New Roman" w:hAnsi="Times New Roman" w:eastAsia="宋体" w:cs="Times New Roman"/>
                <w:color w:val="auto"/>
                <w:spacing w:val="12"/>
                <w:sz w:val="24"/>
                <w:szCs w:val="24"/>
                <w:highlight w:val="none"/>
              </w:rPr>
              <w:t>托具备相应技术能力的机构，对建设项目环境保护设施落实情况进行调查，开展相关环境监测，编制竣工环境保护验收调查（监测）报告。企业、验收调查（监测）机构及其</w:t>
            </w:r>
            <w:r>
              <w:rPr>
                <w:rFonts w:hint="default" w:ascii="Times New Roman" w:hAnsi="Times New Roman" w:eastAsia="宋体" w:cs="Times New Roman"/>
                <w:color w:val="auto"/>
                <w:spacing w:val="9"/>
                <w:sz w:val="24"/>
                <w:szCs w:val="24"/>
                <w:highlight w:val="none"/>
              </w:rPr>
              <w:t>相关人员对验收调查（监测）报告结论终身负责。</w:t>
            </w:r>
          </w:p>
          <w:p w14:paraId="71B5E420">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9"/>
                <w:sz w:val="24"/>
                <w:szCs w:val="24"/>
                <w:highlight w:val="none"/>
              </w:rPr>
              <w:t>（3）验收调查（监测）报告编制完成后，由企业法人组织对建设项目</w:t>
            </w:r>
            <w:r>
              <w:rPr>
                <w:rFonts w:hint="default" w:ascii="Times New Roman" w:hAnsi="Times New Roman" w:eastAsia="宋体" w:cs="Times New Roman"/>
                <w:color w:val="auto"/>
                <w:spacing w:val="8"/>
                <w:sz w:val="24"/>
                <w:szCs w:val="24"/>
                <w:highlight w:val="none"/>
              </w:rPr>
              <w:t>环境保护设施</w:t>
            </w:r>
            <w:r>
              <w:rPr>
                <w:rFonts w:hint="default" w:ascii="Times New Roman" w:hAnsi="Times New Roman" w:eastAsia="宋体" w:cs="Times New Roman"/>
                <w:color w:val="auto"/>
                <w:spacing w:val="9"/>
                <w:sz w:val="24"/>
                <w:szCs w:val="24"/>
                <w:highlight w:val="none"/>
              </w:rPr>
              <w:t>和环境保护措施进行验收，形成书面报告备查，并向社会公开。</w:t>
            </w:r>
          </w:p>
          <w:p w14:paraId="6125F4DA">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9"/>
                <w:sz w:val="24"/>
                <w:szCs w:val="24"/>
                <w:highlight w:val="none"/>
              </w:rPr>
              <w:t>（4）企业自行组织竣工环境保护验收时，应成立验收组，对建</w:t>
            </w:r>
            <w:r>
              <w:rPr>
                <w:rFonts w:hint="default" w:ascii="Times New Roman" w:hAnsi="Times New Roman" w:eastAsia="宋体" w:cs="Times New Roman"/>
                <w:color w:val="auto"/>
                <w:spacing w:val="8"/>
                <w:sz w:val="24"/>
                <w:szCs w:val="24"/>
                <w:highlight w:val="none"/>
              </w:rPr>
              <w:t>设项目环境保护设施</w:t>
            </w:r>
            <w:r>
              <w:rPr>
                <w:rFonts w:hint="default" w:ascii="Times New Roman" w:hAnsi="Times New Roman" w:eastAsia="宋体" w:cs="Times New Roman"/>
                <w:color w:val="auto"/>
                <w:spacing w:val="12"/>
                <w:sz w:val="24"/>
                <w:szCs w:val="24"/>
                <w:highlight w:val="none"/>
              </w:rPr>
              <w:t>及其他环境保护措施进行资料审查、现场踏勘，形成验收意见，验收组成员名单附后。</w:t>
            </w:r>
            <w:r>
              <w:rPr>
                <w:rFonts w:hint="default" w:ascii="Times New Roman" w:hAnsi="Times New Roman" w:eastAsia="宋体" w:cs="Times New Roman"/>
                <w:color w:val="auto"/>
                <w:spacing w:val="9"/>
                <w:sz w:val="24"/>
                <w:szCs w:val="24"/>
                <w:highlight w:val="none"/>
              </w:rPr>
              <w:t>验收意见应经三分之二以上验收组成员同意。</w:t>
            </w:r>
          </w:p>
          <w:p w14:paraId="24D3A4AE">
            <w:pPr>
              <w:pStyle w:val="25"/>
              <w:keepNext w:val="0"/>
              <w:keepLines w:val="0"/>
              <w:pageBreakBefore w:val="0"/>
              <w:widowControl/>
              <w:kinsoku/>
              <w:wordWrap w:val="0"/>
              <w:overflowPunct/>
              <w:topLinePunct/>
              <w:autoSpaceDE/>
              <w:autoSpaceDN/>
              <w:bidi w:val="0"/>
              <w:adjustRightInd w:val="0"/>
              <w:snapToGrid w:val="0"/>
              <w:spacing w:line="360" w:lineRule="auto"/>
              <w:ind w:left="0" w:right="0" w:firstLine="516"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9"/>
                <w:sz w:val="24"/>
                <w:szCs w:val="24"/>
                <w:highlight w:val="none"/>
              </w:rPr>
              <w:t>（5）企业应对验收意见中提出的环保问题进行整改。环境保护</w:t>
            </w:r>
            <w:r>
              <w:rPr>
                <w:rFonts w:hint="default" w:ascii="Times New Roman" w:hAnsi="Times New Roman" w:eastAsia="宋体" w:cs="Times New Roman"/>
                <w:color w:val="auto"/>
                <w:spacing w:val="8"/>
                <w:sz w:val="24"/>
                <w:szCs w:val="24"/>
                <w:highlight w:val="none"/>
              </w:rPr>
              <w:t>设施未经验收或者验</w:t>
            </w:r>
            <w:r>
              <w:rPr>
                <w:rFonts w:hint="default" w:ascii="Times New Roman" w:hAnsi="Times New Roman" w:eastAsia="宋体" w:cs="Times New Roman"/>
                <w:color w:val="auto"/>
                <w:spacing w:val="9"/>
                <w:sz w:val="24"/>
                <w:szCs w:val="24"/>
                <w:highlight w:val="none"/>
              </w:rPr>
              <w:t>收不合格的，建设项目主体工程不得投入生产或</w:t>
            </w:r>
            <w:r>
              <w:rPr>
                <w:rFonts w:hint="default" w:ascii="Times New Roman" w:hAnsi="Times New Roman" w:eastAsia="宋体" w:cs="Times New Roman"/>
                <w:color w:val="auto"/>
                <w:spacing w:val="8"/>
                <w:sz w:val="24"/>
                <w:szCs w:val="24"/>
                <w:highlight w:val="none"/>
              </w:rPr>
              <w:t>者使用。</w:t>
            </w:r>
          </w:p>
          <w:p w14:paraId="495432A3">
            <w:pPr>
              <w:pStyle w:val="25"/>
              <w:pageBreakBefore w:val="0"/>
              <w:kinsoku/>
              <w:wordWrap w:val="0"/>
              <w:overflowPunct/>
              <w:topLinePunct/>
              <w:autoSpaceDE/>
              <w:autoSpaceDN/>
              <w:bidi w:val="0"/>
              <w:spacing w:line="360" w:lineRule="auto"/>
              <w:ind w:left="0" w:right="0" w:firstLine="516" w:firstLineChars="200"/>
              <w:rPr>
                <w:rFonts w:hint="default" w:ascii="Times New Roman" w:hAnsi="Times New Roman" w:eastAsia="宋体" w:cs="Times New Roman"/>
                <w:snapToGrid w:val="0"/>
                <w:color w:val="auto"/>
                <w:kern w:val="0"/>
                <w:sz w:val="24"/>
                <w:szCs w:val="24"/>
                <w:highlight w:val="none"/>
                <w:lang w:val="en-US" w:eastAsia="en-US" w:bidi="ar-SA"/>
              </w:rPr>
            </w:pPr>
            <w:r>
              <w:rPr>
                <w:rFonts w:hint="default" w:ascii="Times New Roman" w:hAnsi="Times New Roman" w:eastAsia="宋体" w:cs="Times New Roman"/>
                <w:color w:val="auto"/>
                <w:spacing w:val="9"/>
                <w:sz w:val="24"/>
                <w:szCs w:val="24"/>
                <w:highlight w:val="none"/>
              </w:rPr>
              <w:t>（6）企业应自验收通过之日起30个工作日</w:t>
            </w:r>
            <w:r>
              <w:rPr>
                <w:rFonts w:hint="default" w:ascii="Times New Roman" w:hAnsi="Times New Roman" w:eastAsia="宋体" w:cs="Times New Roman"/>
                <w:color w:val="auto"/>
                <w:spacing w:val="8"/>
                <w:sz w:val="24"/>
                <w:szCs w:val="24"/>
                <w:highlight w:val="none"/>
              </w:rPr>
              <w:t>内，制作竣工环境保护验收意见书，并将</w:t>
            </w:r>
            <w:r>
              <w:rPr>
                <w:rFonts w:hint="default" w:ascii="Times New Roman" w:hAnsi="Times New Roman" w:eastAsia="宋体" w:cs="Times New Roman"/>
                <w:color w:val="auto"/>
                <w:spacing w:val="11"/>
                <w:sz w:val="24"/>
                <w:szCs w:val="24"/>
                <w:highlight w:val="none"/>
              </w:rPr>
              <w:t>验收意见书、验收调查（监测）报告和“三同时”验收登记表上传至建设项目竣工环境</w:t>
            </w:r>
            <w:r>
              <w:rPr>
                <w:rFonts w:hint="default" w:ascii="Times New Roman" w:hAnsi="Times New Roman" w:eastAsia="宋体" w:cs="Times New Roman"/>
                <w:color w:val="auto"/>
                <w:spacing w:val="9"/>
                <w:sz w:val="24"/>
                <w:szCs w:val="24"/>
                <w:highlight w:val="none"/>
              </w:rPr>
              <w:t>保护企业自行验收信息平台，并如实向社会公开。</w:t>
            </w:r>
          </w:p>
        </w:tc>
      </w:tr>
    </w:tbl>
    <w:p w14:paraId="1AF5E6A9">
      <w:pPr>
        <w:pStyle w:val="48"/>
        <w:pageBreakBefore w:val="0"/>
        <w:kinsoku/>
        <w:wordWrap w:val="0"/>
        <w:overflowPunct/>
        <w:topLinePunct/>
        <w:autoSpaceDE/>
        <w:autoSpaceDN/>
        <w:bidi w:val="0"/>
        <w:ind w:firstLine="630" w:firstLineChars="300"/>
        <w:rPr>
          <w:rFonts w:hint="default" w:ascii="Times New Roman" w:hAnsi="Times New Roman" w:cs="Times New Roman"/>
          <w:color w:val="auto"/>
          <w:highlight w:val="none"/>
        </w:rPr>
      </w:pPr>
    </w:p>
    <w:p w14:paraId="334F323C">
      <w:pPr>
        <w:pageBreakBefore w:val="0"/>
        <w:kinsoku/>
        <w:wordWrap w:val="0"/>
        <w:overflowPunct/>
        <w:topLinePunct/>
        <w:autoSpaceDE/>
        <w:autoSpaceDN/>
        <w:bidi w:val="0"/>
        <w:rPr>
          <w:rFonts w:hint="default" w:ascii="Times New Roman" w:hAnsi="Times New Roman" w:eastAsia="黑体" w:cs="Times New Roman"/>
          <w:color w:val="auto"/>
          <w:spacing w:val="-2"/>
          <w:sz w:val="30"/>
          <w:szCs w:val="30"/>
          <w:highlight w:val="none"/>
        </w:rPr>
      </w:pPr>
      <w:r>
        <w:rPr>
          <w:rFonts w:hint="default" w:ascii="Times New Roman" w:hAnsi="Times New Roman" w:eastAsia="黑体" w:cs="Times New Roman"/>
          <w:color w:val="auto"/>
          <w:spacing w:val="-2"/>
          <w:sz w:val="30"/>
          <w:szCs w:val="30"/>
          <w:highlight w:val="none"/>
        </w:rPr>
        <w:br w:type="page"/>
      </w:r>
    </w:p>
    <w:p w14:paraId="3A8F7A85">
      <w:pPr>
        <w:pageBreakBefore w:val="0"/>
        <w:kinsoku/>
        <w:wordWrap w:val="0"/>
        <w:overflowPunct/>
        <w:topLinePunct/>
        <w:autoSpaceDE/>
        <w:autoSpaceDN/>
        <w:bidi w:val="0"/>
        <w:spacing w:before="315" w:line="221" w:lineRule="auto"/>
        <w:ind w:left="2328"/>
        <w:outlineLvl w:val="1"/>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pacing w:val="-2"/>
          <w:sz w:val="30"/>
          <w:szCs w:val="30"/>
          <w:highlight w:val="none"/>
        </w:rPr>
        <w:t>五、环境保护措施监督检查清单</w:t>
      </w:r>
    </w:p>
    <w:p w14:paraId="674F4CB2">
      <w:pPr>
        <w:pageBreakBefore w:val="0"/>
        <w:kinsoku/>
        <w:wordWrap w:val="0"/>
        <w:overflowPunct/>
        <w:topLinePunct/>
        <w:autoSpaceDE/>
        <w:autoSpaceDN/>
        <w:bidi w:val="0"/>
        <w:spacing w:before="22"/>
        <w:rPr>
          <w:rFonts w:hint="default" w:ascii="Times New Roman" w:hAnsi="Times New Roman" w:cs="Times New Roman"/>
          <w:color w:val="auto"/>
          <w:highlight w:val="none"/>
        </w:rPr>
      </w:pPr>
    </w:p>
    <w:tbl>
      <w:tblPr>
        <w:tblStyle w:val="24"/>
        <w:tblW w:w="880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9"/>
        <w:gridCol w:w="695"/>
        <w:gridCol w:w="479"/>
        <w:gridCol w:w="933"/>
        <w:gridCol w:w="999"/>
        <w:gridCol w:w="2088"/>
        <w:gridCol w:w="7"/>
        <w:gridCol w:w="2494"/>
      </w:tblGrid>
      <w:tr w14:paraId="08BF5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109" w:type="dxa"/>
            <w:tcBorders>
              <w:top w:val="single" w:color="000000" w:sz="6" w:space="0"/>
              <w:left w:val="single" w:color="000000" w:sz="6" w:space="0"/>
              <w:tl2br w:val="single" w:color="000000" w:sz="4" w:space="0"/>
            </w:tcBorders>
            <w:vAlign w:val="center"/>
          </w:tcPr>
          <w:p w14:paraId="40D3D454">
            <w:pPr>
              <w:pStyle w:val="25"/>
              <w:pageBreakBefore w:val="0"/>
              <w:kinsoku/>
              <w:wordWrap w:val="0"/>
              <w:overflowPunct/>
              <w:topLinePunct/>
              <w:autoSpaceDE/>
              <w:autoSpaceDN/>
              <w:bidi w:val="0"/>
              <w:spacing w:before="34" w:line="235" w:lineRule="auto"/>
              <w:ind w:right="158" w:firstLine="388" w:firstLineChars="200"/>
              <w:jc w:val="both"/>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内容</w:t>
            </w:r>
          </w:p>
          <w:p w14:paraId="49AFD0F7">
            <w:pPr>
              <w:pStyle w:val="25"/>
              <w:pageBreakBefore w:val="0"/>
              <w:kinsoku/>
              <w:wordWrap w:val="0"/>
              <w:overflowPunct/>
              <w:topLinePunct/>
              <w:autoSpaceDE/>
              <w:autoSpaceDN/>
              <w:bidi w:val="0"/>
              <w:spacing w:before="34" w:line="235" w:lineRule="auto"/>
              <w:ind w:right="158"/>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sz w:val="21"/>
                <w:szCs w:val="21"/>
                <w:highlight w:val="none"/>
              </w:rPr>
              <w:t>要素</w:t>
            </w:r>
          </w:p>
        </w:tc>
        <w:tc>
          <w:tcPr>
            <w:tcW w:w="2107" w:type="dxa"/>
            <w:gridSpan w:val="3"/>
            <w:tcBorders>
              <w:top w:val="single" w:color="000000" w:sz="6" w:space="0"/>
            </w:tcBorders>
            <w:vAlign w:val="center"/>
          </w:tcPr>
          <w:p w14:paraId="586061C6">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排放口（编号、</w:t>
            </w:r>
            <w:r>
              <w:rPr>
                <w:rFonts w:hint="default" w:ascii="Times New Roman" w:hAnsi="Times New Roman" w:eastAsia="宋体" w:cs="Times New Roman"/>
                <w:color w:val="auto"/>
                <w:spacing w:val="7"/>
                <w:sz w:val="21"/>
                <w:szCs w:val="21"/>
                <w:highlight w:val="none"/>
              </w:rPr>
              <w:t>名称）/污染源</w:t>
            </w:r>
          </w:p>
        </w:tc>
        <w:tc>
          <w:tcPr>
            <w:tcW w:w="999" w:type="dxa"/>
            <w:tcBorders>
              <w:top w:val="single" w:color="000000" w:sz="6" w:space="0"/>
            </w:tcBorders>
            <w:vAlign w:val="center"/>
          </w:tcPr>
          <w:p w14:paraId="3B2BA396">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污染物项</w:t>
            </w:r>
            <w:r>
              <w:rPr>
                <w:rFonts w:hint="default" w:ascii="Times New Roman" w:hAnsi="Times New Roman" w:eastAsia="宋体" w:cs="Times New Roman"/>
                <w:color w:val="auto"/>
                <w:sz w:val="21"/>
                <w:szCs w:val="21"/>
                <w:highlight w:val="none"/>
              </w:rPr>
              <w:t>目</w:t>
            </w:r>
          </w:p>
        </w:tc>
        <w:tc>
          <w:tcPr>
            <w:tcW w:w="2088" w:type="dxa"/>
            <w:tcBorders>
              <w:top w:val="single" w:color="000000" w:sz="6" w:space="0"/>
            </w:tcBorders>
            <w:vAlign w:val="center"/>
          </w:tcPr>
          <w:p w14:paraId="5B028E90">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8"/>
                <w:sz w:val="21"/>
                <w:szCs w:val="21"/>
                <w:highlight w:val="none"/>
              </w:rPr>
              <w:t>环境保护措施</w:t>
            </w:r>
          </w:p>
        </w:tc>
        <w:tc>
          <w:tcPr>
            <w:tcW w:w="2501" w:type="dxa"/>
            <w:gridSpan w:val="2"/>
            <w:tcBorders>
              <w:top w:val="single" w:color="000000" w:sz="6" w:space="0"/>
              <w:right w:val="single" w:color="000000" w:sz="6" w:space="0"/>
            </w:tcBorders>
            <w:vAlign w:val="center"/>
          </w:tcPr>
          <w:p w14:paraId="159BEB75">
            <w:pPr>
              <w:pStyle w:val="25"/>
              <w:pageBreakBefore w:val="0"/>
              <w:kinsoku/>
              <w:wordWrap w:val="0"/>
              <w:overflowPunct/>
              <w:topLinePunct/>
              <w:autoSpaceDE/>
              <w:autoSpaceDN/>
              <w:bidi w:val="0"/>
              <w:spacing w:before="172" w:line="228" w:lineRule="auto"/>
              <w:ind w:left="716"/>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7"/>
                <w:sz w:val="21"/>
                <w:szCs w:val="21"/>
                <w:highlight w:val="none"/>
              </w:rPr>
              <w:t>执行标准</w:t>
            </w:r>
          </w:p>
        </w:tc>
      </w:tr>
      <w:tr w14:paraId="42E76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109" w:type="dxa"/>
            <w:vMerge w:val="restart"/>
            <w:tcBorders>
              <w:top w:val="single" w:color="auto" w:sz="4" w:space="0"/>
              <w:left w:val="single" w:color="000000" w:sz="6" w:space="0"/>
            </w:tcBorders>
            <w:vAlign w:val="center"/>
          </w:tcPr>
          <w:p w14:paraId="36FBE7A5">
            <w:pPr>
              <w:pageBreakBefore w:val="0"/>
              <w:kinsoku/>
              <w:wordWrap w:val="0"/>
              <w:overflowPunct/>
              <w:topLinePunct/>
              <w:autoSpaceDE/>
              <w:autoSpaceDN/>
              <w:bidi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大气环境</w:t>
            </w:r>
          </w:p>
        </w:tc>
        <w:tc>
          <w:tcPr>
            <w:tcW w:w="695" w:type="dxa"/>
            <w:tcBorders>
              <w:top w:val="single" w:color="auto" w:sz="4" w:space="0"/>
            </w:tcBorders>
            <w:vAlign w:val="center"/>
          </w:tcPr>
          <w:p w14:paraId="3AD13B5D">
            <w:pPr>
              <w:pageBreakBefore w:val="0"/>
              <w:kinsoku/>
              <w:wordWrap w:val="0"/>
              <w:overflowPunct/>
              <w:topLinePunct/>
              <w:autoSpaceDE/>
              <w:autoSpaceDN/>
              <w:bidi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sz w:val="21"/>
                <w:szCs w:val="21"/>
                <w:highlight w:val="none"/>
              </w:rPr>
              <w:t>有组</w:t>
            </w:r>
            <w:r>
              <w:rPr>
                <w:rFonts w:hint="default" w:ascii="Times New Roman" w:hAnsi="Times New Roman" w:eastAsia="宋体" w:cs="Times New Roman"/>
                <w:color w:val="auto"/>
                <w:sz w:val="21"/>
                <w:szCs w:val="21"/>
                <w:highlight w:val="none"/>
              </w:rPr>
              <w:t>织</w:t>
            </w:r>
          </w:p>
        </w:tc>
        <w:tc>
          <w:tcPr>
            <w:tcW w:w="1412" w:type="dxa"/>
            <w:gridSpan w:val="2"/>
            <w:tcBorders>
              <w:top w:val="single" w:color="auto" w:sz="4" w:space="0"/>
            </w:tcBorders>
            <w:vAlign w:val="center"/>
          </w:tcPr>
          <w:p w14:paraId="4F7C6D2E">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上料、混合搅</w:t>
            </w:r>
            <w:r>
              <w:rPr>
                <w:rFonts w:hint="default" w:ascii="Times New Roman" w:hAnsi="Times New Roman" w:eastAsia="宋体" w:cs="Times New Roman"/>
                <w:color w:val="auto"/>
                <w:spacing w:val="6"/>
                <w:sz w:val="21"/>
                <w:szCs w:val="21"/>
                <w:highlight w:val="none"/>
              </w:rPr>
              <w:t>拌粉尘</w:t>
            </w:r>
          </w:p>
        </w:tc>
        <w:tc>
          <w:tcPr>
            <w:tcW w:w="999" w:type="dxa"/>
            <w:vAlign w:val="center"/>
          </w:tcPr>
          <w:p w14:paraId="0559F428">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7"/>
                <w:sz w:val="21"/>
                <w:szCs w:val="21"/>
                <w:highlight w:val="none"/>
              </w:rPr>
              <w:t>颗粒物</w:t>
            </w:r>
          </w:p>
        </w:tc>
        <w:tc>
          <w:tcPr>
            <w:tcW w:w="2088" w:type="dxa"/>
            <w:vAlign w:val="center"/>
          </w:tcPr>
          <w:p w14:paraId="54F15AD6">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8"/>
                <w:sz w:val="21"/>
                <w:szCs w:val="21"/>
                <w:highlight w:val="none"/>
              </w:rPr>
              <w:t>集气罩+布袋除尘器</w:t>
            </w:r>
            <w:r>
              <w:rPr>
                <w:rFonts w:hint="default" w:ascii="Times New Roman" w:hAnsi="Times New Roman" w:eastAsia="宋体" w:cs="Times New Roman"/>
                <w:color w:val="auto"/>
                <w:spacing w:val="3"/>
                <w:sz w:val="21"/>
                <w:szCs w:val="21"/>
                <w:highlight w:val="none"/>
              </w:rPr>
              <w:t>+15m高排气筒排放</w:t>
            </w:r>
          </w:p>
        </w:tc>
        <w:tc>
          <w:tcPr>
            <w:tcW w:w="2501" w:type="dxa"/>
            <w:gridSpan w:val="2"/>
            <w:tcBorders>
              <w:right w:val="single" w:color="000000" w:sz="6" w:space="0"/>
            </w:tcBorders>
            <w:vAlign w:val="center"/>
          </w:tcPr>
          <w:p w14:paraId="0D71C729">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vertAlign w:val="baseline"/>
                <w:lang w:val="en-US" w:eastAsia="zh-CN"/>
              </w:rPr>
              <w:t>《大气污染物综合排放标准》（GB16297-1996）表2中二级标准</w:t>
            </w:r>
          </w:p>
        </w:tc>
      </w:tr>
      <w:tr w14:paraId="0F1BD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1109" w:type="dxa"/>
            <w:vMerge w:val="continue"/>
            <w:tcBorders>
              <w:top w:val="nil"/>
              <w:left w:val="single" w:color="000000" w:sz="6" w:space="0"/>
              <w:bottom w:val="nil"/>
            </w:tcBorders>
            <w:vAlign w:val="center"/>
          </w:tcPr>
          <w:p w14:paraId="7C53F2DB">
            <w:pPr>
              <w:pageBreakBefore w:val="0"/>
              <w:kinsoku/>
              <w:wordWrap w:val="0"/>
              <w:overflowPunct/>
              <w:topLinePunct/>
              <w:autoSpaceDE/>
              <w:autoSpaceDN/>
              <w:bidi w:val="0"/>
              <w:jc w:val="center"/>
              <w:rPr>
                <w:rFonts w:hint="default" w:ascii="Times New Roman" w:hAnsi="Times New Roman" w:eastAsia="宋体" w:cs="Times New Roman"/>
                <w:color w:val="auto"/>
                <w:sz w:val="21"/>
                <w:szCs w:val="21"/>
                <w:highlight w:val="none"/>
              </w:rPr>
            </w:pPr>
          </w:p>
        </w:tc>
        <w:tc>
          <w:tcPr>
            <w:tcW w:w="695" w:type="dxa"/>
            <w:vMerge w:val="restart"/>
            <w:tcBorders>
              <w:bottom w:val="nil"/>
            </w:tcBorders>
            <w:vAlign w:val="center"/>
          </w:tcPr>
          <w:p w14:paraId="6C7E0712">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无组</w:t>
            </w:r>
            <w:r>
              <w:rPr>
                <w:rFonts w:hint="default" w:ascii="Times New Roman" w:hAnsi="Times New Roman" w:eastAsia="宋体" w:cs="Times New Roman"/>
                <w:color w:val="auto"/>
                <w:sz w:val="21"/>
                <w:szCs w:val="21"/>
                <w:highlight w:val="none"/>
              </w:rPr>
              <w:t>织</w:t>
            </w:r>
          </w:p>
        </w:tc>
        <w:tc>
          <w:tcPr>
            <w:tcW w:w="1412" w:type="dxa"/>
            <w:gridSpan w:val="2"/>
            <w:shd w:val="clear" w:color="auto" w:fill="auto"/>
            <w:vAlign w:val="center"/>
          </w:tcPr>
          <w:p w14:paraId="4DC634E2">
            <w:pPr>
              <w:pStyle w:val="25"/>
              <w:pageBreakBefore w:val="0"/>
              <w:kinsoku/>
              <w:wordWrap w:val="0"/>
              <w:overflowPunct/>
              <w:topLinePunct/>
              <w:autoSpaceDE/>
              <w:autoSpaceDN/>
              <w:bidi w:val="0"/>
              <w:spacing w:before="135" w:line="228" w:lineRule="auto"/>
              <w:ind w:left="182" w:leftChars="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卸料</w:t>
            </w:r>
            <w:r>
              <w:rPr>
                <w:rFonts w:hint="default" w:ascii="Times New Roman" w:hAnsi="Times New Roman" w:eastAsia="宋体" w:cs="Times New Roman"/>
                <w:color w:val="auto"/>
                <w:spacing w:val="6"/>
                <w:sz w:val="21"/>
                <w:szCs w:val="21"/>
                <w:highlight w:val="none"/>
              </w:rPr>
              <w:t>粉尘</w:t>
            </w:r>
          </w:p>
        </w:tc>
        <w:tc>
          <w:tcPr>
            <w:tcW w:w="999" w:type="dxa"/>
            <w:shd w:val="clear" w:color="auto" w:fill="auto"/>
            <w:vAlign w:val="center"/>
          </w:tcPr>
          <w:p w14:paraId="5DCED8C2">
            <w:pPr>
              <w:pStyle w:val="25"/>
              <w:pageBreakBefore w:val="0"/>
              <w:kinsoku/>
              <w:wordWrap w:val="0"/>
              <w:overflowPunct/>
              <w:topLinePunct/>
              <w:autoSpaceDE/>
              <w:autoSpaceDN/>
              <w:bidi w:val="0"/>
              <w:spacing w:line="240" w:lineRule="auto"/>
              <w:ind w:left="0" w:leftChars="0"/>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7"/>
                <w:sz w:val="21"/>
                <w:szCs w:val="21"/>
                <w:highlight w:val="none"/>
              </w:rPr>
              <w:t>颗粒物</w:t>
            </w:r>
          </w:p>
        </w:tc>
        <w:tc>
          <w:tcPr>
            <w:tcW w:w="2088" w:type="dxa"/>
            <w:shd w:val="clear" w:color="auto" w:fill="auto"/>
            <w:vAlign w:val="center"/>
          </w:tcPr>
          <w:p w14:paraId="3BC63206">
            <w:pPr>
              <w:pStyle w:val="25"/>
              <w:pageBreakBefore w:val="0"/>
              <w:kinsoku/>
              <w:wordWrap w:val="0"/>
              <w:overflowPunct/>
              <w:topLinePunct/>
              <w:autoSpaceDE/>
              <w:autoSpaceDN/>
              <w:bidi w:val="0"/>
              <w:spacing w:line="240" w:lineRule="auto"/>
              <w:ind w:left="0" w:leftChars="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车间封闭、洒水</w:t>
            </w:r>
          </w:p>
        </w:tc>
        <w:tc>
          <w:tcPr>
            <w:tcW w:w="2501" w:type="dxa"/>
            <w:gridSpan w:val="2"/>
            <w:vMerge w:val="restart"/>
            <w:tcBorders>
              <w:bottom w:val="nil"/>
              <w:right w:val="single" w:color="000000" w:sz="6" w:space="0"/>
            </w:tcBorders>
            <w:vAlign w:val="center"/>
          </w:tcPr>
          <w:p w14:paraId="6E2692FC">
            <w:pPr>
              <w:pStyle w:val="25"/>
              <w:pageBreakBefore w:val="0"/>
              <w:kinsoku/>
              <w:wordWrap w:val="0"/>
              <w:overflowPunct/>
              <w:topLinePunct/>
              <w:autoSpaceDE/>
              <w:autoSpaceDN/>
              <w:bidi w:val="0"/>
              <w:spacing w:before="65" w:line="222"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8"/>
                <w:sz w:val="21"/>
                <w:szCs w:val="21"/>
                <w:highlight w:val="none"/>
              </w:rPr>
              <w:t>《大气污染物综合排</w:t>
            </w:r>
            <w:r>
              <w:rPr>
                <w:rFonts w:hint="default" w:ascii="Times New Roman" w:hAnsi="Times New Roman" w:eastAsia="宋体" w:cs="Times New Roman"/>
                <w:color w:val="auto"/>
                <w:spacing w:val="5"/>
                <w:sz w:val="21"/>
                <w:szCs w:val="21"/>
                <w:highlight w:val="none"/>
              </w:rPr>
              <w:t>放标准》</w:t>
            </w:r>
            <w:r>
              <w:rPr>
                <w:rFonts w:hint="default" w:ascii="Times New Roman" w:hAnsi="Times New Roman" w:eastAsia="宋体" w:cs="Times New Roman"/>
                <w:color w:val="auto"/>
                <w:spacing w:val="6"/>
                <w:sz w:val="21"/>
                <w:szCs w:val="21"/>
                <w:highlight w:val="none"/>
              </w:rPr>
              <w:t>（</w:t>
            </w:r>
            <w:r>
              <w:rPr>
                <w:rFonts w:hint="default" w:ascii="Times New Roman" w:hAnsi="Times New Roman" w:eastAsia="宋体" w:cs="Times New Roman"/>
                <w:color w:val="auto"/>
                <w:sz w:val="21"/>
                <w:szCs w:val="21"/>
                <w:highlight w:val="none"/>
              </w:rPr>
              <w:t>GB</w:t>
            </w:r>
            <w:r>
              <w:rPr>
                <w:rFonts w:hint="default" w:ascii="Times New Roman" w:hAnsi="Times New Roman" w:eastAsia="宋体" w:cs="Times New Roman"/>
                <w:color w:val="auto"/>
                <w:spacing w:val="6"/>
                <w:sz w:val="21"/>
                <w:szCs w:val="21"/>
                <w:highlight w:val="none"/>
              </w:rPr>
              <w:t>16297-1996）中</w:t>
            </w:r>
            <w:r>
              <w:rPr>
                <w:rFonts w:hint="default" w:ascii="Times New Roman" w:hAnsi="Times New Roman" w:eastAsia="宋体" w:cs="Times New Roman"/>
                <w:color w:val="auto"/>
                <w:spacing w:val="8"/>
                <w:sz w:val="21"/>
                <w:szCs w:val="21"/>
                <w:highlight w:val="none"/>
              </w:rPr>
              <w:t>表2无组织颗粒物的排放限值要求</w:t>
            </w:r>
          </w:p>
        </w:tc>
      </w:tr>
      <w:tr w14:paraId="68B0FE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1109" w:type="dxa"/>
            <w:vMerge w:val="continue"/>
            <w:tcBorders>
              <w:top w:val="nil"/>
              <w:left w:val="single" w:color="000000" w:sz="6" w:space="0"/>
              <w:bottom w:val="nil"/>
            </w:tcBorders>
            <w:vAlign w:val="center"/>
          </w:tcPr>
          <w:p w14:paraId="36029AFF">
            <w:pPr>
              <w:pageBreakBefore w:val="0"/>
              <w:kinsoku/>
              <w:wordWrap w:val="0"/>
              <w:overflowPunct/>
              <w:topLinePunct/>
              <w:autoSpaceDE/>
              <w:autoSpaceDN/>
              <w:bidi w:val="0"/>
              <w:jc w:val="center"/>
              <w:rPr>
                <w:rFonts w:hint="default" w:ascii="Times New Roman" w:hAnsi="Times New Roman" w:eastAsia="宋体" w:cs="Times New Roman"/>
                <w:color w:val="auto"/>
                <w:sz w:val="21"/>
                <w:szCs w:val="21"/>
                <w:highlight w:val="none"/>
              </w:rPr>
            </w:pPr>
          </w:p>
        </w:tc>
        <w:tc>
          <w:tcPr>
            <w:tcW w:w="695" w:type="dxa"/>
            <w:vMerge w:val="continue"/>
            <w:vAlign w:val="center"/>
          </w:tcPr>
          <w:p w14:paraId="4356AEC7">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color w:val="auto"/>
                <w:spacing w:val="3"/>
                <w:sz w:val="21"/>
                <w:szCs w:val="21"/>
                <w:highlight w:val="none"/>
              </w:rPr>
            </w:pPr>
          </w:p>
        </w:tc>
        <w:tc>
          <w:tcPr>
            <w:tcW w:w="1412" w:type="dxa"/>
            <w:gridSpan w:val="2"/>
            <w:vMerge w:val="restart"/>
            <w:shd w:val="clear" w:color="auto" w:fill="auto"/>
            <w:vAlign w:val="center"/>
          </w:tcPr>
          <w:p w14:paraId="5A43A3EB">
            <w:pPr>
              <w:pStyle w:val="25"/>
              <w:pageBreakBefore w:val="0"/>
              <w:kinsoku/>
              <w:wordWrap w:val="0"/>
              <w:overflowPunct/>
              <w:topLinePunct/>
              <w:autoSpaceDE/>
              <w:autoSpaceDN/>
              <w:bidi w:val="0"/>
              <w:spacing w:line="240" w:lineRule="auto"/>
              <w:ind w:left="0" w:leftChars="0" w:right="0" w:rightChars="0" w:firstLine="0" w:firstLineChars="0"/>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3"/>
                <w:sz w:val="21"/>
                <w:szCs w:val="21"/>
                <w:highlight w:val="none"/>
              </w:rPr>
              <w:t>上料、混合搅</w:t>
            </w:r>
            <w:r>
              <w:rPr>
                <w:rFonts w:hint="default" w:ascii="Times New Roman" w:hAnsi="Times New Roman" w:eastAsia="宋体" w:cs="Times New Roman"/>
                <w:color w:val="auto"/>
                <w:spacing w:val="6"/>
                <w:sz w:val="21"/>
                <w:szCs w:val="21"/>
                <w:highlight w:val="none"/>
              </w:rPr>
              <w:t>拌粉尘</w:t>
            </w:r>
          </w:p>
        </w:tc>
        <w:tc>
          <w:tcPr>
            <w:tcW w:w="999" w:type="dxa"/>
            <w:shd w:val="clear" w:color="auto" w:fill="auto"/>
            <w:vAlign w:val="center"/>
          </w:tcPr>
          <w:p w14:paraId="01D41E7C">
            <w:pPr>
              <w:pStyle w:val="25"/>
              <w:pageBreakBefore w:val="0"/>
              <w:kinsoku/>
              <w:wordWrap w:val="0"/>
              <w:overflowPunct/>
              <w:topLinePunct/>
              <w:autoSpaceDE/>
              <w:autoSpaceDN/>
              <w:bidi w:val="0"/>
              <w:spacing w:line="240" w:lineRule="auto"/>
              <w:ind w:left="0" w:leftChars="0"/>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7"/>
                <w:sz w:val="21"/>
                <w:szCs w:val="21"/>
                <w:highlight w:val="none"/>
              </w:rPr>
              <w:t>颗粒物</w:t>
            </w:r>
          </w:p>
        </w:tc>
        <w:tc>
          <w:tcPr>
            <w:tcW w:w="2088" w:type="dxa"/>
            <w:tcBorders>
              <w:bottom w:val="single" w:color="auto" w:sz="4" w:space="0"/>
            </w:tcBorders>
            <w:shd w:val="clear" w:color="auto" w:fill="auto"/>
            <w:vAlign w:val="center"/>
          </w:tcPr>
          <w:p w14:paraId="37D7397C">
            <w:pPr>
              <w:pStyle w:val="25"/>
              <w:pageBreakBefore w:val="0"/>
              <w:kinsoku/>
              <w:wordWrap w:val="0"/>
              <w:overflowPunct/>
              <w:topLinePunct/>
              <w:autoSpaceDE/>
              <w:autoSpaceDN/>
              <w:bidi w:val="0"/>
              <w:spacing w:line="240" w:lineRule="auto"/>
              <w:ind w:left="0" w:leftChars="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车间封闭</w:t>
            </w:r>
          </w:p>
        </w:tc>
        <w:tc>
          <w:tcPr>
            <w:tcW w:w="2501" w:type="dxa"/>
            <w:gridSpan w:val="2"/>
            <w:vMerge w:val="continue"/>
            <w:tcBorders>
              <w:bottom w:val="single" w:color="auto" w:sz="4" w:space="0"/>
              <w:right w:val="single" w:color="000000" w:sz="6" w:space="0"/>
            </w:tcBorders>
            <w:vAlign w:val="center"/>
          </w:tcPr>
          <w:p w14:paraId="6B68F5D2">
            <w:pPr>
              <w:pStyle w:val="25"/>
              <w:pageBreakBefore w:val="0"/>
              <w:kinsoku/>
              <w:wordWrap w:val="0"/>
              <w:overflowPunct/>
              <w:topLinePunct/>
              <w:autoSpaceDE/>
              <w:autoSpaceDN/>
              <w:bidi w:val="0"/>
              <w:spacing w:before="65" w:line="222" w:lineRule="auto"/>
              <w:jc w:val="center"/>
              <w:rPr>
                <w:rFonts w:hint="default" w:ascii="Times New Roman" w:hAnsi="Times New Roman" w:eastAsia="宋体" w:cs="Times New Roman"/>
                <w:color w:val="auto"/>
                <w:spacing w:val="8"/>
                <w:sz w:val="21"/>
                <w:szCs w:val="21"/>
                <w:highlight w:val="none"/>
              </w:rPr>
            </w:pPr>
          </w:p>
        </w:tc>
      </w:tr>
      <w:tr w14:paraId="1F19E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1109" w:type="dxa"/>
            <w:vMerge w:val="continue"/>
            <w:tcBorders>
              <w:top w:val="nil"/>
              <w:left w:val="single" w:color="000000" w:sz="6" w:space="0"/>
              <w:bottom w:val="single" w:color="auto" w:sz="4" w:space="0"/>
            </w:tcBorders>
            <w:vAlign w:val="center"/>
          </w:tcPr>
          <w:p w14:paraId="44EBBC2D">
            <w:pPr>
              <w:pageBreakBefore w:val="0"/>
              <w:kinsoku/>
              <w:wordWrap w:val="0"/>
              <w:overflowPunct/>
              <w:topLinePunct/>
              <w:autoSpaceDE/>
              <w:autoSpaceDN/>
              <w:bidi w:val="0"/>
              <w:jc w:val="center"/>
              <w:rPr>
                <w:rFonts w:hint="default" w:ascii="Times New Roman" w:hAnsi="Times New Roman" w:eastAsia="宋体" w:cs="Times New Roman"/>
                <w:color w:val="auto"/>
                <w:sz w:val="21"/>
                <w:szCs w:val="21"/>
                <w:highlight w:val="none"/>
              </w:rPr>
            </w:pPr>
          </w:p>
        </w:tc>
        <w:tc>
          <w:tcPr>
            <w:tcW w:w="695" w:type="dxa"/>
            <w:vMerge w:val="continue"/>
            <w:tcBorders>
              <w:top w:val="nil"/>
              <w:bottom w:val="single" w:color="auto" w:sz="4" w:space="0"/>
            </w:tcBorders>
            <w:vAlign w:val="center"/>
          </w:tcPr>
          <w:p w14:paraId="4150F8A9">
            <w:pPr>
              <w:pageBreakBefore w:val="0"/>
              <w:kinsoku/>
              <w:wordWrap w:val="0"/>
              <w:overflowPunct/>
              <w:topLinePunct/>
              <w:autoSpaceDE/>
              <w:autoSpaceDN/>
              <w:bidi w:val="0"/>
              <w:jc w:val="center"/>
              <w:rPr>
                <w:rFonts w:hint="default" w:ascii="Times New Roman" w:hAnsi="Times New Roman" w:eastAsia="宋体" w:cs="Times New Roman"/>
                <w:color w:val="auto"/>
                <w:sz w:val="21"/>
                <w:szCs w:val="21"/>
                <w:highlight w:val="none"/>
              </w:rPr>
            </w:pPr>
          </w:p>
        </w:tc>
        <w:tc>
          <w:tcPr>
            <w:tcW w:w="1412" w:type="dxa"/>
            <w:gridSpan w:val="2"/>
            <w:vMerge w:val="continue"/>
            <w:tcBorders>
              <w:bottom w:val="single" w:color="auto" w:sz="4" w:space="0"/>
            </w:tcBorders>
            <w:vAlign w:val="center"/>
          </w:tcPr>
          <w:p w14:paraId="59A05EB0">
            <w:pPr>
              <w:pStyle w:val="25"/>
              <w:pageBreakBefore w:val="0"/>
              <w:kinsoku/>
              <w:wordWrap w:val="0"/>
              <w:overflowPunct/>
              <w:topLinePunct/>
              <w:autoSpaceDE/>
              <w:autoSpaceDN/>
              <w:bidi w:val="0"/>
              <w:spacing w:before="135" w:line="228" w:lineRule="auto"/>
              <w:ind w:left="182"/>
              <w:jc w:val="center"/>
              <w:rPr>
                <w:rFonts w:hint="default" w:ascii="Times New Roman" w:hAnsi="Times New Roman" w:eastAsia="宋体" w:cs="Times New Roman"/>
                <w:color w:val="auto"/>
                <w:sz w:val="21"/>
                <w:szCs w:val="21"/>
                <w:highlight w:val="none"/>
                <w:lang w:val="en-US" w:eastAsia="zh-CN"/>
              </w:rPr>
            </w:pPr>
          </w:p>
        </w:tc>
        <w:tc>
          <w:tcPr>
            <w:tcW w:w="999" w:type="dxa"/>
            <w:tcBorders>
              <w:bottom w:val="single" w:color="auto" w:sz="4" w:space="0"/>
            </w:tcBorders>
            <w:vAlign w:val="center"/>
          </w:tcPr>
          <w:p w14:paraId="2FFC1170">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p>
        </w:tc>
        <w:tc>
          <w:tcPr>
            <w:tcW w:w="2088" w:type="dxa"/>
            <w:tcBorders>
              <w:top w:val="single" w:color="auto" w:sz="4" w:space="0"/>
              <w:bottom w:val="single" w:color="auto" w:sz="4" w:space="0"/>
              <w:right w:val="single" w:color="auto" w:sz="4" w:space="0"/>
            </w:tcBorders>
            <w:vAlign w:val="center"/>
          </w:tcPr>
          <w:p w14:paraId="5CF75DC0">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车间封闭</w:t>
            </w:r>
          </w:p>
        </w:tc>
        <w:tc>
          <w:tcPr>
            <w:tcW w:w="2501" w:type="dxa"/>
            <w:gridSpan w:val="2"/>
            <w:tcBorders>
              <w:top w:val="single" w:color="auto" w:sz="4" w:space="0"/>
              <w:left w:val="single" w:color="auto" w:sz="4" w:space="0"/>
              <w:bottom w:val="single" w:color="auto" w:sz="4" w:space="0"/>
              <w:right w:val="single" w:color="000000" w:sz="6" w:space="0"/>
            </w:tcBorders>
            <w:vAlign w:val="center"/>
          </w:tcPr>
          <w:p w14:paraId="6DD90C23">
            <w:pPr>
              <w:pageBreakBefore w:val="0"/>
              <w:kinsoku/>
              <w:wordWrap w:val="0"/>
              <w:overflowPunct/>
              <w:topLinePunct/>
              <w:autoSpaceDE/>
              <w:autoSpaceDN/>
              <w:bidi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vertAlign w:val="baseline"/>
                <w:lang w:val="en-US" w:eastAsia="zh-CN"/>
              </w:rPr>
              <w:t>《恶臭污染物排放标准》(GB14554-93)中表2新改扩建标准的二级标准限值</w:t>
            </w:r>
          </w:p>
        </w:tc>
      </w:tr>
      <w:tr w14:paraId="0BF1E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1109" w:type="dxa"/>
            <w:tcBorders>
              <w:top w:val="single" w:color="auto" w:sz="4" w:space="0"/>
              <w:left w:val="single" w:color="000000" w:sz="6" w:space="0"/>
            </w:tcBorders>
            <w:vAlign w:val="center"/>
          </w:tcPr>
          <w:p w14:paraId="3341F06F">
            <w:pPr>
              <w:pStyle w:val="25"/>
              <w:pageBreakBefore w:val="0"/>
              <w:kinsoku/>
              <w:wordWrap w:val="0"/>
              <w:overflowPunct/>
              <w:topLinePunct/>
              <w:autoSpaceDE/>
              <w:autoSpaceDN/>
              <w:bidi w:val="0"/>
              <w:spacing w:before="65" w:line="240" w:lineRule="auto"/>
              <w:ind w:left="240"/>
              <w:jc w:val="center"/>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en-US" w:bidi="ar-SA"/>
              </w:rPr>
              <w:t>水环境</w:t>
            </w:r>
          </w:p>
        </w:tc>
        <w:tc>
          <w:tcPr>
            <w:tcW w:w="5201" w:type="dxa"/>
            <w:gridSpan w:val="6"/>
            <w:tcBorders>
              <w:top w:val="single" w:color="auto" w:sz="4" w:space="0"/>
              <w:right w:val="single" w:color="auto" w:sz="4" w:space="0"/>
            </w:tcBorders>
            <w:vAlign w:val="center"/>
          </w:tcPr>
          <w:p w14:paraId="6F69345F">
            <w:pPr>
              <w:pStyle w:val="25"/>
              <w:pageBreakBefore w:val="0"/>
              <w:kinsoku/>
              <w:wordWrap w:val="0"/>
              <w:overflowPunct/>
              <w:topLinePunct/>
              <w:autoSpaceDE/>
              <w:autoSpaceDN/>
              <w:bidi w:val="0"/>
              <w:spacing w:before="101" w:line="240" w:lineRule="auto"/>
              <w:ind w:left="107" w:right="61" w:firstLine="1"/>
              <w:jc w:val="center"/>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eastAsia" w:ascii="Times New Roman" w:hAnsi="Times New Roman" w:cs="Times New Roman"/>
                <w:snapToGrid w:val="0"/>
                <w:color w:val="auto"/>
                <w:spacing w:val="8"/>
                <w:kern w:val="0"/>
                <w:sz w:val="21"/>
                <w:szCs w:val="21"/>
                <w:highlight w:val="none"/>
                <w:lang w:val="en-US" w:eastAsia="zh-CN" w:bidi="ar-SA"/>
              </w:rPr>
              <w:t>生活污水排入市政污水管网，最终进入玛纳斯工业园区塔河产业园污水处理厂处理</w:t>
            </w:r>
          </w:p>
        </w:tc>
        <w:tc>
          <w:tcPr>
            <w:tcW w:w="2494" w:type="dxa"/>
            <w:tcBorders>
              <w:top w:val="single" w:color="auto" w:sz="4" w:space="0"/>
              <w:left w:val="single" w:color="auto" w:sz="4" w:space="0"/>
              <w:right w:val="single" w:color="000000" w:sz="6" w:space="0"/>
            </w:tcBorders>
            <w:vAlign w:val="center"/>
          </w:tcPr>
          <w:p w14:paraId="735C06DB">
            <w:pPr>
              <w:pStyle w:val="25"/>
              <w:pageBreakBefore w:val="0"/>
              <w:kinsoku/>
              <w:wordWrap w:val="0"/>
              <w:overflowPunct/>
              <w:topLinePunct/>
              <w:autoSpaceDE/>
              <w:autoSpaceDN/>
              <w:bidi w:val="0"/>
              <w:spacing w:before="101" w:line="240" w:lineRule="auto"/>
              <w:ind w:left="107" w:right="61" w:firstLine="1"/>
              <w:jc w:val="center"/>
              <w:rPr>
                <w:rFonts w:hint="default" w:ascii="Times New Roman" w:hAnsi="Times New Roman" w:eastAsia="宋体" w:cs="Times New Roman"/>
                <w:snapToGrid w:val="0"/>
                <w:color w:val="auto"/>
                <w:spacing w:val="8"/>
                <w:kern w:val="0"/>
                <w:sz w:val="21"/>
                <w:szCs w:val="21"/>
                <w:highlight w:val="none"/>
                <w:lang w:val="en-US" w:eastAsia="en-US" w:bidi="ar-SA"/>
              </w:rPr>
            </w:pPr>
            <w:r>
              <w:rPr>
                <w:rFonts w:hint="default" w:ascii="Times New Roman" w:hAnsi="Times New Roman" w:eastAsia="宋体" w:cs="Times New Roman"/>
                <w:snapToGrid w:val="0"/>
                <w:color w:val="auto"/>
                <w:spacing w:val="8"/>
                <w:kern w:val="0"/>
                <w:sz w:val="21"/>
                <w:szCs w:val="21"/>
                <w:highlight w:val="none"/>
                <w:lang w:val="en-US" w:eastAsia="zh-CN" w:bidi="ar-SA"/>
              </w:rPr>
              <w:t>《污水综合排放标准》（GB8978-1996）三级标准限值</w:t>
            </w:r>
          </w:p>
        </w:tc>
      </w:tr>
      <w:tr w14:paraId="420DC2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1109" w:type="dxa"/>
            <w:tcBorders>
              <w:left w:val="single" w:color="000000" w:sz="6" w:space="0"/>
            </w:tcBorders>
            <w:vAlign w:val="center"/>
          </w:tcPr>
          <w:p w14:paraId="30224E3E">
            <w:pPr>
              <w:pStyle w:val="25"/>
              <w:pageBreakBefore w:val="0"/>
              <w:kinsoku/>
              <w:wordWrap w:val="0"/>
              <w:overflowPunct/>
              <w:topLinePunct/>
              <w:autoSpaceDE/>
              <w:autoSpaceDN/>
              <w:bidi w:val="0"/>
              <w:spacing w:before="65" w:line="229" w:lineRule="auto"/>
              <w:ind w:left="241"/>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5"/>
                <w:sz w:val="21"/>
                <w:szCs w:val="21"/>
                <w:highlight w:val="none"/>
              </w:rPr>
              <w:t>声环境</w:t>
            </w:r>
          </w:p>
        </w:tc>
        <w:tc>
          <w:tcPr>
            <w:tcW w:w="2107" w:type="dxa"/>
            <w:gridSpan w:val="3"/>
            <w:vAlign w:val="center"/>
          </w:tcPr>
          <w:p w14:paraId="2FFEF8CD">
            <w:pPr>
              <w:pStyle w:val="25"/>
              <w:pageBreakBefore w:val="0"/>
              <w:kinsoku/>
              <w:wordWrap w:val="0"/>
              <w:overflowPunct/>
              <w:topLinePunct/>
              <w:autoSpaceDE/>
              <w:autoSpaceDN/>
              <w:bidi w:val="0"/>
              <w:spacing w:before="65" w:line="251" w:lineRule="auto"/>
              <w:ind w:left="739" w:right="110" w:hanging="63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lang w:val="en-US" w:eastAsia="zh-CN"/>
              </w:rPr>
              <w:t>输送</w:t>
            </w:r>
            <w:r>
              <w:rPr>
                <w:rFonts w:hint="default" w:ascii="Times New Roman" w:hAnsi="Times New Roman" w:eastAsia="宋体" w:cs="Times New Roman"/>
                <w:color w:val="auto"/>
                <w:spacing w:val="9"/>
                <w:sz w:val="21"/>
                <w:szCs w:val="21"/>
                <w:highlight w:val="none"/>
              </w:rPr>
              <w:t>机、</w:t>
            </w:r>
            <w:r>
              <w:rPr>
                <w:rFonts w:hint="default" w:ascii="Times New Roman" w:hAnsi="Times New Roman" w:eastAsia="宋体" w:cs="Times New Roman"/>
                <w:color w:val="auto"/>
                <w:spacing w:val="9"/>
                <w:sz w:val="21"/>
                <w:szCs w:val="21"/>
                <w:highlight w:val="none"/>
                <w:lang w:val="en-US" w:eastAsia="zh-CN"/>
              </w:rPr>
              <w:t>皮带秤</w:t>
            </w:r>
            <w:r>
              <w:rPr>
                <w:rFonts w:hint="default" w:ascii="Times New Roman" w:hAnsi="Times New Roman" w:eastAsia="宋体" w:cs="Times New Roman"/>
                <w:color w:val="auto"/>
                <w:spacing w:val="9"/>
                <w:sz w:val="21"/>
                <w:szCs w:val="21"/>
                <w:highlight w:val="none"/>
              </w:rPr>
              <w:t>及空</w:t>
            </w:r>
            <w:r>
              <w:rPr>
                <w:rFonts w:hint="default" w:ascii="Times New Roman" w:hAnsi="Times New Roman" w:eastAsia="宋体" w:cs="Times New Roman"/>
                <w:color w:val="auto"/>
                <w:spacing w:val="6"/>
                <w:sz w:val="21"/>
                <w:szCs w:val="21"/>
                <w:highlight w:val="none"/>
              </w:rPr>
              <w:t>压机等</w:t>
            </w:r>
          </w:p>
        </w:tc>
        <w:tc>
          <w:tcPr>
            <w:tcW w:w="999" w:type="dxa"/>
            <w:vAlign w:val="center"/>
          </w:tcPr>
          <w:p w14:paraId="64F687F1">
            <w:pPr>
              <w:pStyle w:val="25"/>
              <w:pageBreakBefore w:val="0"/>
              <w:kinsoku/>
              <w:wordWrap w:val="0"/>
              <w:overflowPunct/>
              <w:topLinePunct/>
              <w:autoSpaceDE/>
              <w:autoSpaceDN/>
              <w:bidi w:val="0"/>
              <w:spacing w:before="65" w:line="229" w:lineRule="auto"/>
              <w:ind w:left="362"/>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噪声</w:t>
            </w:r>
          </w:p>
        </w:tc>
        <w:tc>
          <w:tcPr>
            <w:tcW w:w="2088" w:type="dxa"/>
            <w:vAlign w:val="center"/>
          </w:tcPr>
          <w:p w14:paraId="17B0BC60">
            <w:pPr>
              <w:pStyle w:val="25"/>
              <w:pageBreakBefore w:val="0"/>
              <w:kinsoku/>
              <w:wordWrap w:val="0"/>
              <w:overflowPunct/>
              <w:topLinePunct/>
              <w:autoSpaceDE/>
              <w:autoSpaceDN/>
              <w:bidi w:val="0"/>
              <w:spacing w:before="65" w:line="228" w:lineRule="auto"/>
              <w:ind w:left="112"/>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采用隔声、减振等措施</w:t>
            </w:r>
          </w:p>
        </w:tc>
        <w:tc>
          <w:tcPr>
            <w:tcW w:w="2501" w:type="dxa"/>
            <w:gridSpan w:val="2"/>
            <w:tcBorders>
              <w:right w:val="single" w:color="000000" w:sz="6" w:space="0"/>
            </w:tcBorders>
            <w:vAlign w:val="center"/>
          </w:tcPr>
          <w:p w14:paraId="3CACBBA8">
            <w:pPr>
              <w:pStyle w:val="25"/>
              <w:pageBreakBefore w:val="0"/>
              <w:kinsoku/>
              <w:wordWrap w:val="0"/>
              <w:overflowPunct/>
              <w:topLinePunct/>
              <w:autoSpaceDE/>
              <w:autoSpaceDN/>
              <w:bidi w:val="0"/>
              <w:spacing w:before="41" w:line="229" w:lineRule="auto"/>
              <w:ind w:left="196"/>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8"/>
                <w:sz w:val="21"/>
                <w:szCs w:val="21"/>
                <w:highlight w:val="none"/>
              </w:rPr>
              <w:t>《工业企业厂界环境</w:t>
            </w:r>
          </w:p>
          <w:p w14:paraId="5906C13E">
            <w:pPr>
              <w:pStyle w:val="25"/>
              <w:pageBreakBefore w:val="0"/>
              <w:kinsoku/>
              <w:wordWrap w:val="0"/>
              <w:overflowPunct/>
              <w:topLinePunct/>
              <w:autoSpaceDE/>
              <w:autoSpaceDN/>
              <w:bidi w:val="0"/>
              <w:spacing w:before="25" w:line="222"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5"/>
                <w:sz w:val="21"/>
                <w:szCs w:val="21"/>
                <w:highlight w:val="none"/>
              </w:rPr>
              <w:t>噪声排放标准》</w:t>
            </w:r>
            <w:r>
              <w:rPr>
                <w:rFonts w:hint="default" w:ascii="Times New Roman" w:hAnsi="Times New Roman" w:eastAsia="宋体" w:cs="Times New Roman"/>
                <w:color w:val="auto"/>
                <w:spacing w:val="1"/>
                <w:position w:val="1"/>
                <w:sz w:val="21"/>
                <w:szCs w:val="21"/>
                <w:highlight w:val="none"/>
              </w:rPr>
              <w:t>（</w:t>
            </w:r>
            <w:r>
              <w:rPr>
                <w:rFonts w:hint="default" w:ascii="Times New Roman" w:hAnsi="Times New Roman" w:eastAsia="宋体" w:cs="Times New Roman"/>
                <w:color w:val="auto"/>
                <w:position w:val="1"/>
                <w:sz w:val="21"/>
                <w:szCs w:val="21"/>
                <w:highlight w:val="none"/>
              </w:rPr>
              <w:t>GB</w:t>
            </w:r>
            <w:r>
              <w:rPr>
                <w:rFonts w:hint="default" w:ascii="Times New Roman" w:hAnsi="Times New Roman" w:eastAsia="宋体" w:cs="Times New Roman"/>
                <w:color w:val="auto"/>
                <w:spacing w:val="1"/>
                <w:position w:val="1"/>
                <w:sz w:val="21"/>
                <w:szCs w:val="21"/>
                <w:highlight w:val="none"/>
              </w:rPr>
              <w:t>12348-2008）中3</w:t>
            </w:r>
            <w:r>
              <w:rPr>
                <w:rFonts w:hint="default" w:ascii="Times New Roman" w:hAnsi="Times New Roman" w:eastAsia="宋体" w:cs="Times New Roman"/>
                <w:color w:val="auto"/>
                <w:spacing w:val="6"/>
                <w:sz w:val="21"/>
                <w:szCs w:val="21"/>
                <w:highlight w:val="none"/>
              </w:rPr>
              <w:t>类标准</w:t>
            </w:r>
          </w:p>
        </w:tc>
      </w:tr>
      <w:tr w14:paraId="26C36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1109" w:type="dxa"/>
            <w:tcBorders>
              <w:left w:val="single" w:color="000000" w:sz="6" w:space="0"/>
            </w:tcBorders>
            <w:vAlign w:val="center"/>
          </w:tcPr>
          <w:p w14:paraId="243B5D3E">
            <w:pPr>
              <w:pStyle w:val="25"/>
              <w:pageBreakBefore w:val="0"/>
              <w:kinsoku/>
              <w:wordWrap w:val="0"/>
              <w:overflowPunct/>
              <w:topLinePunct/>
              <w:autoSpaceDE/>
              <w:autoSpaceDN/>
              <w:bidi w:val="0"/>
              <w:spacing w:before="120" w:line="228" w:lineRule="auto"/>
              <w:ind w:left="156"/>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电磁辐射</w:t>
            </w:r>
          </w:p>
        </w:tc>
        <w:tc>
          <w:tcPr>
            <w:tcW w:w="2107" w:type="dxa"/>
            <w:gridSpan w:val="3"/>
            <w:vAlign w:val="center"/>
          </w:tcPr>
          <w:p w14:paraId="4B98B2ED">
            <w:pPr>
              <w:pageBreakBefore w:val="0"/>
              <w:kinsoku/>
              <w:wordWrap w:val="0"/>
              <w:overflowPunct/>
              <w:topLinePunct/>
              <w:autoSpaceDE/>
              <w:autoSpaceDN/>
              <w:bidi w:val="0"/>
              <w:spacing w:before="88" w:line="275" w:lineRule="exact"/>
              <w:ind w:left="1016"/>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position w:val="1"/>
                <w:sz w:val="21"/>
                <w:szCs w:val="21"/>
                <w:highlight w:val="none"/>
              </w:rPr>
              <w:t>/</w:t>
            </w:r>
          </w:p>
        </w:tc>
        <w:tc>
          <w:tcPr>
            <w:tcW w:w="999" w:type="dxa"/>
            <w:vAlign w:val="center"/>
          </w:tcPr>
          <w:p w14:paraId="44452951">
            <w:pPr>
              <w:pageBreakBefore w:val="0"/>
              <w:kinsoku/>
              <w:wordWrap w:val="0"/>
              <w:overflowPunct/>
              <w:topLinePunct/>
              <w:autoSpaceDE/>
              <w:autoSpaceDN/>
              <w:bidi w:val="0"/>
              <w:spacing w:before="88" w:line="275" w:lineRule="exact"/>
              <w:ind w:left="525"/>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position w:val="1"/>
                <w:sz w:val="21"/>
                <w:szCs w:val="21"/>
                <w:highlight w:val="none"/>
              </w:rPr>
              <w:t>/</w:t>
            </w:r>
          </w:p>
        </w:tc>
        <w:tc>
          <w:tcPr>
            <w:tcW w:w="2088" w:type="dxa"/>
            <w:vAlign w:val="center"/>
          </w:tcPr>
          <w:p w14:paraId="2AC546CF">
            <w:pPr>
              <w:pageBreakBefore w:val="0"/>
              <w:kinsoku/>
              <w:wordWrap w:val="0"/>
              <w:overflowPunct/>
              <w:topLinePunct/>
              <w:autoSpaceDE/>
              <w:autoSpaceDN/>
              <w:bidi w:val="0"/>
              <w:spacing w:before="88" w:line="275" w:lineRule="exact"/>
              <w:ind w:left="107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position w:val="1"/>
                <w:sz w:val="21"/>
                <w:szCs w:val="21"/>
                <w:highlight w:val="none"/>
              </w:rPr>
              <w:t>/</w:t>
            </w:r>
          </w:p>
        </w:tc>
        <w:tc>
          <w:tcPr>
            <w:tcW w:w="2501" w:type="dxa"/>
            <w:gridSpan w:val="2"/>
            <w:tcBorders>
              <w:right w:val="single" w:color="000000" w:sz="6" w:space="0"/>
            </w:tcBorders>
            <w:vAlign w:val="center"/>
          </w:tcPr>
          <w:p w14:paraId="00E9298E">
            <w:pPr>
              <w:pageBreakBefore w:val="0"/>
              <w:kinsoku/>
              <w:wordWrap w:val="0"/>
              <w:overflowPunct/>
              <w:topLinePunct/>
              <w:autoSpaceDE/>
              <w:autoSpaceDN/>
              <w:bidi w:val="0"/>
              <w:spacing w:before="88" w:line="275" w:lineRule="exact"/>
              <w:ind w:left="109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position w:val="1"/>
                <w:sz w:val="21"/>
                <w:szCs w:val="21"/>
                <w:highlight w:val="none"/>
              </w:rPr>
              <w:t>/</w:t>
            </w:r>
          </w:p>
        </w:tc>
      </w:tr>
      <w:tr w14:paraId="2FCAB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09" w:type="dxa"/>
            <w:vMerge w:val="restart"/>
            <w:tcBorders>
              <w:left w:val="single" w:color="000000" w:sz="6" w:space="0"/>
              <w:bottom w:val="nil"/>
            </w:tcBorders>
            <w:vAlign w:val="center"/>
          </w:tcPr>
          <w:p w14:paraId="29366636">
            <w:pPr>
              <w:pStyle w:val="25"/>
              <w:pageBreakBefore w:val="0"/>
              <w:kinsoku/>
              <w:wordWrap w:val="0"/>
              <w:overflowPunct/>
              <w:topLinePunct/>
              <w:autoSpaceDE/>
              <w:autoSpaceDN/>
              <w:bidi w:val="0"/>
              <w:spacing w:before="65" w:line="229" w:lineRule="auto"/>
              <w:ind w:left="15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固体废物</w:t>
            </w:r>
          </w:p>
        </w:tc>
        <w:tc>
          <w:tcPr>
            <w:tcW w:w="1174" w:type="dxa"/>
            <w:gridSpan w:val="2"/>
            <w:vMerge w:val="restart"/>
            <w:tcBorders>
              <w:bottom w:val="nil"/>
            </w:tcBorders>
            <w:shd w:val="clear" w:color="auto" w:fill="auto"/>
            <w:vAlign w:val="center"/>
          </w:tcPr>
          <w:p w14:paraId="47240C1C">
            <w:pPr>
              <w:pStyle w:val="25"/>
              <w:pageBreakBefore w:val="0"/>
              <w:kinsoku/>
              <w:wordWrap w:val="0"/>
              <w:overflowPunct/>
              <w:topLinePunct/>
              <w:autoSpaceDE/>
              <w:autoSpaceDN/>
              <w:bidi w:val="0"/>
              <w:spacing w:line="240" w:lineRule="auto"/>
              <w:ind w:left="0" w:leftChars="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一般固体废物</w:t>
            </w:r>
          </w:p>
        </w:tc>
        <w:tc>
          <w:tcPr>
            <w:tcW w:w="1932" w:type="dxa"/>
            <w:gridSpan w:val="2"/>
            <w:shd w:val="clear" w:color="auto" w:fill="auto"/>
            <w:vAlign w:val="center"/>
          </w:tcPr>
          <w:p w14:paraId="5377342F">
            <w:pPr>
              <w:pStyle w:val="25"/>
              <w:pageBreakBefore w:val="0"/>
              <w:kinsoku/>
              <w:wordWrap w:val="0"/>
              <w:overflowPunct/>
              <w:topLinePunct/>
              <w:autoSpaceDE/>
              <w:autoSpaceDN/>
              <w:bidi w:val="0"/>
              <w:spacing w:line="240" w:lineRule="auto"/>
              <w:ind w:left="0" w:leftChars="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废包装袋</w:t>
            </w:r>
          </w:p>
        </w:tc>
        <w:tc>
          <w:tcPr>
            <w:tcW w:w="4589" w:type="dxa"/>
            <w:gridSpan w:val="3"/>
            <w:tcBorders>
              <w:right w:val="single" w:color="000000" w:sz="6" w:space="0"/>
            </w:tcBorders>
            <w:shd w:val="clear" w:color="auto" w:fill="auto"/>
            <w:vAlign w:val="center"/>
          </w:tcPr>
          <w:p w14:paraId="63A82D83">
            <w:pPr>
              <w:pStyle w:val="25"/>
              <w:pageBreakBefore w:val="0"/>
              <w:kinsoku/>
              <w:wordWrap w:val="0"/>
              <w:overflowPunct/>
              <w:topLinePunct/>
              <w:autoSpaceDE/>
              <w:autoSpaceDN/>
              <w:bidi w:val="0"/>
              <w:spacing w:line="240" w:lineRule="auto"/>
              <w:ind w:left="0" w:leftChars="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外售</w:t>
            </w:r>
          </w:p>
        </w:tc>
      </w:tr>
      <w:tr w14:paraId="12EBA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09" w:type="dxa"/>
            <w:vMerge w:val="continue"/>
            <w:tcBorders>
              <w:left w:val="single" w:color="000000" w:sz="6" w:space="0"/>
            </w:tcBorders>
            <w:vAlign w:val="center"/>
          </w:tcPr>
          <w:p w14:paraId="3E63BB7E">
            <w:pPr>
              <w:pStyle w:val="25"/>
              <w:pageBreakBefore w:val="0"/>
              <w:kinsoku/>
              <w:wordWrap w:val="0"/>
              <w:overflowPunct/>
              <w:topLinePunct/>
              <w:autoSpaceDE/>
              <w:autoSpaceDN/>
              <w:bidi w:val="0"/>
              <w:spacing w:before="65" w:line="229" w:lineRule="auto"/>
              <w:ind w:left="150"/>
              <w:jc w:val="center"/>
              <w:rPr>
                <w:rFonts w:hint="default" w:ascii="Times New Roman" w:hAnsi="Times New Roman" w:eastAsia="宋体" w:cs="Times New Roman"/>
                <w:snapToGrid w:val="0"/>
                <w:color w:val="auto"/>
                <w:kern w:val="0"/>
                <w:sz w:val="21"/>
                <w:szCs w:val="21"/>
                <w:highlight w:val="none"/>
                <w:lang w:val="en-US" w:eastAsia="zh-CN" w:bidi="ar-SA"/>
              </w:rPr>
            </w:pPr>
          </w:p>
        </w:tc>
        <w:tc>
          <w:tcPr>
            <w:tcW w:w="1174" w:type="dxa"/>
            <w:gridSpan w:val="2"/>
            <w:vMerge w:val="continue"/>
            <w:shd w:val="clear" w:color="auto" w:fill="auto"/>
            <w:vAlign w:val="center"/>
          </w:tcPr>
          <w:p w14:paraId="7801C371">
            <w:pPr>
              <w:pStyle w:val="25"/>
              <w:pageBreakBefore w:val="0"/>
              <w:kinsoku/>
              <w:wordWrap w:val="0"/>
              <w:overflowPunct/>
              <w:topLinePunct/>
              <w:autoSpaceDE/>
              <w:autoSpaceDN/>
              <w:bidi w:val="0"/>
              <w:spacing w:line="240" w:lineRule="auto"/>
              <w:ind w:left="0" w:leftChars="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p>
        </w:tc>
        <w:tc>
          <w:tcPr>
            <w:tcW w:w="1932" w:type="dxa"/>
            <w:gridSpan w:val="2"/>
            <w:shd w:val="clear" w:color="auto" w:fill="auto"/>
            <w:vAlign w:val="center"/>
          </w:tcPr>
          <w:p w14:paraId="31C5D06E">
            <w:pPr>
              <w:pStyle w:val="25"/>
              <w:pageBreakBefore w:val="0"/>
              <w:kinsoku/>
              <w:wordWrap w:val="0"/>
              <w:overflowPunct/>
              <w:topLinePunct/>
              <w:autoSpaceDE/>
              <w:autoSpaceDN/>
              <w:bidi w:val="0"/>
              <w:spacing w:line="240" w:lineRule="auto"/>
              <w:ind w:left="0" w:leftChars="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废包装桶</w:t>
            </w:r>
          </w:p>
        </w:tc>
        <w:tc>
          <w:tcPr>
            <w:tcW w:w="4589" w:type="dxa"/>
            <w:gridSpan w:val="3"/>
            <w:tcBorders>
              <w:right w:val="single" w:color="000000" w:sz="6" w:space="0"/>
            </w:tcBorders>
            <w:shd w:val="clear" w:color="auto" w:fill="auto"/>
            <w:vAlign w:val="center"/>
          </w:tcPr>
          <w:p w14:paraId="58216AF3">
            <w:pPr>
              <w:pStyle w:val="25"/>
              <w:pageBreakBefore w:val="0"/>
              <w:kinsoku/>
              <w:wordWrap w:val="0"/>
              <w:overflowPunct/>
              <w:topLinePunct/>
              <w:autoSpaceDE/>
              <w:autoSpaceDN/>
              <w:bidi w:val="0"/>
              <w:spacing w:line="240" w:lineRule="auto"/>
              <w:ind w:left="0" w:leftChars="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厂家回收</w:t>
            </w:r>
          </w:p>
        </w:tc>
      </w:tr>
      <w:tr w14:paraId="5FA76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1109" w:type="dxa"/>
            <w:vMerge w:val="continue"/>
            <w:tcBorders>
              <w:top w:val="nil"/>
              <w:left w:val="single" w:color="000000" w:sz="6" w:space="0"/>
              <w:bottom w:val="nil"/>
            </w:tcBorders>
            <w:vAlign w:val="center"/>
          </w:tcPr>
          <w:p w14:paraId="4889EF91">
            <w:pPr>
              <w:pageBreakBefore w:val="0"/>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zh-CN" w:bidi="ar-SA"/>
              </w:rPr>
            </w:pPr>
          </w:p>
        </w:tc>
        <w:tc>
          <w:tcPr>
            <w:tcW w:w="1174" w:type="dxa"/>
            <w:gridSpan w:val="2"/>
            <w:vMerge w:val="continue"/>
            <w:tcBorders>
              <w:top w:val="nil"/>
              <w:bottom w:val="single" w:color="auto" w:sz="4" w:space="0"/>
            </w:tcBorders>
            <w:shd w:val="clear" w:color="auto" w:fill="auto"/>
            <w:vAlign w:val="center"/>
          </w:tcPr>
          <w:p w14:paraId="2DE6746B">
            <w:pPr>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p>
        </w:tc>
        <w:tc>
          <w:tcPr>
            <w:tcW w:w="1932" w:type="dxa"/>
            <w:gridSpan w:val="2"/>
            <w:tcBorders>
              <w:bottom w:val="single" w:color="auto" w:sz="4" w:space="0"/>
            </w:tcBorders>
            <w:shd w:val="clear" w:color="auto" w:fill="auto"/>
            <w:vAlign w:val="center"/>
          </w:tcPr>
          <w:p w14:paraId="22F1C717">
            <w:pPr>
              <w:pStyle w:val="25"/>
              <w:pageBreakBefore w:val="0"/>
              <w:kinsoku/>
              <w:wordWrap w:val="0"/>
              <w:overflowPunct/>
              <w:topLinePunct/>
              <w:autoSpaceDE/>
              <w:autoSpaceDN/>
              <w:bidi w:val="0"/>
              <w:spacing w:line="240" w:lineRule="auto"/>
              <w:ind w:left="0" w:leftChars="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收集的粉尘</w:t>
            </w:r>
          </w:p>
        </w:tc>
        <w:tc>
          <w:tcPr>
            <w:tcW w:w="4589" w:type="dxa"/>
            <w:gridSpan w:val="3"/>
            <w:tcBorders>
              <w:right w:val="single" w:color="000000" w:sz="6" w:space="0"/>
            </w:tcBorders>
            <w:shd w:val="clear" w:color="auto" w:fill="auto"/>
            <w:vAlign w:val="center"/>
          </w:tcPr>
          <w:p w14:paraId="56515542">
            <w:pPr>
              <w:pStyle w:val="25"/>
              <w:pageBreakBefore w:val="0"/>
              <w:kinsoku/>
              <w:wordWrap w:val="0"/>
              <w:overflowPunct/>
              <w:topLinePunct/>
              <w:autoSpaceDE/>
              <w:autoSpaceDN/>
              <w:bidi w:val="0"/>
              <w:spacing w:line="240" w:lineRule="auto"/>
              <w:ind w:left="0" w:leftChars="0" w:right="0" w:rightChars="0" w:firstLine="0" w:firstLineChars="0"/>
              <w:jc w:val="center"/>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kern w:val="0"/>
                <w:sz w:val="21"/>
                <w:szCs w:val="21"/>
                <w:highlight w:val="none"/>
                <w:lang w:val="en-US" w:eastAsia="zh-CN" w:bidi="ar-SA"/>
              </w:rPr>
              <w:t>回用于生产</w:t>
            </w:r>
          </w:p>
        </w:tc>
      </w:tr>
      <w:tr w14:paraId="5C5542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1109" w:type="dxa"/>
            <w:vMerge w:val="continue"/>
            <w:tcBorders>
              <w:top w:val="nil"/>
              <w:left w:val="single" w:color="000000" w:sz="6" w:space="0"/>
              <w:bottom w:val="nil"/>
            </w:tcBorders>
            <w:vAlign w:val="center"/>
          </w:tcPr>
          <w:p w14:paraId="3BA3DB21">
            <w:pPr>
              <w:pageBreakBefore w:val="0"/>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zh-CN" w:bidi="ar-SA"/>
              </w:rPr>
            </w:pPr>
          </w:p>
        </w:tc>
        <w:tc>
          <w:tcPr>
            <w:tcW w:w="1174" w:type="dxa"/>
            <w:gridSpan w:val="2"/>
            <w:tcBorders>
              <w:top w:val="single" w:color="auto" w:sz="4" w:space="0"/>
            </w:tcBorders>
            <w:shd w:val="clear" w:color="auto" w:fill="auto"/>
            <w:vAlign w:val="center"/>
          </w:tcPr>
          <w:p w14:paraId="32D2ECD3">
            <w:pPr>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危险废物</w:t>
            </w:r>
          </w:p>
        </w:tc>
        <w:tc>
          <w:tcPr>
            <w:tcW w:w="1932" w:type="dxa"/>
            <w:gridSpan w:val="2"/>
            <w:tcBorders>
              <w:top w:val="single" w:color="auto" w:sz="4" w:space="0"/>
            </w:tcBorders>
            <w:shd w:val="clear" w:color="auto" w:fill="auto"/>
            <w:vAlign w:val="center"/>
          </w:tcPr>
          <w:p w14:paraId="4CD15AFC">
            <w:pPr>
              <w:pStyle w:val="25"/>
              <w:pageBreakBefore w:val="0"/>
              <w:kinsoku/>
              <w:wordWrap w:val="0"/>
              <w:overflowPunct/>
              <w:topLinePunct/>
              <w:autoSpaceDE/>
              <w:autoSpaceDN/>
              <w:bidi w:val="0"/>
              <w:spacing w:line="240" w:lineRule="auto"/>
              <w:ind w:left="0" w:leftChars="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废机油</w:t>
            </w:r>
          </w:p>
        </w:tc>
        <w:tc>
          <w:tcPr>
            <w:tcW w:w="4589" w:type="dxa"/>
            <w:gridSpan w:val="3"/>
            <w:tcBorders>
              <w:right w:val="single" w:color="000000" w:sz="6" w:space="0"/>
            </w:tcBorders>
            <w:shd w:val="clear" w:color="auto" w:fill="auto"/>
            <w:vAlign w:val="center"/>
          </w:tcPr>
          <w:p w14:paraId="0238CB0A">
            <w:pPr>
              <w:pStyle w:val="25"/>
              <w:pageBreakBefore w:val="0"/>
              <w:kinsoku/>
              <w:wordWrap w:val="0"/>
              <w:overflowPunct/>
              <w:topLinePunct/>
              <w:autoSpaceDE/>
              <w:autoSpaceDN/>
              <w:bidi w:val="0"/>
              <w:spacing w:line="240" w:lineRule="auto"/>
              <w:ind w:left="0" w:leftChars="0" w:right="0" w:rightChars="0" w:firstLine="0" w:firstLineChars="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定期交由有危废处置资质单位处理</w:t>
            </w:r>
          </w:p>
        </w:tc>
      </w:tr>
      <w:tr w14:paraId="600531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09" w:type="dxa"/>
            <w:vMerge w:val="continue"/>
            <w:tcBorders>
              <w:top w:val="nil"/>
              <w:left w:val="single" w:color="000000" w:sz="6" w:space="0"/>
              <w:bottom w:val="single" w:color="000000" w:sz="6" w:space="0"/>
            </w:tcBorders>
            <w:vAlign w:val="center"/>
          </w:tcPr>
          <w:p w14:paraId="19C66C55">
            <w:pPr>
              <w:pageBreakBefore w:val="0"/>
              <w:kinsoku/>
              <w:wordWrap w:val="0"/>
              <w:overflowPunct/>
              <w:topLinePunct/>
              <w:autoSpaceDE/>
              <w:autoSpaceDN/>
              <w:bidi w:val="0"/>
              <w:jc w:val="center"/>
              <w:rPr>
                <w:rFonts w:hint="default" w:ascii="Times New Roman" w:hAnsi="Times New Roman" w:eastAsia="宋体" w:cs="Times New Roman"/>
                <w:snapToGrid w:val="0"/>
                <w:color w:val="auto"/>
                <w:kern w:val="0"/>
                <w:sz w:val="21"/>
                <w:szCs w:val="21"/>
                <w:highlight w:val="none"/>
                <w:lang w:val="en-US" w:eastAsia="zh-CN" w:bidi="ar-SA"/>
              </w:rPr>
            </w:pPr>
          </w:p>
        </w:tc>
        <w:tc>
          <w:tcPr>
            <w:tcW w:w="3106" w:type="dxa"/>
            <w:gridSpan w:val="4"/>
            <w:tcBorders>
              <w:bottom w:val="single" w:color="000000" w:sz="6" w:space="0"/>
            </w:tcBorders>
            <w:vAlign w:val="center"/>
          </w:tcPr>
          <w:p w14:paraId="59CF51AE">
            <w:pPr>
              <w:pStyle w:val="25"/>
              <w:pageBreakBefore w:val="0"/>
              <w:kinsoku/>
              <w:wordWrap w:val="0"/>
              <w:overflowPunct/>
              <w:topLinePunct/>
              <w:autoSpaceDE/>
              <w:autoSpaceDN/>
              <w:bidi w:val="0"/>
              <w:spacing w:line="240" w:lineRule="auto"/>
              <w:ind w:left="0" w:leftChars="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生活垃圾</w:t>
            </w:r>
          </w:p>
        </w:tc>
        <w:tc>
          <w:tcPr>
            <w:tcW w:w="4589" w:type="dxa"/>
            <w:gridSpan w:val="3"/>
            <w:tcBorders>
              <w:bottom w:val="single" w:color="000000" w:sz="6" w:space="0"/>
              <w:right w:val="single" w:color="000000" w:sz="6" w:space="0"/>
            </w:tcBorders>
            <w:vAlign w:val="center"/>
          </w:tcPr>
          <w:p w14:paraId="43E2140A">
            <w:pPr>
              <w:pStyle w:val="25"/>
              <w:pageBreakBefore w:val="0"/>
              <w:kinsoku/>
              <w:wordWrap w:val="0"/>
              <w:overflowPunct/>
              <w:topLinePunct/>
              <w:autoSpaceDE/>
              <w:autoSpaceDN/>
              <w:bidi w:val="0"/>
              <w:spacing w:line="240" w:lineRule="auto"/>
              <w:ind w:left="0" w:leftChars="0" w:right="0" w:firstLine="0"/>
              <w:jc w:val="center"/>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集中收集后由环卫部门统一处理</w:t>
            </w:r>
          </w:p>
        </w:tc>
      </w:tr>
      <w:tr w14:paraId="21D069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1109" w:type="dxa"/>
            <w:tcBorders>
              <w:top w:val="single" w:color="000000" w:sz="6" w:space="0"/>
              <w:left w:val="single" w:color="000000" w:sz="6" w:space="0"/>
            </w:tcBorders>
            <w:vAlign w:val="center"/>
          </w:tcPr>
          <w:p w14:paraId="4AA5470F">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pacing w:val="5"/>
                <w:sz w:val="21"/>
                <w:szCs w:val="21"/>
                <w:highlight w:val="none"/>
              </w:rPr>
            </w:pPr>
            <w:r>
              <w:rPr>
                <w:rFonts w:hint="default" w:ascii="Times New Roman" w:hAnsi="Times New Roman" w:eastAsia="宋体" w:cs="Times New Roman"/>
                <w:color w:val="auto"/>
                <w:spacing w:val="5"/>
                <w:sz w:val="21"/>
                <w:szCs w:val="21"/>
                <w:highlight w:val="none"/>
              </w:rPr>
              <w:t>土壤及地</w:t>
            </w:r>
          </w:p>
          <w:p w14:paraId="3C1DD579">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pacing w:val="5"/>
                <w:sz w:val="21"/>
                <w:szCs w:val="21"/>
                <w:highlight w:val="none"/>
              </w:rPr>
            </w:pPr>
            <w:r>
              <w:rPr>
                <w:rFonts w:hint="default" w:ascii="Times New Roman" w:hAnsi="Times New Roman" w:eastAsia="宋体" w:cs="Times New Roman"/>
                <w:color w:val="auto"/>
                <w:spacing w:val="5"/>
                <w:sz w:val="21"/>
                <w:szCs w:val="21"/>
                <w:highlight w:val="none"/>
              </w:rPr>
              <w:t>下水污染</w:t>
            </w:r>
          </w:p>
          <w:p w14:paraId="4F56EF83">
            <w:pPr>
              <w:pStyle w:val="25"/>
              <w:pageBreakBefore w:val="0"/>
              <w:kinsoku/>
              <w:wordWrap w:val="0"/>
              <w:overflowPunct/>
              <w:topLinePunct/>
              <w:autoSpaceDE/>
              <w:autoSpaceDN/>
              <w:bidi w:val="0"/>
              <w:spacing w:line="240" w:lineRule="auto"/>
              <w:ind w:left="0"/>
              <w:jc w:val="center"/>
              <w:rPr>
                <w:rFonts w:hint="default" w:ascii="Times New Roman" w:hAnsi="Times New Roman" w:eastAsia="宋体" w:cs="Times New Roman"/>
                <w:color w:val="auto"/>
                <w:spacing w:val="5"/>
                <w:sz w:val="21"/>
                <w:szCs w:val="21"/>
                <w:highlight w:val="none"/>
              </w:rPr>
            </w:pPr>
            <w:r>
              <w:rPr>
                <w:rFonts w:hint="default" w:ascii="Times New Roman" w:hAnsi="Times New Roman" w:eastAsia="宋体" w:cs="Times New Roman"/>
                <w:color w:val="auto"/>
                <w:spacing w:val="5"/>
                <w:sz w:val="21"/>
                <w:szCs w:val="21"/>
                <w:highlight w:val="none"/>
              </w:rPr>
              <w:t>防治措施</w:t>
            </w:r>
          </w:p>
        </w:tc>
        <w:tc>
          <w:tcPr>
            <w:tcW w:w="7695" w:type="dxa"/>
            <w:gridSpan w:val="7"/>
            <w:tcBorders>
              <w:top w:val="single" w:color="000000" w:sz="6" w:space="0"/>
              <w:right w:val="single" w:color="000000" w:sz="6" w:space="0"/>
            </w:tcBorders>
            <w:vAlign w:val="top"/>
          </w:tcPr>
          <w:p w14:paraId="289E998A">
            <w:pPr>
              <w:pStyle w:val="25"/>
              <w:pageBreakBefore w:val="0"/>
              <w:kinsoku/>
              <w:wordWrap w:val="0"/>
              <w:overflowPunct/>
              <w:topLinePunct/>
              <w:autoSpaceDE/>
              <w:autoSpaceDN/>
              <w:bidi w:val="0"/>
              <w:spacing w:before="22" w:line="228" w:lineRule="auto"/>
              <w:ind w:left="138"/>
              <w:rPr>
                <w:rFonts w:hint="default" w:ascii="Times New Roman" w:hAnsi="Times New Roman" w:eastAsia="宋体" w:cs="Times New Roman"/>
                <w:color w:val="auto"/>
                <w:spacing w:val="5"/>
                <w:sz w:val="21"/>
                <w:szCs w:val="21"/>
                <w:highlight w:val="none"/>
              </w:rPr>
            </w:pPr>
            <w:r>
              <w:rPr>
                <w:rFonts w:hint="default" w:ascii="Times New Roman" w:hAnsi="Times New Roman" w:eastAsia="宋体" w:cs="Times New Roman"/>
                <w:color w:val="auto"/>
                <w:spacing w:val="5"/>
                <w:sz w:val="21"/>
                <w:szCs w:val="21"/>
                <w:highlight w:val="none"/>
              </w:rPr>
              <w:t>(1)危险废物暂存库：等效粘土防渗层Mb ≥6m,K≤1×10</w:t>
            </w:r>
            <w:r>
              <w:rPr>
                <w:rFonts w:hint="default" w:ascii="Times New Roman" w:hAnsi="Times New Roman" w:eastAsia="宋体" w:cs="Times New Roman"/>
                <w:color w:val="auto"/>
                <w:spacing w:val="5"/>
                <w:sz w:val="21"/>
                <w:szCs w:val="21"/>
                <w:highlight w:val="none"/>
                <w:vertAlign w:val="superscript"/>
                <w:lang w:val="en-US" w:eastAsia="zh-CN"/>
              </w:rPr>
              <w:t>-</w:t>
            </w:r>
            <w:r>
              <w:rPr>
                <w:rFonts w:hint="default" w:ascii="Times New Roman" w:hAnsi="Times New Roman" w:eastAsia="宋体" w:cs="Times New Roman"/>
                <w:color w:val="auto"/>
                <w:spacing w:val="5"/>
                <w:sz w:val="21"/>
                <w:szCs w:val="21"/>
                <w:highlight w:val="none"/>
              </w:rPr>
              <w:t>⁷cm/s,或者参照GB16889执行；</w:t>
            </w:r>
          </w:p>
          <w:p w14:paraId="2FCF9D33">
            <w:pPr>
              <w:pStyle w:val="25"/>
              <w:pageBreakBefore w:val="0"/>
              <w:kinsoku/>
              <w:wordWrap w:val="0"/>
              <w:overflowPunct/>
              <w:topLinePunct/>
              <w:autoSpaceDE/>
              <w:autoSpaceDN/>
              <w:bidi w:val="0"/>
              <w:spacing w:before="22" w:line="228" w:lineRule="auto"/>
              <w:ind w:left="138"/>
              <w:rPr>
                <w:rFonts w:hint="default" w:ascii="Times New Roman" w:hAnsi="Times New Roman" w:eastAsia="宋体" w:cs="Times New Roman"/>
                <w:color w:val="auto"/>
                <w:spacing w:val="5"/>
                <w:sz w:val="21"/>
                <w:szCs w:val="21"/>
                <w:highlight w:val="none"/>
              </w:rPr>
            </w:pPr>
            <w:r>
              <w:rPr>
                <w:rFonts w:hint="default" w:ascii="Times New Roman" w:hAnsi="Times New Roman" w:eastAsia="宋体" w:cs="Times New Roman"/>
                <w:color w:val="auto"/>
                <w:spacing w:val="5"/>
                <w:sz w:val="21"/>
                <w:szCs w:val="21"/>
                <w:highlight w:val="none"/>
              </w:rPr>
              <w:t>(2)</w:t>
            </w:r>
            <w:r>
              <w:rPr>
                <w:rFonts w:hint="default" w:ascii="Times New Roman" w:hAnsi="Times New Roman" w:eastAsia="宋体" w:cs="Times New Roman"/>
                <w:bCs/>
                <w:snapToGrid w:val="0"/>
                <w:color w:val="auto"/>
                <w:kern w:val="0"/>
                <w:sz w:val="21"/>
                <w:szCs w:val="21"/>
                <w:highlight w:val="none"/>
                <w:lang w:val="en-US" w:eastAsia="en-US" w:bidi="ar-SA"/>
              </w:rPr>
              <w:t>三乙醇胺</w:t>
            </w:r>
            <w:r>
              <w:rPr>
                <w:rFonts w:hint="default" w:ascii="Times New Roman" w:hAnsi="Times New Roman" w:eastAsia="宋体" w:cs="Times New Roman"/>
                <w:bCs/>
                <w:snapToGrid w:val="0"/>
                <w:color w:val="auto"/>
                <w:kern w:val="0"/>
                <w:sz w:val="21"/>
                <w:szCs w:val="21"/>
                <w:highlight w:val="none"/>
                <w:lang w:val="en-US" w:eastAsia="zh-CN" w:bidi="ar-SA"/>
              </w:rPr>
              <w:t>罐区</w:t>
            </w:r>
            <w:r>
              <w:rPr>
                <w:rFonts w:hint="default" w:ascii="Times New Roman" w:hAnsi="Times New Roman" w:eastAsia="宋体" w:cs="Times New Roman"/>
                <w:color w:val="auto"/>
                <w:spacing w:val="5"/>
                <w:sz w:val="21"/>
                <w:szCs w:val="21"/>
                <w:highlight w:val="none"/>
              </w:rPr>
              <w:t>：等效粘土防渗层Mb≥1.5m,K≤1×10⁻⁷cm/s,或者参照 GB16889执行；</w:t>
            </w:r>
          </w:p>
          <w:p w14:paraId="12B6967E">
            <w:pPr>
              <w:pStyle w:val="25"/>
              <w:pageBreakBefore w:val="0"/>
              <w:kinsoku/>
              <w:wordWrap w:val="0"/>
              <w:overflowPunct/>
              <w:topLinePunct/>
              <w:autoSpaceDE/>
              <w:autoSpaceDN/>
              <w:bidi w:val="0"/>
              <w:spacing w:before="22" w:line="228" w:lineRule="auto"/>
              <w:ind w:left="138"/>
              <w:rPr>
                <w:rFonts w:hint="default" w:ascii="Times New Roman" w:hAnsi="Times New Roman" w:eastAsia="宋体" w:cs="Times New Roman"/>
                <w:color w:val="auto"/>
                <w:spacing w:val="5"/>
                <w:sz w:val="21"/>
                <w:szCs w:val="21"/>
                <w:highlight w:val="none"/>
                <w:lang w:eastAsia="zh-CN"/>
              </w:rPr>
            </w:pPr>
            <w:r>
              <w:rPr>
                <w:rFonts w:hint="default" w:ascii="Times New Roman" w:hAnsi="Times New Roman" w:eastAsia="宋体" w:cs="Times New Roman"/>
                <w:bCs/>
                <w:snapToGrid w:val="0"/>
                <w:color w:val="auto"/>
                <w:kern w:val="0"/>
                <w:sz w:val="21"/>
                <w:szCs w:val="21"/>
                <w:highlight w:val="none"/>
                <w:lang w:val="en-US" w:eastAsia="zh-CN" w:bidi="ar-SA"/>
              </w:rPr>
              <w:t>（3）</w:t>
            </w:r>
            <w:r>
              <w:rPr>
                <w:rFonts w:hint="default" w:ascii="Times New Roman" w:hAnsi="Times New Roman" w:eastAsia="宋体" w:cs="Times New Roman"/>
                <w:bCs/>
                <w:snapToGrid w:val="0"/>
                <w:color w:val="auto"/>
                <w:kern w:val="0"/>
                <w:sz w:val="21"/>
                <w:szCs w:val="21"/>
                <w:highlight w:val="none"/>
                <w:lang w:val="en-US" w:eastAsia="en-US" w:bidi="ar-SA"/>
              </w:rPr>
              <w:t>其他区域</w:t>
            </w:r>
            <w:r>
              <w:rPr>
                <w:rFonts w:hint="default" w:ascii="Times New Roman" w:hAnsi="Times New Roman" w:eastAsia="宋体" w:cs="Times New Roman"/>
                <w:bCs/>
                <w:snapToGrid w:val="0"/>
                <w:color w:val="auto"/>
                <w:kern w:val="0"/>
                <w:sz w:val="21"/>
                <w:szCs w:val="21"/>
                <w:highlight w:val="none"/>
                <w:lang w:val="en-US" w:eastAsia="zh-CN" w:bidi="ar-SA"/>
              </w:rPr>
              <w:t>：</w:t>
            </w:r>
            <w:r>
              <w:rPr>
                <w:rFonts w:hint="default" w:ascii="Times New Roman" w:hAnsi="Times New Roman" w:eastAsia="宋体" w:cs="Times New Roman"/>
                <w:bCs/>
                <w:color w:val="auto"/>
                <w:kern w:val="0"/>
                <w:sz w:val="21"/>
                <w:szCs w:val="21"/>
                <w:highlight w:val="none"/>
                <w:lang w:bidi="ar"/>
              </w:rPr>
              <w:t>地面硬化</w:t>
            </w:r>
          </w:p>
        </w:tc>
      </w:tr>
      <w:tr w14:paraId="2EC4A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109" w:type="dxa"/>
            <w:tcBorders>
              <w:left w:val="single" w:color="000000" w:sz="6" w:space="0"/>
            </w:tcBorders>
            <w:vAlign w:val="center"/>
          </w:tcPr>
          <w:p w14:paraId="6B7F57B9">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生态保护</w:t>
            </w:r>
            <w:r>
              <w:rPr>
                <w:rFonts w:hint="default" w:ascii="Times New Roman" w:hAnsi="Times New Roman" w:eastAsia="宋体" w:cs="Times New Roman"/>
                <w:color w:val="auto"/>
                <w:spacing w:val="4"/>
                <w:sz w:val="21"/>
                <w:szCs w:val="21"/>
                <w:highlight w:val="none"/>
              </w:rPr>
              <w:t>措施</w:t>
            </w:r>
          </w:p>
        </w:tc>
        <w:tc>
          <w:tcPr>
            <w:tcW w:w="7695" w:type="dxa"/>
            <w:gridSpan w:val="7"/>
            <w:tcBorders>
              <w:right w:val="single" w:color="000000" w:sz="6" w:space="0"/>
            </w:tcBorders>
            <w:vAlign w:val="top"/>
          </w:tcPr>
          <w:p w14:paraId="47879A32">
            <w:pPr>
              <w:pageBreakBefore w:val="0"/>
              <w:kinsoku/>
              <w:wordWrap w:val="0"/>
              <w:overflowPunct/>
              <w:topLinePunct/>
              <w:autoSpaceDE/>
              <w:autoSpaceDN/>
              <w:bidi w:val="0"/>
              <w:spacing w:before="141" w:line="274" w:lineRule="exact"/>
              <w:ind w:left="381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napToGrid w:val="0"/>
                <w:color w:val="auto"/>
                <w:spacing w:val="9"/>
                <w:kern w:val="0"/>
                <w:sz w:val="21"/>
                <w:szCs w:val="21"/>
                <w:highlight w:val="none"/>
                <w:lang w:val="en-US" w:eastAsia="en-US" w:bidi="ar-SA"/>
              </w:rPr>
              <w:t>厂区绿化</w:t>
            </w:r>
          </w:p>
        </w:tc>
      </w:tr>
      <w:tr w14:paraId="709A0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trPr>
        <w:tc>
          <w:tcPr>
            <w:tcW w:w="1109" w:type="dxa"/>
            <w:tcBorders>
              <w:left w:val="single" w:color="000000" w:sz="6" w:space="0"/>
            </w:tcBorders>
            <w:vAlign w:val="center"/>
          </w:tcPr>
          <w:p w14:paraId="7D0A4A7B">
            <w:pPr>
              <w:pStyle w:val="25"/>
              <w:pageBreakBefore w:val="0"/>
              <w:kinsoku/>
              <w:wordWrap w:val="0"/>
              <w:overflowPunct/>
              <w:topLinePunct/>
              <w:autoSpaceDE/>
              <w:autoSpaceDN/>
              <w:bidi w:val="0"/>
              <w:spacing w:line="240" w:lineRule="auto"/>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5"/>
                <w:sz w:val="21"/>
                <w:szCs w:val="21"/>
                <w:highlight w:val="none"/>
              </w:rPr>
              <w:t>环境风险</w:t>
            </w:r>
            <w:r>
              <w:rPr>
                <w:rFonts w:hint="default" w:ascii="Times New Roman" w:hAnsi="Times New Roman" w:eastAsia="宋体" w:cs="Times New Roman"/>
                <w:color w:val="auto"/>
                <w:spacing w:val="-8"/>
                <w:sz w:val="21"/>
                <w:szCs w:val="21"/>
                <w:highlight w:val="none"/>
              </w:rPr>
              <w:t>防范措施</w:t>
            </w:r>
          </w:p>
        </w:tc>
        <w:tc>
          <w:tcPr>
            <w:tcW w:w="7695" w:type="dxa"/>
            <w:gridSpan w:val="7"/>
            <w:tcBorders>
              <w:right w:val="single" w:color="000000" w:sz="6" w:space="0"/>
            </w:tcBorders>
            <w:vAlign w:val="top"/>
          </w:tcPr>
          <w:p w14:paraId="1A7D99DA">
            <w:pPr>
              <w:pStyle w:val="25"/>
              <w:pageBreakBefore w:val="0"/>
              <w:kinsoku/>
              <w:wordWrap w:val="0"/>
              <w:overflowPunct/>
              <w:topLinePunct/>
              <w:autoSpaceDE/>
              <w:autoSpaceDN/>
              <w:bidi w:val="0"/>
              <w:spacing w:before="7" w:line="251" w:lineRule="auto"/>
              <w:ind w:left="107" w:right="132" w:firstLine="1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rPr>
              <w:t>（1）定期对</w:t>
            </w:r>
            <w:r>
              <w:rPr>
                <w:rFonts w:hint="default" w:ascii="Times New Roman" w:hAnsi="Times New Roman" w:eastAsia="宋体" w:cs="Times New Roman"/>
                <w:color w:val="auto"/>
                <w:spacing w:val="10"/>
                <w:sz w:val="21"/>
                <w:szCs w:val="21"/>
                <w:highlight w:val="none"/>
              </w:rPr>
              <w:t>三乙醇胺</w:t>
            </w:r>
            <w:r>
              <w:rPr>
                <w:rFonts w:hint="default" w:ascii="Times New Roman" w:hAnsi="Times New Roman" w:eastAsia="宋体" w:cs="Times New Roman"/>
                <w:color w:val="auto"/>
                <w:spacing w:val="10"/>
                <w:sz w:val="21"/>
                <w:szCs w:val="21"/>
                <w:highlight w:val="none"/>
                <w:lang w:val="en-US" w:eastAsia="zh-CN"/>
              </w:rPr>
              <w:t>进行</w:t>
            </w:r>
            <w:r>
              <w:rPr>
                <w:rFonts w:hint="default" w:ascii="Times New Roman" w:hAnsi="Times New Roman" w:eastAsia="宋体" w:cs="Times New Roman"/>
                <w:color w:val="auto"/>
                <w:spacing w:val="9"/>
                <w:sz w:val="21"/>
                <w:szCs w:val="21"/>
                <w:highlight w:val="none"/>
              </w:rPr>
              <w:t>检查，并做好巡检</w:t>
            </w:r>
            <w:r>
              <w:rPr>
                <w:rFonts w:hint="default" w:ascii="Times New Roman" w:hAnsi="Times New Roman" w:eastAsia="宋体" w:cs="Times New Roman"/>
                <w:color w:val="auto"/>
                <w:spacing w:val="8"/>
                <w:sz w:val="21"/>
                <w:szCs w:val="21"/>
                <w:highlight w:val="none"/>
              </w:rPr>
              <w:t>记录及时发现事故隐患并迅速予以消除。</w:t>
            </w:r>
          </w:p>
          <w:p w14:paraId="5909575A">
            <w:pPr>
              <w:pStyle w:val="25"/>
              <w:pageBreakBefore w:val="0"/>
              <w:kinsoku/>
              <w:wordWrap w:val="0"/>
              <w:overflowPunct/>
              <w:topLinePunct/>
              <w:autoSpaceDE/>
              <w:autoSpaceDN/>
              <w:bidi w:val="0"/>
              <w:spacing w:before="2" w:line="245" w:lineRule="auto"/>
              <w:ind w:left="108" w:right="104" w:firstLine="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rPr>
              <w:t>（2）按照《突发环境事件应急预案管理暂行办法》的要求，编制突发环境事件应</w:t>
            </w:r>
            <w:r>
              <w:rPr>
                <w:rFonts w:hint="default" w:ascii="Times New Roman" w:hAnsi="Times New Roman" w:eastAsia="宋体" w:cs="Times New Roman"/>
                <w:color w:val="auto"/>
                <w:spacing w:val="7"/>
                <w:sz w:val="21"/>
                <w:szCs w:val="21"/>
                <w:highlight w:val="none"/>
              </w:rPr>
              <w:t>急预案，并报昌吉回族自治州生态环境局玛纳斯县分局备案。建立完善的应急报告</w:t>
            </w:r>
            <w:r>
              <w:rPr>
                <w:rFonts w:hint="default" w:ascii="Times New Roman" w:hAnsi="Times New Roman" w:eastAsia="宋体" w:cs="Times New Roman"/>
                <w:color w:val="auto"/>
                <w:spacing w:val="6"/>
                <w:sz w:val="21"/>
                <w:szCs w:val="21"/>
                <w:highlight w:val="none"/>
              </w:rPr>
              <w:t>制度，落实应急物资和经费，日常加强应急演练。</w:t>
            </w:r>
          </w:p>
        </w:tc>
      </w:tr>
      <w:tr w14:paraId="5DF99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109" w:type="dxa"/>
            <w:tcBorders>
              <w:left w:val="single" w:color="000000" w:sz="6" w:space="0"/>
              <w:bottom w:val="single" w:color="000000" w:sz="6" w:space="0"/>
            </w:tcBorders>
            <w:vAlign w:val="center"/>
          </w:tcPr>
          <w:p w14:paraId="27EB9DF2">
            <w:pPr>
              <w:pStyle w:val="25"/>
              <w:pageBreakBefore w:val="0"/>
              <w:kinsoku/>
              <w:wordWrap w:val="0"/>
              <w:overflowPunct/>
              <w:topLinePunct/>
              <w:autoSpaceDE/>
              <w:autoSpaceDN/>
              <w:bidi w:val="0"/>
              <w:spacing w:before="45" w:line="229" w:lineRule="auto"/>
              <w:ind w:left="166"/>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其他环境</w:t>
            </w:r>
          </w:p>
          <w:p w14:paraId="0BF043C6">
            <w:pPr>
              <w:pStyle w:val="25"/>
              <w:pageBreakBefore w:val="0"/>
              <w:kinsoku/>
              <w:wordWrap w:val="0"/>
              <w:overflowPunct/>
              <w:topLinePunct/>
              <w:autoSpaceDE/>
              <w:autoSpaceDN/>
              <w:bidi w:val="0"/>
              <w:spacing w:before="23" w:line="217" w:lineRule="auto"/>
              <w:ind w:left="16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sz w:val="21"/>
                <w:szCs w:val="21"/>
                <w:highlight w:val="none"/>
              </w:rPr>
              <w:t>管理要求</w:t>
            </w:r>
          </w:p>
        </w:tc>
        <w:tc>
          <w:tcPr>
            <w:tcW w:w="7695" w:type="dxa"/>
            <w:gridSpan w:val="7"/>
            <w:tcBorders>
              <w:bottom w:val="single" w:color="000000" w:sz="6" w:space="0"/>
              <w:right w:val="single" w:color="000000" w:sz="6" w:space="0"/>
            </w:tcBorders>
            <w:vAlign w:val="top"/>
          </w:tcPr>
          <w:p w14:paraId="0AD786EE">
            <w:pPr>
              <w:pStyle w:val="25"/>
              <w:pageBreakBefore w:val="0"/>
              <w:kinsoku/>
              <w:wordWrap w:val="0"/>
              <w:overflowPunct/>
              <w:topLinePunct/>
              <w:autoSpaceDE/>
              <w:autoSpaceDN/>
              <w:bidi w:val="0"/>
              <w:spacing w:before="180" w:line="228" w:lineRule="auto"/>
              <w:ind w:left="109"/>
              <w:outlineLvl w:val="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rPr>
              <w:t>按有关要求规范化设置排污口，完成排污许可、环境应急预案、环保验收等工作。</w:t>
            </w:r>
          </w:p>
        </w:tc>
      </w:tr>
    </w:tbl>
    <w:p w14:paraId="54B1B63F">
      <w:pPr>
        <w:pStyle w:val="8"/>
        <w:pageBreakBefore w:val="0"/>
        <w:kinsoku/>
        <w:wordWrap w:val="0"/>
        <w:overflowPunct/>
        <w:topLinePunct/>
        <w:autoSpaceDE/>
        <w:autoSpaceDN/>
        <w:bidi w:val="0"/>
        <w:rPr>
          <w:rFonts w:hint="default" w:ascii="Times New Roman" w:hAnsi="Times New Roman" w:cs="Times New Roman"/>
          <w:color w:val="auto"/>
          <w:highlight w:val="none"/>
        </w:rPr>
      </w:pPr>
    </w:p>
    <w:p w14:paraId="1F73D4CC">
      <w:pPr>
        <w:pageBreakBefore w:val="0"/>
        <w:kinsoku/>
        <w:wordWrap w:val="0"/>
        <w:overflowPunct/>
        <w:topLinePunct/>
        <w:autoSpaceDE/>
        <w:autoSpaceDN/>
        <w:bidi w:val="0"/>
        <w:rPr>
          <w:rFonts w:hint="default" w:ascii="Times New Roman" w:hAnsi="Times New Roman" w:cs="Times New Roman"/>
          <w:color w:val="auto"/>
          <w:highlight w:val="none"/>
        </w:rPr>
        <w:sectPr>
          <w:footerReference r:id="rId8" w:type="default"/>
          <w:pgSz w:w="11906" w:h="16839"/>
          <w:pgMar w:top="1431" w:right="1543" w:bottom="1020" w:left="1543" w:header="0" w:footer="685" w:gutter="0"/>
          <w:pgNumType w:fmt="decimal"/>
          <w:cols w:space="720" w:num="1"/>
        </w:sectPr>
      </w:pPr>
    </w:p>
    <w:p w14:paraId="14D1228A">
      <w:pPr>
        <w:pageBreakBefore w:val="0"/>
        <w:kinsoku/>
        <w:wordWrap w:val="0"/>
        <w:overflowPunct/>
        <w:topLinePunct/>
        <w:autoSpaceDE/>
        <w:autoSpaceDN/>
        <w:bidi w:val="0"/>
        <w:spacing w:before="98" w:line="226" w:lineRule="auto"/>
        <w:ind w:left="3862"/>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pacing w:val="-6"/>
          <w:sz w:val="30"/>
          <w:szCs w:val="30"/>
          <w:highlight w:val="none"/>
        </w:rPr>
        <w:t>六、结论</w:t>
      </w:r>
    </w:p>
    <w:tbl>
      <w:tblPr>
        <w:tblStyle w:val="24"/>
        <w:tblW w:w="8869"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8869"/>
      </w:tblGrid>
      <w:tr w14:paraId="78EB681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2000" w:hRule="atLeast"/>
        </w:trPr>
        <w:tc>
          <w:tcPr>
            <w:tcW w:w="8869" w:type="dxa"/>
            <w:vAlign w:val="top"/>
          </w:tcPr>
          <w:p w14:paraId="3533166D">
            <w:pPr>
              <w:pStyle w:val="25"/>
              <w:pageBreakBefore w:val="0"/>
              <w:kinsoku/>
              <w:wordWrap w:val="0"/>
              <w:overflowPunct/>
              <w:topLinePunct/>
              <w:autoSpaceDE/>
              <w:autoSpaceDN/>
              <w:bidi w:val="0"/>
              <w:spacing w:before="36" w:line="377" w:lineRule="auto"/>
              <w:ind w:left="109" w:right="105" w:firstLine="422"/>
              <w:jc w:val="both"/>
              <w:rPr>
                <w:rFonts w:hint="default" w:ascii="Times New Roman" w:hAnsi="Times New Roman" w:cs="Times New Roman"/>
                <w:color w:val="auto"/>
                <w:highlight w:val="none"/>
              </w:rPr>
            </w:pPr>
            <w:r>
              <w:rPr>
                <w:rFonts w:hint="default" w:ascii="Times New Roman" w:hAnsi="Times New Roman" w:eastAsia="宋体" w:cs="Times New Roman"/>
                <w:color w:val="auto"/>
                <w:spacing w:val="6"/>
                <w:sz w:val="24"/>
                <w:szCs w:val="24"/>
                <w:highlight w:val="none"/>
                <w:lang w:val="en-US" w:eastAsia="zh-CN"/>
              </w:rPr>
              <w:t>综上所述，本项目符合国家和地方产业政策，符合当地土地规划要求，选址较为合理。对项目进行环境影响分析，其产生的污染对周围环境影响较小。项目营运期采取的污染防治措施有效可行，产生的废气、废水、噪声均能够达标排放，环境风险在可控制范围内。在认真落实环评报告所提出的各项环境污染防治措施的前提下，从环保角度认为本项目的建设可行。</w:t>
            </w:r>
          </w:p>
        </w:tc>
      </w:tr>
    </w:tbl>
    <w:p w14:paraId="22461BD9">
      <w:pPr>
        <w:pStyle w:val="8"/>
        <w:pageBreakBefore w:val="0"/>
        <w:kinsoku/>
        <w:wordWrap w:val="0"/>
        <w:overflowPunct/>
        <w:topLinePunct/>
        <w:autoSpaceDE/>
        <w:autoSpaceDN/>
        <w:bidi w:val="0"/>
        <w:rPr>
          <w:rFonts w:hint="default" w:ascii="Times New Roman" w:hAnsi="Times New Roman" w:cs="Times New Roman"/>
          <w:color w:val="auto"/>
          <w:highlight w:val="none"/>
        </w:rPr>
      </w:pPr>
    </w:p>
    <w:p w14:paraId="1A361E25">
      <w:pPr>
        <w:pageBreakBefore w:val="0"/>
        <w:kinsoku/>
        <w:wordWrap w:val="0"/>
        <w:overflowPunct/>
        <w:topLinePunct/>
        <w:autoSpaceDE/>
        <w:autoSpaceDN/>
        <w:bidi w:val="0"/>
        <w:rPr>
          <w:rFonts w:hint="default" w:ascii="Times New Roman" w:hAnsi="Times New Roman" w:cs="Times New Roman"/>
          <w:color w:val="auto"/>
          <w:highlight w:val="none"/>
        </w:rPr>
        <w:sectPr>
          <w:footerReference r:id="rId9" w:type="default"/>
          <w:pgSz w:w="11906" w:h="16839"/>
          <w:pgMar w:top="1431" w:right="1511" w:bottom="1020" w:left="1510" w:header="0" w:footer="685" w:gutter="0"/>
          <w:pgNumType w:fmt="decimal"/>
          <w:cols w:space="720" w:num="1"/>
        </w:sectPr>
      </w:pPr>
    </w:p>
    <w:p w14:paraId="5A6B4821">
      <w:pPr>
        <w:pStyle w:val="8"/>
        <w:pageBreakBefore w:val="0"/>
        <w:kinsoku/>
        <w:wordWrap w:val="0"/>
        <w:overflowPunct/>
        <w:topLinePunct/>
        <w:autoSpaceDE/>
        <w:autoSpaceDN/>
        <w:bidi w:val="0"/>
        <w:spacing w:line="282" w:lineRule="auto"/>
        <w:rPr>
          <w:rFonts w:hint="default" w:ascii="Times New Roman" w:hAnsi="Times New Roman" w:cs="Times New Roman"/>
          <w:color w:val="auto"/>
          <w:highlight w:val="none"/>
        </w:rPr>
      </w:pPr>
    </w:p>
    <w:p w14:paraId="5C35AA68">
      <w:pPr>
        <w:pStyle w:val="8"/>
        <w:pageBreakBefore w:val="0"/>
        <w:kinsoku/>
        <w:wordWrap w:val="0"/>
        <w:overflowPunct/>
        <w:topLinePunct/>
        <w:autoSpaceDE/>
        <w:autoSpaceDN/>
        <w:bidi w:val="0"/>
        <w:spacing w:line="282" w:lineRule="auto"/>
        <w:rPr>
          <w:rFonts w:hint="default" w:ascii="Times New Roman" w:hAnsi="Times New Roman" w:cs="Times New Roman"/>
          <w:color w:val="auto"/>
          <w:highlight w:val="none"/>
        </w:rPr>
      </w:pPr>
    </w:p>
    <w:p w14:paraId="6461769D">
      <w:pPr>
        <w:pStyle w:val="8"/>
        <w:pageBreakBefore w:val="0"/>
        <w:kinsoku/>
        <w:wordWrap w:val="0"/>
        <w:overflowPunct/>
        <w:topLinePunct/>
        <w:autoSpaceDE/>
        <w:autoSpaceDN/>
        <w:bidi w:val="0"/>
        <w:spacing w:line="282" w:lineRule="auto"/>
        <w:rPr>
          <w:rFonts w:hint="default" w:ascii="Times New Roman" w:hAnsi="Times New Roman" w:cs="Times New Roman"/>
          <w:color w:val="auto"/>
          <w:highlight w:val="none"/>
        </w:rPr>
      </w:pPr>
    </w:p>
    <w:p w14:paraId="746B5262">
      <w:pPr>
        <w:pageBreakBefore w:val="0"/>
        <w:kinsoku/>
        <w:wordWrap w:val="0"/>
        <w:overflowPunct/>
        <w:topLinePunct/>
        <w:autoSpaceDE/>
        <w:autoSpaceDN/>
        <w:bidi w:val="0"/>
        <w:spacing w:before="101" w:line="228" w:lineRule="auto"/>
        <w:ind w:left="68"/>
        <w:outlineLvl w:val="1"/>
        <w:rPr>
          <w:rFonts w:hint="default" w:ascii="Times New Roman" w:hAnsi="Times New Roman" w:eastAsia="黑体" w:cs="Times New Roman"/>
          <w:color w:val="auto"/>
          <w:sz w:val="31"/>
          <w:szCs w:val="31"/>
          <w:highlight w:val="none"/>
        </w:rPr>
      </w:pPr>
      <w:r>
        <w:rPr>
          <w:rFonts w:hint="default" w:ascii="Times New Roman" w:hAnsi="Times New Roman" w:eastAsia="黑体" w:cs="Times New Roman"/>
          <w:color w:val="auto"/>
          <w:spacing w:val="-6"/>
          <w:sz w:val="31"/>
          <w:szCs w:val="31"/>
          <w:highlight w:val="none"/>
        </w:rPr>
        <w:t>附表</w:t>
      </w:r>
    </w:p>
    <w:p w14:paraId="26E7A778">
      <w:pPr>
        <w:pageBreakBefore w:val="0"/>
        <w:kinsoku/>
        <w:wordWrap w:val="0"/>
        <w:overflowPunct/>
        <w:topLinePunct/>
        <w:autoSpaceDE/>
        <w:autoSpaceDN/>
        <w:bidi w:val="0"/>
        <w:spacing w:before="262" w:line="186" w:lineRule="auto"/>
        <w:ind w:left="4294"/>
        <w:rPr>
          <w:rFonts w:hint="default" w:ascii="Times New Roman" w:hAnsi="Times New Roman" w:eastAsia="微软雅黑" w:cs="Times New Roman"/>
          <w:color w:val="auto"/>
          <w:sz w:val="37"/>
          <w:szCs w:val="37"/>
          <w:highlight w:val="none"/>
        </w:rPr>
      </w:pPr>
      <w:r>
        <w:rPr>
          <w:rFonts w:hint="default" w:ascii="Times New Roman" w:hAnsi="Times New Roman" w:eastAsia="微软雅黑" w:cs="Times New Roman"/>
          <w:color w:val="auto"/>
          <w:spacing w:val="9"/>
          <w:sz w:val="37"/>
          <w:szCs w:val="37"/>
          <w:highlight w:val="none"/>
        </w:rPr>
        <w:t>建设项目污染物排放量汇总表</w:t>
      </w:r>
    </w:p>
    <w:p w14:paraId="3EB22822">
      <w:pPr>
        <w:pageBreakBefore w:val="0"/>
        <w:kinsoku/>
        <w:wordWrap w:val="0"/>
        <w:overflowPunct/>
        <w:topLinePunct/>
        <w:autoSpaceDE/>
        <w:autoSpaceDN/>
        <w:bidi w:val="0"/>
        <w:spacing w:line="14" w:lineRule="exact"/>
        <w:rPr>
          <w:rFonts w:hint="default" w:ascii="Times New Roman" w:hAnsi="Times New Roman" w:cs="Times New Roman"/>
          <w:color w:val="auto"/>
          <w:highlight w:val="none"/>
        </w:rPr>
      </w:pPr>
    </w:p>
    <w:tbl>
      <w:tblPr>
        <w:tblStyle w:val="24"/>
        <w:tblW w:w="1379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4"/>
        <w:gridCol w:w="2106"/>
        <w:gridCol w:w="1361"/>
        <w:gridCol w:w="1275"/>
        <w:gridCol w:w="1699"/>
        <w:gridCol w:w="1720"/>
        <w:gridCol w:w="1596"/>
        <w:gridCol w:w="1400"/>
        <w:gridCol w:w="1391"/>
      </w:tblGrid>
      <w:tr w14:paraId="70A62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0" w:hRule="atLeast"/>
        </w:trPr>
        <w:tc>
          <w:tcPr>
            <w:tcW w:w="1244" w:type="dxa"/>
            <w:tcBorders>
              <w:top w:val="single" w:color="000000" w:sz="6" w:space="0"/>
              <w:left w:val="single" w:color="000000" w:sz="6" w:space="0"/>
              <w:tl2br w:val="single" w:color="000000" w:sz="4" w:space="0"/>
            </w:tcBorders>
            <w:vAlign w:val="top"/>
          </w:tcPr>
          <w:p w14:paraId="78E4D818">
            <w:pPr>
              <w:pageBreakBefore w:val="0"/>
              <w:kinsoku/>
              <w:wordWrap w:val="0"/>
              <w:overflowPunct/>
              <w:topLinePunct/>
              <w:autoSpaceDE/>
              <w:autoSpaceDN/>
              <w:bidi w:val="0"/>
              <w:spacing w:line="378" w:lineRule="auto"/>
              <w:rPr>
                <w:rFonts w:hint="default" w:ascii="Times New Roman" w:hAnsi="Times New Roman" w:cs="Times New Roman"/>
                <w:color w:val="auto"/>
                <w:sz w:val="21"/>
                <w:highlight w:val="none"/>
              </w:rPr>
            </w:pPr>
          </w:p>
          <w:p w14:paraId="78FAB5F7">
            <w:pPr>
              <w:pStyle w:val="25"/>
              <w:pageBreakBefore w:val="0"/>
              <w:kinsoku/>
              <w:wordWrap w:val="0"/>
              <w:overflowPunct/>
              <w:topLinePunct/>
              <w:autoSpaceDE/>
              <w:autoSpaceDN/>
              <w:bidi w:val="0"/>
              <w:spacing w:before="65" w:line="378" w:lineRule="auto"/>
              <w:ind w:left="33" w:right="99" w:firstLine="694"/>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项目分类</w:t>
            </w:r>
          </w:p>
        </w:tc>
        <w:tc>
          <w:tcPr>
            <w:tcW w:w="2106" w:type="dxa"/>
            <w:tcBorders>
              <w:top w:val="single" w:color="000000" w:sz="6" w:space="0"/>
            </w:tcBorders>
            <w:vAlign w:val="top"/>
          </w:tcPr>
          <w:p w14:paraId="74F660DF">
            <w:pPr>
              <w:pageBreakBefore w:val="0"/>
              <w:kinsoku/>
              <w:wordWrap w:val="0"/>
              <w:overflowPunct/>
              <w:topLinePunct/>
              <w:autoSpaceDE/>
              <w:autoSpaceDN/>
              <w:bidi w:val="0"/>
              <w:spacing w:line="290" w:lineRule="auto"/>
              <w:rPr>
                <w:rFonts w:hint="default" w:ascii="Times New Roman" w:hAnsi="Times New Roman" w:cs="Times New Roman"/>
                <w:color w:val="auto"/>
                <w:sz w:val="21"/>
                <w:highlight w:val="none"/>
              </w:rPr>
            </w:pPr>
          </w:p>
          <w:p w14:paraId="0DA229DE">
            <w:pPr>
              <w:pageBreakBefore w:val="0"/>
              <w:kinsoku/>
              <w:wordWrap w:val="0"/>
              <w:overflowPunct/>
              <w:topLinePunct/>
              <w:autoSpaceDE/>
              <w:autoSpaceDN/>
              <w:bidi w:val="0"/>
              <w:spacing w:line="291" w:lineRule="auto"/>
              <w:rPr>
                <w:rFonts w:hint="default" w:ascii="Times New Roman" w:hAnsi="Times New Roman" w:cs="Times New Roman"/>
                <w:color w:val="auto"/>
                <w:sz w:val="21"/>
                <w:highlight w:val="none"/>
              </w:rPr>
            </w:pPr>
          </w:p>
          <w:p w14:paraId="5900CCDD">
            <w:pPr>
              <w:pStyle w:val="25"/>
              <w:pageBreakBefore w:val="0"/>
              <w:kinsoku/>
              <w:wordWrap w:val="0"/>
              <w:overflowPunct/>
              <w:topLinePunct/>
              <w:autoSpaceDE/>
              <w:autoSpaceDN/>
              <w:bidi w:val="0"/>
              <w:spacing w:before="65" w:line="229" w:lineRule="auto"/>
              <w:ind w:left="529"/>
              <w:rPr>
                <w:rFonts w:hint="default" w:ascii="Times New Roman" w:hAnsi="Times New Roman" w:cs="Times New Roman"/>
                <w:color w:val="auto"/>
                <w:highlight w:val="none"/>
              </w:rPr>
            </w:pPr>
            <w:r>
              <w:rPr>
                <w:rFonts w:hint="default" w:ascii="Times New Roman" w:hAnsi="Times New Roman" w:cs="Times New Roman"/>
                <w:color w:val="auto"/>
                <w:spacing w:val="7"/>
                <w:highlight w:val="none"/>
              </w:rPr>
              <w:t>污染物名称</w:t>
            </w:r>
          </w:p>
        </w:tc>
        <w:tc>
          <w:tcPr>
            <w:tcW w:w="1361" w:type="dxa"/>
            <w:tcBorders>
              <w:top w:val="single" w:color="000000" w:sz="6" w:space="0"/>
            </w:tcBorders>
            <w:vAlign w:val="top"/>
          </w:tcPr>
          <w:p w14:paraId="6810EB7F">
            <w:pPr>
              <w:pStyle w:val="25"/>
              <w:pageBreakBefore w:val="0"/>
              <w:kinsoku/>
              <w:wordWrap w:val="0"/>
              <w:overflowPunct/>
              <w:topLinePunct/>
              <w:autoSpaceDE/>
              <w:autoSpaceDN/>
              <w:bidi w:val="0"/>
              <w:spacing w:before="37" w:line="240" w:lineRule="auto"/>
              <w:ind w:left="264"/>
              <w:rPr>
                <w:rFonts w:hint="default" w:ascii="Times New Roman" w:hAnsi="Times New Roman" w:cs="Times New Roman"/>
                <w:color w:val="auto"/>
                <w:highlight w:val="none"/>
              </w:rPr>
            </w:pPr>
            <w:r>
              <w:rPr>
                <w:rFonts w:hint="default" w:ascii="Times New Roman" w:hAnsi="Times New Roman" w:cs="Times New Roman"/>
                <w:color w:val="auto"/>
                <w:spacing w:val="6"/>
                <w:highlight w:val="none"/>
              </w:rPr>
              <w:t>现有工程</w:t>
            </w:r>
          </w:p>
          <w:p w14:paraId="5645E158">
            <w:pPr>
              <w:pStyle w:val="25"/>
              <w:pageBreakBefore w:val="0"/>
              <w:kinsoku/>
              <w:wordWrap w:val="0"/>
              <w:overflowPunct/>
              <w:topLinePunct/>
              <w:autoSpaceDE/>
              <w:autoSpaceDN/>
              <w:bidi w:val="0"/>
              <w:spacing w:before="159" w:line="240" w:lineRule="auto"/>
              <w:ind w:left="53"/>
              <w:rPr>
                <w:rFonts w:hint="default" w:ascii="Times New Roman" w:hAnsi="Times New Roman" w:cs="Times New Roman"/>
                <w:color w:val="auto"/>
                <w:highlight w:val="none"/>
              </w:rPr>
            </w:pPr>
            <w:r>
              <w:rPr>
                <w:rFonts w:hint="default" w:ascii="Times New Roman" w:hAnsi="Times New Roman" w:cs="Times New Roman"/>
                <w:color w:val="auto"/>
                <w:spacing w:val="8"/>
                <w:highlight w:val="none"/>
              </w:rPr>
              <w:t>排放量（固体</w:t>
            </w:r>
          </w:p>
          <w:p w14:paraId="0E50A5EA">
            <w:pPr>
              <w:pStyle w:val="25"/>
              <w:pageBreakBefore w:val="0"/>
              <w:kinsoku/>
              <w:wordWrap w:val="0"/>
              <w:overflowPunct/>
              <w:topLinePunct/>
              <w:autoSpaceDE/>
              <w:autoSpaceDN/>
              <w:bidi w:val="0"/>
              <w:spacing w:before="160" w:line="240" w:lineRule="auto"/>
              <w:ind w:left="52"/>
              <w:rPr>
                <w:rFonts w:hint="default" w:ascii="Times New Roman" w:hAnsi="Times New Roman" w:cs="Times New Roman"/>
                <w:color w:val="auto"/>
                <w:highlight w:val="none"/>
              </w:rPr>
            </w:pPr>
            <w:r>
              <w:rPr>
                <w:rFonts w:hint="default" w:ascii="Times New Roman" w:hAnsi="Times New Roman" w:cs="Times New Roman"/>
                <w:color w:val="auto"/>
                <w:spacing w:val="6"/>
                <w:highlight w:val="none"/>
              </w:rPr>
              <w:t>废物产生量）</w:t>
            </w:r>
          </w:p>
          <w:p w14:paraId="04EE1FE8">
            <w:pPr>
              <w:pStyle w:val="25"/>
              <w:pageBreakBefore w:val="0"/>
              <w:kinsoku/>
              <w:wordWrap w:val="0"/>
              <w:overflowPunct/>
              <w:topLinePunct/>
              <w:autoSpaceDE/>
              <w:autoSpaceDN/>
              <w:bidi w:val="0"/>
              <w:spacing w:before="160" w:line="240" w:lineRule="auto"/>
              <w:ind w:left="575"/>
              <w:rPr>
                <w:rFonts w:hint="default" w:ascii="Times New Roman" w:hAnsi="Times New Roman" w:cs="Times New Roman"/>
                <w:color w:val="auto"/>
                <w:highlight w:val="none"/>
              </w:rPr>
            </w:pPr>
            <w:r>
              <w:rPr>
                <w:rFonts w:hint="default" w:ascii="Times New Roman" w:hAnsi="Times New Roman" w:cs="Times New Roman"/>
                <w:color w:val="auto"/>
                <w:spacing w:val="1"/>
                <w:highlight w:val="none"/>
              </w:rPr>
              <w:t>①</w:t>
            </w:r>
          </w:p>
        </w:tc>
        <w:tc>
          <w:tcPr>
            <w:tcW w:w="1275" w:type="dxa"/>
            <w:tcBorders>
              <w:top w:val="single" w:color="000000" w:sz="6" w:space="0"/>
            </w:tcBorders>
            <w:vAlign w:val="top"/>
          </w:tcPr>
          <w:p w14:paraId="5D1EFD5F">
            <w:pPr>
              <w:pStyle w:val="25"/>
              <w:pageBreakBefore w:val="0"/>
              <w:kinsoku/>
              <w:wordWrap w:val="0"/>
              <w:overflowPunct/>
              <w:topLinePunct/>
              <w:autoSpaceDE/>
              <w:autoSpaceDN/>
              <w:bidi w:val="0"/>
              <w:spacing w:before="241" w:line="240" w:lineRule="auto"/>
              <w:ind w:left="223"/>
              <w:rPr>
                <w:rFonts w:hint="default" w:ascii="Times New Roman" w:hAnsi="Times New Roman" w:cs="Times New Roman"/>
                <w:color w:val="auto"/>
                <w:highlight w:val="none"/>
              </w:rPr>
            </w:pPr>
            <w:r>
              <w:rPr>
                <w:rFonts w:hint="default" w:ascii="Times New Roman" w:hAnsi="Times New Roman" w:cs="Times New Roman"/>
                <w:color w:val="auto"/>
                <w:spacing w:val="6"/>
                <w:highlight w:val="none"/>
              </w:rPr>
              <w:t>现有工程</w:t>
            </w:r>
          </w:p>
          <w:p w14:paraId="0B2065A0">
            <w:pPr>
              <w:pStyle w:val="25"/>
              <w:pageBreakBefore w:val="0"/>
              <w:kinsoku/>
              <w:wordWrap w:val="0"/>
              <w:overflowPunct/>
              <w:topLinePunct/>
              <w:autoSpaceDE/>
              <w:autoSpaceDN/>
              <w:bidi w:val="0"/>
              <w:spacing w:before="159" w:line="240" w:lineRule="auto"/>
              <w:ind w:left="116"/>
              <w:rPr>
                <w:rFonts w:hint="default" w:ascii="Times New Roman" w:hAnsi="Times New Roman" w:cs="Times New Roman"/>
                <w:color w:val="auto"/>
                <w:highlight w:val="none"/>
              </w:rPr>
            </w:pPr>
            <w:r>
              <w:rPr>
                <w:rFonts w:hint="default" w:ascii="Times New Roman" w:hAnsi="Times New Roman" w:cs="Times New Roman"/>
                <w:color w:val="auto"/>
                <w:spacing w:val="7"/>
                <w:highlight w:val="none"/>
              </w:rPr>
              <w:t>许可排放量</w:t>
            </w:r>
          </w:p>
          <w:p w14:paraId="2387D4B0">
            <w:pPr>
              <w:pStyle w:val="25"/>
              <w:pageBreakBefore w:val="0"/>
              <w:kinsoku/>
              <w:wordWrap w:val="0"/>
              <w:overflowPunct/>
              <w:topLinePunct/>
              <w:autoSpaceDE/>
              <w:autoSpaceDN/>
              <w:bidi w:val="0"/>
              <w:spacing w:before="160" w:line="240" w:lineRule="auto"/>
              <w:ind w:left="534"/>
              <w:rPr>
                <w:rFonts w:hint="default" w:ascii="Times New Roman" w:hAnsi="Times New Roman" w:cs="Times New Roman"/>
                <w:color w:val="auto"/>
                <w:highlight w:val="none"/>
              </w:rPr>
            </w:pPr>
            <w:r>
              <w:rPr>
                <w:rFonts w:hint="default" w:ascii="Times New Roman" w:hAnsi="Times New Roman" w:cs="Times New Roman"/>
                <w:color w:val="auto"/>
                <w:spacing w:val="2"/>
                <w:highlight w:val="none"/>
              </w:rPr>
              <w:t>②</w:t>
            </w:r>
          </w:p>
        </w:tc>
        <w:tc>
          <w:tcPr>
            <w:tcW w:w="1699" w:type="dxa"/>
            <w:tcBorders>
              <w:top w:val="single" w:color="000000" w:sz="6" w:space="0"/>
            </w:tcBorders>
            <w:vAlign w:val="top"/>
          </w:tcPr>
          <w:p w14:paraId="426E405C">
            <w:pPr>
              <w:pStyle w:val="25"/>
              <w:pageBreakBefore w:val="0"/>
              <w:kinsoku/>
              <w:wordWrap w:val="0"/>
              <w:overflowPunct/>
              <w:topLinePunct/>
              <w:autoSpaceDE/>
              <w:autoSpaceDN/>
              <w:bidi w:val="0"/>
              <w:spacing w:before="241" w:line="240" w:lineRule="auto"/>
              <w:ind w:left="433"/>
              <w:rPr>
                <w:rFonts w:hint="default" w:ascii="Times New Roman" w:hAnsi="Times New Roman" w:cs="Times New Roman"/>
                <w:color w:val="auto"/>
                <w:highlight w:val="none"/>
              </w:rPr>
            </w:pPr>
            <w:r>
              <w:rPr>
                <w:rFonts w:hint="default" w:ascii="Times New Roman" w:hAnsi="Times New Roman" w:cs="Times New Roman"/>
                <w:color w:val="auto"/>
                <w:spacing w:val="7"/>
                <w:highlight w:val="none"/>
              </w:rPr>
              <w:t>在建工程</w:t>
            </w:r>
          </w:p>
          <w:p w14:paraId="5D0E3136">
            <w:pPr>
              <w:pStyle w:val="25"/>
              <w:pageBreakBefore w:val="0"/>
              <w:kinsoku/>
              <w:wordWrap w:val="0"/>
              <w:overflowPunct/>
              <w:topLinePunct/>
              <w:autoSpaceDE/>
              <w:autoSpaceDN/>
              <w:bidi w:val="0"/>
              <w:spacing w:before="159" w:line="240" w:lineRule="auto"/>
              <w:ind w:left="31"/>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排放量（固体废物</w:t>
            </w:r>
          </w:p>
          <w:p w14:paraId="2D767B06">
            <w:pPr>
              <w:pStyle w:val="25"/>
              <w:pageBreakBefore w:val="0"/>
              <w:kinsoku/>
              <w:wordWrap w:val="0"/>
              <w:overflowPunct/>
              <w:topLinePunct/>
              <w:autoSpaceDE/>
              <w:autoSpaceDN/>
              <w:bidi w:val="0"/>
              <w:spacing w:before="160" w:line="240" w:lineRule="auto"/>
              <w:ind w:left="328"/>
              <w:rPr>
                <w:rFonts w:hint="default" w:ascii="Times New Roman" w:hAnsi="Times New Roman" w:cs="Times New Roman"/>
                <w:color w:val="auto"/>
                <w:highlight w:val="none"/>
              </w:rPr>
            </w:pPr>
            <w:r>
              <w:rPr>
                <w:rFonts w:hint="default" w:ascii="Times New Roman" w:hAnsi="Times New Roman" w:cs="Times New Roman"/>
                <w:color w:val="auto"/>
                <w:spacing w:val="8"/>
                <w:highlight w:val="none"/>
              </w:rPr>
              <w:t>产生量）③</w:t>
            </w:r>
          </w:p>
        </w:tc>
        <w:tc>
          <w:tcPr>
            <w:tcW w:w="1720" w:type="dxa"/>
            <w:tcBorders>
              <w:top w:val="single" w:color="000000" w:sz="6" w:space="0"/>
            </w:tcBorders>
            <w:vAlign w:val="top"/>
          </w:tcPr>
          <w:p w14:paraId="2286DEE9">
            <w:pPr>
              <w:pStyle w:val="25"/>
              <w:pageBreakBefore w:val="0"/>
              <w:kinsoku/>
              <w:wordWrap w:val="0"/>
              <w:overflowPunct/>
              <w:topLinePunct/>
              <w:autoSpaceDE/>
              <w:autoSpaceDN/>
              <w:bidi w:val="0"/>
              <w:spacing w:before="241" w:line="240" w:lineRule="auto"/>
              <w:ind w:left="552"/>
              <w:rPr>
                <w:rFonts w:hint="default" w:ascii="Times New Roman" w:hAnsi="Times New Roman" w:cs="Times New Roman"/>
                <w:color w:val="auto"/>
                <w:highlight w:val="none"/>
              </w:rPr>
            </w:pPr>
            <w:r>
              <w:rPr>
                <w:rFonts w:hint="default" w:ascii="Times New Roman" w:hAnsi="Times New Roman" w:cs="Times New Roman"/>
                <w:color w:val="auto"/>
                <w:spacing w:val="6"/>
                <w:highlight w:val="none"/>
              </w:rPr>
              <w:t>本项目</w:t>
            </w:r>
          </w:p>
          <w:p w14:paraId="23E8BEA6">
            <w:pPr>
              <w:pStyle w:val="25"/>
              <w:pageBreakBefore w:val="0"/>
              <w:kinsoku/>
              <w:wordWrap w:val="0"/>
              <w:overflowPunct/>
              <w:topLinePunct/>
              <w:autoSpaceDE/>
              <w:autoSpaceDN/>
              <w:bidi w:val="0"/>
              <w:spacing w:before="161" w:line="240" w:lineRule="auto"/>
              <w:ind w:left="340" w:right="23" w:hanging="307"/>
              <w:rPr>
                <w:rFonts w:hint="default" w:ascii="Times New Roman" w:hAnsi="Times New Roman" w:cs="Times New Roman"/>
                <w:color w:val="auto"/>
                <w:highlight w:val="none"/>
              </w:rPr>
            </w:pPr>
            <w:r>
              <w:rPr>
                <w:rFonts w:hint="default" w:ascii="Times New Roman" w:hAnsi="Times New Roman" w:cs="Times New Roman"/>
                <w:color w:val="auto"/>
                <w:spacing w:val="7"/>
                <w:highlight w:val="none"/>
              </w:rPr>
              <w:t>排放量（固体废物</w:t>
            </w:r>
            <w:r>
              <w:rPr>
                <w:rFonts w:hint="default" w:ascii="Times New Roman" w:hAnsi="Times New Roman" w:cs="Times New Roman"/>
                <w:color w:val="auto"/>
                <w:spacing w:val="8"/>
                <w:highlight w:val="none"/>
              </w:rPr>
              <w:t>产生量）④</w:t>
            </w:r>
          </w:p>
        </w:tc>
        <w:tc>
          <w:tcPr>
            <w:tcW w:w="1596" w:type="dxa"/>
            <w:tcBorders>
              <w:top w:val="single" w:color="000000" w:sz="6" w:space="0"/>
            </w:tcBorders>
            <w:vAlign w:val="top"/>
          </w:tcPr>
          <w:p w14:paraId="7A267CC4">
            <w:pPr>
              <w:pStyle w:val="25"/>
              <w:pageBreakBefore w:val="0"/>
              <w:kinsoku/>
              <w:wordWrap w:val="0"/>
              <w:overflowPunct/>
              <w:topLinePunct/>
              <w:autoSpaceDE/>
              <w:autoSpaceDN/>
              <w:bidi w:val="0"/>
              <w:spacing w:before="241" w:line="240" w:lineRule="auto"/>
              <w:ind w:left="94"/>
              <w:rPr>
                <w:rFonts w:hint="default" w:ascii="Times New Roman" w:hAnsi="Times New Roman" w:cs="Times New Roman"/>
                <w:color w:val="auto"/>
                <w:highlight w:val="none"/>
              </w:rPr>
            </w:pPr>
            <w:r>
              <w:rPr>
                <w:rFonts w:hint="default" w:ascii="Times New Roman" w:hAnsi="Times New Roman" w:cs="Times New Roman"/>
                <w:color w:val="auto"/>
                <w:spacing w:val="5"/>
                <w:highlight w:val="none"/>
              </w:rPr>
              <w:t>以新带老削减量</w:t>
            </w:r>
          </w:p>
          <w:p w14:paraId="0AD0D16A">
            <w:pPr>
              <w:pStyle w:val="25"/>
              <w:pageBreakBefore w:val="0"/>
              <w:kinsoku/>
              <w:wordWrap w:val="0"/>
              <w:overflowPunct/>
              <w:topLinePunct/>
              <w:autoSpaceDE/>
              <w:autoSpaceDN/>
              <w:bidi w:val="0"/>
              <w:spacing w:before="160" w:line="240" w:lineRule="auto"/>
              <w:ind w:left="186"/>
              <w:rPr>
                <w:rFonts w:hint="default" w:ascii="Times New Roman" w:hAnsi="Times New Roman" w:cs="Times New Roman"/>
                <w:color w:val="auto"/>
                <w:highlight w:val="none"/>
              </w:rPr>
            </w:pPr>
            <w:r>
              <w:rPr>
                <w:rFonts w:hint="default" w:ascii="Times New Roman" w:hAnsi="Times New Roman" w:cs="Times New Roman"/>
                <w:color w:val="auto"/>
                <w:spacing w:val="6"/>
                <w:highlight w:val="none"/>
              </w:rPr>
              <w:t>（新建项目不</w:t>
            </w:r>
          </w:p>
          <w:p w14:paraId="7D2401AD">
            <w:pPr>
              <w:pStyle w:val="25"/>
              <w:pageBreakBefore w:val="0"/>
              <w:kinsoku/>
              <w:wordWrap w:val="0"/>
              <w:overflowPunct/>
              <w:topLinePunct/>
              <w:autoSpaceDE/>
              <w:autoSpaceDN/>
              <w:bidi w:val="0"/>
              <w:spacing w:before="160" w:line="240" w:lineRule="auto"/>
              <w:ind w:left="492"/>
              <w:rPr>
                <w:rFonts w:hint="default" w:ascii="Times New Roman" w:hAnsi="Times New Roman" w:cs="Times New Roman"/>
                <w:color w:val="auto"/>
                <w:highlight w:val="none"/>
              </w:rPr>
            </w:pPr>
            <w:r>
              <w:rPr>
                <w:rFonts w:hint="default" w:ascii="Times New Roman" w:hAnsi="Times New Roman" w:cs="Times New Roman"/>
                <w:color w:val="auto"/>
                <w:spacing w:val="6"/>
                <w:highlight w:val="none"/>
              </w:rPr>
              <w:t>填）⑤</w:t>
            </w:r>
          </w:p>
        </w:tc>
        <w:tc>
          <w:tcPr>
            <w:tcW w:w="1400" w:type="dxa"/>
            <w:tcBorders>
              <w:top w:val="single" w:color="000000" w:sz="6" w:space="0"/>
            </w:tcBorders>
            <w:vAlign w:val="top"/>
          </w:tcPr>
          <w:p w14:paraId="7BC3AE32">
            <w:pPr>
              <w:pStyle w:val="25"/>
              <w:pageBreakBefore w:val="0"/>
              <w:kinsoku/>
              <w:wordWrap w:val="0"/>
              <w:overflowPunct/>
              <w:topLinePunct/>
              <w:autoSpaceDE/>
              <w:autoSpaceDN/>
              <w:bidi w:val="0"/>
              <w:spacing w:before="37" w:line="240" w:lineRule="auto"/>
              <w:ind w:left="80"/>
              <w:rPr>
                <w:rFonts w:hint="default" w:ascii="Times New Roman" w:hAnsi="Times New Roman" w:cs="Times New Roman"/>
                <w:color w:val="auto"/>
                <w:highlight w:val="none"/>
              </w:rPr>
            </w:pPr>
            <w:r>
              <w:rPr>
                <w:rFonts w:hint="default" w:ascii="Times New Roman" w:hAnsi="Times New Roman" w:cs="Times New Roman"/>
                <w:color w:val="auto"/>
                <w:spacing w:val="8"/>
                <w:highlight w:val="none"/>
              </w:rPr>
              <w:t>本项目建成后</w:t>
            </w:r>
          </w:p>
          <w:p w14:paraId="706678B0">
            <w:pPr>
              <w:pStyle w:val="25"/>
              <w:pageBreakBefore w:val="0"/>
              <w:kinsoku/>
              <w:wordWrap w:val="0"/>
              <w:overflowPunct/>
              <w:topLinePunct/>
              <w:autoSpaceDE/>
              <w:autoSpaceDN/>
              <w:bidi w:val="0"/>
              <w:spacing w:before="161" w:line="240" w:lineRule="auto"/>
              <w:ind w:left="185"/>
              <w:rPr>
                <w:rFonts w:hint="default" w:ascii="Times New Roman" w:hAnsi="Times New Roman" w:cs="Times New Roman"/>
                <w:color w:val="auto"/>
                <w:highlight w:val="none"/>
              </w:rPr>
            </w:pPr>
            <w:r>
              <w:rPr>
                <w:rFonts w:hint="default" w:ascii="Times New Roman" w:hAnsi="Times New Roman" w:cs="Times New Roman"/>
                <w:color w:val="auto"/>
                <w:spacing w:val="8"/>
                <w:highlight w:val="none"/>
              </w:rPr>
              <w:t>全厂排放量</w:t>
            </w:r>
          </w:p>
          <w:p w14:paraId="1BFE2070">
            <w:pPr>
              <w:pStyle w:val="25"/>
              <w:pageBreakBefore w:val="0"/>
              <w:kinsoku/>
              <w:wordWrap w:val="0"/>
              <w:overflowPunct/>
              <w:topLinePunct/>
              <w:autoSpaceDE/>
              <w:autoSpaceDN/>
              <w:bidi w:val="0"/>
              <w:spacing w:before="160" w:line="240" w:lineRule="auto"/>
              <w:ind w:left="90"/>
              <w:rPr>
                <w:rFonts w:hint="default" w:ascii="Times New Roman" w:hAnsi="Times New Roman" w:cs="Times New Roman"/>
                <w:color w:val="auto"/>
                <w:highlight w:val="none"/>
              </w:rPr>
            </w:pPr>
            <w:r>
              <w:rPr>
                <w:rFonts w:hint="default" w:ascii="Times New Roman" w:hAnsi="Times New Roman" w:cs="Times New Roman"/>
                <w:color w:val="auto"/>
                <w:spacing w:val="6"/>
                <w:highlight w:val="none"/>
              </w:rPr>
              <w:t>（固体废物产</w:t>
            </w:r>
          </w:p>
          <w:p w14:paraId="1FF43A27">
            <w:pPr>
              <w:pStyle w:val="25"/>
              <w:pageBreakBefore w:val="0"/>
              <w:kinsoku/>
              <w:wordWrap w:val="0"/>
              <w:overflowPunct/>
              <w:topLinePunct/>
              <w:autoSpaceDE/>
              <w:autoSpaceDN/>
              <w:bidi w:val="0"/>
              <w:spacing w:before="160" w:line="240" w:lineRule="auto"/>
              <w:ind w:left="293"/>
              <w:rPr>
                <w:rFonts w:hint="default" w:ascii="Times New Roman" w:hAnsi="Times New Roman" w:cs="Times New Roman"/>
                <w:color w:val="auto"/>
                <w:highlight w:val="none"/>
              </w:rPr>
            </w:pPr>
            <w:r>
              <w:rPr>
                <w:rFonts w:hint="default" w:ascii="Times New Roman" w:hAnsi="Times New Roman" w:cs="Times New Roman"/>
                <w:color w:val="auto"/>
                <w:spacing w:val="6"/>
                <w:highlight w:val="none"/>
              </w:rPr>
              <w:t>生量）⑥</w:t>
            </w:r>
          </w:p>
        </w:tc>
        <w:tc>
          <w:tcPr>
            <w:tcW w:w="1391" w:type="dxa"/>
            <w:tcBorders>
              <w:top w:val="single" w:color="000000" w:sz="6" w:space="0"/>
              <w:right w:val="single" w:color="000000" w:sz="6" w:space="0"/>
            </w:tcBorders>
            <w:vAlign w:val="top"/>
          </w:tcPr>
          <w:p w14:paraId="6DE3FFBE">
            <w:pPr>
              <w:pageBreakBefore w:val="0"/>
              <w:kinsoku/>
              <w:wordWrap w:val="0"/>
              <w:overflowPunct/>
              <w:topLinePunct/>
              <w:autoSpaceDE/>
              <w:autoSpaceDN/>
              <w:bidi w:val="0"/>
              <w:spacing w:line="240" w:lineRule="auto"/>
              <w:rPr>
                <w:rFonts w:hint="default" w:ascii="Times New Roman" w:hAnsi="Times New Roman" w:cs="Times New Roman"/>
                <w:color w:val="auto"/>
                <w:sz w:val="21"/>
                <w:highlight w:val="none"/>
              </w:rPr>
            </w:pPr>
          </w:p>
          <w:p w14:paraId="0D66E33A">
            <w:pPr>
              <w:pStyle w:val="25"/>
              <w:pageBreakBefore w:val="0"/>
              <w:kinsoku/>
              <w:wordWrap w:val="0"/>
              <w:overflowPunct/>
              <w:topLinePunct/>
              <w:autoSpaceDE/>
              <w:autoSpaceDN/>
              <w:bidi w:val="0"/>
              <w:spacing w:before="65" w:line="240" w:lineRule="auto"/>
              <w:ind w:left="595" w:right="373" w:hanging="209"/>
              <w:rPr>
                <w:rFonts w:hint="default" w:ascii="Times New Roman" w:hAnsi="Times New Roman" w:cs="Times New Roman"/>
                <w:color w:val="auto"/>
                <w:highlight w:val="none"/>
              </w:rPr>
            </w:pPr>
            <w:r>
              <w:rPr>
                <w:rFonts w:hint="default" w:ascii="Times New Roman" w:hAnsi="Times New Roman" w:cs="Times New Roman"/>
                <w:color w:val="auto"/>
                <w:spacing w:val="6"/>
                <w:highlight w:val="none"/>
              </w:rPr>
              <w:t>变化量</w:t>
            </w:r>
            <w:r>
              <w:rPr>
                <w:rFonts w:hint="default" w:ascii="Times New Roman" w:hAnsi="Times New Roman" w:cs="Times New Roman"/>
                <w:color w:val="auto"/>
                <w:spacing w:val="2"/>
                <w:highlight w:val="none"/>
              </w:rPr>
              <w:t>⑦</w:t>
            </w:r>
          </w:p>
        </w:tc>
      </w:tr>
      <w:tr w14:paraId="06B85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244" w:type="dxa"/>
            <w:tcBorders>
              <w:left w:val="single" w:color="000000" w:sz="6" w:space="0"/>
              <w:bottom w:val="single" w:color="auto" w:sz="4" w:space="0"/>
            </w:tcBorders>
            <w:vAlign w:val="top"/>
          </w:tcPr>
          <w:p w14:paraId="7C33CD4A">
            <w:pPr>
              <w:pStyle w:val="25"/>
              <w:pageBreakBefore w:val="0"/>
              <w:kinsoku/>
              <w:wordWrap w:val="0"/>
              <w:overflowPunct/>
              <w:topLinePunct/>
              <w:autoSpaceDE/>
              <w:autoSpaceDN/>
              <w:bidi w:val="0"/>
              <w:spacing w:before="65" w:line="229" w:lineRule="auto"/>
              <w:ind w:left="409"/>
              <w:rPr>
                <w:rFonts w:hint="default" w:ascii="Times New Roman" w:hAnsi="Times New Roman" w:cs="Times New Roman"/>
                <w:color w:val="auto"/>
                <w:highlight w:val="none"/>
              </w:rPr>
            </w:pPr>
            <w:r>
              <w:rPr>
                <w:rFonts w:hint="default" w:ascii="Times New Roman" w:hAnsi="Times New Roman" w:cs="Times New Roman"/>
                <w:color w:val="auto"/>
                <w:spacing w:val="5"/>
                <w:highlight w:val="none"/>
              </w:rPr>
              <w:t>废气</w:t>
            </w:r>
          </w:p>
        </w:tc>
        <w:tc>
          <w:tcPr>
            <w:tcW w:w="2106" w:type="dxa"/>
            <w:tcBorders>
              <w:bottom w:val="single" w:color="auto" w:sz="4" w:space="0"/>
            </w:tcBorders>
            <w:vAlign w:val="top"/>
          </w:tcPr>
          <w:p w14:paraId="1B83900B">
            <w:pPr>
              <w:pStyle w:val="25"/>
              <w:pageBreakBefore w:val="0"/>
              <w:kinsoku/>
              <w:wordWrap w:val="0"/>
              <w:overflowPunct/>
              <w:topLinePunct/>
              <w:autoSpaceDE/>
              <w:autoSpaceDN/>
              <w:bidi w:val="0"/>
              <w:spacing w:before="72" w:line="229" w:lineRule="auto"/>
              <w:ind w:left="737"/>
              <w:rPr>
                <w:rFonts w:hint="default" w:ascii="Times New Roman" w:hAnsi="Times New Roman" w:cs="Times New Roman"/>
                <w:color w:val="auto"/>
                <w:highlight w:val="none"/>
              </w:rPr>
            </w:pPr>
            <w:r>
              <w:rPr>
                <w:rFonts w:hint="default" w:ascii="Times New Roman" w:hAnsi="Times New Roman" w:cs="Times New Roman"/>
                <w:color w:val="auto"/>
                <w:spacing w:val="7"/>
                <w:highlight w:val="none"/>
              </w:rPr>
              <w:t>颗粒物</w:t>
            </w:r>
          </w:p>
        </w:tc>
        <w:tc>
          <w:tcPr>
            <w:tcW w:w="1361" w:type="dxa"/>
            <w:shd w:val="clear" w:color="auto" w:fill="auto"/>
            <w:vAlign w:val="top"/>
          </w:tcPr>
          <w:p w14:paraId="7315C977">
            <w:pPr>
              <w:pageBreakBefore w:val="0"/>
              <w:kinsoku/>
              <w:wordWrap w:val="0"/>
              <w:overflowPunct/>
              <w:topLinePunct/>
              <w:autoSpaceDE/>
              <w:autoSpaceDN/>
              <w:bidi w:val="0"/>
              <w:spacing w:before="108"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275" w:type="dxa"/>
            <w:vAlign w:val="top"/>
          </w:tcPr>
          <w:p w14:paraId="346F38D5">
            <w:pPr>
              <w:pageBreakBefore w:val="0"/>
              <w:kinsoku/>
              <w:wordWrap w:val="0"/>
              <w:overflowPunct/>
              <w:topLinePunct/>
              <w:autoSpaceDE/>
              <w:autoSpaceDN/>
              <w:bidi w:val="0"/>
              <w:spacing w:before="108" w:line="275" w:lineRule="exact"/>
              <w:ind w:left="587"/>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position w:val="2"/>
                <w:sz w:val="20"/>
                <w:szCs w:val="20"/>
                <w:highlight w:val="none"/>
              </w:rPr>
              <w:t>0</w:t>
            </w:r>
          </w:p>
        </w:tc>
        <w:tc>
          <w:tcPr>
            <w:tcW w:w="1699" w:type="dxa"/>
            <w:vAlign w:val="top"/>
          </w:tcPr>
          <w:p w14:paraId="71CAD873">
            <w:pPr>
              <w:pageBreakBefore w:val="0"/>
              <w:kinsoku/>
              <w:wordWrap w:val="0"/>
              <w:overflowPunct/>
              <w:topLinePunct/>
              <w:autoSpaceDE/>
              <w:autoSpaceDN/>
              <w:bidi w:val="0"/>
              <w:spacing w:before="108" w:line="275" w:lineRule="exact"/>
              <w:ind w:left="800"/>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position w:val="2"/>
                <w:sz w:val="20"/>
                <w:szCs w:val="20"/>
                <w:highlight w:val="none"/>
              </w:rPr>
              <w:t>0</w:t>
            </w:r>
          </w:p>
        </w:tc>
        <w:tc>
          <w:tcPr>
            <w:tcW w:w="1720" w:type="dxa"/>
            <w:vAlign w:val="top"/>
          </w:tcPr>
          <w:p w14:paraId="1D9FF98C">
            <w:pPr>
              <w:pageBreakBefore w:val="0"/>
              <w:kinsoku/>
              <w:wordWrap w:val="0"/>
              <w:overflowPunct/>
              <w:topLinePunct/>
              <w:autoSpaceDE/>
              <w:autoSpaceDN/>
              <w:bidi w:val="0"/>
              <w:spacing w:before="48" w:line="275" w:lineRule="exact"/>
              <w:ind w:left="525"/>
              <w:rPr>
                <w:rFonts w:hint="default" w:ascii="Times New Roman" w:hAnsi="Times New Roman" w:eastAsia="Times New Roman" w:cs="Times New Roman"/>
                <w:color w:val="auto"/>
                <w:sz w:val="20"/>
                <w:szCs w:val="20"/>
                <w:highlight w:val="none"/>
              </w:rPr>
            </w:pPr>
            <w:r>
              <w:rPr>
                <w:rFonts w:hint="default" w:ascii="Times New Roman" w:hAnsi="Times New Roman" w:eastAsia="宋体" w:cs="Times New Roman"/>
                <w:color w:val="auto"/>
                <w:spacing w:val="2"/>
                <w:position w:val="1"/>
                <w:sz w:val="20"/>
                <w:szCs w:val="20"/>
                <w:highlight w:val="none"/>
                <w:lang w:val="en-US" w:eastAsia="zh-CN"/>
              </w:rPr>
              <w:t>0.009</w:t>
            </w:r>
            <w:r>
              <w:rPr>
                <w:rFonts w:hint="default" w:ascii="Times New Roman" w:hAnsi="Times New Roman" w:eastAsia="Times New Roman" w:cs="Times New Roman"/>
                <w:color w:val="auto"/>
                <w:spacing w:val="2"/>
                <w:position w:val="1"/>
                <w:sz w:val="20"/>
                <w:szCs w:val="20"/>
                <w:highlight w:val="none"/>
              </w:rPr>
              <w:t>t/a</w:t>
            </w:r>
          </w:p>
        </w:tc>
        <w:tc>
          <w:tcPr>
            <w:tcW w:w="1596" w:type="dxa"/>
            <w:shd w:val="clear" w:color="auto" w:fill="auto"/>
            <w:vAlign w:val="top"/>
          </w:tcPr>
          <w:p w14:paraId="57277DFB">
            <w:pPr>
              <w:pageBreakBefore w:val="0"/>
              <w:kinsoku/>
              <w:wordWrap w:val="0"/>
              <w:overflowPunct/>
              <w:topLinePunct/>
              <w:autoSpaceDE/>
              <w:autoSpaceDN/>
              <w:bidi w:val="0"/>
              <w:spacing w:before="108"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400" w:type="dxa"/>
            <w:shd w:val="clear" w:color="auto" w:fill="auto"/>
            <w:vAlign w:val="top"/>
          </w:tcPr>
          <w:p w14:paraId="053D0DCB">
            <w:pPr>
              <w:pageBreakBefore w:val="0"/>
              <w:kinsoku/>
              <w:wordWrap w:val="0"/>
              <w:overflowPunct/>
              <w:topLinePunct/>
              <w:autoSpaceDE/>
              <w:autoSpaceDN/>
              <w:bidi w:val="0"/>
              <w:spacing w:before="48" w:line="275" w:lineRule="exact"/>
              <w:jc w:val="center"/>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宋体" w:cs="Times New Roman"/>
                <w:color w:val="auto"/>
                <w:spacing w:val="2"/>
                <w:position w:val="1"/>
                <w:sz w:val="20"/>
                <w:szCs w:val="20"/>
                <w:highlight w:val="none"/>
                <w:lang w:val="en-US" w:eastAsia="zh-CN"/>
              </w:rPr>
              <w:t>0.009</w:t>
            </w:r>
            <w:r>
              <w:rPr>
                <w:rFonts w:hint="default" w:ascii="Times New Roman" w:hAnsi="Times New Roman" w:eastAsia="Times New Roman" w:cs="Times New Roman"/>
                <w:color w:val="auto"/>
                <w:spacing w:val="2"/>
                <w:position w:val="1"/>
                <w:sz w:val="20"/>
                <w:szCs w:val="20"/>
                <w:highlight w:val="none"/>
              </w:rPr>
              <w:t>t/a</w:t>
            </w:r>
          </w:p>
        </w:tc>
        <w:tc>
          <w:tcPr>
            <w:tcW w:w="1391" w:type="dxa"/>
            <w:tcBorders>
              <w:right w:val="single" w:color="000000" w:sz="6" w:space="0"/>
            </w:tcBorders>
            <w:shd w:val="clear" w:color="auto" w:fill="auto"/>
            <w:vAlign w:val="top"/>
          </w:tcPr>
          <w:p w14:paraId="6D97777A">
            <w:pPr>
              <w:pageBreakBefore w:val="0"/>
              <w:kinsoku/>
              <w:wordWrap w:val="0"/>
              <w:overflowPunct/>
              <w:topLinePunct/>
              <w:autoSpaceDE/>
              <w:autoSpaceDN/>
              <w:bidi w:val="0"/>
              <w:spacing w:before="48" w:line="275" w:lineRule="exact"/>
              <w:jc w:val="center"/>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宋体" w:cs="Times New Roman"/>
                <w:color w:val="auto"/>
                <w:spacing w:val="2"/>
                <w:position w:val="1"/>
                <w:sz w:val="20"/>
                <w:szCs w:val="20"/>
                <w:highlight w:val="none"/>
                <w:lang w:val="en-US" w:eastAsia="zh-CN"/>
              </w:rPr>
              <w:t>+0.009</w:t>
            </w:r>
            <w:r>
              <w:rPr>
                <w:rFonts w:hint="default" w:ascii="Times New Roman" w:hAnsi="Times New Roman" w:eastAsia="Times New Roman" w:cs="Times New Roman"/>
                <w:color w:val="auto"/>
                <w:spacing w:val="2"/>
                <w:position w:val="1"/>
                <w:sz w:val="20"/>
                <w:szCs w:val="20"/>
                <w:highlight w:val="none"/>
              </w:rPr>
              <w:t>t/a</w:t>
            </w:r>
          </w:p>
        </w:tc>
      </w:tr>
      <w:tr w14:paraId="698A9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244" w:type="dxa"/>
            <w:vMerge w:val="restart"/>
            <w:tcBorders>
              <w:top w:val="single" w:color="auto" w:sz="4" w:space="0"/>
              <w:left w:val="single" w:color="000000" w:sz="6" w:space="0"/>
            </w:tcBorders>
            <w:vAlign w:val="center"/>
          </w:tcPr>
          <w:p w14:paraId="0ACCBA8B">
            <w:pPr>
              <w:pStyle w:val="25"/>
              <w:pageBreakBefore w:val="0"/>
              <w:kinsoku/>
              <w:wordWrap w:val="0"/>
              <w:overflowPunct/>
              <w:topLinePunct/>
              <w:autoSpaceDE/>
              <w:autoSpaceDN/>
              <w:bidi w:val="0"/>
              <w:spacing w:before="77" w:line="228" w:lineRule="auto"/>
              <w:ind w:left="409"/>
              <w:jc w:val="both"/>
              <w:rPr>
                <w:rFonts w:hint="default" w:ascii="Times New Roman" w:hAnsi="Times New Roman" w:cs="Times New Roman"/>
                <w:color w:val="auto"/>
                <w:highlight w:val="none"/>
              </w:rPr>
            </w:pPr>
            <w:r>
              <w:rPr>
                <w:rFonts w:hint="default" w:ascii="Times New Roman" w:hAnsi="Times New Roman" w:cs="Times New Roman"/>
                <w:color w:val="auto"/>
                <w:spacing w:val="5"/>
                <w:highlight w:val="none"/>
              </w:rPr>
              <w:t>废水</w:t>
            </w:r>
          </w:p>
        </w:tc>
        <w:tc>
          <w:tcPr>
            <w:tcW w:w="2106" w:type="dxa"/>
            <w:tcBorders>
              <w:top w:val="single" w:color="auto" w:sz="4" w:space="0"/>
            </w:tcBorders>
            <w:shd w:val="clear" w:color="auto" w:fill="auto"/>
            <w:vAlign w:val="center"/>
          </w:tcPr>
          <w:p w14:paraId="66F8ED1E">
            <w:pPr>
              <w:pStyle w:val="50"/>
              <w:pageBreakBefore w:val="0"/>
              <w:kinsoku/>
              <w:wordWrap w:val="0"/>
              <w:overflowPunct/>
              <w:topLinePunct/>
              <w:autoSpaceDE/>
              <w:autoSpaceDN/>
              <w:bidi w:val="0"/>
              <w:spacing w:before="0" w:after="0" w:line="240" w:lineRule="auto"/>
              <w:ind w:right="0" w:rightChars="0" w:firstLine="0" w:firstLineChars="0"/>
              <w:rPr>
                <w:rFonts w:hint="default" w:ascii="Times New Roman" w:hAnsi="Times New Roman" w:eastAsia="宋体" w:cs="Times New Roman"/>
                <w:snapToGrid w:val="0"/>
                <w:color w:val="auto"/>
                <w:spacing w:val="6"/>
                <w:kern w:val="0"/>
                <w:sz w:val="20"/>
                <w:szCs w:val="20"/>
                <w:highlight w:val="none"/>
                <w:lang w:val="en-US" w:eastAsia="zh-CN" w:bidi="ar-SA"/>
              </w:rPr>
            </w:pPr>
            <w:r>
              <w:rPr>
                <w:rFonts w:hint="default" w:ascii="Times New Roman" w:hAnsi="Times New Roman" w:eastAsia="宋体" w:cs="Times New Roman"/>
                <w:snapToGrid w:val="0"/>
                <w:color w:val="auto"/>
                <w:spacing w:val="6"/>
                <w:kern w:val="0"/>
                <w:sz w:val="20"/>
                <w:szCs w:val="20"/>
                <w:highlight w:val="none"/>
                <w:lang w:val="en-US" w:eastAsia="zh-CN" w:bidi="ar-SA"/>
              </w:rPr>
              <w:t>CODcr</w:t>
            </w:r>
          </w:p>
        </w:tc>
        <w:tc>
          <w:tcPr>
            <w:tcW w:w="1361" w:type="dxa"/>
            <w:shd w:val="clear" w:color="auto" w:fill="auto"/>
            <w:vAlign w:val="top"/>
          </w:tcPr>
          <w:p w14:paraId="19828E71">
            <w:pPr>
              <w:pageBreakBefore w:val="0"/>
              <w:kinsoku/>
              <w:wordWrap w:val="0"/>
              <w:overflowPunct/>
              <w:topLinePunct/>
              <w:autoSpaceDE/>
              <w:autoSpaceDN/>
              <w:bidi w:val="0"/>
              <w:spacing w:before="113"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275" w:type="dxa"/>
            <w:vAlign w:val="top"/>
          </w:tcPr>
          <w:p w14:paraId="3483D480">
            <w:pPr>
              <w:pageBreakBefore w:val="0"/>
              <w:kinsoku/>
              <w:wordWrap w:val="0"/>
              <w:overflowPunct/>
              <w:topLinePunct/>
              <w:autoSpaceDE/>
              <w:autoSpaceDN/>
              <w:bidi w:val="0"/>
              <w:spacing w:before="113" w:line="275" w:lineRule="exact"/>
              <w:ind w:left="587"/>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position w:val="2"/>
                <w:sz w:val="20"/>
                <w:szCs w:val="20"/>
                <w:highlight w:val="none"/>
              </w:rPr>
              <w:t>0</w:t>
            </w:r>
          </w:p>
        </w:tc>
        <w:tc>
          <w:tcPr>
            <w:tcW w:w="1699" w:type="dxa"/>
            <w:vAlign w:val="top"/>
          </w:tcPr>
          <w:p w14:paraId="4AB0B5B5">
            <w:pPr>
              <w:pageBreakBefore w:val="0"/>
              <w:kinsoku/>
              <w:wordWrap w:val="0"/>
              <w:overflowPunct/>
              <w:topLinePunct/>
              <w:autoSpaceDE/>
              <w:autoSpaceDN/>
              <w:bidi w:val="0"/>
              <w:spacing w:before="113" w:line="275" w:lineRule="exact"/>
              <w:ind w:left="800"/>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position w:val="2"/>
                <w:sz w:val="20"/>
                <w:szCs w:val="20"/>
                <w:highlight w:val="none"/>
              </w:rPr>
              <w:t>0</w:t>
            </w:r>
          </w:p>
        </w:tc>
        <w:tc>
          <w:tcPr>
            <w:tcW w:w="1720" w:type="dxa"/>
            <w:shd w:val="clear" w:color="auto" w:fill="auto"/>
            <w:vAlign w:val="center"/>
          </w:tcPr>
          <w:p w14:paraId="263359B5">
            <w:pPr>
              <w:pStyle w:val="50"/>
              <w:pageBreakBefore w:val="0"/>
              <w:kinsoku/>
              <w:wordWrap w:val="0"/>
              <w:overflowPunct/>
              <w:topLinePunct/>
              <w:autoSpaceDE/>
              <w:autoSpaceDN/>
              <w:bidi w:val="0"/>
              <w:spacing w:before="0" w:after="0" w:line="240" w:lineRule="auto"/>
              <w:ind w:right="0" w:rightChars="0" w:firstLine="0" w:firstLineChars="0"/>
              <w:rPr>
                <w:rFonts w:hint="default" w:ascii="Times New Roman" w:hAnsi="Times New Roman" w:eastAsia="宋体" w:cs="Times New Roman"/>
                <w:snapToGrid w:val="0"/>
                <w:color w:val="auto"/>
                <w:spacing w:val="6"/>
                <w:kern w:val="0"/>
                <w:sz w:val="20"/>
                <w:szCs w:val="20"/>
                <w:highlight w:val="none"/>
                <w:lang w:val="en-US" w:eastAsia="zh-CN" w:bidi="ar-SA"/>
              </w:rPr>
            </w:pPr>
            <w:r>
              <w:rPr>
                <w:rFonts w:hint="default" w:ascii="Times New Roman" w:hAnsi="Times New Roman" w:eastAsia="宋体" w:cs="Times New Roman"/>
                <w:i w:val="0"/>
                <w:iCs w:val="0"/>
                <w:snapToGrid w:val="0"/>
                <w:color w:val="auto"/>
                <w:kern w:val="0"/>
                <w:sz w:val="20"/>
                <w:szCs w:val="20"/>
                <w:highlight w:val="none"/>
                <w:u w:val="none"/>
                <w:lang w:val="en-US" w:eastAsia="zh-CN" w:bidi="ar"/>
              </w:rPr>
              <w:t>0.05</w:t>
            </w:r>
            <w:r>
              <w:rPr>
                <w:rFonts w:hint="default" w:ascii="Times New Roman" w:hAnsi="Times New Roman" w:eastAsia="Times New Roman" w:cs="Times New Roman"/>
                <w:color w:val="auto"/>
                <w:spacing w:val="2"/>
                <w:position w:val="1"/>
                <w:sz w:val="20"/>
                <w:szCs w:val="20"/>
                <w:highlight w:val="none"/>
              </w:rPr>
              <w:t>t/a</w:t>
            </w:r>
          </w:p>
        </w:tc>
        <w:tc>
          <w:tcPr>
            <w:tcW w:w="1596" w:type="dxa"/>
            <w:shd w:val="clear" w:color="auto" w:fill="auto"/>
            <w:vAlign w:val="top"/>
          </w:tcPr>
          <w:p w14:paraId="2CD26A10">
            <w:pPr>
              <w:pageBreakBefore w:val="0"/>
              <w:kinsoku/>
              <w:wordWrap w:val="0"/>
              <w:overflowPunct/>
              <w:topLinePunct/>
              <w:autoSpaceDE/>
              <w:autoSpaceDN/>
              <w:bidi w:val="0"/>
              <w:spacing w:before="113"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400" w:type="dxa"/>
            <w:shd w:val="clear" w:color="auto" w:fill="auto"/>
            <w:vAlign w:val="center"/>
          </w:tcPr>
          <w:p w14:paraId="708AD8FB">
            <w:pPr>
              <w:pStyle w:val="50"/>
              <w:pageBreakBefore w:val="0"/>
              <w:kinsoku/>
              <w:wordWrap w:val="0"/>
              <w:overflowPunct/>
              <w:topLinePunct/>
              <w:autoSpaceDE/>
              <w:autoSpaceDN/>
              <w:bidi w:val="0"/>
              <w:spacing w:before="0" w:after="0" w:line="240" w:lineRule="auto"/>
              <w:ind w:right="0" w:rightChars="0" w:firstLine="0" w:firstLineChars="0"/>
              <w:rPr>
                <w:rFonts w:hint="default" w:ascii="Times New Roman" w:hAnsi="Times New Roman" w:eastAsia="宋体" w:cs="Times New Roman"/>
                <w:snapToGrid w:val="0"/>
                <w:color w:val="auto"/>
                <w:spacing w:val="6"/>
                <w:kern w:val="0"/>
                <w:sz w:val="20"/>
                <w:szCs w:val="20"/>
                <w:highlight w:val="none"/>
                <w:lang w:val="en-US" w:eastAsia="zh-CN" w:bidi="ar-SA"/>
              </w:rPr>
            </w:pPr>
            <w:r>
              <w:rPr>
                <w:rFonts w:hint="default" w:ascii="Times New Roman" w:hAnsi="Times New Roman" w:eastAsia="宋体" w:cs="Times New Roman"/>
                <w:i w:val="0"/>
                <w:iCs w:val="0"/>
                <w:snapToGrid w:val="0"/>
                <w:color w:val="auto"/>
                <w:kern w:val="0"/>
                <w:sz w:val="20"/>
                <w:szCs w:val="20"/>
                <w:highlight w:val="none"/>
                <w:u w:val="none"/>
                <w:lang w:val="en-US" w:eastAsia="zh-CN" w:bidi="ar"/>
              </w:rPr>
              <w:t>0.05</w:t>
            </w:r>
            <w:r>
              <w:rPr>
                <w:rFonts w:hint="default" w:ascii="Times New Roman" w:hAnsi="Times New Roman" w:eastAsia="Times New Roman" w:cs="Times New Roman"/>
                <w:color w:val="auto"/>
                <w:spacing w:val="2"/>
                <w:position w:val="1"/>
                <w:sz w:val="20"/>
                <w:szCs w:val="20"/>
                <w:highlight w:val="none"/>
              </w:rPr>
              <w:t>t/a</w:t>
            </w:r>
          </w:p>
        </w:tc>
        <w:tc>
          <w:tcPr>
            <w:tcW w:w="1391" w:type="dxa"/>
            <w:tcBorders>
              <w:right w:val="single" w:color="000000" w:sz="6" w:space="0"/>
            </w:tcBorders>
            <w:shd w:val="clear" w:color="auto" w:fill="auto"/>
            <w:vAlign w:val="center"/>
          </w:tcPr>
          <w:p w14:paraId="765BCC3E">
            <w:pPr>
              <w:pStyle w:val="50"/>
              <w:pageBreakBefore w:val="0"/>
              <w:kinsoku/>
              <w:wordWrap w:val="0"/>
              <w:overflowPunct/>
              <w:topLinePunct/>
              <w:autoSpaceDE/>
              <w:autoSpaceDN/>
              <w:bidi w:val="0"/>
              <w:spacing w:before="0" w:after="0" w:line="240" w:lineRule="auto"/>
              <w:ind w:right="0" w:rightChars="0" w:firstLine="0" w:firstLineChars="0"/>
              <w:rPr>
                <w:rFonts w:hint="default" w:ascii="Times New Roman" w:hAnsi="Times New Roman" w:eastAsia="宋体" w:cs="Times New Roman"/>
                <w:snapToGrid w:val="0"/>
                <w:color w:val="auto"/>
                <w:spacing w:val="6"/>
                <w:kern w:val="0"/>
                <w:sz w:val="20"/>
                <w:szCs w:val="20"/>
                <w:highlight w:val="none"/>
                <w:lang w:val="en-US" w:eastAsia="zh-CN" w:bidi="ar-SA"/>
              </w:rPr>
            </w:pPr>
            <w:r>
              <w:rPr>
                <w:rFonts w:hint="default" w:ascii="Times New Roman" w:hAnsi="Times New Roman" w:eastAsia="宋体" w:cs="Times New Roman"/>
                <w:color w:val="auto"/>
                <w:spacing w:val="2"/>
                <w:position w:val="1"/>
                <w:sz w:val="20"/>
                <w:szCs w:val="20"/>
                <w:highlight w:val="none"/>
                <w:lang w:val="en-US" w:eastAsia="zh-CN"/>
              </w:rPr>
              <w:t>+</w:t>
            </w:r>
            <w:r>
              <w:rPr>
                <w:rFonts w:hint="default" w:ascii="Times New Roman" w:hAnsi="Times New Roman" w:eastAsia="宋体" w:cs="Times New Roman"/>
                <w:i w:val="0"/>
                <w:iCs w:val="0"/>
                <w:snapToGrid w:val="0"/>
                <w:color w:val="auto"/>
                <w:kern w:val="0"/>
                <w:sz w:val="20"/>
                <w:szCs w:val="20"/>
                <w:highlight w:val="none"/>
                <w:u w:val="none"/>
                <w:lang w:val="en-US" w:eastAsia="zh-CN" w:bidi="ar"/>
              </w:rPr>
              <w:t>0.05</w:t>
            </w:r>
            <w:r>
              <w:rPr>
                <w:rFonts w:hint="default" w:ascii="Times New Roman" w:hAnsi="Times New Roman" w:eastAsia="Times New Roman" w:cs="Times New Roman"/>
                <w:color w:val="auto"/>
                <w:spacing w:val="2"/>
                <w:position w:val="1"/>
                <w:sz w:val="20"/>
                <w:szCs w:val="20"/>
                <w:highlight w:val="none"/>
              </w:rPr>
              <w:t>t/a</w:t>
            </w:r>
          </w:p>
        </w:tc>
      </w:tr>
      <w:tr w14:paraId="2E3CA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244" w:type="dxa"/>
            <w:vMerge w:val="continue"/>
            <w:tcBorders>
              <w:left w:val="single" w:color="000000" w:sz="6" w:space="0"/>
            </w:tcBorders>
            <w:vAlign w:val="top"/>
          </w:tcPr>
          <w:p w14:paraId="5B2461E5">
            <w:pPr>
              <w:pStyle w:val="25"/>
              <w:pageBreakBefore w:val="0"/>
              <w:kinsoku/>
              <w:wordWrap w:val="0"/>
              <w:overflowPunct/>
              <w:topLinePunct/>
              <w:autoSpaceDE/>
              <w:autoSpaceDN/>
              <w:bidi w:val="0"/>
              <w:spacing w:before="77" w:line="228" w:lineRule="auto"/>
              <w:ind w:left="409"/>
              <w:rPr>
                <w:rFonts w:hint="default" w:ascii="Times New Roman" w:hAnsi="Times New Roman" w:cs="Times New Roman"/>
                <w:color w:val="auto"/>
                <w:spacing w:val="5"/>
                <w:highlight w:val="none"/>
              </w:rPr>
            </w:pPr>
          </w:p>
        </w:tc>
        <w:tc>
          <w:tcPr>
            <w:tcW w:w="2106" w:type="dxa"/>
            <w:tcBorders>
              <w:top w:val="single" w:color="auto" w:sz="4" w:space="0"/>
            </w:tcBorders>
            <w:shd w:val="clear" w:color="auto" w:fill="auto"/>
            <w:vAlign w:val="center"/>
          </w:tcPr>
          <w:p w14:paraId="33EF9B30">
            <w:pPr>
              <w:pStyle w:val="50"/>
              <w:pageBreakBefore w:val="0"/>
              <w:kinsoku/>
              <w:wordWrap w:val="0"/>
              <w:overflowPunct/>
              <w:topLinePunct/>
              <w:autoSpaceDE/>
              <w:autoSpaceDN/>
              <w:bidi w:val="0"/>
              <w:spacing w:before="0" w:after="0" w:line="240" w:lineRule="auto"/>
              <w:ind w:right="0" w:rightChars="0" w:firstLine="0" w:firstLineChars="0"/>
              <w:rPr>
                <w:rFonts w:hint="default" w:ascii="Times New Roman" w:hAnsi="Times New Roman" w:eastAsia="宋体" w:cs="Times New Roman"/>
                <w:snapToGrid w:val="0"/>
                <w:color w:val="auto"/>
                <w:spacing w:val="6"/>
                <w:kern w:val="0"/>
                <w:sz w:val="20"/>
                <w:szCs w:val="20"/>
                <w:highlight w:val="none"/>
                <w:lang w:val="en-US" w:eastAsia="zh-CN" w:bidi="ar-SA"/>
              </w:rPr>
            </w:pPr>
            <w:r>
              <w:rPr>
                <w:rFonts w:hint="default" w:ascii="Times New Roman" w:hAnsi="Times New Roman" w:eastAsia="宋体" w:cs="Times New Roman"/>
                <w:snapToGrid w:val="0"/>
                <w:color w:val="auto"/>
                <w:spacing w:val="6"/>
                <w:kern w:val="0"/>
                <w:sz w:val="20"/>
                <w:szCs w:val="20"/>
                <w:highlight w:val="none"/>
                <w:lang w:val="en-US" w:eastAsia="zh-CN" w:bidi="ar-SA"/>
              </w:rPr>
              <w:t>BOD</w:t>
            </w:r>
            <w:r>
              <w:rPr>
                <w:rFonts w:hint="default" w:ascii="Times New Roman" w:hAnsi="Times New Roman" w:eastAsia="宋体" w:cs="Times New Roman"/>
                <w:snapToGrid w:val="0"/>
                <w:color w:val="auto"/>
                <w:spacing w:val="6"/>
                <w:kern w:val="0"/>
                <w:sz w:val="20"/>
                <w:szCs w:val="20"/>
                <w:highlight w:val="none"/>
                <w:vertAlign w:val="subscript"/>
                <w:lang w:val="en-US" w:eastAsia="zh-CN" w:bidi="ar-SA"/>
              </w:rPr>
              <w:t>5</w:t>
            </w:r>
          </w:p>
        </w:tc>
        <w:tc>
          <w:tcPr>
            <w:tcW w:w="1361" w:type="dxa"/>
            <w:shd w:val="clear" w:color="auto" w:fill="auto"/>
            <w:vAlign w:val="top"/>
          </w:tcPr>
          <w:p w14:paraId="571D26FE">
            <w:pPr>
              <w:pageBreakBefore w:val="0"/>
              <w:kinsoku/>
              <w:wordWrap w:val="0"/>
              <w:overflowPunct/>
              <w:topLinePunct/>
              <w:autoSpaceDE/>
              <w:autoSpaceDN/>
              <w:bidi w:val="0"/>
              <w:spacing w:before="114"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275" w:type="dxa"/>
            <w:shd w:val="clear" w:color="auto" w:fill="auto"/>
            <w:vAlign w:val="top"/>
          </w:tcPr>
          <w:p w14:paraId="01CD4FB2">
            <w:pPr>
              <w:pageBreakBefore w:val="0"/>
              <w:kinsoku/>
              <w:wordWrap w:val="0"/>
              <w:overflowPunct/>
              <w:topLinePunct/>
              <w:autoSpaceDE/>
              <w:autoSpaceDN/>
              <w:bidi w:val="0"/>
              <w:spacing w:before="114"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699" w:type="dxa"/>
            <w:shd w:val="clear" w:color="auto" w:fill="auto"/>
            <w:vAlign w:val="top"/>
          </w:tcPr>
          <w:p w14:paraId="4F824CAC">
            <w:pPr>
              <w:pageBreakBefore w:val="0"/>
              <w:kinsoku/>
              <w:wordWrap w:val="0"/>
              <w:overflowPunct/>
              <w:topLinePunct/>
              <w:autoSpaceDE/>
              <w:autoSpaceDN/>
              <w:bidi w:val="0"/>
              <w:spacing w:before="114"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720" w:type="dxa"/>
            <w:shd w:val="clear" w:color="auto" w:fill="auto"/>
            <w:vAlign w:val="center"/>
          </w:tcPr>
          <w:p w14:paraId="4C8BBF93">
            <w:pPr>
              <w:keepNext w:val="0"/>
              <w:keepLines w:val="0"/>
              <w:pageBreakBefore w:val="0"/>
              <w:widowControl/>
              <w:suppressLineNumbers w:val="0"/>
              <w:kinsoku/>
              <w:wordWrap w:val="0"/>
              <w:overflowPunct/>
              <w:topLinePunct/>
              <w:autoSpaceDE/>
              <w:autoSpaceDN/>
              <w:bidi w:val="0"/>
              <w:jc w:val="center"/>
              <w:textAlignment w:val="center"/>
              <w:rPr>
                <w:rFonts w:hint="default" w:ascii="Times New Roman" w:hAnsi="Times New Roman" w:eastAsia="宋体" w:cs="Times New Roman"/>
                <w:i w:val="0"/>
                <w:iCs w:val="0"/>
                <w:snapToGrid w:val="0"/>
                <w:color w:val="auto"/>
                <w:kern w:val="0"/>
                <w:sz w:val="20"/>
                <w:szCs w:val="20"/>
                <w:highlight w:val="none"/>
                <w:u w:val="none"/>
                <w:lang w:val="en-US" w:eastAsia="zh-CN" w:bidi="ar-SA"/>
              </w:rPr>
            </w:pPr>
            <w:r>
              <w:rPr>
                <w:rFonts w:hint="default" w:ascii="Times New Roman" w:hAnsi="Times New Roman" w:eastAsia="宋体" w:cs="Times New Roman"/>
                <w:i w:val="0"/>
                <w:iCs w:val="0"/>
                <w:snapToGrid w:val="0"/>
                <w:color w:val="auto"/>
                <w:kern w:val="0"/>
                <w:sz w:val="20"/>
                <w:szCs w:val="20"/>
                <w:highlight w:val="none"/>
                <w:u w:val="none"/>
                <w:lang w:val="en-US" w:eastAsia="zh-CN" w:bidi="ar"/>
              </w:rPr>
              <w:t>0.03</w:t>
            </w:r>
            <w:r>
              <w:rPr>
                <w:rFonts w:hint="default" w:ascii="Times New Roman" w:hAnsi="Times New Roman" w:eastAsia="Times New Roman" w:cs="Times New Roman"/>
                <w:color w:val="auto"/>
                <w:spacing w:val="2"/>
                <w:position w:val="1"/>
                <w:sz w:val="20"/>
                <w:szCs w:val="20"/>
                <w:highlight w:val="none"/>
              </w:rPr>
              <w:t>t/a</w:t>
            </w:r>
          </w:p>
        </w:tc>
        <w:tc>
          <w:tcPr>
            <w:tcW w:w="1596" w:type="dxa"/>
            <w:shd w:val="clear" w:color="auto" w:fill="auto"/>
            <w:vAlign w:val="top"/>
          </w:tcPr>
          <w:p w14:paraId="3295CB26">
            <w:pPr>
              <w:pageBreakBefore w:val="0"/>
              <w:kinsoku/>
              <w:wordWrap w:val="0"/>
              <w:overflowPunct/>
              <w:topLinePunct/>
              <w:autoSpaceDE/>
              <w:autoSpaceDN/>
              <w:bidi w:val="0"/>
              <w:spacing w:before="114"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400" w:type="dxa"/>
            <w:shd w:val="clear" w:color="auto" w:fill="auto"/>
            <w:vAlign w:val="center"/>
          </w:tcPr>
          <w:p w14:paraId="45DCFD58">
            <w:pPr>
              <w:keepNext w:val="0"/>
              <w:keepLines w:val="0"/>
              <w:pageBreakBefore w:val="0"/>
              <w:widowControl/>
              <w:suppressLineNumbers w:val="0"/>
              <w:kinsoku/>
              <w:wordWrap w:val="0"/>
              <w:overflowPunct/>
              <w:topLinePunct/>
              <w:autoSpaceDE/>
              <w:autoSpaceDN/>
              <w:bidi w:val="0"/>
              <w:jc w:val="center"/>
              <w:textAlignment w:val="center"/>
              <w:rPr>
                <w:rFonts w:hint="default" w:ascii="Times New Roman" w:hAnsi="Times New Roman" w:eastAsia="宋体" w:cs="Times New Roman"/>
                <w:i w:val="0"/>
                <w:iCs w:val="0"/>
                <w:snapToGrid w:val="0"/>
                <w:color w:val="auto"/>
                <w:kern w:val="0"/>
                <w:sz w:val="20"/>
                <w:szCs w:val="20"/>
                <w:highlight w:val="none"/>
                <w:u w:val="none"/>
                <w:lang w:val="en-US" w:eastAsia="zh-CN" w:bidi="ar-SA"/>
              </w:rPr>
            </w:pPr>
            <w:r>
              <w:rPr>
                <w:rFonts w:hint="default" w:ascii="Times New Roman" w:hAnsi="Times New Roman" w:eastAsia="宋体" w:cs="Times New Roman"/>
                <w:i w:val="0"/>
                <w:iCs w:val="0"/>
                <w:snapToGrid w:val="0"/>
                <w:color w:val="auto"/>
                <w:kern w:val="0"/>
                <w:sz w:val="20"/>
                <w:szCs w:val="20"/>
                <w:highlight w:val="none"/>
                <w:u w:val="none"/>
                <w:lang w:val="en-US" w:eastAsia="zh-CN" w:bidi="ar"/>
              </w:rPr>
              <w:t>0.03</w:t>
            </w:r>
            <w:r>
              <w:rPr>
                <w:rFonts w:hint="default" w:ascii="Times New Roman" w:hAnsi="Times New Roman" w:eastAsia="Times New Roman" w:cs="Times New Roman"/>
                <w:color w:val="auto"/>
                <w:spacing w:val="2"/>
                <w:position w:val="1"/>
                <w:sz w:val="20"/>
                <w:szCs w:val="20"/>
                <w:highlight w:val="none"/>
              </w:rPr>
              <w:t>t/a</w:t>
            </w:r>
          </w:p>
        </w:tc>
        <w:tc>
          <w:tcPr>
            <w:tcW w:w="1391" w:type="dxa"/>
            <w:tcBorders>
              <w:right w:val="single" w:color="000000" w:sz="6" w:space="0"/>
            </w:tcBorders>
            <w:shd w:val="clear" w:color="auto" w:fill="auto"/>
            <w:vAlign w:val="center"/>
          </w:tcPr>
          <w:p w14:paraId="0BF6AB1E">
            <w:pPr>
              <w:keepNext w:val="0"/>
              <w:keepLines w:val="0"/>
              <w:pageBreakBefore w:val="0"/>
              <w:widowControl/>
              <w:suppressLineNumbers w:val="0"/>
              <w:kinsoku/>
              <w:wordWrap w:val="0"/>
              <w:overflowPunct/>
              <w:topLinePunct/>
              <w:autoSpaceDE/>
              <w:autoSpaceDN/>
              <w:bidi w:val="0"/>
              <w:jc w:val="center"/>
              <w:textAlignment w:val="center"/>
              <w:rPr>
                <w:rFonts w:hint="default" w:ascii="Times New Roman" w:hAnsi="Times New Roman" w:eastAsia="宋体" w:cs="Times New Roman"/>
                <w:i w:val="0"/>
                <w:iCs w:val="0"/>
                <w:snapToGrid w:val="0"/>
                <w:color w:val="auto"/>
                <w:kern w:val="0"/>
                <w:sz w:val="20"/>
                <w:szCs w:val="20"/>
                <w:highlight w:val="none"/>
                <w:u w:val="none"/>
                <w:lang w:val="en-US" w:eastAsia="zh-CN" w:bidi="ar-SA"/>
              </w:rPr>
            </w:pPr>
            <w:r>
              <w:rPr>
                <w:rFonts w:hint="default" w:ascii="Times New Roman" w:hAnsi="Times New Roman" w:eastAsia="宋体" w:cs="Times New Roman"/>
                <w:color w:val="auto"/>
                <w:spacing w:val="2"/>
                <w:position w:val="1"/>
                <w:sz w:val="20"/>
                <w:szCs w:val="20"/>
                <w:highlight w:val="none"/>
                <w:lang w:val="en-US" w:eastAsia="zh-CN"/>
              </w:rPr>
              <w:t>+</w:t>
            </w:r>
            <w:r>
              <w:rPr>
                <w:rFonts w:hint="default" w:ascii="Times New Roman" w:hAnsi="Times New Roman" w:eastAsia="宋体" w:cs="Times New Roman"/>
                <w:i w:val="0"/>
                <w:iCs w:val="0"/>
                <w:snapToGrid w:val="0"/>
                <w:color w:val="auto"/>
                <w:kern w:val="0"/>
                <w:sz w:val="20"/>
                <w:szCs w:val="20"/>
                <w:highlight w:val="none"/>
                <w:u w:val="none"/>
                <w:lang w:val="en-US" w:eastAsia="zh-CN" w:bidi="ar"/>
              </w:rPr>
              <w:t>0.03</w:t>
            </w:r>
            <w:r>
              <w:rPr>
                <w:rFonts w:hint="default" w:ascii="Times New Roman" w:hAnsi="Times New Roman" w:eastAsia="Times New Roman" w:cs="Times New Roman"/>
                <w:color w:val="auto"/>
                <w:spacing w:val="2"/>
                <w:position w:val="1"/>
                <w:sz w:val="20"/>
                <w:szCs w:val="20"/>
                <w:highlight w:val="none"/>
              </w:rPr>
              <w:t>t/a</w:t>
            </w:r>
          </w:p>
        </w:tc>
      </w:tr>
      <w:tr w14:paraId="2B0B5E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244" w:type="dxa"/>
            <w:vMerge w:val="continue"/>
            <w:tcBorders>
              <w:left w:val="single" w:color="000000" w:sz="6" w:space="0"/>
            </w:tcBorders>
            <w:vAlign w:val="top"/>
          </w:tcPr>
          <w:p w14:paraId="4A3CE06B">
            <w:pPr>
              <w:pStyle w:val="25"/>
              <w:pageBreakBefore w:val="0"/>
              <w:kinsoku/>
              <w:wordWrap w:val="0"/>
              <w:overflowPunct/>
              <w:topLinePunct/>
              <w:autoSpaceDE/>
              <w:autoSpaceDN/>
              <w:bidi w:val="0"/>
              <w:spacing w:before="77" w:line="228" w:lineRule="auto"/>
              <w:ind w:left="409"/>
              <w:rPr>
                <w:rFonts w:hint="default" w:ascii="Times New Roman" w:hAnsi="Times New Roman" w:cs="Times New Roman"/>
                <w:color w:val="auto"/>
                <w:spacing w:val="5"/>
                <w:highlight w:val="none"/>
              </w:rPr>
            </w:pPr>
          </w:p>
        </w:tc>
        <w:tc>
          <w:tcPr>
            <w:tcW w:w="2106" w:type="dxa"/>
            <w:tcBorders>
              <w:top w:val="single" w:color="auto" w:sz="4" w:space="0"/>
            </w:tcBorders>
            <w:shd w:val="clear" w:color="auto" w:fill="auto"/>
            <w:vAlign w:val="center"/>
          </w:tcPr>
          <w:p w14:paraId="77B54A9D">
            <w:pPr>
              <w:pStyle w:val="50"/>
              <w:pageBreakBefore w:val="0"/>
              <w:kinsoku/>
              <w:wordWrap w:val="0"/>
              <w:overflowPunct/>
              <w:topLinePunct/>
              <w:autoSpaceDE/>
              <w:autoSpaceDN/>
              <w:bidi w:val="0"/>
              <w:spacing w:before="0" w:after="0" w:line="240" w:lineRule="auto"/>
              <w:ind w:right="0" w:rightChars="0" w:firstLine="0" w:firstLineChars="0"/>
              <w:rPr>
                <w:rFonts w:hint="default" w:ascii="Times New Roman" w:hAnsi="Times New Roman" w:eastAsia="宋体" w:cs="Times New Roman"/>
                <w:snapToGrid w:val="0"/>
                <w:color w:val="auto"/>
                <w:spacing w:val="6"/>
                <w:kern w:val="0"/>
                <w:sz w:val="20"/>
                <w:szCs w:val="20"/>
                <w:highlight w:val="none"/>
                <w:lang w:val="en-US" w:eastAsia="zh-CN" w:bidi="ar-SA"/>
              </w:rPr>
            </w:pPr>
            <w:r>
              <w:rPr>
                <w:rFonts w:hint="default" w:ascii="Times New Roman" w:hAnsi="Times New Roman" w:eastAsia="宋体" w:cs="Times New Roman"/>
                <w:snapToGrid w:val="0"/>
                <w:color w:val="auto"/>
                <w:spacing w:val="6"/>
                <w:kern w:val="0"/>
                <w:sz w:val="20"/>
                <w:szCs w:val="20"/>
                <w:highlight w:val="none"/>
                <w:lang w:val="en-US" w:eastAsia="zh-CN" w:bidi="ar-SA"/>
              </w:rPr>
              <w:t>NH</w:t>
            </w:r>
            <w:r>
              <w:rPr>
                <w:rFonts w:hint="default" w:ascii="Times New Roman" w:hAnsi="Times New Roman" w:eastAsia="宋体" w:cs="Times New Roman"/>
                <w:snapToGrid w:val="0"/>
                <w:color w:val="auto"/>
                <w:spacing w:val="6"/>
                <w:kern w:val="0"/>
                <w:sz w:val="20"/>
                <w:szCs w:val="20"/>
                <w:highlight w:val="none"/>
                <w:vertAlign w:val="subscript"/>
                <w:lang w:val="en-US" w:eastAsia="zh-CN" w:bidi="ar-SA"/>
              </w:rPr>
              <w:t>3</w:t>
            </w:r>
            <w:r>
              <w:rPr>
                <w:rFonts w:hint="default" w:ascii="Times New Roman" w:hAnsi="Times New Roman" w:eastAsia="宋体" w:cs="Times New Roman"/>
                <w:snapToGrid w:val="0"/>
                <w:color w:val="auto"/>
                <w:spacing w:val="6"/>
                <w:kern w:val="0"/>
                <w:sz w:val="20"/>
                <w:szCs w:val="20"/>
                <w:highlight w:val="none"/>
                <w:lang w:val="en-US" w:eastAsia="zh-CN" w:bidi="ar-SA"/>
              </w:rPr>
              <w:t>-N</w:t>
            </w:r>
          </w:p>
        </w:tc>
        <w:tc>
          <w:tcPr>
            <w:tcW w:w="1361" w:type="dxa"/>
            <w:shd w:val="clear" w:color="auto" w:fill="auto"/>
            <w:vAlign w:val="top"/>
          </w:tcPr>
          <w:p w14:paraId="1F014D53">
            <w:pPr>
              <w:pageBreakBefore w:val="0"/>
              <w:kinsoku/>
              <w:wordWrap w:val="0"/>
              <w:overflowPunct/>
              <w:topLinePunct/>
              <w:autoSpaceDE/>
              <w:autoSpaceDN/>
              <w:bidi w:val="0"/>
              <w:spacing w:before="115"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275" w:type="dxa"/>
            <w:shd w:val="clear" w:color="auto" w:fill="auto"/>
            <w:vAlign w:val="top"/>
          </w:tcPr>
          <w:p w14:paraId="1B80FB01">
            <w:pPr>
              <w:pageBreakBefore w:val="0"/>
              <w:kinsoku/>
              <w:wordWrap w:val="0"/>
              <w:overflowPunct/>
              <w:topLinePunct/>
              <w:autoSpaceDE/>
              <w:autoSpaceDN/>
              <w:bidi w:val="0"/>
              <w:spacing w:before="115"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699" w:type="dxa"/>
            <w:shd w:val="clear" w:color="auto" w:fill="auto"/>
            <w:vAlign w:val="top"/>
          </w:tcPr>
          <w:p w14:paraId="3A5CAC3F">
            <w:pPr>
              <w:pageBreakBefore w:val="0"/>
              <w:kinsoku/>
              <w:wordWrap w:val="0"/>
              <w:overflowPunct/>
              <w:topLinePunct/>
              <w:autoSpaceDE/>
              <w:autoSpaceDN/>
              <w:bidi w:val="0"/>
              <w:spacing w:before="115"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720" w:type="dxa"/>
            <w:shd w:val="clear" w:color="auto" w:fill="auto"/>
            <w:vAlign w:val="center"/>
          </w:tcPr>
          <w:p w14:paraId="5931A175">
            <w:pPr>
              <w:keepNext w:val="0"/>
              <w:keepLines w:val="0"/>
              <w:pageBreakBefore w:val="0"/>
              <w:widowControl/>
              <w:suppressLineNumbers w:val="0"/>
              <w:kinsoku/>
              <w:wordWrap w:val="0"/>
              <w:overflowPunct/>
              <w:topLinePunct/>
              <w:autoSpaceDE/>
              <w:autoSpaceDN/>
              <w:bidi w:val="0"/>
              <w:jc w:val="center"/>
              <w:textAlignment w:val="center"/>
              <w:rPr>
                <w:rFonts w:hint="default" w:ascii="Times New Roman" w:hAnsi="Times New Roman" w:eastAsia="宋体" w:cs="Times New Roman"/>
                <w:i w:val="0"/>
                <w:iCs w:val="0"/>
                <w:snapToGrid w:val="0"/>
                <w:color w:val="auto"/>
                <w:kern w:val="0"/>
                <w:sz w:val="20"/>
                <w:szCs w:val="20"/>
                <w:highlight w:val="none"/>
                <w:u w:val="none"/>
                <w:lang w:val="en-US" w:eastAsia="zh-CN" w:bidi="ar-SA"/>
              </w:rPr>
            </w:pPr>
            <w:r>
              <w:rPr>
                <w:rFonts w:hint="default" w:ascii="Times New Roman" w:hAnsi="Times New Roman" w:eastAsia="宋体" w:cs="Times New Roman"/>
                <w:i w:val="0"/>
                <w:iCs w:val="0"/>
                <w:snapToGrid w:val="0"/>
                <w:color w:val="auto"/>
                <w:kern w:val="0"/>
                <w:sz w:val="20"/>
                <w:szCs w:val="20"/>
                <w:highlight w:val="none"/>
                <w:u w:val="none"/>
                <w:lang w:val="en-US" w:eastAsia="zh-CN" w:bidi="ar"/>
              </w:rPr>
              <w:t>0.01</w:t>
            </w:r>
            <w:r>
              <w:rPr>
                <w:rFonts w:hint="default" w:ascii="Times New Roman" w:hAnsi="Times New Roman" w:eastAsia="Times New Roman" w:cs="Times New Roman"/>
                <w:color w:val="auto"/>
                <w:spacing w:val="2"/>
                <w:position w:val="1"/>
                <w:sz w:val="20"/>
                <w:szCs w:val="20"/>
                <w:highlight w:val="none"/>
              </w:rPr>
              <w:t>t/a</w:t>
            </w:r>
          </w:p>
        </w:tc>
        <w:tc>
          <w:tcPr>
            <w:tcW w:w="1596" w:type="dxa"/>
            <w:shd w:val="clear" w:color="auto" w:fill="auto"/>
            <w:vAlign w:val="top"/>
          </w:tcPr>
          <w:p w14:paraId="4874F4AE">
            <w:pPr>
              <w:pageBreakBefore w:val="0"/>
              <w:kinsoku/>
              <w:wordWrap w:val="0"/>
              <w:overflowPunct/>
              <w:topLinePunct/>
              <w:autoSpaceDE/>
              <w:autoSpaceDN/>
              <w:bidi w:val="0"/>
              <w:spacing w:before="115"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400" w:type="dxa"/>
            <w:shd w:val="clear" w:color="auto" w:fill="auto"/>
            <w:vAlign w:val="center"/>
          </w:tcPr>
          <w:p w14:paraId="4D155A98">
            <w:pPr>
              <w:keepNext w:val="0"/>
              <w:keepLines w:val="0"/>
              <w:pageBreakBefore w:val="0"/>
              <w:widowControl/>
              <w:suppressLineNumbers w:val="0"/>
              <w:kinsoku/>
              <w:wordWrap w:val="0"/>
              <w:overflowPunct/>
              <w:topLinePunct/>
              <w:autoSpaceDE/>
              <w:autoSpaceDN/>
              <w:bidi w:val="0"/>
              <w:jc w:val="center"/>
              <w:textAlignment w:val="center"/>
              <w:rPr>
                <w:rFonts w:hint="default" w:ascii="Times New Roman" w:hAnsi="Times New Roman" w:eastAsia="宋体" w:cs="Times New Roman"/>
                <w:i w:val="0"/>
                <w:iCs w:val="0"/>
                <w:snapToGrid w:val="0"/>
                <w:color w:val="auto"/>
                <w:kern w:val="0"/>
                <w:sz w:val="20"/>
                <w:szCs w:val="20"/>
                <w:highlight w:val="none"/>
                <w:u w:val="none"/>
                <w:lang w:val="en-US" w:eastAsia="zh-CN" w:bidi="ar-SA"/>
              </w:rPr>
            </w:pPr>
            <w:r>
              <w:rPr>
                <w:rFonts w:hint="default" w:ascii="Times New Roman" w:hAnsi="Times New Roman" w:eastAsia="宋体" w:cs="Times New Roman"/>
                <w:i w:val="0"/>
                <w:iCs w:val="0"/>
                <w:snapToGrid w:val="0"/>
                <w:color w:val="auto"/>
                <w:kern w:val="0"/>
                <w:sz w:val="20"/>
                <w:szCs w:val="20"/>
                <w:highlight w:val="none"/>
                <w:u w:val="none"/>
                <w:lang w:val="en-US" w:eastAsia="zh-CN" w:bidi="ar"/>
              </w:rPr>
              <w:t>0.01</w:t>
            </w:r>
            <w:r>
              <w:rPr>
                <w:rFonts w:hint="default" w:ascii="Times New Roman" w:hAnsi="Times New Roman" w:eastAsia="Times New Roman" w:cs="Times New Roman"/>
                <w:color w:val="auto"/>
                <w:spacing w:val="2"/>
                <w:position w:val="1"/>
                <w:sz w:val="20"/>
                <w:szCs w:val="20"/>
                <w:highlight w:val="none"/>
              </w:rPr>
              <w:t>t/a</w:t>
            </w:r>
          </w:p>
        </w:tc>
        <w:tc>
          <w:tcPr>
            <w:tcW w:w="1391" w:type="dxa"/>
            <w:tcBorders>
              <w:right w:val="single" w:color="000000" w:sz="6" w:space="0"/>
            </w:tcBorders>
            <w:shd w:val="clear" w:color="auto" w:fill="auto"/>
            <w:vAlign w:val="center"/>
          </w:tcPr>
          <w:p w14:paraId="5540F02F">
            <w:pPr>
              <w:keepNext w:val="0"/>
              <w:keepLines w:val="0"/>
              <w:pageBreakBefore w:val="0"/>
              <w:widowControl/>
              <w:suppressLineNumbers w:val="0"/>
              <w:kinsoku/>
              <w:wordWrap w:val="0"/>
              <w:overflowPunct/>
              <w:topLinePunct/>
              <w:autoSpaceDE/>
              <w:autoSpaceDN/>
              <w:bidi w:val="0"/>
              <w:jc w:val="center"/>
              <w:textAlignment w:val="center"/>
              <w:rPr>
                <w:rFonts w:hint="default" w:ascii="Times New Roman" w:hAnsi="Times New Roman" w:eastAsia="宋体" w:cs="Times New Roman"/>
                <w:i w:val="0"/>
                <w:iCs w:val="0"/>
                <w:snapToGrid w:val="0"/>
                <w:color w:val="auto"/>
                <w:kern w:val="0"/>
                <w:sz w:val="20"/>
                <w:szCs w:val="20"/>
                <w:highlight w:val="none"/>
                <w:u w:val="none"/>
                <w:lang w:val="en-US" w:eastAsia="zh-CN" w:bidi="ar-SA"/>
              </w:rPr>
            </w:pPr>
            <w:r>
              <w:rPr>
                <w:rFonts w:hint="default" w:ascii="Times New Roman" w:hAnsi="Times New Roman" w:eastAsia="宋体" w:cs="Times New Roman"/>
                <w:color w:val="auto"/>
                <w:spacing w:val="2"/>
                <w:position w:val="1"/>
                <w:sz w:val="20"/>
                <w:szCs w:val="20"/>
                <w:highlight w:val="none"/>
                <w:lang w:val="en-US" w:eastAsia="zh-CN"/>
              </w:rPr>
              <w:t>+</w:t>
            </w:r>
            <w:r>
              <w:rPr>
                <w:rFonts w:hint="default" w:ascii="Times New Roman" w:hAnsi="Times New Roman" w:eastAsia="宋体" w:cs="Times New Roman"/>
                <w:i w:val="0"/>
                <w:iCs w:val="0"/>
                <w:snapToGrid w:val="0"/>
                <w:color w:val="auto"/>
                <w:kern w:val="0"/>
                <w:sz w:val="20"/>
                <w:szCs w:val="20"/>
                <w:highlight w:val="none"/>
                <w:u w:val="none"/>
                <w:lang w:val="en-US" w:eastAsia="zh-CN" w:bidi="ar"/>
              </w:rPr>
              <w:t>0.01</w:t>
            </w:r>
            <w:r>
              <w:rPr>
                <w:rFonts w:hint="default" w:ascii="Times New Roman" w:hAnsi="Times New Roman" w:eastAsia="Times New Roman" w:cs="Times New Roman"/>
                <w:color w:val="auto"/>
                <w:spacing w:val="2"/>
                <w:position w:val="1"/>
                <w:sz w:val="20"/>
                <w:szCs w:val="20"/>
                <w:highlight w:val="none"/>
              </w:rPr>
              <w:t>t/a</w:t>
            </w:r>
          </w:p>
        </w:tc>
      </w:tr>
      <w:tr w14:paraId="693B3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244" w:type="dxa"/>
            <w:vMerge w:val="continue"/>
            <w:tcBorders>
              <w:left w:val="single" w:color="000000" w:sz="6" w:space="0"/>
            </w:tcBorders>
            <w:vAlign w:val="top"/>
          </w:tcPr>
          <w:p w14:paraId="7AEB4EEE">
            <w:pPr>
              <w:pStyle w:val="25"/>
              <w:pageBreakBefore w:val="0"/>
              <w:kinsoku/>
              <w:wordWrap w:val="0"/>
              <w:overflowPunct/>
              <w:topLinePunct/>
              <w:autoSpaceDE/>
              <w:autoSpaceDN/>
              <w:bidi w:val="0"/>
              <w:spacing w:before="77" w:line="228" w:lineRule="auto"/>
              <w:ind w:left="409"/>
              <w:rPr>
                <w:rFonts w:hint="default" w:ascii="Times New Roman" w:hAnsi="Times New Roman" w:cs="Times New Roman"/>
                <w:color w:val="auto"/>
                <w:spacing w:val="5"/>
                <w:highlight w:val="none"/>
              </w:rPr>
            </w:pPr>
          </w:p>
        </w:tc>
        <w:tc>
          <w:tcPr>
            <w:tcW w:w="2106" w:type="dxa"/>
            <w:tcBorders>
              <w:top w:val="single" w:color="auto" w:sz="4" w:space="0"/>
            </w:tcBorders>
            <w:shd w:val="clear" w:color="auto" w:fill="auto"/>
            <w:vAlign w:val="center"/>
          </w:tcPr>
          <w:p w14:paraId="4BC5B502">
            <w:pPr>
              <w:pStyle w:val="50"/>
              <w:pageBreakBefore w:val="0"/>
              <w:kinsoku/>
              <w:wordWrap w:val="0"/>
              <w:overflowPunct/>
              <w:topLinePunct/>
              <w:autoSpaceDE/>
              <w:autoSpaceDN/>
              <w:bidi w:val="0"/>
              <w:spacing w:before="0" w:after="0" w:line="240" w:lineRule="auto"/>
              <w:ind w:right="0" w:rightChars="0" w:firstLine="0" w:firstLineChars="0"/>
              <w:rPr>
                <w:rFonts w:hint="default" w:ascii="Times New Roman" w:hAnsi="Times New Roman" w:eastAsia="宋体" w:cs="Times New Roman"/>
                <w:snapToGrid w:val="0"/>
                <w:color w:val="auto"/>
                <w:spacing w:val="6"/>
                <w:kern w:val="0"/>
                <w:sz w:val="20"/>
                <w:szCs w:val="20"/>
                <w:highlight w:val="none"/>
                <w:lang w:val="en-US" w:eastAsia="zh-CN" w:bidi="ar-SA"/>
              </w:rPr>
            </w:pPr>
            <w:r>
              <w:rPr>
                <w:rFonts w:hint="default" w:ascii="Times New Roman" w:hAnsi="Times New Roman" w:eastAsia="宋体" w:cs="Times New Roman"/>
                <w:snapToGrid w:val="0"/>
                <w:color w:val="auto"/>
                <w:spacing w:val="6"/>
                <w:kern w:val="0"/>
                <w:sz w:val="20"/>
                <w:szCs w:val="20"/>
                <w:highlight w:val="none"/>
                <w:lang w:val="en-US" w:eastAsia="zh-CN" w:bidi="ar-SA"/>
              </w:rPr>
              <w:t>SS</w:t>
            </w:r>
          </w:p>
        </w:tc>
        <w:tc>
          <w:tcPr>
            <w:tcW w:w="1361" w:type="dxa"/>
            <w:shd w:val="clear" w:color="auto" w:fill="auto"/>
            <w:vAlign w:val="top"/>
          </w:tcPr>
          <w:p w14:paraId="0E0D5867">
            <w:pPr>
              <w:pageBreakBefore w:val="0"/>
              <w:kinsoku/>
              <w:wordWrap w:val="0"/>
              <w:overflowPunct/>
              <w:topLinePunct/>
              <w:autoSpaceDE/>
              <w:autoSpaceDN/>
              <w:bidi w:val="0"/>
              <w:spacing w:before="117"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275" w:type="dxa"/>
            <w:shd w:val="clear" w:color="auto" w:fill="auto"/>
            <w:vAlign w:val="top"/>
          </w:tcPr>
          <w:p w14:paraId="4CE43050">
            <w:pPr>
              <w:pageBreakBefore w:val="0"/>
              <w:kinsoku/>
              <w:wordWrap w:val="0"/>
              <w:overflowPunct/>
              <w:topLinePunct/>
              <w:autoSpaceDE/>
              <w:autoSpaceDN/>
              <w:bidi w:val="0"/>
              <w:spacing w:before="117"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699" w:type="dxa"/>
            <w:shd w:val="clear" w:color="auto" w:fill="auto"/>
            <w:vAlign w:val="top"/>
          </w:tcPr>
          <w:p w14:paraId="5D263373">
            <w:pPr>
              <w:pageBreakBefore w:val="0"/>
              <w:kinsoku/>
              <w:wordWrap w:val="0"/>
              <w:overflowPunct/>
              <w:topLinePunct/>
              <w:autoSpaceDE/>
              <w:autoSpaceDN/>
              <w:bidi w:val="0"/>
              <w:spacing w:before="117"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720" w:type="dxa"/>
            <w:shd w:val="clear" w:color="auto" w:fill="auto"/>
            <w:vAlign w:val="center"/>
          </w:tcPr>
          <w:p w14:paraId="2E3E6152">
            <w:pPr>
              <w:keepNext w:val="0"/>
              <w:keepLines w:val="0"/>
              <w:pageBreakBefore w:val="0"/>
              <w:widowControl/>
              <w:suppressLineNumbers w:val="0"/>
              <w:kinsoku/>
              <w:wordWrap w:val="0"/>
              <w:overflowPunct/>
              <w:topLinePunct/>
              <w:autoSpaceDE/>
              <w:autoSpaceDN/>
              <w:bidi w:val="0"/>
              <w:jc w:val="center"/>
              <w:textAlignment w:val="center"/>
              <w:rPr>
                <w:rFonts w:hint="default" w:ascii="Times New Roman" w:hAnsi="Times New Roman" w:eastAsia="宋体" w:cs="Times New Roman"/>
                <w:i w:val="0"/>
                <w:iCs w:val="0"/>
                <w:snapToGrid w:val="0"/>
                <w:color w:val="auto"/>
                <w:kern w:val="0"/>
                <w:sz w:val="20"/>
                <w:szCs w:val="20"/>
                <w:highlight w:val="none"/>
                <w:u w:val="none"/>
                <w:lang w:val="en-US" w:eastAsia="zh-CN" w:bidi="ar-SA"/>
              </w:rPr>
            </w:pPr>
            <w:r>
              <w:rPr>
                <w:rFonts w:hint="default" w:ascii="Times New Roman" w:hAnsi="Times New Roman" w:eastAsia="宋体" w:cs="Times New Roman"/>
                <w:i w:val="0"/>
                <w:iCs w:val="0"/>
                <w:snapToGrid w:val="0"/>
                <w:color w:val="auto"/>
                <w:kern w:val="0"/>
                <w:sz w:val="20"/>
                <w:szCs w:val="20"/>
                <w:highlight w:val="none"/>
                <w:u w:val="none"/>
                <w:lang w:val="en-US" w:eastAsia="zh-CN" w:bidi="ar"/>
              </w:rPr>
              <w:t>0.03</w:t>
            </w:r>
            <w:r>
              <w:rPr>
                <w:rFonts w:hint="default" w:ascii="Times New Roman" w:hAnsi="Times New Roman" w:eastAsia="Times New Roman" w:cs="Times New Roman"/>
                <w:color w:val="auto"/>
                <w:spacing w:val="2"/>
                <w:position w:val="1"/>
                <w:sz w:val="20"/>
                <w:szCs w:val="20"/>
                <w:highlight w:val="none"/>
              </w:rPr>
              <w:t>t/a</w:t>
            </w:r>
          </w:p>
        </w:tc>
        <w:tc>
          <w:tcPr>
            <w:tcW w:w="1596" w:type="dxa"/>
            <w:shd w:val="clear" w:color="auto" w:fill="auto"/>
            <w:vAlign w:val="top"/>
          </w:tcPr>
          <w:p w14:paraId="581E1542">
            <w:pPr>
              <w:pageBreakBefore w:val="0"/>
              <w:kinsoku/>
              <w:wordWrap w:val="0"/>
              <w:overflowPunct/>
              <w:topLinePunct/>
              <w:autoSpaceDE/>
              <w:autoSpaceDN/>
              <w:bidi w:val="0"/>
              <w:spacing w:before="117"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400" w:type="dxa"/>
            <w:shd w:val="clear" w:color="auto" w:fill="auto"/>
            <w:vAlign w:val="center"/>
          </w:tcPr>
          <w:p w14:paraId="36F7B708">
            <w:pPr>
              <w:keepNext w:val="0"/>
              <w:keepLines w:val="0"/>
              <w:pageBreakBefore w:val="0"/>
              <w:widowControl/>
              <w:suppressLineNumbers w:val="0"/>
              <w:kinsoku/>
              <w:wordWrap w:val="0"/>
              <w:overflowPunct/>
              <w:topLinePunct/>
              <w:autoSpaceDE/>
              <w:autoSpaceDN/>
              <w:bidi w:val="0"/>
              <w:jc w:val="center"/>
              <w:textAlignment w:val="center"/>
              <w:rPr>
                <w:rFonts w:hint="default" w:ascii="Times New Roman" w:hAnsi="Times New Roman" w:eastAsia="宋体" w:cs="Times New Roman"/>
                <w:i w:val="0"/>
                <w:iCs w:val="0"/>
                <w:snapToGrid w:val="0"/>
                <w:color w:val="auto"/>
                <w:kern w:val="0"/>
                <w:sz w:val="20"/>
                <w:szCs w:val="20"/>
                <w:highlight w:val="none"/>
                <w:u w:val="none"/>
                <w:lang w:val="en-US" w:eastAsia="zh-CN" w:bidi="ar-SA"/>
              </w:rPr>
            </w:pPr>
            <w:r>
              <w:rPr>
                <w:rFonts w:hint="default" w:ascii="Times New Roman" w:hAnsi="Times New Roman" w:eastAsia="宋体" w:cs="Times New Roman"/>
                <w:i w:val="0"/>
                <w:iCs w:val="0"/>
                <w:snapToGrid w:val="0"/>
                <w:color w:val="auto"/>
                <w:kern w:val="0"/>
                <w:sz w:val="20"/>
                <w:szCs w:val="20"/>
                <w:highlight w:val="none"/>
                <w:u w:val="none"/>
                <w:lang w:val="en-US" w:eastAsia="zh-CN" w:bidi="ar"/>
              </w:rPr>
              <w:t>0.03</w:t>
            </w:r>
            <w:r>
              <w:rPr>
                <w:rFonts w:hint="default" w:ascii="Times New Roman" w:hAnsi="Times New Roman" w:eastAsia="Times New Roman" w:cs="Times New Roman"/>
                <w:color w:val="auto"/>
                <w:spacing w:val="2"/>
                <w:position w:val="1"/>
                <w:sz w:val="20"/>
                <w:szCs w:val="20"/>
                <w:highlight w:val="none"/>
              </w:rPr>
              <w:t>t/a</w:t>
            </w:r>
          </w:p>
        </w:tc>
        <w:tc>
          <w:tcPr>
            <w:tcW w:w="1391" w:type="dxa"/>
            <w:tcBorders>
              <w:right w:val="single" w:color="000000" w:sz="6" w:space="0"/>
            </w:tcBorders>
            <w:shd w:val="clear" w:color="auto" w:fill="auto"/>
            <w:vAlign w:val="center"/>
          </w:tcPr>
          <w:p w14:paraId="2233357E">
            <w:pPr>
              <w:keepNext w:val="0"/>
              <w:keepLines w:val="0"/>
              <w:pageBreakBefore w:val="0"/>
              <w:widowControl/>
              <w:suppressLineNumbers w:val="0"/>
              <w:kinsoku/>
              <w:wordWrap w:val="0"/>
              <w:overflowPunct/>
              <w:topLinePunct/>
              <w:autoSpaceDE/>
              <w:autoSpaceDN/>
              <w:bidi w:val="0"/>
              <w:jc w:val="center"/>
              <w:textAlignment w:val="center"/>
              <w:rPr>
                <w:rFonts w:hint="default" w:ascii="Times New Roman" w:hAnsi="Times New Roman" w:eastAsia="宋体" w:cs="Times New Roman"/>
                <w:i w:val="0"/>
                <w:iCs w:val="0"/>
                <w:snapToGrid w:val="0"/>
                <w:color w:val="auto"/>
                <w:kern w:val="0"/>
                <w:sz w:val="20"/>
                <w:szCs w:val="20"/>
                <w:highlight w:val="none"/>
                <w:u w:val="none"/>
                <w:lang w:val="en-US" w:eastAsia="zh-CN" w:bidi="ar-SA"/>
              </w:rPr>
            </w:pPr>
            <w:r>
              <w:rPr>
                <w:rFonts w:hint="default" w:ascii="Times New Roman" w:hAnsi="Times New Roman" w:eastAsia="宋体" w:cs="Times New Roman"/>
                <w:color w:val="auto"/>
                <w:spacing w:val="2"/>
                <w:position w:val="1"/>
                <w:sz w:val="20"/>
                <w:szCs w:val="20"/>
                <w:highlight w:val="none"/>
                <w:lang w:val="en-US" w:eastAsia="zh-CN"/>
              </w:rPr>
              <w:t>+</w:t>
            </w:r>
            <w:r>
              <w:rPr>
                <w:rFonts w:hint="default" w:ascii="Times New Roman" w:hAnsi="Times New Roman" w:eastAsia="宋体" w:cs="Times New Roman"/>
                <w:i w:val="0"/>
                <w:iCs w:val="0"/>
                <w:snapToGrid w:val="0"/>
                <w:color w:val="auto"/>
                <w:kern w:val="0"/>
                <w:sz w:val="20"/>
                <w:szCs w:val="20"/>
                <w:highlight w:val="none"/>
                <w:u w:val="none"/>
                <w:lang w:val="en-US" w:eastAsia="zh-CN" w:bidi="ar"/>
              </w:rPr>
              <w:t>0.03</w:t>
            </w:r>
            <w:r>
              <w:rPr>
                <w:rFonts w:hint="default" w:ascii="Times New Roman" w:hAnsi="Times New Roman" w:eastAsia="Times New Roman" w:cs="Times New Roman"/>
                <w:color w:val="auto"/>
                <w:spacing w:val="2"/>
                <w:position w:val="1"/>
                <w:sz w:val="20"/>
                <w:szCs w:val="20"/>
                <w:highlight w:val="none"/>
              </w:rPr>
              <w:t>t/a</w:t>
            </w:r>
          </w:p>
        </w:tc>
      </w:tr>
      <w:tr w14:paraId="522792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244" w:type="dxa"/>
            <w:vMerge w:val="restart"/>
            <w:tcBorders>
              <w:left w:val="single" w:color="000000" w:sz="6" w:space="0"/>
            </w:tcBorders>
            <w:vAlign w:val="center"/>
          </w:tcPr>
          <w:p w14:paraId="68AA6E71">
            <w:pPr>
              <w:pStyle w:val="25"/>
              <w:pageBreakBefore w:val="0"/>
              <w:kinsoku/>
              <w:wordWrap w:val="0"/>
              <w:overflowPunct/>
              <w:topLinePunct/>
              <w:autoSpaceDE/>
              <w:autoSpaceDN/>
              <w:bidi w:val="0"/>
              <w:spacing w:before="65" w:line="229" w:lineRule="auto"/>
              <w:ind w:left="219"/>
              <w:jc w:val="center"/>
              <w:rPr>
                <w:rFonts w:hint="default" w:ascii="Times New Roman" w:hAnsi="Times New Roman" w:cs="Times New Roman"/>
                <w:color w:val="auto"/>
                <w:highlight w:val="none"/>
              </w:rPr>
            </w:pPr>
            <w:r>
              <w:rPr>
                <w:rFonts w:hint="default" w:ascii="Times New Roman" w:hAnsi="Times New Roman" w:cs="Times New Roman"/>
                <w:color w:val="auto"/>
                <w:spacing w:val="2"/>
                <w:highlight w:val="none"/>
              </w:rPr>
              <w:t>固体废物</w:t>
            </w:r>
          </w:p>
        </w:tc>
        <w:tc>
          <w:tcPr>
            <w:tcW w:w="2106" w:type="dxa"/>
            <w:shd w:val="clear" w:color="auto" w:fill="auto"/>
            <w:vAlign w:val="center"/>
          </w:tcPr>
          <w:p w14:paraId="455AC5AD">
            <w:pPr>
              <w:widowControl/>
              <w:jc w:val="center"/>
              <w:textAlignment w:val="center"/>
              <w:rPr>
                <w:rFonts w:hint="default" w:ascii="Times New Roman" w:hAnsi="Times New Roman" w:eastAsia="Arial" w:cs="Times New Roman"/>
                <w:snapToGrid w:val="0"/>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除尘器粉尘</w:t>
            </w:r>
          </w:p>
        </w:tc>
        <w:tc>
          <w:tcPr>
            <w:tcW w:w="1361" w:type="dxa"/>
            <w:shd w:val="clear" w:color="auto" w:fill="auto"/>
            <w:vAlign w:val="top"/>
          </w:tcPr>
          <w:p w14:paraId="366F7925">
            <w:pPr>
              <w:pageBreakBefore w:val="0"/>
              <w:kinsoku/>
              <w:wordWrap w:val="0"/>
              <w:overflowPunct/>
              <w:topLinePunct/>
              <w:autoSpaceDE/>
              <w:autoSpaceDN/>
              <w:bidi w:val="0"/>
              <w:spacing w:before="114"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275" w:type="dxa"/>
            <w:vAlign w:val="top"/>
          </w:tcPr>
          <w:p w14:paraId="660DA6E6">
            <w:pPr>
              <w:pageBreakBefore w:val="0"/>
              <w:kinsoku/>
              <w:wordWrap w:val="0"/>
              <w:overflowPunct/>
              <w:topLinePunct/>
              <w:autoSpaceDE/>
              <w:autoSpaceDN/>
              <w:bidi w:val="0"/>
              <w:spacing w:before="114" w:line="275" w:lineRule="exact"/>
              <w:ind w:left="587"/>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position w:val="2"/>
                <w:sz w:val="20"/>
                <w:szCs w:val="20"/>
                <w:highlight w:val="none"/>
              </w:rPr>
              <w:t>0</w:t>
            </w:r>
          </w:p>
        </w:tc>
        <w:tc>
          <w:tcPr>
            <w:tcW w:w="1699" w:type="dxa"/>
            <w:vAlign w:val="top"/>
          </w:tcPr>
          <w:p w14:paraId="627D574F">
            <w:pPr>
              <w:pageBreakBefore w:val="0"/>
              <w:kinsoku/>
              <w:wordWrap w:val="0"/>
              <w:overflowPunct/>
              <w:topLinePunct/>
              <w:autoSpaceDE/>
              <w:autoSpaceDN/>
              <w:bidi w:val="0"/>
              <w:spacing w:before="114" w:line="275" w:lineRule="exact"/>
              <w:ind w:left="800"/>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position w:val="2"/>
                <w:sz w:val="20"/>
                <w:szCs w:val="20"/>
                <w:highlight w:val="none"/>
              </w:rPr>
              <w:t>0</w:t>
            </w:r>
          </w:p>
        </w:tc>
        <w:tc>
          <w:tcPr>
            <w:tcW w:w="1720" w:type="dxa"/>
            <w:shd w:val="clear" w:color="auto" w:fill="auto"/>
            <w:vAlign w:val="center"/>
          </w:tcPr>
          <w:p w14:paraId="103D7A32">
            <w:pPr>
              <w:widowControl/>
              <w:jc w:val="center"/>
              <w:textAlignment w:val="center"/>
              <w:rPr>
                <w:rFonts w:hint="default" w:ascii="Times New Roman" w:hAnsi="Times New Roman" w:eastAsia="宋体" w:cs="Times New Roman"/>
                <w:snapToGrid w:val="0"/>
                <w:color w:val="auto"/>
                <w:kern w:val="0"/>
                <w:sz w:val="21"/>
                <w:szCs w:val="21"/>
                <w:highlight w:val="none"/>
                <w:lang w:val="en-US" w:eastAsia="zh-CN" w:bidi="ar"/>
              </w:rPr>
            </w:pPr>
            <w:r>
              <w:rPr>
                <w:rFonts w:hint="eastAsia" w:ascii="Times New Roman" w:hAnsi="Times New Roman" w:eastAsia="宋体" w:cs="Times New Roman"/>
                <w:snapToGrid w:val="0"/>
                <w:color w:val="auto"/>
                <w:kern w:val="0"/>
                <w:sz w:val="21"/>
                <w:szCs w:val="21"/>
                <w:highlight w:val="none"/>
                <w:lang w:val="en-US" w:eastAsia="zh-CN" w:bidi="ar"/>
              </w:rPr>
              <w:t>3.033</w:t>
            </w:r>
            <w:r>
              <w:rPr>
                <w:rFonts w:hint="default" w:ascii="Times New Roman" w:hAnsi="Times New Roman" w:eastAsia="Times New Roman" w:cs="Times New Roman"/>
                <w:color w:val="auto"/>
                <w:spacing w:val="2"/>
                <w:position w:val="1"/>
                <w:sz w:val="20"/>
                <w:szCs w:val="20"/>
                <w:highlight w:val="none"/>
              </w:rPr>
              <w:t>t/a</w:t>
            </w:r>
          </w:p>
        </w:tc>
        <w:tc>
          <w:tcPr>
            <w:tcW w:w="1596" w:type="dxa"/>
            <w:shd w:val="clear" w:color="auto" w:fill="auto"/>
            <w:vAlign w:val="top"/>
          </w:tcPr>
          <w:p w14:paraId="50324737">
            <w:pPr>
              <w:pageBreakBefore w:val="0"/>
              <w:kinsoku/>
              <w:wordWrap w:val="0"/>
              <w:overflowPunct/>
              <w:topLinePunct/>
              <w:autoSpaceDE/>
              <w:autoSpaceDN/>
              <w:bidi w:val="0"/>
              <w:spacing w:before="114"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400" w:type="dxa"/>
            <w:shd w:val="clear" w:color="auto" w:fill="auto"/>
            <w:vAlign w:val="center"/>
          </w:tcPr>
          <w:p w14:paraId="3F43BA0F">
            <w:pPr>
              <w:widowControl/>
              <w:jc w:val="center"/>
              <w:textAlignment w:val="center"/>
              <w:rPr>
                <w:rFonts w:hint="default" w:ascii="Times New Roman" w:hAnsi="Times New Roman" w:eastAsia="Arial" w:cs="Times New Roman"/>
                <w:snapToGrid w:val="0"/>
                <w:color w:val="auto"/>
                <w:kern w:val="0"/>
                <w:sz w:val="21"/>
                <w:szCs w:val="21"/>
                <w:highlight w:val="none"/>
                <w:lang w:val="en-US" w:eastAsia="en-US" w:bidi="ar"/>
              </w:rPr>
            </w:pPr>
            <w:r>
              <w:rPr>
                <w:rFonts w:hint="eastAsia" w:ascii="Times New Roman" w:hAnsi="Times New Roman" w:eastAsia="宋体" w:cs="Times New Roman"/>
                <w:snapToGrid w:val="0"/>
                <w:color w:val="auto"/>
                <w:kern w:val="0"/>
                <w:sz w:val="21"/>
                <w:szCs w:val="21"/>
                <w:highlight w:val="none"/>
                <w:lang w:val="en-US" w:eastAsia="zh-CN" w:bidi="ar"/>
              </w:rPr>
              <w:t>3.033</w:t>
            </w:r>
            <w:r>
              <w:rPr>
                <w:rFonts w:hint="default" w:ascii="Times New Roman" w:hAnsi="Times New Roman" w:eastAsia="Times New Roman" w:cs="Times New Roman"/>
                <w:color w:val="auto"/>
                <w:spacing w:val="2"/>
                <w:position w:val="1"/>
                <w:sz w:val="20"/>
                <w:szCs w:val="20"/>
                <w:highlight w:val="none"/>
              </w:rPr>
              <w:t>t/a</w:t>
            </w:r>
          </w:p>
        </w:tc>
        <w:tc>
          <w:tcPr>
            <w:tcW w:w="1391" w:type="dxa"/>
            <w:tcBorders>
              <w:right w:val="single" w:color="000000" w:sz="6" w:space="0"/>
            </w:tcBorders>
            <w:shd w:val="clear" w:color="auto" w:fill="auto"/>
            <w:vAlign w:val="center"/>
          </w:tcPr>
          <w:p w14:paraId="50C2762E">
            <w:pPr>
              <w:widowControl/>
              <w:jc w:val="center"/>
              <w:textAlignment w:val="center"/>
              <w:rPr>
                <w:rFonts w:hint="default" w:ascii="Times New Roman" w:hAnsi="Times New Roman" w:eastAsia="Arial" w:cs="Times New Roman"/>
                <w:snapToGrid w:val="0"/>
                <w:color w:val="auto"/>
                <w:kern w:val="0"/>
                <w:sz w:val="21"/>
                <w:szCs w:val="21"/>
                <w:highlight w:val="none"/>
                <w:lang w:val="en-US" w:eastAsia="en-US" w:bidi="ar"/>
              </w:rPr>
            </w:pPr>
            <w:r>
              <w:rPr>
                <w:rFonts w:hint="default" w:ascii="Times New Roman" w:hAnsi="Times New Roman" w:cs="Times New Roman"/>
                <w:color w:val="auto"/>
                <w:kern w:val="0"/>
                <w:sz w:val="21"/>
                <w:szCs w:val="21"/>
                <w:highlight w:val="none"/>
                <w:lang w:val="en-US" w:eastAsia="zh-CN" w:bidi="ar"/>
              </w:rPr>
              <w:t>+</w:t>
            </w:r>
            <w:r>
              <w:rPr>
                <w:rFonts w:hint="eastAsia" w:ascii="Times New Roman" w:hAnsi="Times New Roman" w:eastAsia="宋体" w:cs="Times New Roman"/>
                <w:snapToGrid w:val="0"/>
                <w:color w:val="auto"/>
                <w:kern w:val="0"/>
                <w:sz w:val="21"/>
                <w:szCs w:val="21"/>
                <w:highlight w:val="none"/>
                <w:lang w:val="en-US" w:eastAsia="zh-CN" w:bidi="ar"/>
              </w:rPr>
              <w:t>3.033</w:t>
            </w:r>
            <w:r>
              <w:rPr>
                <w:rFonts w:hint="default" w:ascii="Times New Roman" w:hAnsi="Times New Roman" w:eastAsia="Times New Roman" w:cs="Times New Roman"/>
                <w:color w:val="auto"/>
                <w:spacing w:val="2"/>
                <w:position w:val="1"/>
                <w:sz w:val="20"/>
                <w:szCs w:val="20"/>
                <w:highlight w:val="none"/>
              </w:rPr>
              <w:t>t/a</w:t>
            </w:r>
          </w:p>
        </w:tc>
      </w:tr>
      <w:tr w14:paraId="0899C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244" w:type="dxa"/>
            <w:vMerge w:val="continue"/>
            <w:tcBorders>
              <w:left w:val="single" w:color="000000" w:sz="6" w:space="0"/>
            </w:tcBorders>
            <w:vAlign w:val="top"/>
          </w:tcPr>
          <w:p w14:paraId="02DF82B1">
            <w:pPr>
              <w:pageBreakBefore w:val="0"/>
              <w:kinsoku/>
              <w:wordWrap w:val="0"/>
              <w:overflowPunct/>
              <w:topLinePunct/>
              <w:autoSpaceDE/>
              <w:autoSpaceDN/>
              <w:bidi w:val="0"/>
              <w:rPr>
                <w:rFonts w:hint="default" w:ascii="Times New Roman" w:hAnsi="Times New Roman" w:cs="Times New Roman"/>
                <w:color w:val="auto"/>
                <w:sz w:val="21"/>
                <w:highlight w:val="none"/>
              </w:rPr>
            </w:pPr>
          </w:p>
        </w:tc>
        <w:tc>
          <w:tcPr>
            <w:tcW w:w="2106" w:type="dxa"/>
            <w:shd w:val="clear" w:color="auto" w:fill="auto"/>
            <w:vAlign w:val="center"/>
          </w:tcPr>
          <w:p w14:paraId="753C78BC">
            <w:pPr>
              <w:widowControl/>
              <w:jc w:val="center"/>
              <w:textAlignment w:val="center"/>
              <w:rPr>
                <w:rFonts w:hint="default" w:ascii="Times New Roman" w:hAnsi="Times New Roman" w:eastAsia="Arial" w:cs="Times New Roman"/>
                <w:snapToGrid w:val="0"/>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废包装袋</w:t>
            </w:r>
          </w:p>
        </w:tc>
        <w:tc>
          <w:tcPr>
            <w:tcW w:w="1361" w:type="dxa"/>
            <w:shd w:val="clear" w:color="auto" w:fill="auto"/>
            <w:vAlign w:val="top"/>
          </w:tcPr>
          <w:p w14:paraId="79326685">
            <w:pPr>
              <w:pageBreakBefore w:val="0"/>
              <w:kinsoku/>
              <w:wordWrap w:val="0"/>
              <w:overflowPunct/>
              <w:topLinePunct/>
              <w:autoSpaceDE/>
              <w:autoSpaceDN/>
              <w:bidi w:val="0"/>
              <w:spacing w:before="115"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275" w:type="dxa"/>
            <w:vAlign w:val="top"/>
          </w:tcPr>
          <w:p w14:paraId="0D8AD339">
            <w:pPr>
              <w:pageBreakBefore w:val="0"/>
              <w:kinsoku/>
              <w:wordWrap w:val="0"/>
              <w:overflowPunct/>
              <w:topLinePunct/>
              <w:autoSpaceDE/>
              <w:autoSpaceDN/>
              <w:bidi w:val="0"/>
              <w:spacing w:before="115" w:line="275" w:lineRule="exact"/>
              <w:ind w:left="587"/>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position w:val="2"/>
                <w:sz w:val="20"/>
                <w:szCs w:val="20"/>
                <w:highlight w:val="none"/>
              </w:rPr>
              <w:t>0</w:t>
            </w:r>
          </w:p>
        </w:tc>
        <w:tc>
          <w:tcPr>
            <w:tcW w:w="1699" w:type="dxa"/>
            <w:vAlign w:val="top"/>
          </w:tcPr>
          <w:p w14:paraId="6863C1CA">
            <w:pPr>
              <w:pageBreakBefore w:val="0"/>
              <w:kinsoku/>
              <w:wordWrap w:val="0"/>
              <w:overflowPunct/>
              <w:topLinePunct/>
              <w:autoSpaceDE/>
              <w:autoSpaceDN/>
              <w:bidi w:val="0"/>
              <w:spacing w:before="115" w:line="275" w:lineRule="exact"/>
              <w:ind w:left="800"/>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position w:val="2"/>
                <w:sz w:val="20"/>
                <w:szCs w:val="20"/>
                <w:highlight w:val="none"/>
              </w:rPr>
              <w:t>0</w:t>
            </w:r>
          </w:p>
        </w:tc>
        <w:tc>
          <w:tcPr>
            <w:tcW w:w="1720" w:type="dxa"/>
            <w:shd w:val="clear" w:color="auto" w:fill="auto"/>
            <w:vAlign w:val="center"/>
          </w:tcPr>
          <w:p w14:paraId="598519A8">
            <w:pPr>
              <w:widowControl/>
              <w:jc w:val="center"/>
              <w:textAlignment w:val="center"/>
              <w:rPr>
                <w:rFonts w:hint="default" w:ascii="Times New Roman" w:hAnsi="Times New Roman" w:eastAsia="Arial" w:cs="Times New Roman"/>
                <w:snapToGrid w:val="0"/>
                <w:color w:val="auto"/>
                <w:kern w:val="0"/>
                <w:sz w:val="21"/>
                <w:szCs w:val="21"/>
                <w:highlight w:val="none"/>
                <w:lang w:val="en-US" w:eastAsia="en-US" w:bidi="ar"/>
              </w:rPr>
            </w:pPr>
            <w:r>
              <w:rPr>
                <w:rFonts w:hint="default" w:ascii="Times New Roman" w:hAnsi="Times New Roman" w:cs="Times New Roman"/>
                <w:color w:val="auto"/>
                <w:kern w:val="0"/>
                <w:sz w:val="21"/>
                <w:szCs w:val="21"/>
                <w:highlight w:val="none"/>
                <w:lang w:bidi="ar"/>
              </w:rPr>
              <w:t>0.</w:t>
            </w:r>
            <w:r>
              <w:rPr>
                <w:rFonts w:hint="default" w:ascii="Times New Roman" w:hAnsi="Times New Roman" w:cs="Times New Roman"/>
                <w:color w:val="auto"/>
                <w:kern w:val="0"/>
                <w:sz w:val="21"/>
                <w:szCs w:val="21"/>
                <w:highlight w:val="none"/>
                <w:lang w:val="en-US" w:eastAsia="zh-CN" w:bidi="ar"/>
              </w:rPr>
              <w:t>2</w:t>
            </w:r>
            <w:r>
              <w:rPr>
                <w:rFonts w:hint="default" w:ascii="Times New Roman" w:hAnsi="Times New Roman" w:eastAsia="Times New Roman" w:cs="Times New Roman"/>
                <w:color w:val="auto"/>
                <w:spacing w:val="2"/>
                <w:position w:val="1"/>
                <w:sz w:val="20"/>
                <w:szCs w:val="20"/>
                <w:highlight w:val="none"/>
              </w:rPr>
              <w:t>t/a</w:t>
            </w:r>
          </w:p>
        </w:tc>
        <w:tc>
          <w:tcPr>
            <w:tcW w:w="1596" w:type="dxa"/>
            <w:shd w:val="clear" w:color="auto" w:fill="auto"/>
            <w:vAlign w:val="top"/>
          </w:tcPr>
          <w:p w14:paraId="37F96D1D">
            <w:pPr>
              <w:pageBreakBefore w:val="0"/>
              <w:kinsoku/>
              <w:wordWrap w:val="0"/>
              <w:overflowPunct/>
              <w:topLinePunct/>
              <w:autoSpaceDE/>
              <w:autoSpaceDN/>
              <w:bidi w:val="0"/>
              <w:spacing w:before="115"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400" w:type="dxa"/>
            <w:shd w:val="clear" w:color="auto" w:fill="auto"/>
            <w:vAlign w:val="center"/>
          </w:tcPr>
          <w:p w14:paraId="6587E70C">
            <w:pPr>
              <w:widowControl/>
              <w:jc w:val="center"/>
              <w:textAlignment w:val="center"/>
              <w:rPr>
                <w:rFonts w:hint="default" w:ascii="Times New Roman" w:hAnsi="Times New Roman" w:eastAsia="Arial" w:cs="Times New Roman"/>
                <w:snapToGrid w:val="0"/>
                <w:color w:val="auto"/>
                <w:kern w:val="0"/>
                <w:sz w:val="21"/>
                <w:szCs w:val="21"/>
                <w:highlight w:val="none"/>
                <w:lang w:val="en-US" w:eastAsia="en-US" w:bidi="ar"/>
              </w:rPr>
            </w:pPr>
            <w:r>
              <w:rPr>
                <w:rFonts w:hint="default" w:ascii="Times New Roman" w:hAnsi="Times New Roman" w:cs="Times New Roman"/>
                <w:color w:val="auto"/>
                <w:kern w:val="0"/>
                <w:sz w:val="21"/>
                <w:szCs w:val="21"/>
                <w:highlight w:val="none"/>
                <w:lang w:bidi="ar"/>
              </w:rPr>
              <w:t>0.</w:t>
            </w:r>
            <w:r>
              <w:rPr>
                <w:rFonts w:hint="default" w:ascii="Times New Roman" w:hAnsi="Times New Roman" w:cs="Times New Roman"/>
                <w:color w:val="auto"/>
                <w:kern w:val="0"/>
                <w:sz w:val="21"/>
                <w:szCs w:val="21"/>
                <w:highlight w:val="none"/>
                <w:lang w:val="en-US" w:eastAsia="zh-CN" w:bidi="ar"/>
              </w:rPr>
              <w:t>2</w:t>
            </w:r>
            <w:r>
              <w:rPr>
                <w:rFonts w:hint="default" w:ascii="Times New Roman" w:hAnsi="Times New Roman" w:eastAsia="Times New Roman" w:cs="Times New Roman"/>
                <w:color w:val="auto"/>
                <w:spacing w:val="2"/>
                <w:position w:val="1"/>
                <w:sz w:val="20"/>
                <w:szCs w:val="20"/>
                <w:highlight w:val="none"/>
              </w:rPr>
              <w:t>t/a</w:t>
            </w:r>
          </w:p>
        </w:tc>
        <w:tc>
          <w:tcPr>
            <w:tcW w:w="1391" w:type="dxa"/>
            <w:tcBorders>
              <w:right w:val="single" w:color="000000" w:sz="6" w:space="0"/>
            </w:tcBorders>
            <w:shd w:val="clear" w:color="auto" w:fill="auto"/>
            <w:vAlign w:val="center"/>
          </w:tcPr>
          <w:p w14:paraId="39EF66D6">
            <w:pPr>
              <w:widowControl/>
              <w:jc w:val="center"/>
              <w:textAlignment w:val="center"/>
              <w:rPr>
                <w:rFonts w:hint="default" w:ascii="Times New Roman" w:hAnsi="Times New Roman" w:eastAsia="Arial" w:cs="Times New Roman"/>
                <w:snapToGrid w:val="0"/>
                <w:color w:val="auto"/>
                <w:kern w:val="0"/>
                <w:sz w:val="21"/>
                <w:szCs w:val="21"/>
                <w:highlight w:val="none"/>
                <w:lang w:val="en-US" w:eastAsia="en-US" w:bidi="ar"/>
              </w:rPr>
            </w:pP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bidi="ar"/>
              </w:rPr>
              <w:t>0.</w:t>
            </w:r>
            <w:r>
              <w:rPr>
                <w:rFonts w:hint="default" w:ascii="Times New Roman" w:hAnsi="Times New Roman" w:cs="Times New Roman"/>
                <w:color w:val="auto"/>
                <w:kern w:val="0"/>
                <w:sz w:val="21"/>
                <w:szCs w:val="21"/>
                <w:highlight w:val="none"/>
                <w:lang w:val="en-US" w:eastAsia="zh-CN" w:bidi="ar"/>
              </w:rPr>
              <w:t>2</w:t>
            </w:r>
            <w:r>
              <w:rPr>
                <w:rFonts w:hint="default" w:ascii="Times New Roman" w:hAnsi="Times New Roman" w:eastAsia="Times New Roman" w:cs="Times New Roman"/>
                <w:color w:val="auto"/>
                <w:spacing w:val="2"/>
                <w:position w:val="1"/>
                <w:sz w:val="20"/>
                <w:szCs w:val="20"/>
                <w:highlight w:val="none"/>
              </w:rPr>
              <w:t>t/a</w:t>
            </w:r>
          </w:p>
        </w:tc>
      </w:tr>
      <w:tr w14:paraId="34A88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1244" w:type="dxa"/>
            <w:vMerge w:val="continue"/>
            <w:tcBorders>
              <w:left w:val="single" w:color="000000" w:sz="6" w:space="0"/>
            </w:tcBorders>
            <w:vAlign w:val="top"/>
          </w:tcPr>
          <w:p w14:paraId="3A1955E9">
            <w:pPr>
              <w:pageBreakBefore w:val="0"/>
              <w:kinsoku/>
              <w:wordWrap w:val="0"/>
              <w:overflowPunct/>
              <w:topLinePunct/>
              <w:autoSpaceDE/>
              <w:autoSpaceDN/>
              <w:bidi w:val="0"/>
              <w:rPr>
                <w:rFonts w:hint="default" w:ascii="Times New Roman" w:hAnsi="Times New Roman" w:cs="Times New Roman"/>
                <w:color w:val="auto"/>
                <w:sz w:val="21"/>
                <w:highlight w:val="none"/>
              </w:rPr>
            </w:pPr>
          </w:p>
        </w:tc>
        <w:tc>
          <w:tcPr>
            <w:tcW w:w="2106" w:type="dxa"/>
            <w:tcBorders>
              <w:bottom w:val="single" w:color="auto" w:sz="4" w:space="0"/>
            </w:tcBorders>
            <w:shd w:val="clear" w:color="auto" w:fill="auto"/>
            <w:vAlign w:val="center"/>
          </w:tcPr>
          <w:p w14:paraId="2997F88B">
            <w:pPr>
              <w:widowControl/>
              <w:jc w:val="center"/>
              <w:textAlignment w:val="center"/>
              <w:rPr>
                <w:rFonts w:hint="default" w:ascii="Times New Roman" w:hAnsi="Times New Roman" w:eastAsia="Arial" w:cs="Times New Roman"/>
                <w:snapToGrid w:val="0"/>
                <w:color w:val="auto"/>
                <w:kern w:val="0"/>
                <w:sz w:val="21"/>
                <w:szCs w:val="21"/>
                <w:highlight w:val="none"/>
                <w:lang w:val="en-US" w:eastAsia="en-US" w:bidi="ar"/>
              </w:rPr>
            </w:pPr>
            <w:r>
              <w:rPr>
                <w:rFonts w:hint="default" w:ascii="Times New Roman" w:hAnsi="Times New Roman" w:cs="Times New Roman"/>
                <w:color w:val="auto"/>
                <w:kern w:val="0"/>
                <w:sz w:val="21"/>
                <w:szCs w:val="21"/>
                <w:highlight w:val="none"/>
                <w:lang w:val="en-US" w:eastAsia="zh-CN" w:bidi="ar"/>
              </w:rPr>
              <w:t>废包装桶</w:t>
            </w:r>
          </w:p>
        </w:tc>
        <w:tc>
          <w:tcPr>
            <w:tcW w:w="1361" w:type="dxa"/>
            <w:tcBorders>
              <w:bottom w:val="single" w:color="auto" w:sz="4" w:space="0"/>
            </w:tcBorders>
            <w:shd w:val="clear" w:color="auto" w:fill="auto"/>
            <w:vAlign w:val="top"/>
          </w:tcPr>
          <w:p w14:paraId="63241490">
            <w:pPr>
              <w:pageBreakBefore w:val="0"/>
              <w:kinsoku/>
              <w:wordWrap w:val="0"/>
              <w:overflowPunct/>
              <w:topLinePunct/>
              <w:autoSpaceDE/>
              <w:autoSpaceDN/>
              <w:bidi w:val="0"/>
              <w:spacing w:before="117"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275" w:type="dxa"/>
            <w:tcBorders>
              <w:bottom w:val="single" w:color="auto" w:sz="4" w:space="0"/>
            </w:tcBorders>
            <w:vAlign w:val="top"/>
          </w:tcPr>
          <w:p w14:paraId="23C21571">
            <w:pPr>
              <w:pageBreakBefore w:val="0"/>
              <w:kinsoku/>
              <w:wordWrap w:val="0"/>
              <w:overflowPunct/>
              <w:topLinePunct/>
              <w:autoSpaceDE/>
              <w:autoSpaceDN/>
              <w:bidi w:val="0"/>
              <w:spacing w:before="117" w:line="275" w:lineRule="exact"/>
              <w:ind w:left="587"/>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position w:val="2"/>
                <w:sz w:val="20"/>
                <w:szCs w:val="20"/>
                <w:highlight w:val="none"/>
              </w:rPr>
              <w:t>0</w:t>
            </w:r>
          </w:p>
        </w:tc>
        <w:tc>
          <w:tcPr>
            <w:tcW w:w="1699" w:type="dxa"/>
            <w:tcBorders>
              <w:bottom w:val="single" w:color="auto" w:sz="4" w:space="0"/>
            </w:tcBorders>
            <w:vAlign w:val="top"/>
          </w:tcPr>
          <w:p w14:paraId="61F16754">
            <w:pPr>
              <w:pageBreakBefore w:val="0"/>
              <w:kinsoku/>
              <w:wordWrap w:val="0"/>
              <w:overflowPunct/>
              <w:topLinePunct/>
              <w:autoSpaceDE/>
              <w:autoSpaceDN/>
              <w:bidi w:val="0"/>
              <w:spacing w:before="117" w:line="275" w:lineRule="exact"/>
              <w:ind w:left="800"/>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position w:val="2"/>
                <w:sz w:val="20"/>
                <w:szCs w:val="20"/>
                <w:highlight w:val="none"/>
              </w:rPr>
              <w:t>0</w:t>
            </w:r>
          </w:p>
        </w:tc>
        <w:tc>
          <w:tcPr>
            <w:tcW w:w="1720" w:type="dxa"/>
            <w:tcBorders>
              <w:bottom w:val="single" w:color="auto" w:sz="4" w:space="0"/>
            </w:tcBorders>
            <w:shd w:val="clear" w:color="auto" w:fill="auto"/>
            <w:vAlign w:val="center"/>
          </w:tcPr>
          <w:p w14:paraId="7B5A9B46">
            <w:pPr>
              <w:widowControl/>
              <w:jc w:val="center"/>
              <w:textAlignment w:val="center"/>
              <w:rPr>
                <w:rFonts w:hint="default" w:ascii="Times New Roman" w:hAnsi="Times New Roman" w:eastAsia="Arial" w:cs="Times New Roman"/>
                <w:snapToGrid w:val="0"/>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0.</w:t>
            </w:r>
            <w:r>
              <w:rPr>
                <w:rFonts w:hint="default" w:ascii="Times New Roman" w:hAnsi="Times New Roman" w:cs="Times New Roman"/>
                <w:color w:val="auto"/>
                <w:kern w:val="0"/>
                <w:sz w:val="21"/>
                <w:szCs w:val="21"/>
                <w:highlight w:val="none"/>
                <w:lang w:val="en-US" w:eastAsia="zh-CN" w:bidi="ar"/>
              </w:rPr>
              <w:t>5</w:t>
            </w:r>
            <w:r>
              <w:rPr>
                <w:rFonts w:hint="default" w:ascii="Times New Roman" w:hAnsi="Times New Roman" w:eastAsia="Times New Roman" w:cs="Times New Roman"/>
                <w:color w:val="auto"/>
                <w:spacing w:val="2"/>
                <w:position w:val="1"/>
                <w:sz w:val="20"/>
                <w:szCs w:val="20"/>
                <w:highlight w:val="none"/>
              </w:rPr>
              <w:t>t/a</w:t>
            </w:r>
          </w:p>
        </w:tc>
        <w:tc>
          <w:tcPr>
            <w:tcW w:w="1596" w:type="dxa"/>
            <w:tcBorders>
              <w:bottom w:val="single" w:color="auto" w:sz="4" w:space="0"/>
            </w:tcBorders>
            <w:shd w:val="clear" w:color="auto" w:fill="auto"/>
            <w:vAlign w:val="top"/>
          </w:tcPr>
          <w:p w14:paraId="50651328">
            <w:pPr>
              <w:pageBreakBefore w:val="0"/>
              <w:kinsoku/>
              <w:wordWrap w:val="0"/>
              <w:overflowPunct/>
              <w:topLinePunct/>
              <w:autoSpaceDE/>
              <w:autoSpaceDN/>
              <w:bidi w:val="0"/>
              <w:spacing w:before="117"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r>
              <w:rPr>
                <w:rFonts w:hint="default" w:ascii="Times New Roman" w:hAnsi="Times New Roman" w:eastAsia="Times New Roman" w:cs="Times New Roman"/>
                <w:color w:val="auto"/>
                <w:position w:val="2"/>
                <w:sz w:val="20"/>
                <w:szCs w:val="20"/>
                <w:highlight w:val="none"/>
              </w:rPr>
              <w:t>0</w:t>
            </w:r>
          </w:p>
        </w:tc>
        <w:tc>
          <w:tcPr>
            <w:tcW w:w="1400" w:type="dxa"/>
            <w:tcBorders>
              <w:bottom w:val="single" w:color="auto" w:sz="4" w:space="0"/>
            </w:tcBorders>
            <w:shd w:val="clear" w:color="auto" w:fill="auto"/>
            <w:vAlign w:val="center"/>
          </w:tcPr>
          <w:p w14:paraId="727C7D2D">
            <w:pPr>
              <w:widowControl/>
              <w:jc w:val="center"/>
              <w:textAlignment w:val="center"/>
              <w:rPr>
                <w:rFonts w:hint="default" w:ascii="Times New Roman" w:hAnsi="Times New Roman" w:eastAsia="Arial" w:cs="Times New Roman"/>
                <w:snapToGrid w:val="0"/>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0.</w:t>
            </w:r>
            <w:r>
              <w:rPr>
                <w:rFonts w:hint="default" w:ascii="Times New Roman" w:hAnsi="Times New Roman" w:cs="Times New Roman"/>
                <w:color w:val="auto"/>
                <w:kern w:val="0"/>
                <w:sz w:val="21"/>
                <w:szCs w:val="21"/>
                <w:highlight w:val="none"/>
                <w:lang w:val="en-US" w:eastAsia="zh-CN" w:bidi="ar"/>
              </w:rPr>
              <w:t>5</w:t>
            </w:r>
            <w:r>
              <w:rPr>
                <w:rFonts w:hint="default" w:ascii="Times New Roman" w:hAnsi="Times New Roman" w:eastAsia="Times New Roman" w:cs="Times New Roman"/>
                <w:color w:val="auto"/>
                <w:spacing w:val="2"/>
                <w:position w:val="1"/>
                <w:sz w:val="20"/>
                <w:szCs w:val="20"/>
                <w:highlight w:val="none"/>
              </w:rPr>
              <w:t>t/a</w:t>
            </w:r>
          </w:p>
        </w:tc>
        <w:tc>
          <w:tcPr>
            <w:tcW w:w="1391" w:type="dxa"/>
            <w:tcBorders>
              <w:bottom w:val="single" w:color="auto" w:sz="4" w:space="0"/>
              <w:right w:val="single" w:color="000000" w:sz="6" w:space="0"/>
            </w:tcBorders>
            <w:shd w:val="clear" w:color="auto" w:fill="auto"/>
            <w:vAlign w:val="center"/>
          </w:tcPr>
          <w:p w14:paraId="1C8D5F8F">
            <w:pPr>
              <w:widowControl/>
              <w:jc w:val="center"/>
              <w:textAlignment w:val="center"/>
              <w:rPr>
                <w:rFonts w:hint="default" w:ascii="Times New Roman" w:hAnsi="Times New Roman" w:eastAsia="Arial" w:cs="Times New Roman"/>
                <w:snapToGrid w:val="0"/>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bidi="ar"/>
              </w:rPr>
              <w:t>0.</w:t>
            </w:r>
            <w:r>
              <w:rPr>
                <w:rFonts w:hint="default" w:ascii="Times New Roman" w:hAnsi="Times New Roman" w:cs="Times New Roman"/>
                <w:color w:val="auto"/>
                <w:kern w:val="0"/>
                <w:sz w:val="21"/>
                <w:szCs w:val="21"/>
                <w:highlight w:val="none"/>
                <w:lang w:val="en-US" w:eastAsia="zh-CN" w:bidi="ar"/>
              </w:rPr>
              <w:t>5</w:t>
            </w:r>
            <w:r>
              <w:rPr>
                <w:rFonts w:hint="default" w:ascii="Times New Roman" w:hAnsi="Times New Roman" w:eastAsia="Times New Roman" w:cs="Times New Roman"/>
                <w:color w:val="auto"/>
                <w:spacing w:val="2"/>
                <w:position w:val="1"/>
                <w:sz w:val="20"/>
                <w:szCs w:val="20"/>
                <w:highlight w:val="none"/>
              </w:rPr>
              <w:t>t/a</w:t>
            </w:r>
          </w:p>
        </w:tc>
      </w:tr>
      <w:tr w14:paraId="6BEA1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1244" w:type="dxa"/>
            <w:vMerge w:val="continue"/>
            <w:tcBorders>
              <w:left w:val="single" w:color="000000" w:sz="6" w:space="0"/>
            </w:tcBorders>
          </w:tcPr>
          <w:p w14:paraId="3E051014">
            <w:pPr>
              <w:pageBreakBefore w:val="0"/>
              <w:kinsoku/>
              <w:wordWrap w:val="0"/>
              <w:overflowPunct/>
              <w:topLinePunct/>
              <w:autoSpaceDE/>
              <w:autoSpaceDN/>
              <w:bidi w:val="0"/>
              <w:rPr>
                <w:rFonts w:hint="default" w:ascii="Times New Roman" w:hAnsi="Times New Roman" w:cs="Times New Roman"/>
                <w:color w:val="auto"/>
                <w:sz w:val="21"/>
                <w:highlight w:val="none"/>
              </w:rPr>
            </w:pPr>
          </w:p>
        </w:tc>
        <w:tc>
          <w:tcPr>
            <w:tcW w:w="0" w:type="auto"/>
            <w:shd w:val="clear" w:color="auto" w:fill="auto"/>
            <w:vAlign w:val="center"/>
          </w:tcPr>
          <w:p w14:paraId="485DD504">
            <w:pPr>
              <w:widowControl/>
              <w:jc w:val="center"/>
              <w:textAlignment w:val="center"/>
              <w:rPr>
                <w:rFonts w:hint="default" w:ascii="Times New Roman" w:hAnsi="Times New Roman" w:eastAsia="Arial" w:cs="Times New Roman"/>
                <w:snapToGrid w:val="0"/>
                <w:color w:val="auto"/>
                <w:kern w:val="0"/>
                <w:sz w:val="21"/>
                <w:szCs w:val="21"/>
                <w:highlight w:val="none"/>
                <w:lang w:val="en-US" w:eastAsia="en-US" w:bidi="ar"/>
              </w:rPr>
            </w:pPr>
            <w:r>
              <w:rPr>
                <w:rFonts w:hint="default" w:ascii="Times New Roman" w:hAnsi="Times New Roman" w:cs="Times New Roman"/>
                <w:color w:val="auto"/>
                <w:kern w:val="0"/>
                <w:sz w:val="21"/>
                <w:szCs w:val="21"/>
                <w:highlight w:val="none"/>
                <w:lang w:bidi="ar"/>
              </w:rPr>
              <w:t>废机油</w:t>
            </w:r>
          </w:p>
        </w:tc>
        <w:tc>
          <w:tcPr>
            <w:tcW w:w="0" w:type="auto"/>
          </w:tcPr>
          <w:p w14:paraId="7F669AE0">
            <w:pPr>
              <w:pageBreakBefore w:val="0"/>
              <w:kinsoku/>
              <w:wordWrap w:val="0"/>
              <w:overflowPunct/>
              <w:topLinePunct/>
              <w:autoSpaceDE/>
              <w:autoSpaceDN/>
              <w:bidi w:val="0"/>
              <w:spacing w:before="117"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p>
        </w:tc>
        <w:tc>
          <w:tcPr>
            <w:tcW w:w="0" w:type="auto"/>
          </w:tcPr>
          <w:p w14:paraId="017955A1">
            <w:pPr>
              <w:pageBreakBefore w:val="0"/>
              <w:kinsoku/>
              <w:wordWrap w:val="0"/>
              <w:overflowPunct/>
              <w:topLinePunct/>
              <w:autoSpaceDE/>
              <w:autoSpaceDN/>
              <w:bidi w:val="0"/>
              <w:spacing w:before="117" w:line="275" w:lineRule="exact"/>
              <w:ind w:left="587"/>
              <w:rPr>
                <w:rFonts w:hint="default" w:ascii="Times New Roman" w:hAnsi="Times New Roman" w:eastAsia="Times New Roman" w:cs="Times New Roman"/>
                <w:color w:val="auto"/>
                <w:sz w:val="20"/>
                <w:szCs w:val="20"/>
                <w:highlight w:val="none"/>
              </w:rPr>
            </w:pPr>
          </w:p>
        </w:tc>
        <w:tc>
          <w:tcPr>
            <w:tcW w:w="0" w:type="auto"/>
          </w:tcPr>
          <w:p w14:paraId="43C73026">
            <w:pPr>
              <w:pageBreakBefore w:val="0"/>
              <w:kinsoku/>
              <w:wordWrap w:val="0"/>
              <w:overflowPunct/>
              <w:topLinePunct/>
              <w:autoSpaceDE/>
              <w:autoSpaceDN/>
              <w:bidi w:val="0"/>
              <w:spacing w:before="117" w:line="275" w:lineRule="exact"/>
              <w:ind w:left="800"/>
              <w:rPr>
                <w:rFonts w:hint="default" w:ascii="Times New Roman" w:hAnsi="Times New Roman" w:eastAsia="Times New Roman" w:cs="Times New Roman"/>
                <w:color w:val="auto"/>
                <w:sz w:val="20"/>
                <w:szCs w:val="20"/>
                <w:highlight w:val="none"/>
              </w:rPr>
            </w:pPr>
          </w:p>
        </w:tc>
        <w:tc>
          <w:tcPr>
            <w:tcW w:w="0" w:type="auto"/>
            <w:shd w:val="clear" w:color="auto" w:fill="auto"/>
            <w:vAlign w:val="center"/>
          </w:tcPr>
          <w:p w14:paraId="5AC9B26A">
            <w:pPr>
              <w:widowControl/>
              <w:jc w:val="center"/>
              <w:textAlignment w:val="center"/>
              <w:rPr>
                <w:rFonts w:hint="default" w:ascii="Times New Roman" w:hAnsi="Times New Roman" w:eastAsia="宋体" w:cs="Times New Roman"/>
                <w:snapToGrid w:val="0"/>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0.</w:t>
            </w:r>
            <w:r>
              <w:rPr>
                <w:rFonts w:hint="default" w:ascii="Times New Roman" w:hAnsi="Times New Roman" w:eastAsia="宋体" w:cs="Times New Roman"/>
                <w:color w:val="auto"/>
                <w:kern w:val="0"/>
                <w:sz w:val="21"/>
                <w:szCs w:val="21"/>
                <w:highlight w:val="none"/>
                <w:lang w:val="en-US" w:eastAsia="zh-CN" w:bidi="ar"/>
              </w:rPr>
              <w:t>5</w:t>
            </w:r>
            <w:r>
              <w:rPr>
                <w:rFonts w:hint="default" w:ascii="Times New Roman" w:hAnsi="Times New Roman" w:eastAsia="Times New Roman" w:cs="Times New Roman"/>
                <w:color w:val="auto"/>
                <w:spacing w:val="2"/>
                <w:position w:val="1"/>
                <w:sz w:val="20"/>
                <w:szCs w:val="20"/>
                <w:highlight w:val="none"/>
              </w:rPr>
              <w:t>t/a</w:t>
            </w:r>
          </w:p>
        </w:tc>
        <w:tc>
          <w:tcPr>
            <w:tcW w:w="0" w:type="auto"/>
          </w:tcPr>
          <w:p w14:paraId="03FE648D">
            <w:pPr>
              <w:pageBreakBefore w:val="0"/>
              <w:kinsoku/>
              <w:wordWrap w:val="0"/>
              <w:overflowPunct/>
              <w:topLinePunct/>
              <w:autoSpaceDE/>
              <w:autoSpaceDN/>
              <w:bidi w:val="0"/>
              <w:spacing w:before="117"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p>
        </w:tc>
        <w:tc>
          <w:tcPr>
            <w:tcW w:w="0" w:type="auto"/>
            <w:shd w:val="clear" w:color="auto" w:fill="auto"/>
            <w:vAlign w:val="center"/>
          </w:tcPr>
          <w:p w14:paraId="1148631B">
            <w:pPr>
              <w:widowControl/>
              <w:jc w:val="center"/>
              <w:textAlignment w:val="center"/>
              <w:rPr>
                <w:rFonts w:hint="default" w:ascii="Times New Roman" w:hAnsi="Times New Roman" w:eastAsia="宋体" w:cs="Times New Roman"/>
                <w:snapToGrid w:val="0"/>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bidi="ar"/>
              </w:rPr>
              <w:t>0.</w:t>
            </w:r>
            <w:r>
              <w:rPr>
                <w:rFonts w:hint="default" w:ascii="Times New Roman" w:hAnsi="Times New Roman" w:eastAsia="宋体" w:cs="Times New Roman"/>
                <w:color w:val="auto"/>
                <w:kern w:val="0"/>
                <w:sz w:val="21"/>
                <w:szCs w:val="21"/>
                <w:highlight w:val="none"/>
                <w:lang w:val="en-US" w:eastAsia="zh-CN" w:bidi="ar"/>
              </w:rPr>
              <w:t>5</w:t>
            </w:r>
            <w:r>
              <w:rPr>
                <w:rFonts w:hint="default" w:ascii="Times New Roman" w:hAnsi="Times New Roman" w:eastAsia="Times New Roman" w:cs="Times New Roman"/>
                <w:color w:val="auto"/>
                <w:spacing w:val="2"/>
                <w:position w:val="1"/>
                <w:sz w:val="20"/>
                <w:szCs w:val="20"/>
                <w:highlight w:val="none"/>
              </w:rPr>
              <w:t>t/a</w:t>
            </w:r>
          </w:p>
        </w:tc>
        <w:tc>
          <w:tcPr>
            <w:tcW w:w="0" w:type="auto"/>
            <w:shd w:val="clear" w:color="auto" w:fill="auto"/>
            <w:vAlign w:val="center"/>
          </w:tcPr>
          <w:p w14:paraId="0A7D6D5C">
            <w:pPr>
              <w:widowControl/>
              <w:jc w:val="center"/>
              <w:textAlignment w:val="center"/>
              <w:rPr>
                <w:rFonts w:hint="default" w:ascii="Times New Roman" w:hAnsi="Times New Roman" w:eastAsia="宋体" w:cs="Times New Roman"/>
                <w:snapToGrid w:val="0"/>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r>
              <w:rPr>
                <w:rFonts w:hint="default" w:ascii="Times New Roman" w:hAnsi="Times New Roman" w:cs="Times New Roman"/>
                <w:color w:val="auto"/>
                <w:kern w:val="0"/>
                <w:sz w:val="21"/>
                <w:szCs w:val="21"/>
                <w:highlight w:val="none"/>
                <w:lang w:bidi="ar"/>
              </w:rPr>
              <w:t>0.</w:t>
            </w:r>
            <w:r>
              <w:rPr>
                <w:rFonts w:hint="default" w:ascii="Times New Roman" w:hAnsi="Times New Roman" w:eastAsia="宋体" w:cs="Times New Roman"/>
                <w:color w:val="auto"/>
                <w:kern w:val="0"/>
                <w:sz w:val="21"/>
                <w:szCs w:val="21"/>
                <w:highlight w:val="none"/>
                <w:lang w:val="en-US" w:eastAsia="zh-CN" w:bidi="ar"/>
              </w:rPr>
              <w:t>5</w:t>
            </w:r>
            <w:r>
              <w:rPr>
                <w:rFonts w:hint="default" w:ascii="Times New Roman" w:hAnsi="Times New Roman" w:eastAsia="Times New Roman" w:cs="Times New Roman"/>
                <w:color w:val="auto"/>
                <w:spacing w:val="2"/>
                <w:position w:val="1"/>
                <w:sz w:val="20"/>
                <w:szCs w:val="20"/>
                <w:highlight w:val="none"/>
              </w:rPr>
              <w:t>t/a</w:t>
            </w:r>
          </w:p>
        </w:tc>
      </w:tr>
      <w:tr w14:paraId="21E43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1244" w:type="dxa"/>
            <w:vMerge w:val="continue"/>
            <w:tcBorders>
              <w:left w:val="single" w:color="000000" w:sz="6" w:space="0"/>
            </w:tcBorders>
          </w:tcPr>
          <w:p w14:paraId="066318EE">
            <w:pPr>
              <w:pageBreakBefore w:val="0"/>
              <w:kinsoku/>
              <w:wordWrap w:val="0"/>
              <w:overflowPunct/>
              <w:topLinePunct/>
              <w:autoSpaceDE/>
              <w:autoSpaceDN/>
              <w:bidi w:val="0"/>
              <w:rPr>
                <w:rFonts w:hint="default" w:ascii="Times New Roman" w:hAnsi="Times New Roman" w:cs="Times New Roman"/>
                <w:color w:val="auto"/>
                <w:sz w:val="21"/>
                <w:highlight w:val="none"/>
              </w:rPr>
            </w:pPr>
          </w:p>
        </w:tc>
        <w:tc>
          <w:tcPr>
            <w:tcW w:w="0" w:type="auto"/>
            <w:shd w:val="clear" w:color="auto" w:fill="auto"/>
            <w:vAlign w:val="center"/>
          </w:tcPr>
          <w:p w14:paraId="269807C4">
            <w:pPr>
              <w:widowControl/>
              <w:jc w:val="center"/>
              <w:textAlignment w:val="center"/>
              <w:rPr>
                <w:rFonts w:hint="default" w:ascii="Times New Roman" w:hAnsi="Times New Roman" w:eastAsia="Arial" w:cs="Times New Roman"/>
                <w:snapToGrid w:val="0"/>
                <w:color w:val="auto"/>
                <w:kern w:val="0"/>
                <w:sz w:val="21"/>
                <w:szCs w:val="21"/>
                <w:highlight w:val="none"/>
                <w:lang w:val="en-US" w:eastAsia="en-US" w:bidi="ar"/>
              </w:rPr>
            </w:pPr>
            <w:r>
              <w:rPr>
                <w:rFonts w:hint="default" w:ascii="Times New Roman" w:hAnsi="Times New Roman" w:cs="Times New Roman"/>
                <w:color w:val="auto"/>
                <w:kern w:val="0"/>
                <w:sz w:val="21"/>
                <w:szCs w:val="21"/>
                <w:highlight w:val="none"/>
                <w:lang w:bidi="ar"/>
              </w:rPr>
              <w:t>生活垃圾</w:t>
            </w:r>
          </w:p>
        </w:tc>
        <w:tc>
          <w:tcPr>
            <w:tcW w:w="0" w:type="auto"/>
          </w:tcPr>
          <w:p w14:paraId="38483EAF">
            <w:pPr>
              <w:pageBreakBefore w:val="0"/>
              <w:kinsoku/>
              <w:wordWrap w:val="0"/>
              <w:overflowPunct/>
              <w:topLinePunct/>
              <w:autoSpaceDE/>
              <w:autoSpaceDN/>
              <w:bidi w:val="0"/>
              <w:spacing w:before="117" w:line="275" w:lineRule="exact"/>
              <w:ind w:left="587" w:leftChars="0"/>
              <w:rPr>
                <w:rFonts w:hint="default" w:ascii="Times New Roman" w:hAnsi="Times New Roman" w:eastAsia="Times New Roman" w:cs="Times New Roman"/>
                <w:snapToGrid w:val="0"/>
                <w:color w:val="auto"/>
                <w:kern w:val="0"/>
                <w:sz w:val="20"/>
                <w:szCs w:val="20"/>
                <w:highlight w:val="none"/>
                <w:lang w:val="en-US" w:eastAsia="en-US" w:bidi="ar-SA"/>
              </w:rPr>
            </w:pPr>
          </w:p>
        </w:tc>
        <w:tc>
          <w:tcPr>
            <w:tcW w:w="0" w:type="auto"/>
          </w:tcPr>
          <w:p w14:paraId="60E843AF">
            <w:pPr>
              <w:pageBreakBefore w:val="0"/>
              <w:kinsoku/>
              <w:wordWrap w:val="0"/>
              <w:overflowPunct/>
              <w:topLinePunct/>
              <w:autoSpaceDE/>
              <w:autoSpaceDN/>
              <w:bidi w:val="0"/>
              <w:spacing w:before="117" w:line="275" w:lineRule="exact"/>
              <w:ind w:left="587"/>
              <w:rPr>
                <w:rFonts w:hint="default" w:ascii="Times New Roman" w:hAnsi="Times New Roman" w:eastAsia="Times New Roman" w:cs="Times New Roman"/>
                <w:color w:val="auto"/>
                <w:sz w:val="20"/>
                <w:szCs w:val="20"/>
                <w:highlight w:val="none"/>
              </w:rPr>
            </w:pPr>
          </w:p>
        </w:tc>
        <w:tc>
          <w:tcPr>
            <w:tcW w:w="0" w:type="auto"/>
          </w:tcPr>
          <w:p w14:paraId="2FBC87A1">
            <w:pPr>
              <w:pageBreakBefore w:val="0"/>
              <w:kinsoku/>
              <w:wordWrap w:val="0"/>
              <w:overflowPunct/>
              <w:topLinePunct/>
              <w:autoSpaceDE/>
              <w:autoSpaceDN/>
              <w:bidi w:val="0"/>
              <w:spacing w:before="117" w:line="275" w:lineRule="exact"/>
              <w:ind w:left="800"/>
              <w:rPr>
                <w:rFonts w:hint="default" w:ascii="Times New Roman" w:hAnsi="Times New Roman" w:eastAsia="Times New Roman" w:cs="Times New Roman"/>
                <w:color w:val="auto"/>
                <w:sz w:val="20"/>
                <w:szCs w:val="20"/>
                <w:highlight w:val="none"/>
              </w:rPr>
            </w:pPr>
          </w:p>
        </w:tc>
        <w:tc>
          <w:tcPr>
            <w:tcW w:w="0" w:type="auto"/>
            <w:shd w:val="clear" w:color="auto" w:fill="auto"/>
            <w:vAlign w:val="center"/>
          </w:tcPr>
          <w:p w14:paraId="36476DF7">
            <w:pPr>
              <w:widowControl/>
              <w:jc w:val="center"/>
              <w:textAlignment w:val="center"/>
              <w:rPr>
                <w:rFonts w:hint="default" w:ascii="Times New Roman" w:hAnsi="Times New Roman" w:eastAsia="Arial" w:cs="Times New Roman"/>
                <w:snapToGrid w:val="0"/>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1.68</w:t>
            </w:r>
            <w:r>
              <w:rPr>
                <w:rFonts w:hint="default" w:ascii="Times New Roman" w:hAnsi="Times New Roman" w:eastAsia="Times New Roman" w:cs="Times New Roman"/>
                <w:color w:val="auto"/>
                <w:spacing w:val="2"/>
                <w:position w:val="1"/>
                <w:sz w:val="20"/>
                <w:szCs w:val="20"/>
                <w:highlight w:val="none"/>
              </w:rPr>
              <w:t>t/a</w:t>
            </w:r>
          </w:p>
        </w:tc>
        <w:tc>
          <w:tcPr>
            <w:tcW w:w="0" w:type="auto"/>
          </w:tcPr>
          <w:p w14:paraId="0B42F68E">
            <w:pPr>
              <w:pageBreakBefore w:val="0"/>
              <w:kinsoku/>
              <w:wordWrap w:val="0"/>
              <w:overflowPunct/>
              <w:topLinePunct/>
              <w:autoSpaceDE/>
              <w:autoSpaceDN/>
              <w:bidi w:val="0"/>
              <w:spacing w:before="117" w:line="275" w:lineRule="exact"/>
              <w:ind w:left="800" w:leftChars="0"/>
              <w:rPr>
                <w:rFonts w:hint="default" w:ascii="Times New Roman" w:hAnsi="Times New Roman" w:eastAsia="Times New Roman" w:cs="Times New Roman"/>
                <w:snapToGrid w:val="0"/>
                <w:color w:val="auto"/>
                <w:kern w:val="0"/>
                <w:sz w:val="20"/>
                <w:szCs w:val="20"/>
                <w:highlight w:val="none"/>
                <w:lang w:val="en-US" w:eastAsia="en-US" w:bidi="ar-SA"/>
              </w:rPr>
            </w:pPr>
          </w:p>
        </w:tc>
        <w:tc>
          <w:tcPr>
            <w:tcW w:w="0" w:type="auto"/>
            <w:shd w:val="clear" w:color="auto" w:fill="auto"/>
            <w:vAlign w:val="center"/>
          </w:tcPr>
          <w:p w14:paraId="798DA1C8">
            <w:pPr>
              <w:widowControl/>
              <w:jc w:val="center"/>
              <w:textAlignment w:val="center"/>
              <w:rPr>
                <w:rFonts w:hint="default" w:ascii="Times New Roman" w:hAnsi="Times New Roman" w:eastAsia="Arial" w:cs="Times New Roman"/>
                <w:snapToGrid w:val="0"/>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1.68</w:t>
            </w:r>
            <w:r>
              <w:rPr>
                <w:rFonts w:hint="default" w:ascii="Times New Roman" w:hAnsi="Times New Roman" w:eastAsia="Times New Roman" w:cs="Times New Roman"/>
                <w:color w:val="auto"/>
                <w:spacing w:val="2"/>
                <w:position w:val="1"/>
                <w:sz w:val="20"/>
                <w:szCs w:val="20"/>
                <w:highlight w:val="none"/>
              </w:rPr>
              <w:t>t/a</w:t>
            </w:r>
          </w:p>
        </w:tc>
        <w:tc>
          <w:tcPr>
            <w:tcW w:w="0" w:type="auto"/>
            <w:shd w:val="clear" w:color="auto" w:fill="auto"/>
            <w:vAlign w:val="center"/>
          </w:tcPr>
          <w:p w14:paraId="0D9648E7">
            <w:pPr>
              <w:widowControl/>
              <w:jc w:val="center"/>
              <w:textAlignment w:val="center"/>
              <w:rPr>
                <w:rFonts w:hint="default" w:ascii="Times New Roman" w:hAnsi="Times New Roman" w:eastAsia="Arial" w:cs="Times New Roman"/>
                <w:snapToGrid w:val="0"/>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+1.68</w:t>
            </w:r>
            <w:r>
              <w:rPr>
                <w:rFonts w:hint="default" w:ascii="Times New Roman" w:hAnsi="Times New Roman" w:eastAsia="Times New Roman" w:cs="Times New Roman"/>
                <w:color w:val="auto"/>
                <w:spacing w:val="2"/>
                <w:position w:val="1"/>
                <w:sz w:val="20"/>
                <w:szCs w:val="20"/>
                <w:highlight w:val="none"/>
              </w:rPr>
              <w:t>t/a</w:t>
            </w:r>
          </w:p>
        </w:tc>
      </w:tr>
    </w:tbl>
    <w:p w14:paraId="0214B686">
      <w:pPr>
        <w:pageBreakBefore w:val="0"/>
        <w:kinsoku/>
        <w:wordWrap w:val="0"/>
        <w:overflowPunct/>
        <w:topLinePunct/>
        <w:autoSpaceDE/>
        <w:autoSpaceDN/>
        <w:bidi w:val="0"/>
        <w:spacing w:before="119" w:line="358" w:lineRule="exact"/>
        <w:ind w:left="6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pacing w:val="-5"/>
          <w:position w:val="2"/>
          <w:sz w:val="24"/>
          <w:szCs w:val="24"/>
          <w:highlight w:val="none"/>
        </w:rPr>
        <w:t>注：⑥</w:t>
      </w:r>
      <w:r>
        <w:rPr>
          <w:rFonts w:hint="default" w:ascii="Times New Roman" w:hAnsi="Times New Roman" w:eastAsia="Times New Roman" w:cs="Times New Roman"/>
          <w:color w:val="auto"/>
          <w:spacing w:val="-5"/>
          <w:position w:val="2"/>
          <w:sz w:val="24"/>
          <w:szCs w:val="24"/>
          <w:highlight w:val="none"/>
        </w:rPr>
        <w:t>=</w:t>
      </w:r>
      <w:r>
        <w:rPr>
          <w:rFonts w:hint="default" w:ascii="Times New Roman" w:hAnsi="Times New Roman" w:eastAsia="仿宋" w:cs="Times New Roman"/>
          <w:color w:val="auto"/>
          <w:spacing w:val="-5"/>
          <w:position w:val="2"/>
          <w:sz w:val="24"/>
          <w:szCs w:val="24"/>
          <w:highlight w:val="none"/>
        </w:rPr>
        <w:t>①</w:t>
      </w:r>
      <w:r>
        <w:rPr>
          <w:rFonts w:hint="default" w:ascii="Times New Roman" w:hAnsi="Times New Roman" w:eastAsia="Times New Roman" w:cs="Times New Roman"/>
          <w:color w:val="auto"/>
          <w:spacing w:val="-5"/>
          <w:position w:val="2"/>
          <w:sz w:val="24"/>
          <w:szCs w:val="24"/>
          <w:highlight w:val="none"/>
        </w:rPr>
        <w:t>+</w:t>
      </w:r>
      <w:r>
        <w:rPr>
          <w:rFonts w:hint="default" w:ascii="Times New Roman" w:hAnsi="Times New Roman" w:eastAsia="仿宋" w:cs="Times New Roman"/>
          <w:color w:val="auto"/>
          <w:spacing w:val="-5"/>
          <w:position w:val="2"/>
          <w:sz w:val="24"/>
          <w:szCs w:val="24"/>
          <w:highlight w:val="none"/>
        </w:rPr>
        <w:t>③</w:t>
      </w:r>
      <w:r>
        <w:rPr>
          <w:rFonts w:hint="default" w:ascii="Times New Roman" w:hAnsi="Times New Roman" w:eastAsia="Times New Roman" w:cs="Times New Roman"/>
          <w:color w:val="auto"/>
          <w:spacing w:val="-5"/>
          <w:position w:val="2"/>
          <w:sz w:val="24"/>
          <w:szCs w:val="24"/>
          <w:highlight w:val="none"/>
        </w:rPr>
        <w:t>+</w:t>
      </w:r>
      <w:r>
        <w:rPr>
          <w:rFonts w:hint="default" w:ascii="Times New Roman" w:hAnsi="Times New Roman" w:eastAsia="仿宋" w:cs="Times New Roman"/>
          <w:color w:val="auto"/>
          <w:spacing w:val="-5"/>
          <w:position w:val="2"/>
          <w:sz w:val="24"/>
          <w:szCs w:val="24"/>
          <w:highlight w:val="none"/>
        </w:rPr>
        <w:t>④</w:t>
      </w:r>
      <w:r>
        <w:rPr>
          <w:rFonts w:hint="default" w:ascii="Times New Roman" w:hAnsi="Times New Roman" w:eastAsia="Times New Roman" w:cs="Times New Roman"/>
          <w:color w:val="auto"/>
          <w:spacing w:val="-5"/>
          <w:position w:val="2"/>
          <w:sz w:val="24"/>
          <w:szCs w:val="24"/>
          <w:highlight w:val="none"/>
        </w:rPr>
        <w:t>-</w:t>
      </w:r>
      <w:r>
        <w:rPr>
          <w:rFonts w:hint="default" w:ascii="Times New Roman" w:hAnsi="Times New Roman" w:eastAsia="仿宋" w:cs="Times New Roman"/>
          <w:color w:val="auto"/>
          <w:spacing w:val="-5"/>
          <w:position w:val="2"/>
          <w:sz w:val="24"/>
          <w:szCs w:val="24"/>
          <w:highlight w:val="none"/>
        </w:rPr>
        <w:t>⑤;⑦</w:t>
      </w:r>
      <w:r>
        <w:rPr>
          <w:rFonts w:hint="default" w:ascii="Times New Roman" w:hAnsi="Times New Roman" w:eastAsia="Times New Roman" w:cs="Times New Roman"/>
          <w:color w:val="auto"/>
          <w:spacing w:val="-5"/>
          <w:position w:val="2"/>
          <w:sz w:val="24"/>
          <w:szCs w:val="24"/>
          <w:highlight w:val="none"/>
        </w:rPr>
        <w:t>=</w:t>
      </w:r>
      <w:r>
        <w:rPr>
          <w:rFonts w:hint="default" w:ascii="Times New Roman" w:hAnsi="Times New Roman" w:eastAsia="仿宋" w:cs="Times New Roman"/>
          <w:color w:val="auto"/>
          <w:spacing w:val="-5"/>
          <w:position w:val="2"/>
          <w:sz w:val="24"/>
          <w:szCs w:val="24"/>
          <w:highlight w:val="none"/>
        </w:rPr>
        <w:t>⑥</w:t>
      </w:r>
      <w:r>
        <w:rPr>
          <w:rFonts w:hint="default" w:ascii="Times New Roman" w:hAnsi="Times New Roman" w:eastAsia="Times New Roman" w:cs="Times New Roman"/>
          <w:color w:val="auto"/>
          <w:spacing w:val="-5"/>
          <w:position w:val="2"/>
          <w:sz w:val="24"/>
          <w:szCs w:val="24"/>
          <w:highlight w:val="none"/>
        </w:rPr>
        <w:t>-</w:t>
      </w:r>
      <w:r>
        <w:rPr>
          <w:rFonts w:hint="default" w:ascii="Times New Roman" w:hAnsi="Times New Roman" w:eastAsia="仿宋" w:cs="Times New Roman"/>
          <w:color w:val="auto"/>
          <w:spacing w:val="-5"/>
          <w:position w:val="2"/>
          <w:sz w:val="24"/>
          <w:szCs w:val="24"/>
          <w:highlight w:val="none"/>
        </w:rPr>
        <w:t>①</w:t>
      </w:r>
    </w:p>
    <w:p w14:paraId="5D8FF092">
      <w:pPr>
        <w:pageBreakBefore w:val="0"/>
        <w:kinsoku/>
        <w:wordWrap w:val="0"/>
        <w:overflowPunct/>
        <w:topLinePunct/>
        <w:autoSpaceDE/>
        <w:autoSpaceDN/>
        <w:bidi w:val="0"/>
        <w:spacing w:line="358" w:lineRule="exact"/>
        <w:rPr>
          <w:rFonts w:hint="default" w:ascii="Times New Roman" w:hAnsi="Times New Roman" w:eastAsia="仿宋" w:cs="Times New Roman"/>
          <w:color w:val="auto"/>
          <w:sz w:val="24"/>
          <w:szCs w:val="24"/>
          <w:highlight w:val="none"/>
        </w:rPr>
        <w:sectPr>
          <w:headerReference r:id="rId10" w:type="default"/>
          <w:footerReference r:id="rId11" w:type="default"/>
          <w:pgSz w:w="16839" w:h="11906"/>
          <w:pgMar w:top="400" w:right="1367" w:bottom="998" w:left="1663" w:header="0" w:footer="655" w:gutter="0"/>
          <w:pgNumType w:fmt="decimal"/>
          <w:cols w:space="720" w:num="1"/>
        </w:sectPr>
      </w:pPr>
    </w:p>
    <w:p w14:paraId="1DF5A00D">
      <w:pPr>
        <w:pageBreakBefore w:val="0"/>
        <w:kinsoku/>
        <w:wordWrap w:val="0"/>
        <w:overflowPunct/>
        <w:topLinePunct/>
        <w:autoSpaceDE/>
        <w:autoSpaceDN/>
        <w:bidi w:val="0"/>
        <w:spacing w:line="31667" w:lineRule="exact"/>
        <w:rPr>
          <w:rFonts w:hint="default" w:ascii="Times New Roman" w:hAnsi="Times New Roman" w:cs="Times New Roman"/>
          <w:color w:val="auto"/>
          <w:highlight w:val="none"/>
        </w:rPr>
      </w:pPr>
    </w:p>
    <w:sectPr>
      <w:headerReference r:id="rId12" w:type="default"/>
      <w:footerReference r:id="rId13" w:type="default"/>
      <w:pgSz w:w="21281" w:h="31680"/>
      <w:pgMar w:top="1" w:right="0" w:bottom="1" w:left="0"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61598">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0DE6B9">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D0DE6B9">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611EC">
    <w:pPr>
      <w:spacing w:before="1" w:line="220" w:lineRule="auto"/>
      <w:ind w:left="4054"/>
      <w:rPr>
        <w:rFonts w:ascii="宋体" w:hAnsi="宋体" w:eastAsia="宋体" w:cs="宋体"/>
        <w:sz w:val="28"/>
        <w:szCs w:val="28"/>
      </w:rPr>
    </w:pPr>
    <w:r>
      <w:rPr>
        <w:sz w:val="2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55ED33">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055ED33">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BB58E">
    <w:pPr>
      <w:tabs>
        <w:tab w:val="left" w:pos="4604"/>
      </w:tabs>
      <w:spacing w:line="239" w:lineRule="auto"/>
      <w:ind w:left="4154"/>
      <w:rPr>
        <w:rFonts w:ascii="宋体" w:hAnsi="宋体" w:eastAsia="宋体" w:cs="宋体"/>
        <w:sz w:val="25"/>
        <w:szCs w:val="25"/>
      </w:rPr>
    </w:pPr>
    <w:r>
      <w:rPr>
        <w:sz w:val="25"/>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A0CB47">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BA0CB47">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27CF7">
    <w:pPr>
      <w:spacing w:line="239" w:lineRule="auto"/>
      <w:ind w:left="4120"/>
      <w:rPr>
        <w:rFonts w:ascii="宋体" w:hAnsi="宋体" w:eastAsia="宋体" w:cs="宋体"/>
        <w:sz w:val="25"/>
        <w:szCs w:val="25"/>
      </w:rPr>
    </w:pPr>
    <w:r>
      <w:rPr>
        <w:sz w:val="2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C4C562">
                          <w:pPr>
                            <w:pStyle w:val="1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0CC4C562">
                    <w:pPr>
                      <w:pStyle w:val="1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3C37F">
    <w:pPr>
      <w:pStyle w:val="12"/>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2D8AEF">
                          <w:pPr>
                            <w:pStyle w:val="12"/>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82D8AEF">
                    <w:pPr>
                      <w:pStyle w:val="12"/>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F072C">
    <w:pPr>
      <w:spacing w:line="219" w:lineRule="auto"/>
      <w:ind w:left="6154"/>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D595D">
                          <w:pPr>
                            <w:pStyle w:val="1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34CD595D">
                    <w:pPr>
                      <w:pStyle w:val="1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99D87">
    <w:pPr>
      <w:pStyle w:val="8"/>
      <w:spacing w:line="14" w:lineRule="auto"/>
      <w:rPr>
        <w:sz w:val="2"/>
      </w:rPr>
    </w:pPr>
    <w:r>
      <w:rPr>
        <w:sz w:val="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8CA385">
                          <w:pPr>
                            <w:pStyle w:val="12"/>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308CA385">
                    <w:pPr>
                      <w:pStyle w:val="12"/>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16A65">
    <w:pPr>
      <w:pStyle w:val="8"/>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45657">
    <w:pPr>
      <w:pStyle w:val="8"/>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CD3BAA"/>
    <w:multiLevelType w:val="singleLevel"/>
    <w:tmpl w:val="01CD3BAA"/>
    <w:lvl w:ilvl="0" w:tentative="0">
      <w:start w:val="1"/>
      <w:numFmt w:val="decimal"/>
      <w:lvlText w:val="%1."/>
      <w:lvlJc w:val="left"/>
      <w:pPr>
        <w:ind w:left="425" w:hanging="425"/>
      </w:pPr>
      <w:rPr>
        <w:rFonts w:hint="default"/>
      </w:rPr>
    </w:lvl>
  </w:abstractNum>
  <w:abstractNum w:abstractNumId="1">
    <w:nsid w:val="75E9BAB4"/>
    <w:multiLevelType w:val="singleLevel"/>
    <w:tmpl w:val="75E9BAB4"/>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3577A2"/>
    <w:rsid w:val="004203D7"/>
    <w:rsid w:val="0BE1433A"/>
    <w:rsid w:val="0FCD3553"/>
    <w:rsid w:val="107C7052"/>
    <w:rsid w:val="11D22C5F"/>
    <w:rsid w:val="12086AC4"/>
    <w:rsid w:val="15EA002C"/>
    <w:rsid w:val="1AC50F59"/>
    <w:rsid w:val="1BBE1FA1"/>
    <w:rsid w:val="1DE64AD3"/>
    <w:rsid w:val="1EB4595E"/>
    <w:rsid w:val="231550C0"/>
    <w:rsid w:val="293B76F9"/>
    <w:rsid w:val="2976210D"/>
    <w:rsid w:val="29D62E44"/>
    <w:rsid w:val="2C403EF5"/>
    <w:rsid w:val="2C522C40"/>
    <w:rsid w:val="3163566D"/>
    <w:rsid w:val="330D3AE3"/>
    <w:rsid w:val="34EC6E4D"/>
    <w:rsid w:val="3539779F"/>
    <w:rsid w:val="3604252E"/>
    <w:rsid w:val="36C06932"/>
    <w:rsid w:val="38EF6416"/>
    <w:rsid w:val="3C686F8A"/>
    <w:rsid w:val="3E29379B"/>
    <w:rsid w:val="3EBC016B"/>
    <w:rsid w:val="3FF44198"/>
    <w:rsid w:val="424E6EE6"/>
    <w:rsid w:val="43B3237B"/>
    <w:rsid w:val="43F82B94"/>
    <w:rsid w:val="46CD5B35"/>
    <w:rsid w:val="4807560F"/>
    <w:rsid w:val="4AD11107"/>
    <w:rsid w:val="4C856040"/>
    <w:rsid w:val="4D2951F8"/>
    <w:rsid w:val="4F5775B6"/>
    <w:rsid w:val="4F770E0B"/>
    <w:rsid w:val="528648C0"/>
    <w:rsid w:val="559C3D41"/>
    <w:rsid w:val="56110B58"/>
    <w:rsid w:val="5661317F"/>
    <w:rsid w:val="579E5BBC"/>
    <w:rsid w:val="580E02F4"/>
    <w:rsid w:val="5A1478CF"/>
    <w:rsid w:val="5A18143C"/>
    <w:rsid w:val="5B2C7F31"/>
    <w:rsid w:val="5E8C12CD"/>
    <w:rsid w:val="5EB475CA"/>
    <w:rsid w:val="5F295399"/>
    <w:rsid w:val="5F311AF0"/>
    <w:rsid w:val="63CA07D5"/>
    <w:rsid w:val="65DD2C30"/>
    <w:rsid w:val="65E40437"/>
    <w:rsid w:val="67AB6E4B"/>
    <w:rsid w:val="6809273B"/>
    <w:rsid w:val="68670058"/>
    <w:rsid w:val="694520F6"/>
    <w:rsid w:val="6B730697"/>
    <w:rsid w:val="6DA50FBA"/>
    <w:rsid w:val="6ED053E9"/>
    <w:rsid w:val="700021A8"/>
    <w:rsid w:val="70CE181E"/>
    <w:rsid w:val="71FB6C9A"/>
    <w:rsid w:val="721F290F"/>
    <w:rsid w:val="73877D50"/>
    <w:rsid w:val="73A73B8C"/>
    <w:rsid w:val="75204FB2"/>
    <w:rsid w:val="77343CB6"/>
    <w:rsid w:val="784400DC"/>
    <w:rsid w:val="798017B9"/>
    <w:rsid w:val="7FD102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2">
    <w:name w:val="样式 正文缩进正文缩进2正文缩进 Char Char正文缩进 Char Char Char Char正文缩进 Char ..."/>
    <w:basedOn w:val="3"/>
    <w:autoRedefine/>
    <w:qFormat/>
    <w:uiPriority w:val="0"/>
    <w:pPr>
      <w:spacing w:line="360" w:lineRule="auto"/>
      <w:ind w:firstLine="200" w:firstLineChars="200"/>
    </w:pPr>
    <w:rPr>
      <w:rFonts w:cs="宋体"/>
      <w:sz w:val="24"/>
    </w:rPr>
  </w:style>
  <w:style w:type="paragraph" w:styleId="3">
    <w:name w:val="Normal Indent"/>
    <w:basedOn w:val="1"/>
    <w:next w:val="4"/>
    <w:qFormat/>
    <w:uiPriority w:val="0"/>
    <w:pPr>
      <w:ind w:firstLine="420" w:firstLineChars="200"/>
    </w:pPr>
  </w:style>
  <w:style w:type="paragraph" w:customStyle="1" w:styleId="4">
    <w:name w:val="样式 正文文本 + 首行缩进:  2 字符"/>
    <w:autoRedefine/>
    <w:qFormat/>
    <w:uiPriority w:val="99"/>
    <w:pPr>
      <w:spacing w:after="200" w:line="480" w:lineRule="exact"/>
      <w:ind w:firstLine="480" w:firstLineChars="200"/>
      <w:jc w:val="center"/>
    </w:pPr>
    <w:rPr>
      <w:rFonts w:ascii="宋体" w:hAnsi="宋体" w:eastAsia="Calibri" w:cs="Times New Roman"/>
      <w:sz w:val="24"/>
      <w:szCs w:val="22"/>
      <w:lang w:val="en-US" w:eastAsia="zh-CN" w:bidi="ar-SA"/>
    </w:rPr>
  </w:style>
  <w:style w:type="paragraph" w:styleId="6">
    <w:name w:val="caption"/>
    <w:next w:val="1"/>
    <w:qFormat/>
    <w:uiPriority w:val="0"/>
    <w:pPr>
      <w:widowControl w:val="0"/>
      <w:adjustRightInd w:val="0"/>
      <w:snapToGrid w:val="0"/>
      <w:spacing w:beforeLines="50" w:line="360" w:lineRule="auto"/>
      <w:jc w:val="center"/>
    </w:pPr>
    <w:rPr>
      <w:rFonts w:ascii="宋体" w:hAnsi="Cambria" w:eastAsia="宋体" w:cs="Times New Roman"/>
      <w:kern w:val="2"/>
      <w:sz w:val="21"/>
      <w:lang w:val="en-US" w:eastAsia="zh-CN" w:bidi="ar-SA"/>
    </w:rPr>
  </w:style>
  <w:style w:type="paragraph" w:styleId="7">
    <w:name w:val="annotation text"/>
    <w:basedOn w:val="1"/>
    <w:semiHidden/>
    <w:qFormat/>
    <w:uiPriority w:val="0"/>
    <w:pPr>
      <w:jc w:val="left"/>
    </w:pPr>
    <w:rPr>
      <w:kern w:val="0"/>
      <w:sz w:val="20"/>
    </w:rPr>
  </w:style>
  <w:style w:type="paragraph" w:styleId="8">
    <w:name w:val="Body Text"/>
    <w:basedOn w:val="1"/>
    <w:next w:val="9"/>
    <w:semiHidden/>
    <w:qFormat/>
    <w:uiPriority w:val="0"/>
    <w:rPr>
      <w:rFonts w:ascii="Arial" w:hAnsi="Arial" w:eastAsia="Arial" w:cs="Arial"/>
      <w:sz w:val="21"/>
      <w:szCs w:val="21"/>
      <w:lang w:val="en-US" w:eastAsia="en-US" w:bidi="ar-SA"/>
    </w:rPr>
  </w:style>
  <w:style w:type="paragraph" w:styleId="9">
    <w:name w:val="Body Text First Indent 2"/>
    <w:basedOn w:val="10"/>
    <w:next w:val="1"/>
    <w:qFormat/>
    <w:uiPriority w:val="0"/>
    <w:pPr>
      <w:ind w:firstLine="420" w:firstLineChars="200"/>
    </w:pPr>
    <w:rPr>
      <w:kern w:val="0"/>
    </w:rPr>
  </w:style>
  <w:style w:type="paragraph" w:styleId="10">
    <w:name w:val="Body Text Indent"/>
    <w:basedOn w:val="1"/>
    <w:next w:val="8"/>
    <w:unhideWhenUsed/>
    <w:qFormat/>
    <w:uiPriority w:val="0"/>
    <w:pPr>
      <w:spacing w:after="120"/>
      <w:ind w:left="420" w:leftChars="200"/>
    </w:pPr>
  </w:style>
  <w:style w:type="paragraph" w:styleId="11">
    <w:name w:val="Plain Text"/>
    <w:basedOn w:val="1"/>
    <w:qFormat/>
    <w:uiPriority w:val="0"/>
    <w:pPr>
      <w:ind w:firstLine="480" w:firstLineChars="2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unhideWhenUsed/>
    <w:qFormat/>
    <w:uiPriority w:val="39"/>
  </w:style>
  <w:style w:type="paragraph" w:styleId="15">
    <w:name w:val="Body Text 2"/>
    <w:basedOn w:val="1"/>
    <w:qFormat/>
    <w:uiPriority w:val="0"/>
    <w:pPr>
      <w:spacing w:after="120" w:line="480" w:lineRule="auto"/>
    </w:pPr>
    <w:rPr>
      <w:lang w:eastAsia="ja-JP"/>
    </w:r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7">
    <w:name w:val="Body Text First Indent"/>
    <w:basedOn w:val="8"/>
    <w:unhideWhenUsed/>
    <w:qFormat/>
    <w:uiPriority w:val="99"/>
    <w:pPr>
      <w:ind w:firstLine="420" w:firstLineChars="100"/>
    </w:p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1">
    <w:name w:val="表格"/>
    <w:basedOn w:val="22"/>
    <w:next w:val="1"/>
    <w:qFormat/>
    <w:uiPriority w:val="0"/>
    <w:pPr>
      <w:adjustRightInd w:val="0"/>
      <w:snapToGrid w:val="0"/>
      <w:spacing w:beforeLines="10" w:afterLines="10" w:line="259" w:lineRule="auto"/>
      <w:jc w:val="center"/>
    </w:pPr>
    <w:rPr>
      <w:rFonts w:ascii="宋体"/>
      <w:kern w:val="0"/>
      <w:szCs w:val="20"/>
    </w:rPr>
  </w:style>
  <w:style w:type="paragraph" w:customStyle="1" w:styleId="22">
    <w:name w:val="表头"/>
    <w:basedOn w:val="17"/>
    <w:next w:val="1"/>
    <w:qFormat/>
    <w:uiPriority w:val="0"/>
    <w:pPr>
      <w:spacing w:beforeLines="50" w:line="400" w:lineRule="exact"/>
      <w:ind w:firstLine="200" w:firstLineChars="200"/>
    </w:pPr>
    <w:rPr>
      <w:rFonts w:eastAsia="黑体"/>
      <w:sz w:val="21"/>
    </w:rPr>
  </w:style>
  <w:style w:type="paragraph" w:customStyle="1" w:styleId="23">
    <w:name w:val="xl27"/>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rPr>
  </w:style>
  <w:style w:type="table" w:customStyle="1" w:styleId="24">
    <w:name w:val="Table Normal"/>
    <w:semiHidden/>
    <w:unhideWhenUsed/>
    <w:qFormat/>
    <w:uiPriority w:val="0"/>
    <w:tblPr>
      <w:tblCellMar>
        <w:top w:w="0" w:type="dxa"/>
        <w:left w:w="0" w:type="dxa"/>
        <w:bottom w:w="0" w:type="dxa"/>
        <w:right w:w="0" w:type="dxa"/>
      </w:tblCellMar>
    </w:tblPr>
  </w:style>
  <w:style w:type="paragraph" w:customStyle="1" w:styleId="25">
    <w:name w:val="Table Text"/>
    <w:basedOn w:val="1"/>
    <w:semiHidden/>
    <w:qFormat/>
    <w:uiPriority w:val="0"/>
    <w:rPr>
      <w:rFonts w:ascii="宋体" w:hAnsi="宋体" w:eastAsia="宋体" w:cs="宋体"/>
      <w:sz w:val="20"/>
      <w:szCs w:val="20"/>
      <w:lang w:val="en-US" w:eastAsia="en-US" w:bidi="ar-SA"/>
    </w:rPr>
  </w:style>
  <w:style w:type="character" w:customStyle="1" w:styleId="26">
    <w:name w:val="NormalCharacter"/>
    <w:semiHidden/>
    <w:qFormat/>
    <w:uiPriority w:val="0"/>
  </w:style>
  <w:style w:type="paragraph" w:customStyle="1" w:styleId="27">
    <w:name w:val="样式1"/>
    <w:basedOn w:val="1"/>
    <w:autoRedefine/>
    <w:qFormat/>
    <w:uiPriority w:val="0"/>
    <w:pPr>
      <w:keepNext/>
      <w:keepLines/>
      <w:spacing w:line="240" w:lineRule="auto"/>
      <w:ind w:firstLine="0" w:firstLineChars="0"/>
      <w:jc w:val="center"/>
      <w:outlineLvl w:val="0"/>
    </w:pPr>
    <w:rPr>
      <w:rFonts w:hint="eastAsia"/>
      <w:kern w:val="44"/>
    </w:rPr>
  </w:style>
  <w:style w:type="paragraph" w:customStyle="1" w:styleId="28">
    <w:name w:val="文本"/>
    <w:basedOn w:val="29"/>
    <w:qFormat/>
    <w:uiPriority w:val="0"/>
    <w:pPr>
      <w:adjustRightInd w:val="0"/>
      <w:snapToGrid w:val="0"/>
      <w:spacing w:line="360" w:lineRule="auto"/>
      <w:ind w:firstLine="480" w:firstLineChars="200"/>
      <w:jc w:val="left"/>
    </w:pPr>
    <w:rPr>
      <w:rFonts w:ascii="Times New Roman" w:hAnsi="Times New Roman" w:eastAsia="宋体" w:cs="Times New Roman"/>
    </w:rPr>
  </w:style>
  <w:style w:type="paragraph" w:customStyle="1" w:styleId="29">
    <w:name w:val="三级标题"/>
    <w:next w:val="28"/>
    <w:qFormat/>
    <w:uiPriority w:val="0"/>
    <w:rPr>
      <w:rFonts w:ascii="Times New Roman" w:hAnsi="Times New Roman" w:eastAsia="黑体" w:cs="Times New Roman"/>
      <w:b/>
      <w:kern w:val="2"/>
      <w:sz w:val="24"/>
      <w:szCs w:val="22"/>
      <w:lang w:val="en-US" w:eastAsia="zh-CN" w:bidi="ar-SA"/>
    </w:rPr>
  </w:style>
  <w:style w:type="paragraph" w:customStyle="1" w:styleId="30">
    <w:name w:val="样式 表字居左X2 + 首行缩进:  2 字符"/>
    <w:basedOn w:val="31"/>
    <w:qFormat/>
    <w:uiPriority w:val="0"/>
    <w:pPr>
      <w:ind w:firstLine="420"/>
    </w:pPr>
    <w:rPr>
      <w:szCs w:val="20"/>
    </w:rPr>
  </w:style>
  <w:style w:type="paragraph" w:customStyle="1" w:styleId="31">
    <w:name w:val="表字居左X2"/>
    <w:basedOn w:val="32"/>
    <w:qFormat/>
    <w:uiPriority w:val="0"/>
    <w:pPr>
      <w:spacing w:line="331" w:lineRule="auto"/>
      <w:ind w:firstLine="200" w:firstLineChars="200"/>
      <w:jc w:val="both"/>
    </w:pPr>
    <w:rPr>
      <w:rFonts w:hAnsi="宋体" w:cs="宋体"/>
    </w:rPr>
  </w:style>
  <w:style w:type="paragraph" w:customStyle="1" w:styleId="32">
    <w:name w:val="SSEC 表字居中"/>
    <w:qFormat/>
    <w:uiPriority w:val="0"/>
    <w:pPr>
      <w:widowControl w:val="0"/>
      <w:adjustRightInd w:val="0"/>
      <w:snapToGrid w:val="0"/>
      <w:jc w:val="center"/>
      <w:textAlignment w:val="center"/>
    </w:pPr>
    <w:rPr>
      <w:rFonts w:ascii="宋体" w:hAnsi="Times New Roman" w:eastAsia="宋体" w:cs="Times New Roman"/>
      <w:kern w:val="2"/>
      <w:sz w:val="21"/>
      <w:szCs w:val="21"/>
      <w:lang w:val="en-US" w:eastAsia="zh-CN" w:bidi="ar-SA"/>
    </w:rPr>
  </w:style>
  <w:style w:type="paragraph" w:customStyle="1" w:styleId="33">
    <w:name w:val="SSEC表字居中 20150323"/>
    <w:qFormat/>
    <w:uiPriority w:val="0"/>
    <w:pPr>
      <w:adjustRightInd w:val="0"/>
      <w:snapToGrid w:val="0"/>
      <w:jc w:val="center"/>
    </w:pPr>
    <w:rPr>
      <w:rFonts w:ascii="宋体" w:hAnsi="Times New Roman" w:eastAsia="宋体" w:cs="Times New Roman"/>
      <w:kern w:val="2"/>
      <w:sz w:val="21"/>
      <w:szCs w:val="21"/>
      <w:lang w:val="en-US" w:eastAsia="zh-CN" w:bidi="ar-SA"/>
    </w:rPr>
  </w:style>
  <w:style w:type="paragraph" w:customStyle="1" w:styleId="34">
    <w:name w:val="SSEC正文 20150323"/>
    <w:qFormat/>
    <w:uiPriority w:val="0"/>
    <w:pPr>
      <w:adjustRightInd w:val="0"/>
      <w:snapToGrid w:val="0"/>
      <w:spacing w:line="331" w:lineRule="auto"/>
      <w:ind w:firstLine="200" w:firstLineChars="200"/>
      <w:jc w:val="both"/>
    </w:pPr>
    <w:rPr>
      <w:rFonts w:ascii="宋体" w:hAnsi="宋体" w:eastAsia="宋体" w:cs="Times New Roman"/>
      <w:sz w:val="24"/>
      <w:szCs w:val="24"/>
      <w:lang w:val="en-US" w:eastAsia="zh-CN" w:bidi="ar-SA"/>
    </w:rPr>
  </w:style>
  <w:style w:type="paragraph" w:customStyle="1" w:styleId="35">
    <w:name w:val="SSEC表字居左X2"/>
    <w:basedOn w:val="36"/>
    <w:qFormat/>
    <w:uiPriority w:val="0"/>
    <w:pPr>
      <w:ind w:firstLine="420"/>
      <w:jc w:val="both"/>
    </w:pPr>
    <w:rPr>
      <w:rFonts w:hAnsi="宋体" w:cs="宋体"/>
    </w:rPr>
  </w:style>
  <w:style w:type="paragraph" w:customStyle="1" w:styleId="36">
    <w:name w:val="SSEC 表字居左"/>
    <w:qFormat/>
    <w:uiPriority w:val="0"/>
    <w:pPr>
      <w:keepNext/>
      <w:widowControl w:val="0"/>
      <w:adjustRightInd w:val="0"/>
      <w:snapToGrid w:val="0"/>
      <w:spacing w:line="331" w:lineRule="auto"/>
      <w:ind w:firstLine="200" w:firstLineChars="200"/>
    </w:pPr>
    <w:rPr>
      <w:rFonts w:ascii="宋体" w:hAnsi="Calibri" w:eastAsia="宋体" w:cs="Times New Roman"/>
      <w:kern w:val="2"/>
      <w:sz w:val="21"/>
      <w:szCs w:val="21"/>
      <w:lang w:val="en-US" w:eastAsia="zh-CN" w:bidi="ar-SA"/>
    </w:rPr>
  </w:style>
  <w:style w:type="paragraph" w:customStyle="1" w:styleId="37">
    <w:name w:val="表格内容"/>
    <w:basedOn w:val="1"/>
    <w:next w:val="38"/>
    <w:qFormat/>
    <w:uiPriority w:val="0"/>
    <w:pPr>
      <w:spacing w:line="240" w:lineRule="auto"/>
      <w:jc w:val="center"/>
    </w:pPr>
    <w:rPr>
      <w:sz w:val="21"/>
      <w:szCs w:val="21"/>
    </w:rPr>
  </w:style>
  <w:style w:type="paragraph" w:customStyle="1" w:styleId="38">
    <w:name w:val="文本正文"/>
    <w:basedOn w:val="1"/>
    <w:qFormat/>
    <w:uiPriority w:val="0"/>
    <w:pPr>
      <w:ind w:firstLine="480"/>
    </w:pPr>
  </w:style>
  <w:style w:type="paragraph" w:customStyle="1" w:styleId="39">
    <w:name w:val="正文(首行缩进)"/>
    <w:basedOn w:val="1"/>
    <w:qFormat/>
    <w:uiPriority w:val="0"/>
    <w:pPr>
      <w:adjustRightInd w:val="0"/>
      <w:snapToGrid w:val="0"/>
      <w:ind w:firstLine="482" w:firstLineChars="200"/>
    </w:pPr>
    <w:rPr>
      <w:rFonts w:hAnsi="宋体"/>
      <w:b/>
      <w:bCs/>
      <w:color w:val="000000"/>
      <w:szCs w:val="28"/>
    </w:rPr>
  </w:style>
  <w:style w:type="paragraph" w:customStyle="1" w:styleId="40">
    <w:name w:val="@正文缩进"/>
    <w:basedOn w:val="1"/>
    <w:qFormat/>
    <w:uiPriority w:val="0"/>
    <w:pPr>
      <w:spacing w:line="240" w:lineRule="auto"/>
      <w:ind w:firstLine="200" w:firstLineChars="200"/>
      <w:jc w:val="left"/>
    </w:pPr>
    <w:rPr>
      <w:kern w:val="0"/>
    </w:rPr>
  </w:style>
  <w:style w:type="paragraph" w:customStyle="1" w:styleId="41">
    <w:name w:val="Default"/>
    <w:basedOn w:val="42"/>
    <w:qFormat/>
    <w:uiPriority w:val="0"/>
    <w:pPr>
      <w:autoSpaceDE w:val="0"/>
      <w:autoSpaceDN w:val="0"/>
      <w:adjustRightInd w:val="0"/>
    </w:pPr>
    <w:rPr>
      <w:rFonts w:hAnsi="Times New Roman"/>
      <w:color w:val="000000"/>
      <w:sz w:val="24"/>
    </w:rPr>
  </w:style>
  <w:style w:type="paragraph" w:customStyle="1" w:styleId="42">
    <w:name w:val="1 表头"/>
    <w:basedOn w:val="1"/>
    <w:qFormat/>
    <w:uiPriority w:val="0"/>
    <w:pPr>
      <w:adjustRightInd w:val="0"/>
      <w:snapToGrid w:val="0"/>
      <w:spacing w:line="240" w:lineRule="auto"/>
      <w:ind w:firstLine="0" w:firstLineChars="0"/>
      <w:jc w:val="center"/>
    </w:pPr>
    <w:rPr>
      <w:b/>
      <w:color w:val="000000"/>
      <w:sz w:val="21"/>
      <w:szCs w:val="21"/>
    </w:rPr>
  </w:style>
  <w:style w:type="paragraph" w:customStyle="1" w:styleId="43">
    <w:name w:val="纯文本1"/>
    <w:basedOn w:val="1"/>
    <w:qFormat/>
    <w:uiPriority w:val="0"/>
    <w:pPr>
      <w:spacing w:line="240" w:lineRule="auto"/>
    </w:pPr>
    <w:rPr>
      <w:rFonts w:ascii="宋体" w:hAnsi="Courier New"/>
      <w:sz w:val="21"/>
    </w:rPr>
  </w:style>
  <w:style w:type="paragraph" w:customStyle="1" w:styleId="44">
    <w:name w:val="表格标题"/>
    <w:basedOn w:val="22"/>
    <w:qFormat/>
    <w:uiPriority w:val="0"/>
    <w:pPr>
      <w:spacing w:before="50" w:beforeLines="50"/>
      <w:ind w:firstLine="0" w:firstLineChars="0"/>
      <w:jc w:val="center"/>
    </w:pPr>
    <w:rPr>
      <w:rFonts w:eastAsia="黑体"/>
    </w:rPr>
  </w:style>
  <w:style w:type="paragraph" w:customStyle="1" w:styleId="45">
    <w:name w:val="表标题"/>
    <w:basedOn w:val="8"/>
    <w:next w:val="8"/>
    <w:qFormat/>
    <w:uiPriority w:val="0"/>
    <w:pPr>
      <w:spacing w:line="500" w:lineRule="exact"/>
      <w:ind w:firstLine="482" w:firstLineChars="200"/>
      <w:jc w:val="center"/>
    </w:pPr>
    <w:rPr>
      <w:rFonts w:ascii="仿宋_GB2312" w:eastAsia="仿宋_GB2312"/>
      <w:b/>
      <w:sz w:val="24"/>
    </w:rPr>
  </w:style>
  <w:style w:type="paragraph" w:customStyle="1" w:styleId="46">
    <w:name w:val="Char"/>
    <w:basedOn w:val="1"/>
    <w:qFormat/>
    <w:uiPriority w:val="0"/>
    <w:pPr>
      <w:spacing w:line="360" w:lineRule="auto"/>
      <w:ind w:firstLine="200" w:firstLineChars="200"/>
    </w:pPr>
    <w:rPr>
      <w:rFonts w:ascii="宋体" w:hAnsi="宋体" w:cs="宋体"/>
      <w:sz w:val="24"/>
    </w:rPr>
  </w:style>
  <w:style w:type="paragraph" w:customStyle="1" w:styleId="47">
    <w:name w:val="表格内容1"/>
    <w:basedOn w:val="1"/>
    <w:qFormat/>
    <w:uiPriority w:val="0"/>
    <w:pPr>
      <w:tabs>
        <w:tab w:val="left" w:pos="1535"/>
        <w:tab w:val="left" w:pos="3105"/>
        <w:tab w:val="left" w:pos="4676"/>
        <w:tab w:val="left" w:pos="6247"/>
        <w:tab w:val="left" w:pos="7740"/>
        <w:tab w:val="left" w:pos="9288"/>
      </w:tabs>
      <w:adjustRightInd w:val="0"/>
      <w:snapToGrid w:val="0"/>
      <w:jc w:val="center"/>
      <w:textAlignment w:val="baseline"/>
    </w:pPr>
    <w:rPr>
      <w:sz w:val="21"/>
      <w:szCs w:val="21"/>
    </w:rPr>
  </w:style>
  <w:style w:type="paragraph" w:customStyle="1" w:styleId="48">
    <w:name w:val="1表格题目"/>
    <w:basedOn w:val="1"/>
    <w:qFormat/>
    <w:uiPriority w:val="0"/>
    <w:pPr>
      <w:spacing w:line="240" w:lineRule="atLeast"/>
      <w:ind w:firstLine="200" w:firstLineChars="200"/>
      <w:jc w:val="left"/>
    </w:pPr>
    <w:rPr>
      <w:rFonts w:eastAsia="黑体"/>
      <w:snapToGrid w:val="0"/>
      <w:color w:val="000000"/>
      <w:sz w:val="21"/>
    </w:rPr>
  </w:style>
  <w:style w:type="paragraph" w:customStyle="1" w:styleId="49">
    <w:name w:val="正文-1"/>
    <w:qFormat/>
    <w:uiPriority w:val="0"/>
    <w:pPr>
      <w:spacing w:line="480" w:lineRule="exact"/>
      <w:ind w:firstLine="200" w:firstLineChars="200"/>
      <w:jc w:val="both"/>
    </w:pPr>
    <w:rPr>
      <w:rFonts w:ascii="Times New Roman" w:hAnsi="Times New Roman" w:eastAsia="宋体" w:cs="宋体"/>
      <w:kern w:val="2"/>
      <w:sz w:val="24"/>
      <w:lang w:val="en-US" w:eastAsia="zh-CN" w:bidi="ar-SA"/>
    </w:rPr>
  </w:style>
  <w:style w:type="paragraph" w:customStyle="1" w:styleId="50">
    <w:name w:val="表格正文"/>
    <w:basedOn w:val="44"/>
    <w:qFormat/>
    <w:uiPriority w:val="0"/>
    <w:pPr>
      <w:wordWrap w:val="0"/>
    </w:pPr>
  </w:style>
  <w:style w:type="paragraph" w:customStyle="1" w:styleId="51">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52">
    <w:name w:val="表格(新)"/>
    <w:basedOn w:val="1"/>
    <w:qFormat/>
    <w:uiPriority w:val="0"/>
    <w:pPr>
      <w:widowControl w:val="0"/>
      <w:adjustRightInd w:val="0"/>
      <w:snapToGrid w:val="0"/>
      <w:spacing w:line="240" w:lineRule="atLeast"/>
      <w:jc w:val="center"/>
    </w:pPr>
    <w:rPr>
      <w:rFonts w:ascii="Times New Roman" w:hAnsi="Times New Roman" w:cs="Times New Roman"/>
      <w:sz w:val="21"/>
      <w:szCs w:val="21"/>
    </w:rPr>
  </w:style>
  <w:style w:type="paragraph" w:customStyle="1" w:styleId="53">
    <w:name w:val="表格文字邓"/>
    <w:basedOn w:val="1"/>
    <w:qFormat/>
    <w:uiPriority w:val="0"/>
    <w:pPr>
      <w:widowControl/>
      <w:snapToGrid w:val="0"/>
      <w:spacing w:line="240" w:lineRule="exact"/>
      <w:jc w:val="center"/>
    </w:pPr>
    <w:rPr>
      <w:rFonts w:hint="eastAsia" w:ascii="宋体" w:hAnsi="宋体"/>
      <w:color w:val="000000"/>
      <w:sz w:val="18"/>
      <w:szCs w:val="18"/>
    </w:rPr>
  </w:style>
  <w:style w:type="paragraph" w:customStyle="1" w:styleId="54">
    <w:name w:val="txt"/>
    <w:basedOn w:val="55"/>
    <w:qFormat/>
    <w:uiPriority w:val="0"/>
    <w:rPr>
      <w:sz w:val="21"/>
      <w:szCs w:val="21"/>
    </w:rPr>
  </w:style>
  <w:style w:type="paragraph" w:customStyle="1" w:styleId="55">
    <w:name w:val="text"/>
    <w:basedOn w:val="1"/>
    <w:qFormat/>
    <w:uiPriority w:val="0"/>
    <w:pPr>
      <w:wordWrap w:val="0"/>
      <w:spacing w:line="360" w:lineRule="auto"/>
      <w:ind w:firstLine="200" w:firstLineChars="200"/>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6" Type="http://schemas.openxmlformats.org/officeDocument/2006/relationships/fontTable" Target="fontTable.xml"/><Relationship Id="rId45" Type="http://schemas.openxmlformats.org/officeDocument/2006/relationships/numbering" Target="numbering.xml"/><Relationship Id="rId44" Type="http://schemas.openxmlformats.org/officeDocument/2006/relationships/customXml" Target="../customXml/item1.xml"/><Relationship Id="rId43" Type="http://schemas.openxmlformats.org/officeDocument/2006/relationships/image" Target="media/image29.jpeg"/><Relationship Id="rId42" Type="http://schemas.openxmlformats.org/officeDocument/2006/relationships/image" Target="media/image28.jpeg"/><Relationship Id="rId41" Type="http://schemas.openxmlformats.org/officeDocument/2006/relationships/image" Target="media/image27.jpeg"/><Relationship Id="rId40" Type="http://schemas.openxmlformats.org/officeDocument/2006/relationships/image" Target="media/image26.jpeg"/><Relationship Id="rId4" Type="http://schemas.openxmlformats.org/officeDocument/2006/relationships/endnotes" Target="endnotes.xml"/><Relationship Id="rId39" Type="http://schemas.openxmlformats.org/officeDocument/2006/relationships/image" Target="media/image25.jpeg"/><Relationship Id="rId38" Type="http://schemas.openxmlformats.org/officeDocument/2006/relationships/image" Target="media/image24.jpeg"/><Relationship Id="rId37" Type="http://schemas.openxmlformats.org/officeDocument/2006/relationships/image" Target="media/image23.jpeg"/><Relationship Id="rId36" Type="http://schemas.openxmlformats.org/officeDocument/2006/relationships/image" Target="media/image22.jpeg"/><Relationship Id="rId35" Type="http://schemas.openxmlformats.org/officeDocument/2006/relationships/image" Target="media/image21.jpeg"/><Relationship Id="rId34" Type="http://schemas.openxmlformats.org/officeDocument/2006/relationships/image" Target="media/image20.jpeg"/><Relationship Id="rId33" Type="http://schemas.openxmlformats.org/officeDocument/2006/relationships/image" Target="media/image19.pn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footnotes" Target="footnotes.xml"/><Relationship Id="rId29" Type="http://schemas.openxmlformats.org/officeDocument/2006/relationships/image" Target="media/image15.jpe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jpeg"/><Relationship Id="rId25" Type="http://schemas.openxmlformats.org/officeDocument/2006/relationships/image" Target="media/image11.jpeg"/><Relationship Id="rId24" Type="http://schemas.openxmlformats.org/officeDocument/2006/relationships/image" Target="media/image10.jpe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2.xml"/><Relationship Id="rId11" Type="http://schemas.openxmlformats.org/officeDocument/2006/relationships/footer" Target="footer6.xml"/><Relationship Id="rId10" Type="http://schemas.openxmlformats.org/officeDocument/2006/relationships/header" Target="header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extobjs>
    <extobj name="ECB019B1-382A-4266-B25C-5B523AA43C14-1">
      <extobjdata type="ECB019B1-382A-4266-B25C-5B523AA43C14" data="ewoJIkZpbGVJZCIgOiAiNDY3NzUyODM1NDkyIiwKCSJHcm91cElkIiA6ICIxNDg0MjAyODAiLAoJIkltYWdlIiA6ICJpVkJPUncwS0dnb0FBQUFOU1VoRVVnQUFBbTBBQUFEQkNBWUFBQUNkU29jQ0FBQUFBWE5TUjBJQXJzNGM2UUFBSUFCSlJFRlVlSnp0M1hsNEZlWFpQL0R2UFhPeVFSSmtVVkJRNDJ0a2lTU1ptYmhoM2FvVVdsdTEwdjdVVm1sZFdyU0tXbkNqMHFLb1dOKyt5SXRVc2FBaTdvcUlxSDFSck9LR2lNQlpjb0pSRUNSVkZtVmZzNUJ6NXY3OWNaYWVKQ2Q3TUJ6OWZxN0x5M05tbm5ubW1YQm01cDVuRzRD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krNS80L3l2R3I5UmE4MWQ4QUFBQUFTVVZPUks1Q1lJST0iLAoJIlRoZW1lIiA6ICIiLAoJIlR5cGUiIDogImZsb3ciLAoJIlVzZXJJZCIgOiAiMjQ3NzU0NzExIiwKCSJWZXJzaW9uIiA6ICIxMS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60</Pages>
  <Words>548</Words>
  <Characters>648</Characters>
  <TotalTime>38</TotalTime>
  <ScaleCrop>false</ScaleCrop>
  <LinksUpToDate>false</LinksUpToDate>
  <CharactersWithSpaces>676</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2025-07-18T13:35:00Z</dcterms:created>
  <dc:creator>AUG</dc:creator>
  <cp:lastModifiedBy>好久不见</cp:lastModifiedBy>
  <cp:lastPrinted>2025-11-26T04:57:41Z</cp:lastPrinted>
  <dcterms:modified xsi:type="dcterms:W3CDTF">2025-11-26T04:59:28Z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2025-10-16T11:43:42Z</vt:filetime>
  </property>
  <property fmtid="{D5CDD505-2E9C-101B-9397-08002B2CF9AE}" pid="4" name="KSOTemplateDocerSaveRecord">
    <vt:lpwstr>eyJoZGlkIjoiNzZjZDBjNDU5Zjg0OWQ5YmYyMmQxOGVhZjc0ZDQzNzAiLCJ1c2VySWQiOiI1MTUyMDMwNjcifQ==</vt:lpwstr>
  </property>
  <property fmtid="{D5CDD505-2E9C-101B-9397-08002B2CF9AE}" pid="5" name="KSOProductBuildVer">
    <vt:lpwstr>2052-12.1.0.23542</vt:lpwstr>
  </property>
  <property fmtid="{D5CDD505-2E9C-101B-9397-08002B2CF9AE}" pid="6" name="ICV">
    <vt:lpwstr>EE99764E7D6C4599BC3508863006F01E_13</vt:lpwstr>
  </property>
</Properties>
</file>