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0CF38">
      <w:pPr>
        <w:keepNext w:val="0"/>
        <w:keepLines w:val="0"/>
        <w:pageBreakBefore w:val="0"/>
        <w:widowControl w:val="0"/>
        <w:kinsoku/>
        <w:wordWrap/>
        <w:overflowPunct/>
        <w:topLinePunct w:val="0"/>
        <w:autoSpaceDE/>
        <w:autoSpaceDN/>
        <w:bidi w:val="0"/>
        <w:adjustRightInd/>
        <w:snapToGrid/>
        <w:spacing w:line="660" w:lineRule="exact"/>
        <w:jc w:val="left"/>
        <w:textAlignment w:val="auto"/>
        <w:rPr>
          <w:rFonts w:hint="eastAsia" w:ascii="黑体" w:hAnsi="黑体" w:eastAsia="黑体" w:cs="黑体"/>
          <w:b w:val="0"/>
          <w:bCs/>
          <w:color w:val="auto"/>
          <w:kern w:val="2"/>
          <w:sz w:val="32"/>
          <w:szCs w:val="32"/>
          <w:highlight w:val="none"/>
          <w:lang w:val="en-US" w:eastAsia="zh-CN" w:bidi="ar-SA"/>
        </w:rPr>
      </w:pPr>
      <w:r>
        <w:rPr>
          <w:rFonts w:hint="eastAsia" w:ascii="黑体" w:hAnsi="黑体" w:eastAsia="黑体" w:cs="黑体"/>
          <w:b w:val="0"/>
          <w:bCs/>
          <w:color w:val="auto"/>
          <w:kern w:val="2"/>
          <w:sz w:val="32"/>
          <w:szCs w:val="32"/>
          <w:highlight w:val="none"/>
          <w:lang w:val="en-US" w:eastAsia="zh-CN" w:bidi="ar-SA"/>
        </w:rPr>
        <w:t>附件：</w:t>
      </w:r>
    </w:p>
    <w:p w14:paraId="072C65C6">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ascii="Times New Roman" w:hAnsi="Times New Roman" w:eastAsia="方正小标宋简体" w:cs="Times New Roman"/>
          <w:b w:val="0"/>
          <w:bCs/>
          <w:color w:val="auto"/>
          <w:kern w:val="2"/>
          <w:sz w:val="36"/>
          <w:szCs w:val="36"/>
          <w:highlight w:val="none"/>
          <w:lang w:val="en-US" w:eastAsia="zh-CN" w:bidi="ar-SA"/>
        </w:rPr>
      </w:pPr>
      <w:r>
        <w:rPr>
          <w:rFonts w:hint="default" w:ascii="Times New Roman" w:hAnsi="Times New Roman" w:eastAsia="方正小标宋简体" w:cs="Times New Roman"/>
          <w:b w:val="0"/>
          <w:bCs/>
          <w:color w:val="auto"/>
          <w:kern w:val="2"/>
          <w:sz w:val="44"/>
          <w:szCs w:val="36"/>
          <w:highlight w:val="none"/>
          <w:lang w:val="en-US" w:eastAsia="zh-CN" w:bidi="ar-SA"/>
        </w:rPr>
        <w:t>昌吉州节约用水管理办法</w:t>
      </w:r>
      <w:r>
        <w:rPr>
          <w:rFonts w:hint="eastAsia" w:ascii="Times New Roman" w:hAnsi="Times New Roman" w:eastAsia="方正小标宋简体" w:cs="Times New Roman"/>
          <w:b w:val="0"/>
          <w:bCs/>
          <w:color w:val="auto"/>
          <w:kern w:val="2"/>
          <w:sz w:val="44"/>
          <w:szCs w:val="36"/>
          <w:highlight w:val="none"/>
          <w:lang w:val="en-US" w:eastAsia="zh-CN" w:bidi="ar-SA"/>
        </w:rPr>
        <w:t>（征求意见</w:t>
      </w:r>
      <w:r>
        <w:rPr>
          <w:rFonts w:hint="default" w:ascii="Times New Roman" w:hAnsi="Times New Roman" w:eastAsia="方正小标宋简体" w:cs="Times New Roman"/>
          <w:b w:val="0"/>
          <w:bCs/>
          <w:color w:val="auto"/>
          <w:kern w:val="2"/>
          <w:sz w:val="44"/>
          <w:szCs w:val="36"/>
          <w:highlight w:val="none"/>
          <w:lang w:val="en-US" w:eastAsia="zh-CN" w:bidi="ar-SA"/>
        </w:rPr>
        <w:t>稿）</w:t>
      </w:r>
    </w:p>
    <w:p w14:paraId="7F12889B">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黑体" w:cs="Times New Roman"/>
          <w:b/>
          <w:color w:val="auto"/>
          <w:kern w:val="44"/>
          <w:sz w:val="32"/>
          <w:szCs w:val="24"/>
          <w:highlight w:val="none"/>
          <w:lang w:val="en-US" w:eastAsia="zh-CN" w:bidi="ar-SA"/>
        </w:rPr>
      </w:pPr>
    </w:p>
    <w:p w14:paraId="035C2FC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第一章  总    则</w:t>
      </w:r>
    </w:p>
    <w:p w14:paraId="00BEB41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（立法目的）</w:t>
      </w:r>
      <w:r>
        <w:rPr>
          <w:rFonts w:hint="default" w:ascii="Times New Roman" w:hAnsi="Times New Roman" w:eastAsia="仿宋_GB2312" w:cs="Times New Roman"/>
          <w:b w:val="0"/>
          <w:bCs w:val="0"/>
          <w:color w:val="auto"/>
          <w:sz w:val="32"/>
          <w:szCs w:val="32"/>
          <w:highlight w:val="none"/>
          <w:shd w:val="clear" w:color="auto" w:fill="FFFFFF"/>
        </w:rPr>
        <w:t>为</w:t>
      </w:r>
      <w:r>
        <w:rPr>
          <w:rFonts w:hint="default" w:ascii="Times New Roman" w:hAnsi="Times New Roman" w:eastAsia="仿宋_GB2312" w:cs="Times New Roman"/>
          <w:b w:val="0"/>
          <w:bCs w:val="0"/>
          <w:color w:val="auto"/>
          <w:sz w:val="32"/>
          <w:szCs w:val="32"/>
          <w:highlight w:val="none"/>
          <w:shd w:val="clear" w:color="auto" w:fill="FFFFFF"/>
          <w:lang w:val="en-US" w:eastAsia="zh-CN"/>
        </w:rPr>
        <w:t>促进</w:t>
      </w:r>
      <w:r>
        <w:rPr>
          <w:rFonts w:hint="default" w:ascii="Times New Roman" w:hAnsi="Times New Roman" w:eastAsia="仿宋_GB2312" w:cs="Times New Roman"/>
          <w:b w:val="0"/>
          <w:bCs w:val="0"/>
          <w:color w:val="auto"/>
          <w:sz w:val="32"/>
          <w:szCs w:val="32"/>
          <w:highlight w:val="none"/>
          <w:shd w:val="clear" w:color="auto" w:fill="FFFFFF"/>
        </w:rPr>
        <w:t>节约用水管理，</w:t>
      </w:r>
      <w:r>
        <w:rPr>
          <w:rFonts w:hint="default" w:ascii="Times New Roman" w:hAnsi="Times New Roman" w:eastAsia="仿宋_GB2312" w:cs="Times New Roman"/>
          <w:b w:val="0"/>
          <w:bCs w:val="0"/>
          <w:color w:val="auto"/>
          <w:sz w:val="32"/>
          <w:szCs w:val="32"/>
          <w:highlight w:val="none"/>
          <w:shd w:val="clear" w:color="auto" w:fill="FFFFFF"/>
          <w:lang w:val="en-US" w:eastAsia="zh-CN"/>
        </w:rPr>
        <w:t>提高水资源利用效率，保护和改善生态环境，</w:t>
      </w:r>
      <w:r>
        <w:rPr>
          <w:rFonts w:hint="default" w:ascii="Times New Roman" w:hAnsi="Times New Roman" w:eastAsia="仿宋_GB2312" w:cs="Times New Roman"/>
          <w:b w:val="0"/>
          <w:bCs w:val="0"/>
          <w:color w:val="auto"/>
          <w:sz w:val="32"/>
          <w:szCs w:val="32"/>
          <w:highlight w:val="none"/>
          <w:shd w:val="clear" w:color="auto" w:fill="FFFFFF"/>
        </w:rPr>
        <w:t>保障</w:t>
      </w:r>
      <w:r>
        <w:rPr>
          <w:rFonts w:hint="default" w:ascii="Times New Roman" w:hAnsi="Times New Roman" w:eastAsia="仿宋_GB2312" w:cs="Times New Roman"/>
          <w:b w:val="0"/>
          <w:bCs w:val="0"/>
          <w:color w:val="auto"/>
          <w:sz w:val="32"/>
          <w:szCs w:val="32"/>
          <w:highlight w:val="none"/>
          <w:shd w:val="clear" w:color="auto" w:fill="FFFFFF"/>
          <w:lang w:val="en-US" w:eastAsia="zh-CN"/>
        </w:rPr>
        <w:t>经济社会可持续发展</w:t>
      </w:r>
      <w:r>
        <w:rPr>
          <w:rFonts w:hint="default" w:ascii="Times New Roman" w:hAnsi="Times New Roman" w:eastAsia="仿宋_GB2312" w:cs="Times New Roman"/>
          <w:b w:val="0"/>
          <w:bCs w:val="0"/>
          <w:color w:val="auto"/>
          <w:sz w:val="32"/>
          <w:szCs w:val="32"/>
          <w:highlight w:val="none"/>
          <w:shd w:val="clear" w:color="auto" w:fill="FFFFFF"/>
        </w:rPr>
        <w:t>，</w:t>
      </w:r>
      <w:r>
        <w:rPr>
          <w:rFonts w:hint="default" w:ascii="Times New Roman" w:hAnsi="Times New Roman" w:eastAsia="仿宋_GB2312" w:cs="Times New Roman"/>
          <w:b w:val="0"/>
          <w:bCs w:val="0"/>
          <w:color w:val="auto"/>
          <w:sz w:val="32"/>
          <w:szCs w:val="32"/>
          <w:highlight w:val="none"/>
          <w:shd w:val="clear" w:color="auto" w:fill="FFFFFF"/>
          <w:lang w:val="en-US" w:eastAsia="zh-CN"/>
        </w:rPr>
        <w:t>依据</w:t>
      </w:r>
      <w:r>
        <w:rPr>
          <w:rFonts w:hint="default" w:ascii="Times New Roman" w:hAnsi="Times New Roman" w:eastAsia="仿宋_GB2312" w:cs="Times New Roman"/>
          <w:b w:val="0"/>
          <w:bCs w:val="0"/>
          <w:color w:val="auto"/>
          <w:sz w:val="32"/>
          <w:szCs w:val="32"/>
          <w:highlight w:val="none"/>
          <w:shd w:val="clear" w:color="auto" w:fill="FFFFFF"/>
        </w:rPr>
        <w:t>《中华人民共和国水法》</w:t>
      </w:r>
      <w:r>
        <w:rPr>
          <w:rFonts w:hint="default" w:ascii="Times New Roman" w:hAnsi="Times New Roman" w:eastAsia="仿宋_GB2312" w:cs="Times New Roman"/>
          <w:b w:val="0"/>
          <w:bCs w:val="0"/>
          <w:color w:val="auto"/>
          <w:sz w:val="32"/>
          <w:szCs w:val="32"/>
          <w:highlight w:val="none"/>
          <w:shd w:val="clear" w:color="auto" w:fill="FFFFFF"/>
          <w:lang w:eastAsia="zh-CN"/>
        </w:rPr>
        <w:t>《节约用水条例》</w:t>
      </w:r>
      <w:r>
        <w:rPr>
          <w:rFonts w:hint="default" w:ascii="Times New Roman" w:hAnsi="Times New Roman" w:eastAsia="仿宋_GB2312" w:cs="Times New Roman"/>
          <w:b w:val="0"/>
          <w:bCs w:val="0"/>
          <w:color w:val="auto"/>
          <w:sz w:val="32"/>
          <w:szCs w:val="32"/>
          <w:highlight w:val="none"/>
          <w:shd w:val="clear" w:color="auto" w:fill="FFFFFF"/>
          <w:lang w:val="en-US" w:eastAsia="zh-CN"/>
        </w:rPr>
        <w:t>等相</w:t>
      </w:r>
      <w:r>
        <w:rPr>
          <w:rFonts w:hint="default" w:ascii="Times New Roman" w:hAnsi="Times New Roman" w:eastAsia="仿宋_GB2312" w:cs="Times New Roman"/>
          <w:b w:val="0"/>
          <w:bCs w:val="0"/>
          <w:color w:val="auto"/>
          <w:sz w:val="32"/>
          <w:szCs w:val="32"/>
          <w:highlight w:val="none"/>
          <w:shd w:val="clear" w:color="auto" w:fill="FFFFFF"/>
        </w:rPr>
        <w:t>关法律、法规，结合</w:t>
      </w:r>
      <w:r>
        <w:rPr>
          <w:rFonts w:hint="default" w:ascii="Times New Roman" w:hAnsi="Times New Roman" w:eastAsia="仿宋_GB2312" w:cs="Times New Roman"/>
          <w:b w:val="0"/>
          <w:bCs w:val="0"/>
          <w:color w:val="auto"/>
          <w:sz w:val="32"/>
          <w:szCs w:val="32"/>
          <w:highlight w:val="none"/>
          <w:shd w:val="clear" w:color="auto" w:fill="FFFFFF"/>
          <w:lang w:eastAsia="zh-CN"/>
        </w:rPr>
        <w:t>自治</w:t>
      </w:r>
      <w:r>
        <w:rPr>
          <w:rFonts w:hint="default" w:ascii="Times New Roman" w:hAnsi="Times New Roman" w:eastAsia="仿宋_GB2312" w:cs="Times New Roman"/>
          <w:b w:val="0"/>
          <w:bCs w:val="0"/>
          <w:color w:val="auto"/>
          <w:sz w:val="32"/>
          <w:szCs w:val="32"/>
          <w:highlight w:val="none"/>
          <w:shd w:val="clear" w:color="auto" w:fill="FFFFFF"/>
          <w:lang w:val="en-US" w:eastAsia="zh-CN"/>
        </w:rPr>
        <w:t>州</w:t>
      </w:r>
      <w:r>
        <w:rPr>
          <w:rFonts w:hint="default" w:ascii="Times New Roman" w:hAnsi="Times New Roman" w:eastAsia="仿宋_GB2312" w:cs="Times New Roman"/>
          <w:b w:val="0"/>
          <w:bCs w:val="0"/>
          <w:color w:val="auto"/>
          <w:sz w:val="32"/>
          <w:szCs w:val="32"/>
          <w:highlight w:val="none"/>
          <w:shd w:val="clear" w:color="auto" w:fill="FFFFFF"/>
        </w:rPr>
        <w:t>实际，制定本办法</w:t>
      </w:r>
      <w:r>
        <w:rPr>
          <w:rFonts w:hint="default" w:ascii="Times New Roman" w:hAnsi="Times New Roman" w:eastAsia="仿宋_GB2312" w:cs="Times New Roman"/>
          <w:b w:val="0"/>
          <w:bCs w:val="0"/>
          <w:color w:val="auto"/>
          <w:sz w:val="32"/>
          <w:szCs w:val="32"/>
          <w:highlight w:val="none"/>
          <w:shd w:val="clear" w:color="auto" w:fill="FFFFFF"/>
          <w:lang w:val="en-US" w:eastAsia="zh-CN"/>
        </w:rPr>
        <w:t>。</w:t>
      </w:r>
    </w:p>
    <w:p w14:paraId="2294289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（适用范围）本办法适用于在</w:t>
      </w:r>
      <w:r>
        <w:rPr>
          <w:rFonts w:hint="default" w:ascii="Times New Roman" w:hAnsi="Times New Roman" w:eastAsia="仿宋_GB2312" w:cs="Times New Roman"/>
          <w:bCs/>
          <w:color w:val="auto"/>
          <w:sz w:val="32"/>
          <w:szCs w:val="32"/>
          <w:highlight w:val="none"/>
          <w:lang w:val="en-US" w:eastAsia="zh-CN"/>
        </w:rPr>
        <w:t>自治州</w:t>
      </w:r>
      <w:r>
        <w:rPr>
          <w:rFonts w:hint="default" w:ascii="Times New Roman" w:hAnsi="Times New Roman" w:eastAsia="仿宋_GB2312" w:cs="Times New Roman"/>
          <w:bCs/>
          <w:color w:val="auto"/>
          <w:sz w:val="32"/>
          <w:szCs w:val="32"/>
          <w:highlight w:val="none"/>
        </w:rPr>
        <w:t>行政区域内的节约用水及其监督管理</w:t>
      </w:r>
      <w:r>
        <w:rPr>
          <w:rFonts w:hint="default" w:ascii="Times New Roman" w:hAnsi="Times New Roman" w:eastAsia="仿宋_GB2312" w:cs="Times New Roman"/>
          <w:bCs/>
          <w:color w:val="auto"/>
          <w:sz w:val="32"/>
          <w:szCs w:val="32"/>
          <w:highlight w:val="none"/>
          <w:lang w:eastAsia="zh-CN"/>
        </w:rPr>
        <w:t>工作</w:t>
      </w:r>
      <w:r>
        <w:rPr>
          <w:rFonts w:hint="default" w:ascii="Times New Roman" w:hAnsi="Times New Roman" w:eastAsia="仿宋_GB2312" w:cs="Times New Roman"/>
          <w:bCs/>
          <w:color w:val="auto"/>
          <w:sz w:val="32"/>
          <w:szCs w:val="32"/>
          <w:highlight w:val="none"/>
        </w:rPr>
        <w:t>。</w:t>
      </w:r>
    </w:p>
    <w:p w14:paraId="6889061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eastAsia="zh-CN"/>
        </w:rPr>
      </w:pPr>
      <w:r>
        <w:rPr>
          <w:rFonts w:hint="default" w:ascii="Times New Roman" w:hAnsi="Times New Roman" w:eastAsia="仿宋_GB2312" w:cs="Times New Roman"/>
          <w:b w:val="0"/>
          <w:bCs w:val="0"/>
          <w:color w:val="auto"/>
          <w:sz w:val="32"/>
          <w:szCs w:val="32"/>
          <w:highlight w:val="none"/>
          <w:shd w:val="clear" w:color="auto" w:fill="FFFFFF"/>
          <w:lang w:eastAsia="zh-CN"/>
        </w:rPr>
        <w:t>从事取水、供水、用水行为的单位和个人以及从事节约用水相关工作的政府机关和相关部门，应当遵守本办法。</w:t>
      </w:r>
    </w:p>
    <w:p w14:paraId="679AD40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（基本原则）</w:t>
      </w:r>
      <w:r>
        <w:rPr>
          <w:rFonts w:hint="default" w:ascii="Times New Roman" w:hAnsi="Times New Roman" w:eastAsia="仿宋_GB2312" w:cs="Times New Roman"/>
          <w:b w:val="0"/>
          <w:bCs w:val="0"/>
          <w:color w:val="auto"/>
          <w:sz w:val="32"/>
          <w:szCs w:val="32"/>
          <w:highlight w:val="none"/>
          <w:shd w:val="clear" w:color="auto" w:fill="FFFFFF"/>
        </w:rPr>
        <w:t>节约用水</w:t>
      </w:r>
      <w:r>
        <w:rPr>
          <w:rFonts w:hint="default" w:ascii="Times New Roman" w:hAnsi="Times New Roman" w:eastAsia="仿宋_GB2312" w:cs="Times New Roman"/>
          <w:b w:val="0"/>
          <w:bCs w:val="0"/>
          <w:color w:val="auto"/>
          <w:sz w:val="32"/>
          <w:szCs w:val="32"/>
          <w:highlight w:val="none"/>
          <w:shd w:val="clear" w:color="auto" w:fill="FFFFFF"/>
          <w:lang w:eastAsia="zh-CN"/>
        </w:rPr>
        <w:t>工作应当遵循</w:t>
      </w:r>
      <w:r>
        <w:rPr>
          <w:rFonts w:hint="default" w:ascii="Times New Roman" w:hAnsi="Times New Roman" w:eastAsia="仿宋_GB2312" w:cs="Times New Roman"/>
          <w:b w:val="0"/>
          <w:bCs w:val="0"/>
          <w:color w:val="auto"/>
          <w:sz w:val="32"/>
          <w:szCs w:val="32"/>
          <w:highlight w:val="none"/>
          <w:shd w:val="clear" w:color="auto" w:fill="FFFFFF"/>
          <w:lang w:val="en-US" w:eastAsia="zh-CN"/>
        </w:rPr>
        <w:t>统筹规划与综合利用、总量控制与定额管理、全面推进与因地制宜、超定额加价与节约奖励的原则，建立政府主导、各方协调、市场调节、公众参与的节约用水管理机制。</w:t>
      </w:r>
    </w:p>
    <w:p w14:paraId="26E68D7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政府职责）州、县（市、园区）人民政府（管委会）应当将节约用水工作纳入国民经济和社会发展有关规划、年度计划，保障节约用水工作投入，推进节约用水技术创新和成果转化，发展节水型工业、农业和服务业，严格控制高耗水产业项目建设，提升用水效率，建设节水型社会。</w:t>
      </w:r>
    </w:p>
    <w:p w14:paraId="751F463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州、县（市、园区）人民政府（管委会）应当建立节约用水协调机制，统筹研究和协调解决节约用水工作中的重大问题。</w:t>
      </w:r>
    </w:p>
    <w:p w14:paraId="7934A70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水行政主管部门负责各自区域节约用水工作，拟定节约用水政策、组织编制节约用水规划、执行有关用水定额和标准，指导和推动区域节水型社会建设与水平衡测试等工作。</w:t>
      </w:r>
    </w:p>
    <w:p w14:paraId="1083481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发展改革部门负责节水规划与国民经济和社会发展规划的衔接，根据相关规定推动节水产品认证与水效标识管理，推进水价改革。</w:t>
      </w:r>
    </w:p>
    <w:p w14:paraId="2A071B8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住建部门负责城镇生活污水处理和再生水利用的建设、管理工作；根据节约用水政策和规划，联合水行政主管部门、商务、工信、发改等部门制定节约用水“三同时”制度，切实推进城镇节约用水工作；负责推进城市节水型居民小区的创建工作；制定并实施城镇公共供水管网改造建设方案，降低城镇公共供水管网漏损率；推进雨（雪）水利用设施建设。</w:t>
      </w:r>
    </w:p>
    <w:p w14:paraId="6935253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工信（商工）部门负责落实工业节水减排各项工作，鼓励企业进行节约用水技术研究与改造；推动高耗水行业节水增效；推动节水型企业创建工作；协助水行政主管部门推动企业水平衡测试工作。</w:t>
      </w:r>
    </w:p>
    <w:p w14:paraId="35649E2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商务部门负责配合水行政主管部门推进高耗水商贸服务行业的节约用水管理工作。</w:t>
      </w:r>
    </w:p>
    <w:p w14:paraId="36EED25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40"/>
          <w:highlight w:val="none"/>
          <w:lang w:val="en-US" w:eastAsia="zh-CN"/>
        </w:rPr>
        <w:t>市场监督管理部门负责节水器具生产、销售环节的质量监督检查，规范节水产品市场。</w:t>
      </w:r>
    </w:p>
    <w:p w14:paraId="26C96A7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机关事务管理部门负责推进、指导、协调、监督区域内的公共机构做好节约用水设施管理与公共机构节水型单位创建工作。</w:t>
      </w:r>
    </w:p>
    <w:p w14:paraId="08F8331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财政部门严格落实水资源费（税）政策；落实节水专项资金并加强监管；加大对节水技术开发、节水项目建设、节水奖励等方面的资金投入力度。</w:t>
      </w:r>
    </w:p>
    <w:p w14:paraId="7F366AC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农业农村部门负责优化农业种植结构，推进高标准农田建设，实施农业用水精细化管理与节水技术推广应用，提高水资源利用效率；推广畜牧、渔业节水方式，鼓励发展智慧农业，集成发展水肥一体化技术等。</w:t>
      </w:r>
    </w:p>
    <w:p w14:paraId="707A549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林业和草原部门负责推进节水灌溉应用，逐步提升现有人工林和新增人工林节水灌溉水平。</w:t>
      </w:r>
    </w:p>
    <w:p w14:paraId="482BBED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宣传部门做好区域节水公益活动宣传报道，普及水情知识和节水知识。</w:t>
      </w:r>
    </w:p>
    <w:p w14:paraId="71CCCB3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教育部门广泛开展节约用水宣传教育活动，将节约用水纳入中小学教育与高等教育德育实践活动，普及节约用水知识。</w:t>
      </w:r>
    </w:p>
    <w:p w14:paraId="2E9298B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各相关部门应在各自职责范围内，协同水行政主管部门做好节约用水管理工作，并在制定行业发展规划时充分考虑先进、科学的节约用水方案和措施。</w:t>
      </w:r>
    </w:p>
    <w:p w14:paraId="1731F97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第二章  用水管理</w:t>
      </w:r>
    </w:p>
    <w:p w14:paraId="5C628D9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总量控制）各县（市、园区）人民政府（管委会）应根据自治区地表水及地下水用水总量控制指标，制定水量分配方案或年度用水计划，依法对本行政区域内的年度用水实行总量管理。年度用水计划不得超过用水总量控制指标。</w:t>
      </w:r>
    </w:p>
    <w:p w14:paraId="61F26D3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32"/>
          <w:highlight w:val="none"/>
          <w:lang w:val="en-US" w:eastAsia="zh-CN"/>
        </w:rPr>
        <w:t>各级人民政府</w:t>
      </w:r>
      <w:r>
        <w:rPr>
          <w:rFonts w:hint="default" w:ascii="Times New Roman" w:hAnsi="Times New Roman" w:eastAsia="仿宋_GB2312" w:cs="Times New Roman"/>
          <w:color w:val="auto"/>
          <w:sz w:val="32"/>
          <w:szCs w:val="32"/>
          <w:highlight w:val="none"/>
        </w:rPr>
        <w:t>国民经济和社会发展规划以及国土空间规划等相关规划的编制、重大建设项目的布局，需开展水资源论证工作的，应在水资源论证阶段开展节水评价</w:t>
      </w:r>
      <w:r>
        <w:rPr>
          <w:rFonts w:hint="default" w:ascii="Times New Roman" w:hAnsi="Times New Roman" w:eastAsia="仿宋_GB2312" w:cs="Times New Roman"/>
          <w:color w:val="auto"/>
          <w:sz w:val="32"/>
          <w:szCs w:val="32"/>
          <w:highlight w:val="none"/>
          <w:lang w:eastAsia="zh-CN"/>
        </w:rPr>
        <w:t>。</w:t>
      </w:r>
    </w:p>
    <w:p w14:paraId="309D5F6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定额管理）州、县（市、园区）农业农村、自然资源、住建、商务、工信（商工）、水利等部门应当指导、督促各自主管的行业用水单位或个人（以下统称“用水单位”）使用用水定额。在建设项目取水许可或水资源论证审批、下达年度用水计划以及节水载体认定工作中，应当严格执行用水定额。</w:t>
      </w:r>
    </w:p>
    <w:p w14:paraId="3A11B80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（计划用水管理）</w:t>
      </w:r>
      <w:r>
        <w:rPr>
          <w:rFonts w:hint="default" w:ascii="Times New Roman" w:hAnsi="Times New Roman" w:eastAsia="仿宋_GB2312" w:cs="Times New Roman"/>
          <w:color w:val="auto"/>
          <w:sz w:val="32"/>
          <w:szCs w:val="32"/>
          <w:highlight w:val="none"/>
        </w:rPr>
        <w:t>对纳入取水许可管理的单位和其他用水大户实行计划用水管理。其他用水大户的类别和规模，由</w:t>
      </w:r>
      <w:r>
        <w:rPr>
          <w:rFonts w:hint="default" w:ascii="Times New Roman" w:hAnsi="Times New Roman" w:eastAsia="仿宋_GB2312" w:cs="Times New Roman"/>
          <w:b w:val="0"/>
          <w:bCs w:val="0"/>
          <w:color w:val="auto"/>
          <w:sz w:val="32"/>
          <w:szCs w:val="32"/>
          <w:highlight w:val="none"/>
          <w:shd w:val="clear" w:color="auto" w:fill="FFFFFF"/>
          <w:lang w:val="en-US" w:eastAsia="zh-CN"/>
        </w:rPr>
        <w:t>各县（市、园区）人民政府（管委会）或其委托的职能部门结合当地实际</w:t>
      </w:r>
      <w:r>
        <w:rPr>
          <w:rFonts w:hint="default" w:ascii="Times New Roman" w:hAnsi="Times New Roman" w:eastAsia="仿宋_GB2312" w:cs="Times New Roman"/>
          <w:color w:val="auto"/>
          <w:sz w:val="32"/>
          <w:szCs w:val="32"/>
          <w:highlight w:val="none"/>
        </w:rPr>
        <w:t>确定。</w:t>
      </w:r>
    </w:p>
    <w:p w14:paraId="091E4FE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县（市、园区）水行政、城市节水和供水主管部门、相应流域管理机构，应当根据本行政区域年度用水总量控制指标和用水定额，核定用水单位的用水计划</w:t>
      </w:r>
      <w:r>
        <w:rPr>
          <w:rFonts w:hint="default" w:ascii="Times New Roman" w:hAnsi="Times New Roman" w:eastAsia="仿宋_GB2312" w:cs="Times New Roman"/>
          <w:color w:val="auto"/>
          <w:sz w:val="32"/>
          <w:szCs w:val="32"/>
          <w:highlight w:val="none"/>
          <w:lang w:val="en-US" w:eastAsia="zh-CN"/>
        </w:rPr>
        <w:t>。</w:t>
      </w:r>
    </w:p>
    <w:p w14:paraId="2152AFF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纳入计划管理的用水单位应当主动申报用水计划，并按月向计划审批主管部门报送用水情况。若无正当事由，用水单位未在规定期限内提出申报用水计划的，水行政主管部门应当书面告知其限期办理用水计划；逾期仍未办理的，按照用水单位所在行业先进用水水平或其上年度用水计划核定其用水计划，并书面通知用水单位。</w:t>
      </w:r>
    </w:p>
    <w:p w14:paraId="154A1AE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建设项目施工等需要临时用水的，应当向有管辖权的水行政主管部门申请临时用水计划。</w:t>
      </w:r>
    </w:p>
    <w:p w14:paraId="3674689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bookmarkStart w:id="0" w:name="tiao_36_kuan_1"/>
      <w:bookmarkEnd w:id="0"/>
      <w:bookmarkStart w:id="1" w:name="tiao_36_kuan_1_xiang_4"/>
      <w:bookmarkEnd w:id="1"/>
      <w:bookmarkStart w:id="2" w:name="tiao_37"/>
      <w:bookmarkEnd w:id="2"/>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（用水计量）用水应当计量，禁止包费制用水。对不同水源或不同用途的水，应当分别计量。</w:t>
      </w:r>
    </w:p>
    <w:p w14:paraId="2163BFA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供水单位、用水单位应当安装和使用经计量检定合格的计量设施，并定期检查和维护，保证计量准确。</w:t>
      </w:r>
    </w:p>
    <w:p w14:paraId="0687ABE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居民住宅安装分户计量器具，新建、改扩建居民住宅应使用远传智能水表，原有居民住宅尚未达到“一户一表、水表出户”设置要求的，应逐步进行改造。</w:t>
      </w:r>
    </w:p>
    <w:p w14:paraId="6707240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pPr>
      <w:r>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t>非常规水源利用设施运营单位应当按照规定建设水量、水质在线监测设施。</w:t>
      </w:r>
    </w:p>
    <w:p w14:paraId="1A1B56F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pPr>
      <w:r>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t>临时用水户应当及时办理临时用水手续，按照规定安装符合要求的用水计量设施、缴纳水费，并指派专人管理临时用水。</w:t>
      </w:r>
    </w:p>
    <w:p w14:paraId="10CC379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（用水统计</w:t>
      </w:r>
      <w:r>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t>）州、县（市、园区）水行政、工信（商工）、商务、住建、统计等主管部门应健全完善水资源实时监控和用水信息统计体系。</w:t>
      </w:r>
    </w:p>
    <w:p w14:paraId="5342B69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供水单位应当于每季（月）末向有管辖权的县（市、园区）人民政府水行政、住建等有关部门报送纳入计划管理的用水单位的用水统计资料。</w:t>
      </w:r>
    </w:p>
    <w:p w14:paraId="4A4B964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重点用水监控）建立健全高耗水项目和用水单位用水重点监控机制。州、县（市、园区）水行政主管部门会同住建、商务、工信（商工）等部门确定本级重点监控用水单位名录，鼓励引导重点用水单位安装远传水表等监控设施，实现用水数据全过程监管。</w:t>
      </w:r>
    </w:p>
    <w:p w14:paraId="7343F9F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（水平衡测试要求）用水单位应定期进行水平衡测试。</w:t>
      </w:r>
    </w:p>
    <w:p w14:paraId="72E1B892">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创建节水型载体的用水单位，应当根据创建要求提供符合国家相关规范的水平衡测试报告。</w:t>
      </w:r>
    </w:p>
    <w:p w14:paraId="03268399">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产品结构、生产工艺或水处理及循环水设施发生变化的；无正当理由月实际用水量超过月计划用水50%以上，或者年实际用水量超过年计划用水总量的30%以上的，应当及时进行水平衡测试。</w:t>
      </w:r>
    </w:p>
    <w:p w14:paraId="773A9293">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其他依法需及时进行测试的情况。</w:t>
      </w:r>
    </w:p>
    <w:p w14:paraId="567A0D4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开展水平衡测试的用水单位应当将水平衡测试结果报送县（市、园区）水行政主管部门备案，水行政主管部门应当依据水平衡测试相关标准，对用水单位的水平衡测试工作进行技术指导和监督。</w:t>
      </w:r>
    </w:p>
    <w:p w14:paraId="5C555ED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（节水三同时管理）新建、改建和扩建工程的节水设施必须与主体工程同时设计、同时施工、同时投入使用。鼓励各部门加强“三同时”相关信息共享。</w:t>
      </w:r>
    </w:p>
    <w:p w14:paraId="4AD485D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各相关主管部门应当根据职责分工，在建设项目的设计、审查、节水设施应用和验收等环节落实节水设施“三同时”制度。</w:t>
      </w:r>
    </w:p>
    <w:p w14:paraId="30D70A7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pacing w:val="-20"/>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建设项目节水设施未经验收或者验收不合格的，建设项目不</w:t>
      </w:r>
      <w:r>
        <w:rPr>
          <w:rFonts w:hint="default" w:ascii="Times New Roman" w:hAnsi="Times New Roman" w:eastAsia="仿宋_GB2312" w:cs="Times New Roman"/>
          <w:b w:val="0"/>
          <w:bCs w:val="0"/>
          <w:color w:val="auto"/>
          <w:spacing w:val="-20"/>
          <w:sz w:val="32"/>
          <w:szCs w:val="32"/>
          <w:highlight w:val="none"/>
          <w:shd w:val="clear" w:color="auto" w:fill="FFFFFF"/>
          <w:lang w:val="en-US" w:eastAsia="zh-CN"/>
        </w:rPr>
        <w:t>得使用，水行政主管部门不予核定用水指标，供水单位不得正式供水。</w:t>
      </w:r>
    </w:p>
    <w:p w14:paraId="33FF55E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（用水器具）禁止生产和销售不符合节水强制性标准的用水产品。</w:t>
      </w:r>
    </w:p>
    <w:p w14:paraId="0C8C206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县（市、园区）市场监督管理部门负责对区域内生产和销售的用水器具进行监督检查，定期通报检查结果。</w:t>
      </w:r>
    </w:p>
    <w:p w14:paraId="5498D8D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县（市、园区）水行政主管部门应当会同市场监督管理部门根据国家关于节水型设备和器具的选型（技术）标准，做好相关的示范推广服务工作。</w:t>
      </w:r>
    </w:p>
    <w:p w14:paraId="2DCA648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（水效标识）县（市、园区）市场监督管理部门负责对区域内列入水效标识管理产品目录的产品依法进行水效</w:t>
      </w:r>
      <w:r>
        <w:rPr>
          <w:rFonts w:hint="default" w:ascii="Times New Roman" w:hAnsi="Times New Roman" w:eastAsia="仿宋_GB2312" w:cs="Times New Roman"/>
          <w:b w:val="0"/>
          <w:bCs w:val="0"/>
          <w:color w:val="auto"/>
          <w:spacing w:val="-20"/>
          <w:sz w:val="32"/>
          <w:szCs w:val="32"/>
          <w:highlight w:val="none"/>
          <w:shd w:val="clear" w:color="auto" w:fill="FFFFFF"/>
          <w:lang w:val="en-US" w:eastAsia="zh-CN"/>
        </w:rPr>
        <w:t>标识监督检查，并将检查结果通报同级发展改革和水行政主管部门。</w:t>
      </w:r>
    </w:p>
    <w:p w14:paraId="0348712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第三章  节水管理</w:t>
      </w:r>
    </w:p>
    <w:p w14:paraId="32EE0CD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（水源配置）州、县（市、园区）人民政府（管委会）应当坚持以水定城、以水定地、以水定人、以水定产，</w:t>
      </w:r>
      <w:r>
        <w:rPr>
          <w:rFonts w:hint="default" w:ascii="Times New Roman" w:hAnsi="Times New Roman" w:eastAsia="仿宋_GB2312" w:cs="Times New Roman"/>
          <w:color w:val="auto"/>
          <w:sz w:val="32"/>
          <w:szCs w:val="32"/>
          <w:highlight w:val="none"/>
        </w:rPr>
        <w:t>遵循统筹规划、节水优先、高效利用、系统治理的原则</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shd w:val="clear" w:color="auto" w:fill="FFFFFF"/>
          <w:lang w:val="en-US" w:eastAsia="zh-CN"/>
        </w:rPr>
        <w:t>科学安排经济社会发展布局，优化产业结构。</w:t>
      </w:r>
    </w:p>
    <w:p w14:paraId="36D0EA4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（农业节水）州、县（市、园区）农业农村部门应当合理优化农业生产布局、农作物种植结构，引导推动农业转型升级，指导农业生产经营单位和个人发展节水型农业。</w:t>
      </w:r>
    </w:p>
    <w:p w14:paraId="12FEB41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县（市）水行政主管部门应根据定额下达用水计划，落实农业用水定额管理。</w:t>
      </w:r>
    </w:p>
    <w:p w14:paraId="6F28DA6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（农业节水）州、县（市、园区）农业农村、自然资源、水利等主管部门应当支持农业节水新技术的研究和推广，建立健全基层节水服务体系，指导农业用水户使用节水技术措施。</w:t>
      </w:r>
    </w:p>
    <w:p w14:paraId="39E9587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（工业节水）工业企业应当加强内部用水管理，</w:t>
      </w:r>
      <w:r>
        <w:rPr>
          <w:rFonts w:hint="default" w:ascii="Times New Roman" w:hAnsi="Times New Roman" w:eastAsia="仿宋_GB2312" w:cs="Times New Roman"/>
          <w:b w:val="0"/>
          <w:bCs w:val="0"/>
          <w:color w:val="auto"/>
          <w:spacing w:val="-20"/>
          <w:sz w:val="32"/>
          <w:szCs w:val="32"/>
          <w:highlight w:val="none"/>
          <w:shd w:val="clear" w:color="auto" w:fill="FFFFFF"/>
          <w:lang w:val="en-US" w:eastAsia="zh-CN"/>
        </w:rPr>
        <w:t>建立节约用水管理制度，定期开展用水统计分析，建设节水型企业。</w:t>
      </w:r>
    </w:p>
    <w:p w14:paraId="1D855B9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工业企业的生产设备冷却水、空调冷却水、锅炉冷凝水应当回收利用。工业企业应当采用高效冷却、洗涤、循环用水、废水处理回用等节水技术、工艺和设备，提高水的重复利用率，降低单位产品耗水量。</w:t>
      </w:r>
    </w:p>
    <w:p w14:paraId="6E5C24A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因节水设施或者措施不到位，超过用水定额的企业，应当限期实施节水改造。</w:t>
      </w:r>
    </w:p>
    <w:p w14:paraId="028BDEC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工业节水）以水为主要原料的生产企业和现场制、售饮用水的单位和个人，应当采用节水技术、工艺和设备，生产后的尾水应当回收利用，不得直接排放；对未安装尾水回收设施的，任何单位和个人不得提供水源。</w:t>
      </w:r>
    </w:p>
    <w:p w14:paraId="4CD3679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对本办法实施前已经安装的现场制、售饮用水设备，有关单</w:t>
      </w:r>
      <w:r>
        <w:rPr>
          <w:rFonts w:hint="default" w:ascii="Times New Roman" w:hAnsi="Times New Roman" w:eastAsia="仿宋_GB2312" w:cs="Times New Roman"/>
          <w:b w:val="0"/>
          <w:bCs w:val="0"/>
          <w:color w:val="auto"/>
          <w:spacing w:val="-20"/>
          <w:sz w:val="32"/>
          <w:szCs w:val="32"/>
          <w:highlight w:val="none"/>
          <w:shd w:val="clear" w:color="auto" w:fill="FFFFFF"/>
          <w:lang w:val="en-US" w:eastAsia="zh-CN"/>
        </w:rPr>
        <w:t>位或者个人应当自本办法实施之日起6个月内安装尾水回收设施。</w:t>
      </w:r>
    </w:p>
    <w:p w14:paraId="074FD4B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（工业节水）新建工业园区在规划布局时，应当统筹供排水、水处理及循环利用设施建设，实施园区内企业串联用水和循环利用，建设节水型工业园区。</w:t>
      </w:r>
    </w:p>
    <w:p w14:paraId="14CF9A2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支持已建工业园区开展以节水为重点的转型升级改造，加快节水及水循环利用设施建设。</w:t>
      </w:r>
    </w:p>
    <w:p w14:paraId="4ACDE16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（高耗水项目节水）州、县（市）工信（商工）部门应配合水行政主管部门建立健全高耗水项目和单位用水重点监控机制，建立高耗水项目和单位名录，强化用水监控管理。</w:t>
      </w:r>
    </w:p>
    <w:p w14:paraId="0051F3B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（高耗水服务业节水）洗浴、洗车、游泳馆、高尔夫球场、水上娱乐场所和大型景观用水等高耗水用水行业经营者，应当采用低耗水和循环用水等节水技术、设备或设施。</w:t>
      </w:r>
    </w:p>
    <w:p w14:paraId="69A5AB2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餐饮、宾馆、公园等场所应当采用节水型器具。</w:t>
      </w:r>
    </w:p>
    <w:p w14:paraId="741DCEC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（公共机构节水）公共机构应当建立节水管理制度，明确节水管理人员，推进实施节水改造，更新使用节水器具和设备，配备用水计量设施，加强用水日常管理，创建节水型单位。</w:t>
      </w:r>
    </w:p>
    <w:p w14:paraId="7C52DB4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（居民节水）街道办事处（乡、镇）、社区（村）应当加强对辖区居民节水的指导，普及节水知识，倡导节水型生活方式，集中供水且有物业统一管理的居民小区应当建设节水型居民小区。</w:t>
      </w:r>
    </w:p>
    <w:p w14:paraId="7409364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（农村节水）县（市、园区）人民政府（管委会）应加快实施农村用水设施及配套管网改造，推动计量收费；在农村推广使用生活节水器具。</w:t>
      </w:r>
    </w:p>
    <w:p w14:paraId="57951BE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（公共供水设施节水）公共供水单位和自建供水设施的单位应当加强对供用水设施的维护管理，改进制水工艺，定期进行管网查漏、维修和改造，管网漏损率应当符合国家标准。</w:t>
      </w:r>
    </w:p>
    <w:p w14:paraId="251D563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pacing w:val="-20"/>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w:t>
      </w:r>
      <w:r>
        <w:rPr>
          <w:rFonts w:hint="default" w:ascii="Times New Roman" w:hAnsi="Times New Roman" w:eastAsia="仿宋_GB2312" w:cs="Times New Roman"/>
          <w:b w:val="0"/>
          <w:bCs w:val="0"/>
          <w:color w:val="auto"/>
          <w:spacing w:val="-20"/>
          <w:sz w:val="32"/>
          <w:szCs w:val="32"/>
          <w:highlight w:val="none"/>
          <w:shd w:val="clear" w:color="auto" w:fill="FFFFFF"/>
          <w:lang w:val="en-US" w:eastAsia="zh-CN"/>
        </w:rPr>
        <w:t>（绿化及其他公共设施节水）城市园林绿化应当选用耐旱型花草树木和灌木植被，采用喷灌、滴灌等节水灌溉方式。</w:t>
      </w:r>
    </w:p>
    <w:p w14:paraId="440F432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园林、环卫部门和公共消防用水，禁止取作他用。</w:t>
      </w:r>
    </w:p>
    <w:p w14:paraId="67270DF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（非常规水源利用）州、县（市、园区）人民政府（管委会）应当鼓励对再生水、雨雪水、矿坑（井）水等非常规水的开发利用，</w:t>
      </w:r>
      <w:r>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t>将再生水利用纳入当地发展规划</w:t>
      </w:r>
      <w:r>
        <w:rPr>
          <w:rFonts w:hint="default" w:ascii="Times New Roman" w:hAnsi="Times New Roman" w:eastAsia="仿宋_GB2312" w:cs="Times New Roman"/>
          <w:b w:val="0"/>
          <w:bCs w:val="0"/>
          <w:color w:val="auto"/>
          <w:sz w:val="32"/>
          <w:szCs w:val="32"/>
          <w:highlight w:val="none"/>
          <w:shd w:val="clear" w:color="auto" w:fill="FFFFFF"/>
          <w:lang w:val="en-US" w:eastAsia="zh-CN"/>
        </w:rPr>
        <w:t>。</w:t>
      </w:r>
    </w:p>
    <w:p w14:paraId="2C83BAC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鼓励有条件的企业使用再生水</w:t>
      </w:r>
      <w:r>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t>，推进企业内部废污水循环利用，支持工业园区废水集中处理及再生利用；河湖湿地生态补水、造林绿化、景观环境用水、城市杂用等，在满足水质要求条件下，优先配置再生水。</w:t>
      </w:r>
    </w:p>
    <w:p w14:paraId="4661E6D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非常规水源利用）县（市、园区）水行政主管部门应将非常规水源合理纳入计划用水管理，核定年度用水计划时，对于具备利用非常规水源条件的用水单位配置非常规水源。下达的用水计划应当明确非常规水源计划用水指标，按计划可以利用非常规水源而未利用的，核减其下一年度常规水源的计划用水指标。</w:t>
      </w:r>
    </w:p>
    <w:p w14:paraId="436C65D7">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pPr>
      <w:r>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t>矿区生产应充分使用矿坑（井）水。对于周边具备矿坑（井）水供水条件且水质满足利用要求的工业企业，在办理取水许可时应合理配置矿坑（井）水。</w:t>
      </w:r>
    </w:p>
    <w:p w14:paraId="01F3D77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（非常规水源利用）下列新建、改建、扩建建设项目，应当建设再生水利用设施。</w:t>
      </w:r>
    </w:p>
    <w:p w14:paraId="508559A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（一）建筑面积在二万平方米以上的宾馆、饭店、商场、综合性服务楼及高层住宅；</w:t>
      </w:r>
    </w:p>
    <w:p w14:paraId="738FF2F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（二）建筑面积在三万平方米以上的机关、科研单位、学校和大型综合性文化体育设施；</w:t>
      </w:r>
    </w:p>
    <w:p w14:paraId="3BF307E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pacing w:val="-20"/>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（三</w:t>
      </w:r>
      <w:r>
        <w:rPr>
          <w:rFonts w:hint="default" w:ascii="Times New Roman" w:hAnsi="Times New Roman" w:eastAsia="仿宋_GB2312" w:cs="Times New Roman"/>
          <w:b w:val="0"/>
          <w:bCs w:val="0"/>
          <w:color w:val="auto"/>
          <w:spacing w:val="-20"/>
          <w:sz w:val="32"/>
          <w:szCs w:val="32"/>
          <w:highlight w:val="none"/>
          <w:shd w:val="clear" w:color="auto" w:fill="FFFFFF"/>
          <w:lang w:val="en-US" w:eastAsia="zh-CN"/>
        </w:rPr>
        <w:t>）建筑面积在五万平方米以上的居住区或者其他民用建筑；</w:t>
      </w:r>
    </w:p>
    <w:p w14:paraId="06E530A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（四）工业企业或者工业园区。</w:t>
      </w:r>
    </w:p>
    <w:p w14:paraId="59CC211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既有建设项目日可回收污（废）水水量在七十五立方米以上，日再生水需水量在五十立方米以上，且具备建设场地等条件的，产权单位应当按照再生水需求量建设分散式再生水利用设施。</w:t>
      </w:r>
    </w:p>
    <w:p w14:paraId="7A20CF4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（水价机制）县（市、园区）人民政府（管委会）应当制定落实居民用水阶梯水价制度与非居民用水超计划超定额累进加价制度。</w:t>
      </w:r>
    </w:p>
    <w:p w14:paraId="28DAB67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依照本办法第七条规定实行计划用水管理的用水单位，须按照批准的计划取用水，超计划或者超定额取用水的，除据实缴纳水费和水资源税（费）外，取水许可用水单位应按照《新疆维吾尔自治区水资源费征收管理办法》及相关规定，缴纳超计划超定额累进加价水费和水资源税（费）；公共管网供水的用水单位应按照县（市、园区）人民政府（管委会）价格主管部门批准的标准规定，缴纳超计划累进加价水费。</w:t>
      </w:r>
    </w:p>
    <w:p w14:paraId="06667AE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居民生活用水阶梯水价按照县（市、园区）人民政府（管委会）价格主管部门批准的标准执行。</w:t>
      </w:r>
    </w:p>
    <w:p w14:paraId="257A178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阶梯水价和累进加价形成的收入设置专账核算，用于管网及户表改造、完善计量设施和水质提升、对节水成效突出的企业进行奖励、企业节水技术改造、节水技术工艺推广、节水型社会建设、节水宣传与奖励等。</w:t>
      </w:r>
    </w:p>
    <w:p w14:paraId="1FDE9D1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（水权转让）鼓励依法取得取（用）水权的用水单位实行节余用水权的有偿转让。</w:t>
      </w:r>
    </w:p>
    <w:p w14:paraId="78F6E7D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水行政主管部门应当加强对水权交易的监督管理，完善计量监测设施。</w:t>
      </w:r>
    </w:p>
    <w:p w14:paraId="5BFCF9E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（宣传教育）州、县（市、园区）各相关部门、单位应当组织开展水情和节约用水宣传教育，普及节约用水法律法规和节水知识，提高全社会节约用水意识。</w:t>
      </w:r>
    </w:p>
    <w:p w14:paraId="2B0398D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新闻媒体应当加强节约用水宣传，播放和刊登节约用水公益广告。</w:t>
      </w:r>
    </w:p>
    <w:p w14:paraId="319CF57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第四章  监督管理和保障措施</w:t>
      </w:r>
    </w:p>
    <w:p w14:paraId="537E067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公众参与）州、县（市、园区）水行政主管部门应当会同有关部门加强节水工作信息化建设，提升节水信息收集、传输、处理和利用的技术水平；建立健全公众参与节水制度，在推进节约用水工作中充分听取公众意见建议，自觉接受社会监督。</w:t>
      </w:r>
    </w:p>
    <w:p w14:paraId="07B50A8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（监督管理）州、县（市、园区）水行政主管部门应当会同相关部门依法履行职责，切实加强对供水单位、用水单位节约用水情况的监督检查。</w:t>
      </w:r>
    </w:p>
    <w:p w14:paraId="1DF795F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有关单位或者个人对监督检查工作应当给予配合，不得拒绝或者阻挠。</w:t>
      </w:r>
    </w:p>
    <w:p w14:paraId="436A3DE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监督管理）县（市、园区）水行政主管部门应当加强对纳入取水许可管理的单位、用水量较大的非居民用水单位、特殊用水行业的日常监测和监督管理，需要有关部门配合的，应当实行联合检查，对发现的浪费水行为及时处理。</w:t>
      </w:r>
    </w:p>
    <w:p w14:paraId="09B0CC7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（组织保障）州、县（市、园区）人民政府（管委会）应当担负主体责任，建立节约用水考核评价体系，落实节约用水目标责任制，将节水工作纳入各级领导班子和领导干部的政绩考核。</w:t>
      </w:r>
    </w:p>
    <w:p w14:paraId="291275B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投入政策）州、县（市、园区）人民政府（管委会）应当安排节水专项资金，支持节水型社会建设、节水技术研究开发、农业节水技术推广、工业和服务业节水技术改造、重点节水工程的实施、再生水利用、节水宣传培训、信息服务和节水管理工作表彰奖励等。</w:t>
      </w:r>
    </w:p>
    <w:p w14:paraId="12BB7DB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支持政策）各级人民政府及相关部门应认真贯彻落实国家、自治区各项节水政策，重点支持农业节水灌溉、水资源节约保护、城市供水管网漏损控制、节水标准制订、节水宣传教育等，完善节水产业发展的价格、投资、融资等政策。</w:t>
      </w:r>
    </w:p>
    <w:p w14:paraId="6BD15EC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非常规水利用保障）州、县（市、园区）住房城乡建设主管部门应当按照国家和自治区有关标准，加强城镇生活污水再生水资源利用设施建设，加快实施现有城镇生活污水处理设施提标升级扩能改造，提高城镇生活污水再生利用率。</w:t>
      </w:r>
    </w:p>
    <w:p w14:paraId="1F3DE52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pPr>
      <w:r>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t>发改、财政、水利、住建、工信（商工）等相关部门应当引导非常规水源市场配置，推动落实减免水资源税（费）、企业所得税等税费优惠政策，降低非常规水源生产和使用成本。培育壮大非常规水源交易市场，鼓励交易双方依据市场化原则自主协商定价。</w:t>
      </w:r>
    </w:p>
    <w:p w14:paraId="0D89C7B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（合同节水管理）县（市、园区）人民政府（管委会）及其有关部门应当研究制定鼓励合同节水管理的相关政策，在公共机构、公共建筑、农业、工业、服务业、园林绿化等领域，引导和推动合同节水管理。</w:t>
      </w:r>
    </w:p>
    <w:p w14:paraId="04DC53A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（节水服务产业）鼓励市场化、专业化、规范化的节水服务产业发展，支持节水服务机构与用水单位或者个人签订节水管理合同，提供节水服务并以节水效益分享等方式获得合理收益。</w:t>
      </w:r>
    </w:p>
    <w:p w14:paraId="1257EE1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支持节水服务机构开展节水咨询、设计、检测、计量、认证、审计、水平衡测试、技术改造、运行管理等服务。</w:t>
      </w:r>
    </w:p>
    <w:p w14:paraId="14B3106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（检举与奖励）任何单位和个人都有节约用水的义务，有权对浪费水的行为予以劝阻、制止，并向水行政主管部门检举。</w:t>
      </w:r>
    </w:p>
    <w:p w14:paraId="37302D0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州、县（市、园区）人民政府（管委会）对获得节水型居民小区、节水型企业（单位）称号的用水单位和在节约用水工作中做出显著成绩的单位和个人，可给予表彰与奖励。</w:t>
      </w:r>
    </w:p>
    <w:p w14:paraId="2EB9B93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第五章  法律责任</w:t>
      </w:r>
    </w:p>
    <w:p w14:paraId="01A8DFB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（政府管理者法律责任）各级人民政府有关部门及其工作人员未按本办法规定履行职责</w:t>
      </w:r>
      <w:r>
        <w:rPr>
          <w:rFonts w:hint="eastAsia" w:ascii="Times New Roman" w:hAnsi="Times New Roman" w:cs="Times New Roman"/>
          <w:b w:val="0"/>
          <w:bCs w:val="0"/>
          <w:color w:val="auto"/>
          <w:sz w:val="32"/>
          <w:szCs w:val="32"/>
          <w:highlight w:val="none"/>
          <w:shd w:val="clear" w:color="auto" w:fill="FFFFFF"/>
          <w:lang w:val="en-US" w:eastAsia="zh-CN"/>
        </w:rPr>
        <w:t>，</w:t>
      </w:r>
      <w:r>
        <w:rPr>
          <w:rFonts w:hint="default" w:ascii="Times New Roman" w:hAnsi="Times New Roman" w:eastAsia="仿宋_GB2312" w:cs="Times New Roman"/>
          <w:b w:val="0"/>
          <w:bCs w:val="0"/>
          <w:color w:val="auto"/>
          <w:sz w:val="32"/>
          <w:szCs w:val="32"/>
          <w:highlight w:val="none"/>
          <w:shd w:val="clear" w:color="auto" w:fill="FFFFFF"/>
          <w:lang w:val="en-US" w:eastAsia="zh-CN"/>
        </w:rPr>
        <w:t>在节约用水管理工作中玩忽职守、滥用职权、徇私舞弊的，对直接负责的主管人员和其他责任人员依法依规给予处分；构成犯罪的，依法追究刑事责任。</w:t>
      </w:r>
    </w:p>
    <w:p w14:paraId="74EA32C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（政府管理者法律责任）违反本办法规定，有下列行为之一的，由其上级机关对县（市、园区）人民政府（管委会）予以通报批评；对主要负责人和分管负责人予以约谈，情节严重的，依法依规追究责任：</w:t>
      </w:r>
    </w:p>
    <w:p w14:paraId="355BEE1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（一）未按规定编制用水年度计划和开展节水行动的；</w:t>
      </w:r>
    </w:p>
    <w:p w14:paraId="7479EF5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（二）超过用水总量、用水效率控制指标的；</w:t>
      </w:r>
    </w:p>
    <w:p w14:paraId="6A06175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（三）未及时核定用水计划指标，导致用水单位无法正常用水的。</w:t>
      </w:r>
    </w:p>
    <w:p w14:paraId="4B4C1ED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w:t>
      </w:r>
      <w:r>
        <w:rPr>
          <w:rFonts w:hint="eastAsia" w:ascii="Times New Roman" w:hAnsi="Times New Roman" w:cs="Times New Roman"/>
          <w:b w:val="0"/>
          <w:bCs w:val="0"/>
          <w:color w:val="auto"/>
          <w:sz w:val="32"/>
          <w:szCs w:val="32"/>
          <w:highlight w:val="none"/>
          <w:shd w:val="clear" w:color="auto" w:fill="FFFFFF"/>
          <w:lang w:val="en-US" w:eastAsia="zh-CN"/>
        </w:rPr>
        <w:t>用水单位</w:t>
      </w:r>
      <w:r>
        <w:rPr>
          <w:rFonts w:hint="default" w:ascii="Times New Roman" w:hAnsi="Times New Roman" w:eastAsia="仿宋_GB2312" w:cs="Times New Roman"/>
          <w:b w:val="0"/>
          <w:bCs w:val="0"/>
          <w:color w:val="auto"/>
          <w:sz w:val="32"/>
          <w:szCs w:val="32"/>
          <w:highlight w:val="none"/>
          <w:shd w:val="clear" w:color="auto" w:fill="FFFFFF"/>
          <w:lang w:val="en-US" w:eastAsia="zh-CN"/>
        </w:rPr>
        <w:t>法律责任）违反本办法规定，用水单位有下列情形之一的，县（市）水行政主管部门责令停止违法行为，限期改正，并可处五千元以上五万元以下罚款：</w:t>
      </w:r>
    </w:p>
    <w:p w14:paraId="6EA9C83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（一）已纳入计划管理未按规定申报年度计划用水量的；</w:t>
      </w:r>
    </w:p>
    <w:p w14:paraId="318A95C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（二）已纳入计划管理未取得用水计划擅自取用水的；</w:t>
      </w:r>
    </w:p>
    <w:p w14:paraId="27FFEDC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（三）虚报、瞒报、伪造、篡改用水原始记录和统计台账的；</w:t>
      </w:r>
    </w:p>
    <w:p w14:paraId="738CF7D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（四）按本办法规定应开展水平衡测试工作而未开展或者未向本级水行政主管部门报送测试结果的；</w:t>
      </w:r>
    </w:p>
    <w:p w14:paraId="01AD1E1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（五）擅自停止使用已经建成的节水设施的；</w:t>
      </w:r>
    </w:p>
    <w:p w14:paraId="014397C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（六）未按规定安装计量设施的，或计量设施不能正常运行的。</w:t>
      </w:r>
    </w:p>
    <w:p w14:paraId="30C2C92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w:t>
      </w:r>
      <w:r>
        <w:rPr>
          <w:rFonts w:hint="eastAsia" w:ascii="Times New Roman" w:hAnsi="Times New Roman" w:eastAsia="仿宋_GB2312" w:cs="Times New Roman"/>
          <w:b w:val="0"/>
          <w:bCs w:val="0"/>
          <w:color w:val="auto"/>
          <w:sz w:val="32"/>
          <w:szCs w:val="32"/>
          <w:highlight w:val="none"/>
          <w:shd w:val="clear" w:color="auto" w:fill="FFFFFF"/>
          <w:lang w:val="en-US" w:eastAsia="zh-CN"/>
        </w:rPr>
        <w:t>用水单位</w:t>
      </w:r>
      <w:r>
        <w:rPr>
          <w:rFonts w:hint="default" w:ascii="Times New Roman" w:hAnsi="Times New Roman" w:eastAsia="仿宋_GB2312" w:cs="Times New Roman"/>
          <w:b w:val="0"/>
          <w:bCs w:val="0"/>
          <w:color w:val="auto"/>
          <w:sz w:val="32"/>
          <w:szCs w:val="32"/>
          <w:highlight w:val="none"/>
          <w:shd w:val="clear" w:color="auto" w:fill="FFFFFF"/>
          <w:lang w:val="en-US" w:eastAsia="zh-CN"/>
        </w:rPr>
        <w:t>法律责任）违反本办法第十九条、二十条规定，工业用水超过国家和自治区定额未及时进行技术改造的、工业企业直接排放设备冷却水或冷凝水的，由本级水行政主管部门责令限期改正，处一万元以上十万元以下罚款。</w:t>
      </w:r>
    </w:p>
    <w:p w14:paraId="7D1AB99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违反本办法第二十条规定，以水为主要原料的企业未回收利用生产后的尾水的，由本级水行政主管部门责令限期改正，处一万元以上十万元以下罚款。</w:t>
      </w:r>
    </w:p>
    <w:p w14:paraId="48E1A87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违反本办法第二十条规定，现场制、售饮用水的单位或者个人未安装尾水回收设施对尾水进行利用的，由本级水行政主管部门责令限期改正；逾期不改正的，责令拆除，处五千元以上二万元以下罚款。</w:t>
      </w:r>
    </w:p>
    <w:p w14:paraId="42634CD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w:t>
      </w:r>
      <w:r>
        <w:rPr>
          <w:rFonts w:hint="eastAsia" w:ascii="Times New Roman" w:hAnsi="Times New Roman" w:eastAsia="仿宋_GB2312" w:cs="Times New Roman"/>
          <w:b w:val="0"/>
          <w:bCs w:val="0"/>
          <w:color w:val="auto"/>
          <w:sz w:val="32"/>
          <w:szCs w:val="32"/>
          <w:highlight w:val="none"/>
          <w:shd w:val="clear" w:color="auto" w:fill="FFFFFF"/>
          <w:lang w:val="en-US" w:eastAsia="zh-CN"/>
        </w:rPr>
        <w:t>用水单位</w:t>
      </w:r>
      <w:r>
        <w:rPr>
          <w:rFonts w:hint="default" w:ascii="Times New Roman" w:hAnsi="Times New Roman" w:eastAsia="仿宋_GB2312" w:cs="Times New Roman"/>
          <w:b w:val="0"/>
          <w:bCs w:val="0"/>
          <w:color w:val="auto"/>
          <w:sz w:val="32"/>
          <w:szCs w:val="32"/>
          <w:highlight w:val="none"/>
          <w:shd w:val="clear" w:color="auto" w:fill="FFFFFF"/>
          <w:lang w:val="en-US" w:eastAsia="zh-CN"/>
        </w:rPr>
        <w:t>法律责任）违反本办法第二十三条规定，洗浴、洗车、游泳馆、高尔夫球场、水上娱乐场所和大型景观用水等高耗水用水行业经营者，未按规定采用低耗水和循环用水等节水技术、设备或设施的，由本级水行政主管部门责令限期改正，逾期不改正的，处一万元以上五万元以下的罚款。</w:t>
      </w:r>
    </w:p>
    <w:p w14:paraId="5EADBE6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w:t>
      </w:r>
      <w:r>
        <w:rPr>
          <w:rFonts w:hint="eastAsia" w:ascii="Times New Roman" w:hAnsi="Times New Roman" w:eastAsia="仿宋_GB2312" w:cs="Times New Roman"/>
          <w:b w:val="0"/>
          <w:bCs w:val="0"/>
          <w:color w:val="auto"/>
          <w:sz w:val="32"/>
          <w:szCs w:val="32"/>
          <w:highlight w:val="none"/>
          <w:shd w:val="clear" w:color="auto" w:fill="FFFFFF"/>
          <w:lang w:val="en-US" w:eastAsia="zh-CN"/>
        </w:rPr>
        <w:t>用水单位</w:t>
      </w:r>
      <w:r>
        <w:rPr>
          <w:rFonts w:hint="default" w:ascii="Times New Roman" w:hAnsi="Times New Roman" w:eastAsia="仿宋_GB2312" w:cs="Times New Roman"/>
          <w:b w:val="0"/>
          <w:bCs w:val="0"/>
          <w:color w:val="auto"/>
          <w:sz w:val="32"/>
          <w:szCs w:val="32"/>
          <w:highlight w:val="none"/>
          <w:shd w:val="clear" w:color="auto" w:fill="FFFFFF"/>
          <w:lang w:val="en-US" w:eastAsia="zh-CN"/>
        </w:rPr>
        <w:t>法律责任）违反本办法第二十八条规定，园林绿化用水未采用节水灌溉方式造成浪费用水的，由本级水行政主管部门责令限期改正；逾期不改正的，处一万元以上五万元以下罚款。</w:t>
      </w:r>
    </w:p>
    <w:p w14:paraId="33CB725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w:t>
      </w:r>
      <w:r>
        <w:rPr>
          <w:rFonts w:hint="eastAsia" w:ascii="Times New Roman" w:hAnsi="Times New Roman" w:eastAsia="仿宋_GB2312" w:cs="Times New Roman"/>
          <w:b w:val="0"/>
          <w:bCs w:val="0"/>
          <w:color w:val="auto"/>
          <w:sz w:val="32"/>
          <w:szCs w:val="32"/>
          <w:highlight w:val="none"/>
          <w:shd w:val="clear" w:color="auto" w:fill="FFFFFF"/>
          <w:lang w:val="en-US" w:eastAsia="zh-CN"/>
        </w:rPr>
        <w:t>用水单位</w:t>
      </w:r>
      <w:r>
        <w:rPr>
          <w:rFonts w:hint="default" w:ascii="Times New Roman" w:hAnsi="Times New Roman" w:eastAsia="仿宋_GB2312" w:cs="Times New Roman"/>
          <w:b w:val="0"/>
          <w:bCs w:val="0"/>
          <w:color w:val="auto"/>
          <w:sz w:val="32"/>
          <w:szCs w:val="32"/>
          <w:highlight w:val="none"/>
          <w:shd w:val="clear" w:color="auto" w:fill="FFFFFF"/>
          <w:lang w:val="en-US" w:eastAsia="zh-CN"/>
        </w:rPr>
        <w:t>法律责任）违反本办法第三十二条规定，未按规定缴纳超计划超定额加价水费的，本级水行政主管部门责令限期缴纳；逾期不缴纳的，按加价水费处一倍以上三倍以下罚款。</w:t>
      </w:r>
    </w:p>
    <w:p w14:paraId="07EEAF4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w:t>
      </w:r>
      <w:r>
        <w:rPr>
          <w:rFonts w:hint="eastAsia" w:ascii="Times New Roman" w:hAnsi="Times New Roman" w:eastAsia="仿宋_GB2312" w:cs="Times New Roman"/>
          <w:b w:val="0"/>
          <w:bCs w:val="0"/>
          <w:color w:val="auto"/>
          <w:sz w:val="32"/>
          <w:szCs w:val="32"/>
          <w:highlight w:val="none"/>
          <w:shd w:val="clear" w:color="auto" w:fill="FFFFFF"/>
          <w:lang w:val="en-US" w:eastAsia="zh-CN"/>
        </w:rPr>
        <w:t>用水单位</w:t>
      </w:r>
      <w:r>
        <w:rPr>
          <w:rFonts w:hint="default" w:ascii="Times New Roman" w:hAnsi="Times New Roman" w:eastAsia="仿宋_GB2312" w:cs="Times New Roman"/>
          <w:b w:val="0"/>
          <w:bCs w:val="0"/>
          <w:color w:val="auto"/>
          <w:sz w:val="32"/>
          <w:szCs w:val="32"/>
          <w:highlight w:val="none"/>
          <w:shd w:val="clear" w:color="auto" w:fill="FFFFFF"/>
          <w:lang w:val="en-US" w:eastAsia="zh-CN"/>
        </w:rPr>
        <w:t>法律责任）违反本办法规定，有下列行为之一的，由县（市、园区）人民政府（管委会）有关部门按照职责分工予以处罚：</w:t>
      </w:r>
    </w:p>
    <w:p w14:paraId="4C2E4373">
      <w:pPr>
        <w:keepNext w:val="0"/>
        <w:keepLines w:val="0"/>
        <w:pageBreakBefore w:val="0"/>
        <w:widowControl w:val="0"/>
        <w:numPr>
          <w:ilvl w:val="0"/>
          <w:numId w:val="3"/>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建设项目的节水设施没有建成或者没有达到国家规定的要求，擅自投入使用的，或者建设项目擅自停用</w:t>
      </w:r>
      <w:bookmarkStart w:id="3" w:name="_GoBack"/>
      <w:bookmarkEnd w:id="3"/>
      <w:r>
        <w:rPr>
          <w:rFonts w:hint="default" w:ascii="Times New Roman" w:hAnsi="Times New Roman" w:eastAsia="仿宋_GB2312" w:cs="Times New Roman"/>
          <w:b w:val="0"/>
          <w:bCs w:val="0"/>
          <w:color w:val="auto"/>
          <w:sz w:val="32"/>
          <w:szCs w:val="32"/>
          <w:highlight w:val="none"/>
          <w:shd w:val="clear" w:color="auto" w:fill="FFFFFF"/>
          <w:lang w:val="en-US" w:eastAsia="zh-CN"/>
        </w:rPr>
        <w:t>节水设施的，责令限期改正；逾期未改正的，处五万元以上十万元以下罚款；</w:t>
      </w:r>
    </w:p>
    <w:p w14:paraId="016935F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（二）未建设再生水利用设施或者应当利用再生水而未利用的，责令限期改正；逾期未改正的，处一万元以上十万元以下罚款。</w:t>
      </w:r>
    </w:p>
    <w:p w14:paraId="3AF9470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（三）生产、销售或者在生产经营中使用国家明令淘汰的落后的、耗水量高的工艺、设备和产品的，责令停止生产、销售或者使用，处二万元以上十万元以下罚款。</w:t>
      </w:r>
    </w:p>
    <w:p w14:paraId="0844D81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w:t>
      </w:r>
      <w:r>
        <w:rPr>
          <w:rFonts w:hint="eastAsia" w:ascii="Times New Roman" w:hAnsi="Times New Roman" w:cs="Times New Roman"/>
          <w:b w:val="0"/>
          <w:bCs w:val="0"/>
          <w:color w:val="auto"/>
          <w:sz w:val="32"/>
          <w:szCs w:val="32"/>
          <w:highlight w:val="none"/>
          <w:shd w:val="clear" w:color="auto" w:fill="FFFFFF"/>
          <w:lang w:val="en-US" w:eastAsia="zh-CN"/>
        </w:rPr>
        <w:t>（</w:t>
      </w:r>
      <w:r>
        <w:rPr>
          <w:rFonts w:hint="default" w:ascii="Times New Roman" w:hAnsi="Times New Roman" w:eastAsia="仿宋_GB2312" w:cs="Times New Roman"/>
          <w:b w:val="0"/>
          <w:bCs w:val="0"/>
          <w:color w:val="auto"/>
          <w:sz w:val="32"/>
          <w:szCs w:val="32"/>
          <w:highlight w:val="none"/>
          <w:shd w:val="clear" w:color="auto" w:fill="FFFFFF"/>
          <w:lang w:val="en-US" w:eastAsia="zh-CN"/>
        </w:rPr>
        <w:t>浪费水资源法律责任</w:t>
      </w:r>
      <w:r>
        <w:rPr>
          <w:rFonts w:hint="eastAsia" w:ascii="Times New Roman" w:hAnsi="Times New Roman" w:cs="Times New Roman"/>
          <w:b w:val="0"/>
          <w:bCs w:val="0"/>
          <w:color w:val="auto"/>
          <w:sz w:val="32"/>
          <w:szCs w:val="32"/>
          <w:highlight w:val="none"/>
          <w:shd w:val="clear" w:color="auto" w:fill="FFFFFF"/>
          <w:lang w:val="en-US" w:eastAsia="zh-CN"/>
        </w:rPr>
        <w:t>）</w:t>
      </w:r>
      <w:r>
        <w:rPr>
          <w:rFonts w:hint="default" w:ascii="Times New Roman" w:hAnsi="Times New Roman" w:eastAsia="仿宋_GB2312" w:cs="Times New Roman"/>
          <w:b w:val="0"/>
          <w:bCs w:val="0"/>
          <w:color w:val="auto"/>
          <w:sz w:val="32"/>
          <w:szCs w:val="32"/>
          <w:highlight w:val="none"/>
          <w:shd w:val="clear" w:color="auto" w:fill="FFFFFF"/>
          <w:lang w:val="en-US" w:eastAsia="zh-CN"/>
        </w:rPr>
        <w:t>对发现的水资源浪费行为，县（市、园区）水行政主管部门应当及时调查处理。对造成水资源浪费的单位和个人，责令改正，予以警告；情节严重的，依法依规予以处罚。</w:t>
      </w:r>
    </w:p>
    <w:p w14:paraId="67CA937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w:t>
      </w:r>
      <w:r>
        <w:rPr>
          <w:rFonts w:hint="eastAsia" w:ascii="Times New Roman" w:hAnsi="Times New Roman" w:cs="Times New Roman"/>
          <w:b w:val="0"/>
          <w:bCs w:val="0"/>
          <w:color w:val="auto"/>
          <w:sz w:val="32"/>
          <w:szCs w:val="32"/>
          <w:highlight w:val="none"/>
          <w:shd w:val="clear" w:color="auto" w:fill="FFFFFF"/>
          <w:lang w:val="en-US" w:eastAsia="zh-CN"/>
        </w:rPr>
        <w:t>（</w:t>
      </w:r>
      <w:r>
        <w:rPr>
          <w:rFonts w:hint="default" w:ascii="Times New Roman" w:hAnsi="Times New Roman" w:eastAsia="仿宋_GB2312" w:cs="Times New Roman"/>
          <w:b w:val="0"/>
          <w:bCs w:val="0"/>
          <w:color w:val="auto"/>
          <w:sz w:val="32"/>
          <w:szCs w:val="32"/>
          <w:highlight w:val="none"/>
          <w:shd w:val="clear" w:color="auto" w:fill="FFFFFF"/>
          <w:lang w:val="en-US" w:eastAsia="zh-CN"/>
        </w:rPr>
        <w:t>法律责任</w:t>
      </w:r>
      <w:r>
        <w:rPr>
          <w:rFonts w:hint="eastAsia" w:ascii="Times New Roman" w:hAnsi="Times New Roman" w:cs="Times New Roman"/>
          <w:b w:val="0"/>
          <w:bCs w:val="0"/>
          <w:color w:val="auto"/>
          <w:sz w:val="32"/>
          <w:szCs w:val="32"/>
          <w:highlight w:val="none"/>
          <w:shd w:val="clear" w:color="auto" w:fill="FFFFFF"/>
          <w:lang w:val="en-US" w:eastAsia="zh-CN"/>
        </w:rPr>
        <w:t>）</w:t>
      </w:r>
      <w:r>
        <w:rPr>
          <w:rFonts w:hint="default" w:ascii="Times New Roman" w:hAnsi="Times New Roman" w:eastAsia="仿宋_GB2312" w:cs="Times New Roman"/>
          <w:b w:val="0"/>
          <w:bCs w:val="0"/>
          <w:color w:val="auto"/>
          <w:sz w:val="32"/>
          <w:szCs w:val="32"/>
          <w:highlight w:val="none"/>
          <w:shd w:val="clear" w:color="auto" w:fill="FFFFFF"/>
          <w:lang w:val="en-US" w:eastAsia="zh-CN"/>
        </w:rPr>
        <w:t>违反本办法规定的行为，法律、法规已有处理规定的，从其规定。</w:t>
      </w:r>
    </w:p>
    <w:p w14:paraId="0EDCA80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第六章  附则</w:t>
      </w:r>
    </w:p>
    <w:p w14:paraId="0F2D186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 xml:space="preserve"> 本办法所称的节水设施包括节水器具、工艺、设备、计量设施、再生水回用系统。</w:t>
      </w:r>
    </w:p>
    <w:p w14:paraId="7A6A9DA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再生水是指以污废水为水源，经再生工艺净化处理后水质达到再利用标准的水。</w:t>
      </w:r>
    </w:p>
    <w:p w14:paraId="02ACA94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本办法自2024年X月X日起施行。</w:t>
      </w:r>
    </w:p>
    <w:p w14:paraId="02DFB673">
      <w:pPr>
        <w:pStyle w:val="5"/>
        <w:rPr>
          <w:rFonts w:hint="default" w:ascii="Times New Roman" w:hAnsi="Times New Roman" w:cs="Times New Roman"/>
          <w:color w:val="auto"/>
          <w:sz w:val="32"/>
          <w:szCs w:val="32"/>
          <w:highlight w:val="none"/>
          <w:u w:val="none"/>
          <w:shd w:val="clear" w:color="auto" w:fill="FFFFFF"/>
          <w:lang w:eastAsia="zh-CN"/>
        </w:rPr>
      </w:pPr>
    </w:p>
    <w:p w14:paraId="38BA6A5E">
      <w:pPr>
        <w:pStyle w:val="5"/>
        <w:rPr>
          <w:rFonts w:hint="default" w:ascii="Times New Roman" w:hAnsi="Times New Roman" w:cs="Times New Roman"/>
          <w:color w:val="auto"/>
          <w:sz w:val="32"/>
          <w:szCs w:val="32"/>
          <w:highlight w:val="none"/>
          <w:u w:val="none"/>
          <w:shd w:val="clear" w:color="auto" w:fill="FFFFFF"/>
          <w:lang w:eastAsia="zh-CN"/>
        </w:rPr>
      </w:pPr>
    </w:p>
    <w:p w14:paraId="0902075B">
      <w:pPr>
        <w:pStyle w:val="5"/>
        <w:rPr>
          <w:rFonts w:hint="default" w:ascii="Times New Roman" w:hAnsi="Times New Roman" w:cs="Times New Roman"/>
          <w:color w:val="auto"/>
          <w:sz w:val="32"/>
          <w:szCs w:val="32"/>
          <w:highlight w:val="none"/>
          <w:u w:val="none"/>
          <w:shd w:val="clear" w:color="auto" w:fill="FFFFFF"/>
          <w:lang w:eastAsia="zh-CN"/>
        </w:rPr>
      </w:pPr>
    </w:p>
    <w:p w14:paraId="119925BD">
      <w:pPr>
        <w:pStyle w:val="5"/>
        <w:rPr>
          <w:rFonts w:hint="default" w:ascii="Times New Roman" w:hAnsi="Times New Roman" w:cs="Times New Roman"/>
          <w:color w:val="auto"/>
          <w:sz w:val="32"/>
          <w:szCs w:val="32"/>
          <w:highlight w:val="none"/>
          <w:u w:val="none"/>
          <w:shd w:val="clear" w:color="auto" w:fill="FFFFFF"/>
          <w:lang w:eastAsia="zh-CN"/>
        </w:rPr>
      </w:pPr>
    </w:p>
    <w:sectPr>
      <w:headerReference r:id="rId3" w:type="default"/>
      <w:footerReference r:id="rId4" w:type="default"/>
      <w:pgSz w:w="11906" w:h="16838"/>
      <w:pgMar w:top="1984" w:right="1474" w:bottom="1644" w:left="1587" w:header="851" w:footer="992" w:gutter="0"/>
      <w:pgNumType w:fmt="decimal"/>
      <w:cols w:space="0" w:num="1"/>
      <w:rtlGutter w:val="0"/>
      <w:docGrid w:type="lines" w:linePitch="4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BAC5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92760">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1892760">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933C">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ED9FD7"/>
    <w:multiLevelType w:val="singleLevel"/>
    <w:tmpl w:val="CAED9FD7"/>
    <w:lvl w:ilvl="0" w:tentative="0">
      <w:start w:val="1"/>
      <w:numFmt w:val="chineseCounting"/>
      <w:suff w:val="space"/>
      <w:lvlText w:val="第%1条"/>
      <w:lvlJc w:val="left"/>
      <w:pPr>
        <w:tabs>
          <w:tab w:val="left" w:pos="0"/>
        </w:tabs>
        <w:ind w:left="0" w:firstLine="40"/>
      </w:pPr>
      <w:rPr>
        <w:rFonts w:hint="eastAsia" w:ascii="仿宋_GB2312" w:hAnsi="仿宋_GB2312" w:eastAsia="仿宋_GB2312" w:cs="仿宋_GB2312"/>
        <w:b/>
        <w:bCs/>
        <w:color w:val="auto"/>
        <w:sz w:val="32"/>
      </w:rPr>
    </w:lvl>
  </w:abstractNum>
  <w:abstractNum w:abstractNumId="1">
    <w:nsid w:val="0501CD0B"/>
    <w:multiLevelType w:val="singleLevel"/>
    <w:tmpl w:val="0501CD0B"/>
    <w:lvl w:ilvl="0" w:tentative="0">
      <w:start w:val="1"/>
      <w:numFmt w:val="chineseCounting"/>
      <w:suff w:val="nothing"/>
      <w:lvlText w:val="（%1）"/>
      <w:lvlJc w:val="left"/>
      <w:rPr>
        <w:rFonts w:hint="eastAsia"/>
      </w:rPr>
    </w:lvl>
  </w:abstractNum>
  <w:abstractNum w:abstractNumId="2">
    <w:nsid w:val="63708F4B"/>
    <w:multiLevelType w:val="singleLevel"/>
    <w:tmpl w:val="63708F4B"/>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2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kNWIyYzZkNTlkZmEwMmIyMTNlZDczYjI1NjE2NTYifQ=="/>
  </w:docVars>
  <w:rsids>
    <w:rsidRoot w:val="2AF43B69"/>
    <w:rsid w:val="07FF70B6"/>
    <w:rsid w:val="0999002A"/>
    <w:rsid w:val="1B485D32"/>
    <w:rsid w:val="2AF43B69"/>
    <w:rsid w:val="2EEA339C"/>
    <w:rsid w:val="31B67E92"/>
    <w:rsid w:val="3F0B5260"/>
    <w:rsid w:val="3F257FCD"/>
    <w:rsid w:val="40196700"/>
    <w:rsid w:val="480E2E2C"/>
    <w:rsid w:val="48274BF0"/>
    <w:rsid w:val="499C17C3"/>
    <w:rsid w:val="50524B6A"/>
    <w:rsid w:val="53C667E3"/>
    <w:rsid w:val="5C64291F"/>
    <w:rsid w:val="64EA2923"/>
    <w:rsid w:val="6662009D"/>
    <w:rsid w:val="67887F84"/>
    <w:rsid w:val="6A984A6D"/>
    <w:rsid w:val="70FD71E8"/>
    <w:rsid w:val="72BC037D"/>
    <w:rsid w:val="DDFA396B"/>
    <w:rsid w:val="FF77B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32"/>
      <w:lang w:val="en-US" w:eastAsia="zh-CN" w:bidi="ar-SA"/>
    </w:rPr>
  </w:style>
  <w:style w:type="paragraph" w:styleId="3">
    <w:name w:val="heading 1"/>
    <w:basedOn w:val="1"/>
    <w:next w:val="1"/>
    <w:qFormat/>
    <w:uiPriority w:val="0"/>
    <w:pPr>
      <w:keepNext/>
      <w:keepLines/>
      <w:spacing w:beforeLines="0" w:beforeAutospacing="0" w:afterLines="0" w:afterAutospacing="0" w:line="240" w:lineRule="auto"/>
      <w:outlineLvl w:val="0"/>
    </w:pPr>
    <w:rPr>
      <w:rFonts w:eastAsia="黑体"/>
      <w:b/>
      <w:kern w:val="44"/>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210"/>
      <w:jc w:val="left"/>
    </w:pPr>
    <w:rPr>
      <w:smallCaps/>
      <w:sz w:val="20"/>
      <w:szCs w:val="20"/>
    </w:rPr>
  </w:style>
  <w:style w:type="paragraph" w:styleId="4">
    <w:name w:val="index 5"/>
    <w:basedOn w:val="1"/>
    <w:next w:val="1"/>
    <w:unhideWhenUsed/>
    <w:qFormat/>
    <w:uiPriority w:val="99"/>
    <w:pPr>
      <w:ind w:left="800" w:leftChars="800"/>
    </w:pPr>
  </w:style>
  <w:style w:type="paragraph" w:styleId="5">
    <w:name w:val="Body Text Indent 2"/>
    <w:basedOn w:val="1"/>
    <w:qFormat/>
    <w:uiPriority w:val="99"/>
    <w:pPr>
      <w:spacing w:after="120" w:line="480" w:lineRule="auto"/>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footnote text"/>
    <w:basedOn w:val="1"/>
    <w:next w:val="4"/>
    <w:qFormat/>
    <w:uiPriority w:val="0"/>
    <w:pPr>
      <w:snapToGrid w:val="0"/>
      <w:jc w:val="left"/>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List Paragraph"/>
    <w:basedOn w:val="1"/>
    <w:qFormat/>
    <w:uiPriority w:val="34"/>
    <w:pPr>
      <w:spacing w:line="240" w:lineRule="auto"/>
      <w:ind w:firstLine="420"/>
    </w:pPr>
    <w:rPr>
      <w:rFonts w:ascii="Calibri" w:hAnsi="Calibri" w:eastAsia="宋体"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8218</Words>
  <Characters>8225</Characters>
  <Lines>0</Lines>
  <Paragraphs>0</Paragraphs>
  <TotalTime>2</TotalTime>
  <ScaleCrop>false</ScaleCrop>
  <LinksUpToDate>false</LinksUpToDate>
  <CharactersWithSpaces>8294</CharactersWithSpaces>
  <Application>WPS Office_12.1.0.18334_F1E327BC-269C-435d-A152-05C5408002CA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2020-05-10T00:55:00Z</dcterms:created>
  <dc:creator>Administrator</dc:creator>
  <cp:lastModifiedBy>收纳空白.</cp:lastModifiedBy>
  <cp:lastPrinted>2024-10-15T03:45:00Z</cp:lastPrinted>
  <dcterms:modified xsi:type="dcterms:W3CDTF">2024-10-16T08:22:54Z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2052-12.1.0.18334</vt:lpwstr>
  </property>
  <property fmtid="{D5CDD505-2E9C-101B-9397-08002B2CF9AE}" pid="3" name="ICV">
    <vt:lpwstr>2208219471BF4DE39DB3FA33EEA144E9_13</vt:lpwstr>
  </property>
</Properties>
</file>