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65.020.20</w:t>
            </w:r>
            <w:r>
              <w:rPr>
                <w:rFonts w:ascii="黑体" w:hAnsi="黑体" w:eastAsia="黑体"/>
                <w:sz w:val="21"/>
                <w:szCs w:val="21"/>
              </w:rPr>
              <w:t xml:space="preserve">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B 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6523</w:t>
            </w:r>
            <w:r>
              <w:fldChar w:fldCharType="end"/>
            </w:r>
            <w:bookmarkEnd w:id="3"/>
          </w:p>
        </w:tc>
      </w:tr>
    </w:tbl>
    <w:p>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298</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2025</w:t>
      </w:r>
      <w:r>
        <w:fldChar w:fldCharType="end"/>
      </w:r>
      <w:bookmarkEnd w:id="7"/>
    </w:p>
    <w:p>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int="eastAsia" w:hAnsi="黑体"/>
        </w:rPr>
        <w:t>代替 DB6523/T 298-2020</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4NJltgAAAAMAQAADwAAAAAAAAABACAAAAA4AAAAZHJzL2Rvd25yZXYu&#10;eG1sUEsBAhQAFAAAAAgAh07iQLvgymblAQAArAMAAA4AAAAAAAAAAQAgAAAAPQEAAGRycy9lMm9E&#10;b2MueG1sUEsFBgAAAAAGAAYAWQEAAJQFA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"宽早优"机采棉化学调控与脱叶催熟技术规范</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Technical specification for chemical control and defoliation and ripening of "kuanzaoyou" machine picked cotton</w:t>
      </w:r>
      <w:r>
        <w:rPr>
          <w:rFonts w:ascii="黑体" w:hAnsi="黑体"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p>
    <w:p>
      <w:pPr>
        <w:pStyle w:val="125"/>
        <w:framePr w:w="9639" w:h="6974" w:hRule="exact" w:wrap="around" w:vAnchor="page" w:hAnchor="page" w:x="1419" w:y="6408" w:anchorLock="1"/>
        <w:spacing w:before="180" w:line="240" w:lineRule="atLeast"/>
        <w:textAlignment w:val="bottom"/>
        <w:rPr>
          <w:sz w:val="21"/>
          <w:szCs w:val="28"/>
        </w:rPr>
      </w:pPr>
    </w:p>
    <w:p>
      <w:pPr>
        <w:pStyle w:val="125"/>
        <w:framePr w:w="9639" w:h="6974" w:hRule="exact" w:wrap="around" w:vAnchor="page" w:hAnchor="page" w:x="1419" w:y="6408" w:anchorLock="1"/>
        <w:spacing w:before="720" w:beforeLines="300" w:after="72" w:afterLines="30" w:line="240" w:lineRule="auto"/>
        <w:textAlignment w:val="bottom"/>
        <w:rPr>
          <w:b/>
          <w:sz w:val="21"/>
          <w:szCs w:val="28"/>
        </w:rPr>
      </w:pPr>
    </w:p>
    <w:p>
      <w:pPr>
        <w:pStyle w:val="193"/>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bookmarkStart w:id="56" w:name="_GoBack"/>
      <w:bookmarkEnd w:id="56"/>
      <w:r>
        <w:rPr>
          <w:rFonts w:hint="eastAsia" w:ascii="黑体"/>
        </w:rPr>
        <w:t>2025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05</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1</w:t>
      </w:r>
      <w:r>
        <w:rPr>
          <w:rFonts w:hint="eastAsia" w:ascii="黑体"/>
          <w:lang w:val="en-US" w:eastAsia="zh-CN"/>
        </w:rPr>
        <w:t>6</w:t>
      </w:r>
      <w:r>
        <w:rPr>
          <w:rFonts w:ascii="黑体"/>
        </w:rPr>
        <w:fldChar w:fldCharType="end"/>
      </w:r>
      <w:bookmarkEnd w:id="13"/>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06</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01</w:t>
      </w:r>
      <w:r>
        <w:rPr>
          <w:rFonts w:ascii="黑体"/>
        </w:rPr>
        <w:fldChar w:fldCharType="end"/>
      </w:r>
      <w:bookmarkEnd w:id="16"/>
      <w:r>
        <w:rPr>
          <w:rFonts w:hint="eastAsia"/>
        </w:rPr>
        <w:t>实施</w:t>
      </w:r>
    </w:p>
    <w:p>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59264"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59264;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qzMc+9cAAAAOAQAADwAAAAAAAAABACAAAAA4AAAAZHJzL2Rvd25yZXYueG1s&#10;UEsBAhQAFAAAAAgAh07iQFkuJZjjAQAAqgMAAA4AAAAAAAAAAQAgAAAAPAEAAGRycy9lMm9Eb2Mu&#10;eG1sUEsFBgAAAAAGAAYAWQEAAJEFAAAAAA==&#10;">
                <v:fill on="f" focussize="0,0"/>
                <v:stroke color="#000000" joinstyle="round"/>
                <v:imagedata o:title=""/>
                <o:lock v:ext="edit" aspectratio="f"/>
                <w10:anchorlock/>
              </v:line>
            </w:pict>
          </mc:Fallback>
        </mc:AlternateContent>
      </w:r>
    </w:p>
    <w:p>
      <w:pPr>
        <w:pStyle w:val="89"/>
        <w:spacing w:before="900" w:after="468"/>
      </w:pPr>
      <w:bookmarkStart w:id="18" w:name="BookMark2"/>
      <w:r>
        <w:rPr>
          <w:rFonts w:hint="eastAsia"/>
          <w:spacing w:val="320"/>
        </w:rPr>
        <w:t>前</w:t>
      </w:r>
      <w:r>
        <w:rPr>
          <w:rFonts w:hint="eastAsia"/>
        </w:rPr>
        <w:t>言</w:t>
      </w:r>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本文件代替DB6523/T 298-2020《“宽早优”机采棉化学调控与脱叶催熟技术规范》,与DB6523/T 298-2020相比,除结构调整和编辑性改动外,主要技术变化如下:</w:t>
      </w:r>
    </w:p>
    <w:p>
      <w:pPr>
        <w:pStyle w:val="174"/>
      </w:pPr>
      <w:r>
        <w:t>更改了化学调控中的注意事项（见</w:t>
      </w:r>
      <w:r>
        <w:rPr>
          <w:rFonts w:hint="eastAsia"/>
        </w:rPr>
        <w:t>6.3.3，</w:t>
      </w:r>
      <w:r>
        <w:t>2020版的6.3.3）；</w:t>
      </w:r>
    </w:p>
    <w:p>
      <w:pPr>
        <w:pStyle w:val="174"/>
      </w:pPr>
      <w:r>
        <w:t>更改了脱叶催熟中的正常棉田（见</w:t>
      </w:r>
      <w:r>
        <w:rPr>
          <w:rFonts w:hint="eastAsia"/>
        </w:rPr>
        <w:t>7.3.1，</w:t>
      </w:r>
      <w:r>
        <w:t>2020版的7.3.1）；</w:t>
      </w:r>
    </w:p>
    <w:p>
      <w:pPr>
        <w:pStyle w:val="174"/>
      </w:pPr>
      <w:r>
        <w:t>增加了作业参数的测定与计算（见</w:t>
      </w:r>
      <w:r>
        <w:rPr>
          <w:rFonts w:hint="eastAsia"/>
        </w:rPr>
        <w:t>7，</w:t>
      </w:r>
      <w:r>
        <w:t>2020版的7）；</w:t>
      </w:r>
    </w:p>
    <w:p>
      <w:pPr>
        <w:pStyle w:val="174"/>
      </w:pPr>
      <w:r>
        <w:t>增加了喷雾机作业参数（见</w:t>
      </w:r>
      <w:r>
        <w:rPr>
          <w:rFonts w:hint="eastAsia"/>
        </w:rPr>
        <w:t>7，</w:t>
      </w:r>
      <w:r>
        <w:t>2020版的7）；</w:t>
      </w:r>
    </w:p>
    <w:p>
      <w:pPr>
        <w:pStyle w:val="174"/>
      </w:pPr>
      <w:r>
        <w:t>增加了无人机喷施作业质量测定（见</w:t>
      </w:r>
      <w:r>
        <w:rPr>
          <w:rFonts w:hint="eastAsia"/>
        </w:rPr>
        <w:t>7，</w:t>
      </w:r>
      <w:r>
        <w:t>2020版的7）；</w:t>
      </w:r>
    </w:p>
    <w:p>
      <w:pPr>
        <w:pStyle w:val="174"/>
      </w:pPr>
      <w:r>
        <w:t>增加了采收标准（见</w:t>
      </w:r>
      <w:r>
        <w:rPr>
          <w:rFonts w:hint="eastAsia"/>
        </w:rPr>
        <w:t>7，</w:t>
      </w:r>
      <w:r>
        <w:t>2020版的7）。</w:t>
      </w:r>
    </w:p>
    <w:p>
      <w:pPr>
        <w:pStyle w:val="56"/>
        <w:ind w:firstLine="420"/>
      </w:pPr>
      <w:r>
        <w:rPr>
          <w:rFonts w:hint="eastAsia"/>
        </w:rPr>
        <w:t>请注意本文件的某些内容可能涉及专利。本文件的发布机构不承担识别专利的责任。</w:t>
      </w:r>
    </w:p>
    <w:p>
      <w:pPr>
        <w:pStyle w:val="56"/>
        <w:ind w:firstLine="420"/>
      </w:pPr>
      <w:r>
        <w:rPr>
          <w:rFonts w:hint="eastAsia"/>
        </w:rPr>
        <w:t>本文件由中国农业科学院棉花研究所提出。</w:t>
      </w:r>
    </w:p>
    <w:p>
      <w:pPr>
        <w:pStyle w:val="56"/>
        <w:ind w:firstLine="420"/>
      </w:pPr>
      <w:r>
        <w:rPr>
          <w:rFonts w:hint="eastAsia"/>
        </w:rPr>
        <w:t>本文件由昌吉回族自治州农业农村局归口并组织实施。</w:t>
      </w:r>
    </w:p>
    <w:p>
      <w:pPr>
        <w:pStyle w:val="56"/>
        <w:ind w:firstLine="420"/>
      </w:pPr>
      <w:r>
        <w:rPr>
          <w:rFonts w:hint="eastAsia"/>
        </w:rPr>
        <w:t>本文件起草单位：中国农业科学院西部农业研究中心、新疆生产建设兵团第六师农业科学研究所、新疆联盟优棉科技技术服务有限公司、昌吉回族自治州检验检测中心、昌吉国家农业高新技术产业示范区现代农业发展局。</w:t>
      </w:r>
    </w:p>
    <w:p>
      <w:pPr>
        <w:pStyle w:val="56"/>
        <w:ind w:firstLine="420"/>
      </w:pPr>
      <w:r>
        <w:rPr>
          <w:rFonts w:hint="eastAsia"/>
        </w:rPr>
        <w:t>本文件主要起草人：曹飞、宋美珍、董强、周先林、孟永明、浦元春、张潇镭、李军宏、于璞、张聚明、王路、李雨沁、王舂霞。</w:t>
      </w:r>
    </w:p>
    <w:p>
      <w:pPr>
        <w:pStyle w:val="56"/>
        <w:ind w:firstLine="420"/>
      </w:pPr>
      <w:r>
        <w:rPr>
          <w:rFonts w:hint="eastAsia"/>
        </w:rPr>
        <w:t>本文件实施应用中的疑问，请咨询中国农业科学院西部农业研究中心。</w:t>
      </w:r>
    </w:p>
    <w:p>
      <w:pPr>
        <w:pStyle w:val="56"/>
        <w:ind w:firstLine="420"/>
      </w:pPr>
      <w:r>
        <w:rPr>
          <w:rFonts w:hint="eastAsia"/>
        </w:rPr>
        <w:t>本文件的修改意见建议，请反馈至中国农业科学院西部农业研究中心（昌吉市宁边东路195号）、昌吉回族自治州农业农村局（昌吉市北京北路54号）、昌吉回族自治州市场监督管理局（昌吉市西外环与健康西路交叉口东北角）。</w:t>
      </w:r>
    </w:p>
    <w:p>
      <w:pPr>
        <w:pStyle w:val="56"/>
        <w:ind w:firstLine="420"/>
      </w:pPr>
      <w:r>
        <w:rPr>
          <w:rFonts w:hint="eastAsia"/>
        </w:rPr>
        <w:t>中国农业科学院西部农业研究中心（昌吉市宁边东路195号），联系电话：0372-2562308；传真号码：0372-2562256；邮编：831100。</w:t>
      </w:r>
    </w:p>
    <w:p>
      <w:pPr>
        <w:pStyle w:val="56"/>
        <w:ind w:firstLine="420"/>
      </w:pPr>
      <w:r>
        <w:rPr>
          <w:rFonts w:hint="eastAsia"/>
        </w:rPr>
        <w:t>昌吉回族自治州农业农村局（昌吉市北京北路54号），联系电话：0994-2366258；传真号码：0994-2345361；邮编：831100。</w:t>
      </w:r>
    </w:p>
    <w:p>
      <w:pPr>
        <w:pStyle w:val="56"/>
        <w:ind w:firstLine="420"/>
      </w:pPr>
      <w:r>
        <w:rPr>
          <w:rFonts w:hint="eastAsia"/>
        </w:rPr>
        <w:t>昌吉回族自治州市场监督管理局（昌吉市西外环与健康西路交叉口东北角），联系电话：0994-2329097；传真：0994-2329097； 邮编：831100。</w:t>
      </w:r>
    </w:p>
    <w:p>
      <w:pPr>
        <w:pStyle w:val="56"/>
        <w:ind w:firstLine="0" w:firstLineChars="0"/>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type="lines" w:linePitch="312" w:charSpace="0"/>
        </w:sectPr>
      </w:pPr>
    </w:p>
    <w:bookmarkEnd w:id="18"/>
    <w:p>
      <w:pPr>
        <w:spacing w:line="20" w:lineRule="exact"/>
        <w:jc w:val="center"/>
        <w:rPr>
          <w:rFonts w:ascii="黑体" w:hAnsi="黑体" w:eastAsia="黑体"/>
          <w:sz w:val="32"/>
          <w:szCs w:val="32"/>
        </w:rPr>
      </w:pPr>
      <w:bookmarkStart w:id="19" w:name="BookMark4"/>
    </w:p>
    <w:p>
      <w:pPr>
        <w:spacing w:line="20" w:lineRule="exact"/>
        <w:jc w:val="center"/>
        <w:rPr>
          <w:rFonts w:ascii="黑体" w:hAnsi="黑体" w:eastAsia="黑体"/>
          <w:sz w:val="32"/>
          <w:szCs w:val="32"/>
        </w:rPr>
      </w:pPr>
    </w:p>
    <w:sdt>
      <w:sdtPr>
        <w:tag w:val="NEW_STAND_NAME"/>
        <w:id w:val="595910757"/>
        <w:lock w:val="sdtLocked"/>
        <w:placeholder>
          <w:docPart w:val="61244B8BC7B04DE48F1602D40661D6CB"/>
        </w:placeholder>
      </w:sdtPr>
      <w:sdtContent>
        <w:p>
          <w:pPr>
            <w:pStyle w:val="177"/>
            <w:spacing w:before="3" w:beforeLines="1" w:after="686" w:afterLines="220"/>
          </w:pPr>
          <w:bookmarkStart w:id="20" w:name="NEW_STAND_NAME"/>
          <w:r>
            <w:rPr>
              <w:rFonts w:hint="eastAsia"/>
            </w:rPr>
            <w:t>"宽早优"机采棉化学调控与脱叶催熟技术规范</w:t>
          </w:r>
        </w:p>
      </w:sdtContent>
    </w:sdt>
    <w:bookmarkEnd w:id="20"/>
    <w:p>
      <w:pPr>
        <w:pStyle w:val="104"/>
        <w:spacing w:before="312" w:after="312"/>
      </w:pPr>
      <w:bookmarkStart w:id="21" w:name="_Toc17233333"/>
      <w:bookmarkStart w:id="22" w:name="_Toc26986530"/>
      <w:bookmarkStart w:id="23" w:name="_Toc24884218"/>
      <w:bookmarkStart w:id="24" w:name="_Toc26648465"/>
      <w:bookmarkStart w:id="25" w:name="_Toc26986771"/>
      <w:bookmarkStart w:id="26" w:name="_Toc24884211"/>
      <w:bookmarkStart w:id="27" w:name="_Toc97191423"/>
      <w:bookmarkStart w:id="28" w:name="_Toc26718930"/>
      <w:bookmarkStart w:id="29" w:name="_Toc17233325"/>
      <w:r>
        <w:rPr>
          <w:rFonts w:hint="eastAsia"/>
        </w:rPr>
        <w:t>范围</w:t>
      </w:r>
      <w:bookmarkEnd w:id="21"/>
      <w:bookmarkEnd w:id="22"/>
      <w:bookmarkEnd w:id="23"/>
      <w:bookmarkEnd w:id="24"/>
      <w:bookmarkEnd w:id="25"/>
      <w:bookmarkEnd w:id="26"/>
      <w:bookmarkEnd w:id="27"/>
      <w:bookmarkEnd w:id="28"/>
      <w:bookmarkEnd w:id="29"/>
    </w:p>
    <w:p>
      <w:pPr>
        <w:pStyle w:val="56"/>
        <w:ind w:firstLine="420"/>
        <w:rPr>
          <w:color w:val="000000" w:themeColor="text1"/>
          <w14:textFill>
            <w14:solidFill>
              <w14:schemeClr w14:val="tx1"/>
            </w14:solidFill>
          </w14:textFill>
        </w:rPr>
      </w:pPr>
      <w:bookmarkStart w:id="30" w:name="_Toc24884219"/>
      <w:bookmarkStart w:id="31" w:name="_Toc24884212"/>
      <w:bookmarkStart w:id="32" w:name="_Toc17233334"/>
      <w:bookmarkStart w:id="33" w:name="_Toc17233326"/>
      <w:bookmarkStart w:id="34" w:name="_Toc26648466"/>
      <w:r>
        <w:rPr>
          <w:rFonts w:hint="eastAsia"/>
          <w:color w:val="000000" w:themeColor="text1"/>
          <w14:textFill>
            <w14:solidFill>
              <w14:schemeClr w14:val="tx1"/>
            </w14:solidFill>
          </w14:textFill>
        </w:rPr>
        <w:t>本文件规定了“宽早优”机采棉的品种选择、种植密度、化学调控技术、脱叶催熟技术、喷雾农艺指标和采收的要求。</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本文件适用于“宽早优”机采棉种植过程中的化学调控与脱叶催熟。</w:t>
      </w:r>
    </w:p>
    <w:p>
      <w:pPr>
        <w:pStyle w:val="104"/>
        <w:spacing w:before="312" w:after="312"/>
        <w:rPr>
          <w:color w:val="000000" w:themeColor="text1"/>
          <w14:textFill>
            <w14:solidFill>
              <w14:schemeClr w14:val="tx1"/>
            </w14:solidFill>
          </w14:textFill>
        </w:rPr>
      </w:pPr>
      <w:bookmarkStart w:id="35" w:name="_Toc26718931"/>
      <w:bookmarkStart w:id="36" w:name="_Toc26986531"/>
      <w:bookmarkStart w:id="37" w:name="_Toc97191424"/>
      <w:bookmarkStart w:id="38" w:name="_Toc26986772"/>
      <w:r>
        <w:rPr>
          <w:rFonts w:hint="eastAsia"/>
          <w:color w:val="000000" w:themeColor="text1"/>
          <w14:textFill>
            <w14:solidFill>
              <w14:schemeClr w14:val="tx1"/>
            </w14:solidFill>
          </w14:textFill>
        </w:rPr>
        <w:t>规范性引用文件</w:t>
      </w:r>
      <w:bookmarkEnd w:id="30"/>
      <w:bookmarkEnd w:id="31"/>
      <w:bookmarkEnd w:id="32"/>
      <w:bookmarkEnd w:id="33"/>
      <w:bookmarkEnd w:id="34"/>
      <w:bookmarkEnd w:id="35"/>
      <w:bookmarkEnd w:id="36"/>
      <w:bookmarkEnd w:id="37"/>
      <w:bookmarkEnd w:id="38"/>
    </w:p>
    <w:sdt>
      <w:sdtPr>
        <w:rPr>
          <w:rFonts w:hint="eastAsia"/>
          <w:color w:val="000000" w:themeColor="text1"/>
          <w14:textFill>
            <w14:solidFill>
              <w14:schemeClr w14:val="tx1"/>
            </w14:solidFill>
          </w14:textFill>
        </w:rPr>
        <w:id w:val="715848253"/>
        <w:placeholder>
          <w:docPart w:val="C30E4FDCD76142B4808AEDCCD2FF6B1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color w:val="000000" w:themeColor="text1"/>
          <w14:textFill>
            <w14:solidFill>
              <w14:schemeClr w14:val="tx1"/>
            </w14:solidFill>
          </w14:textFill>
        </w:rPr>
      </w:sdtEndPr>
      <w:sdtContent>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GB/T 24677.1  喷杆喷雾机技术条件</w:t>
      </w:r>
    </w:p>
    <w:p>
      <w:pPr>
        <w:pStyle w:val="56"/>
        <w:ind w:firstLine="420"/>
        <w:rPr>
          <w:color w:val="000000" w:themeColor="text1"/>
          <w14:textFill>
            <w14:solidFill>
              <w14:schemeClr w14:val="tx1"/>
            </w14:solidFill>
          </w14:textFill>
        </w:rPr>
      </w:pPr>
      <w:bookmarkStart w:id="39" w:name="OLE_LINK2"/>
      <w:r>
        <w:rPr>
          <w:rFonts w:hint="eastAsia"/>
          <w:color w:val="000000" w:themeColor="text1"/>
          <w14:textFill>
            <w14:solidFill>
              <w14:schemeClr w14:val="tx1"/>
            </w14:solidFill>
          </w14:textFill>
        </w:rPr>
        <w:t>NY/T 1426</w:t>
      </w:r>
      <w:bookmarkEnd w:id="39"/>
      <w:r>
        <w:rPr>
          <w:rFonts w:hint="eastAsia"/>
          <w:color w:val="000000" w:themeColor="text1"/>
          <w14:textFill>
            <w14:solidFill>
              <w14:schemeClr w14:val="tx1"/>
            </w14:solidFill>
          </w14:textFill>
        </w:rPr>
        <w:t>-2007  棉花纤维品质评价方法</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NY/T 3213  植保无人驾驶航空器技术规范</w:t>
      </w:r>
    </w:p>
    <w:p>
      <w:pPr>
        <w:pStyle w:val="56"/>
        <w:ind w:firstLine="420"/>
        <w:rPr>
          <w:color w:val="000000" w:themeColor="text1"/>
          <w14:textFill>
            <w14:solidFill>
              <w14:schemeClr w14:val="tx1"/>
            </w14:solidFill>
          </w14:textFill>
        </w:rPr>
      </w:pPr>
      <w:r>
        <w:rPr>
          <w:color w:val="000000" w:themeColor="text1"/>
          <w14:textFill>
            <w14:solidFill>
              <w14:schemeClr w14:val="tx1"/>
            </w14:solidFill>
          </w14:textFill>
        </w:rPr>
        <w:t>DB6523/T 396</w:t>
      </w:r>
      <w:r>
        <w:rPr>
          <w:rFonts w:hint="eastAsia"/>
          <w:color w:val="000000" w:themeColor="text1"/>
          <w14:textFill>
            <w14:solidFill>
              <w14:schemeClr w14:val="tx1"/>
            </w14:solidFill>
          </w14:textFill>
        </w:rPr>
        <w:t>-2023  “宽早优”亩产籽棉550kg植棉技术规程</w:t>
      </w:r>
    </w:p>
    <w:p>
      <w:pPr>
        <w:pStyle w:val="104"/>
        <w:spacing w:before="312" w:after="312"/>
        <w:rPr>
          <w:color w:val="000000" w:themeColor="text1"/>
          <w14:textFill>
            <w14:solidFill>
              <w14:schemeClr w14:val="tx1"/>
            </w14:solidFill>
          </w14:textFill>
        </w:rPr>
      </w:pPr>
      <w:bookmarkStart w:id="40" w:name="_Toc97191425"/>
      <w:r>
        <w:rPr>
          <w:rFonts w:hint="eastAsia"/>
          <w:color w:val="000000" w:themeColor="text1"/>
          <w:szCs w:val="21"/>
          <w14:textFill>
            <w14:solidFill>
              <w14:schemeClr w14:val="tx1"/>
            </w14:solidFill>
          </w14:textFill>
        </w:rPr>
        <w:t>术语和定义</w:t>
      </w:r>
      <w:bookmarkEnd w:id="40"/>
    </w:p>
    <w:sdt>
      <w:sdtPr>
        <w:rPr>
          <w:color w:val="000000" w:themeColor="text1"/>
          <w14:textFill>
            <w14:solidFill>
              <w14:schemeClr w14:val="tx1"/>
            </w14:solidFill>
          </w14:textFill>
        </w:rPr>
        <w:id w:val="-1"/>
        <w:placeholder>
          <w:docPart w:val="A22F53AF33E444D1AA73A26EF749A58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000000" w:themeColor="text1"/>
          <w14:textFill>
            <w14:solidFill>
              <w14:schemeClr w14:val="tx1"/>
            </w14:solidFill>
          </w14:textFill>
        </w:rPr>
      </w:sdtEndPr>
      <w:sdtContent>
        <w:p>
          <w:pPr>
            <w:pStyle w:val="56"/>
            <w:ind w:firstLine="420"/>
            <w:rPr>
              <w:color w:val="000000" w:themeColor="text1"/>
              <w14:textFill>
                <w14:solidFill>
                  <w14:schemeClr w14:val="tx1"/>
                </w14:solidFill>
              </w14:textFill>
            </w:rPr>
          </w:pPr>
          <w:bookmarkStart w:id="41" w:name="_Toc26986532"/>
          <w:bookmarkEnd w:id="41"/>
          <w:r>
            <w:rPr>
              <w:color w:val="000000" w:themeColor="text1"/>
              <w14:textFill>
                <w14:solidFill>
                  <w14:schemeClr w14:val="tx1"/>
                </w14:solidFill>
              </w14:textFill>
            </w:rPr>
            <w:t>下列术语和定义适用于本文件。</w:t>
          </w:r>
        </w:p>
      </w:sdtContent>
    </w:sdt>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w:t>
      </w:r>
      <w:bookmarkStart w:id="42" w:name="_Hlk189824581"/>
      <w:bookmarkStart w:id="43" w:name="OLE_LINK6"/>
      <w:r>
        <w:rPr>
          <w:rFonts w:hint="eastAsia" w:ascii="黑体" w:hAnsi="黑体" w:eastAsia="黑体"/>
          <w:color w:val="000000" w:themeColor="text1"/>
          <w14:textFill>
            <w14:solidFill>
              <w14:schemeClr w14:val="tx1"/>
            </w14:solidFill>
          </w14:textFill>
        </w:rPr>
        <w:t>“宽早优”植棉</w:t>
      </w:r>
      <w:bookmarkEnd w:id="42"/>
      <w:bookmarkEnd w:id="43"/>
      <w:r>
        <w:rPr>
          <w:rFonts w:hint="eastAsia" w:ascii="黑体" w:hAnsi="黑体" w:eastAsia="黑体"/>
          <w:color w:val="000000" w:themeColor="text1"/>
          <w14:textFill>
            <w14:solidFill>
              <w14:schemeClr w14:val="tx1"/>
            </w14:solidFill>
          </w14:textFill>
        </w:rPr>
        <w:t xml:space="preserve">  “kuanzaoyou”planting cotton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宽等行种植、促早发早熟、品质优良的植棉方式。采用76 cm等行距，增强立体采光和株高80 cm～100 cm株间透光；促早发，应实现4月苗、5月蕾、6月花、7月铃，早熟，应实现8月中下旬吐絮，喷施脱叶剂时自然吐絮率≥30，且不早衰，生产优质原棉的植棉方法。</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w:t>
      </w:r>
      <w:r>
        <w:rPr>
          <w:color w:val="000000" w:themeColor="text1"/>
          <w14:textFill>
            <w14:solidFill>
              <w14:schemeClr w14:val="tx1"/>
            </w14:solidFill>
          </w14:textFill>
        </w:rPr>
        <w:t>DB6523/T 396</w:t>
      </w:r>
      <w:r>
        <w:rPr>
          <w:rFonts w:hint="eastAsia"/>
          <w:color w:val="000000" w:themeColor="text1"/>
          <w14:textFill>
            <w14:solidFill>
              <w14:schemeClr w14:val="tx1"/>
            </w14:solidFill>
          </w14:textFill>
        </w:rPr>
        <w:t>-2023，3.1，有修改]。</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化学封顶  chemical toping</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用化学封顶剂抑制棉花顶尖生长，控制棉花的无限生长，调控棉株营养生长与生殖生长，促进棉花在有限的生长期内多结铃的方法。</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化学封顶剂  chemical topping agent</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用于化学封顶的一种抑制顶端生长药剂，本文件指增效型98％甲哌鎓</w:t>
      </w:r>
      <w:bookmarkStart w:id="44" w:name="_Hlk186454260"/>
      <w:r>
        <w:rPr>
          <w:rFonts w:hint="eastAsia"/>
          <w:color w:val="000000" w:themeColor="text1"/>
          <w14:textFill>
            <w14:solidFill>
              <w14:schemeClr w14:val="tx1"/>
            </w14:solidFill>
          </w14:textFill>
        </w:rPr>
        <w:t>可溶性粉剂</w:t>
      </w:r>
      <w:bookmarkEnd w:id="44"/>
      <w:r>
        <w:rPr>
          <w:rFonts w:hint="eastAsia"/>
          <w:color w:val="000000" w:themeColor="text1"/>
          <w14:textFill>
            <w14:solidFill>
              <w14:schemeClr w14:val="tx1"/>
            </w14:solidFill>
          </w14:textFill>
        </w:rPr>
        <w:t>。</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优质棉  high-quality cotton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符合纺织工业需要，各</w:t>
      </w:r>
      <w:bookmarkStart w:id="45" w:name="_Hlk188033743"/>
      <w:r>
        <w:rPr>
          <w:rFonts w:hint="eastAsia"/>
          <w:color w:val="000000" w:themeColor="text1"/>
          <w14:textFill>
            <w14:solidFill>
              <w14:schemeClr w14:val="tx1"/>
            </w14:solidFill>
          </w14:textFill>
        </w:rPr>
        <w:t>纤维品质指标</w:t>
      </w:r>
      <w:bookmarkEnd w:id="45"/>
      <w:r>
        <w:rPr>
          <w:rFonts w:hint="eastAsia"/>
          <w:color w:val="000000" w:themeColor="text1"/>
          <w14:textFill>
            <w14:solidFill>
              <w14:schemeClr w14:val="tx1"/>
            </w14:solidFill>
          </w14:textFill>
        </w:rPr>
        <w:t>匹配合理的棉花。</w:t>
      </w:r>
    </w:p>
    <w:p>
      <w:pPr>
        <w:pStyle w:val="56"/>
        <w:ind w:firstLine="420"/>
        <w:rPr>
          <w:color w:val="000000" w:themeColor="text1"/>
          <w14:textFill>
            <w14:solidFill>
              <w14:schemeClr w14:val="tx1"/>
            </w14:solidFill>
          </w14:textFill>
        </w:rPr>
      </w:pPr>
      <w:bookmarkStart w:id="46" w:name="OLE_LINK3"/>
      <w:r>
        <w:rPr>
          <w:rFonts w:hint="eastAsia"/>
          <w:color w:val="000000" w:themeColor="text1"/>
          <w14:textFill>
            <w14:solidFill>
              <w14:schemeClr w14:val="tx1"/>
            </w14:solidFill>
          </w14:textFill>
        </w:rPr>
        <w:t>[来源：NY/T 1426-2007,3.8]</w:t>
      </w:r>
      <w:bookmarkEnd w:id="46"/>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脱叶催熟  chemical defoliation and ripening</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用脱叶催熟剂在棉花吐絮期喷施，</w:t>
      </w:r>
      <w:r>
        <w:rPr>
          <w:color w:val="000000" w:themeColor="text1"/>
          <w14:textFill>
            <w14:solidFill>
              <w14:schemeClr w14:val="tx1"/>
            </w14:solidFill>
          </w14:textFill>
        </w:rPr>
        <w:t>使棉花叶柄基部形成离层，促进叶片脱落。</w:t>
      </w:r>
      <w:r>
        <w:rPr>
          <w:rFonts w:hint="eastAsia"/>
          <w:color w:val="000000" w:themeColor="text1"/>
          <w14:textFill>
            <w14:solidFill>
              <w14:schemeClr w14:val="tx1"/>
            </w14:solidFill>
          </w14:textFill>
        </w:rPr>
        <w:t>促进棉花落叶及棉铃开裂吐絮、加快成熟的方法。</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脱叶催熟剂  </w:t>
      </w:r>
      <w:r>
        <w:rPr>
          <w:rFonts w:ascii="黑体" w:hAnsi="黑体" w:eastAsia="黑体"/>
          <w:color w:val="000000" w:themeColor="text1"/>
          <w14:textFill>
            <w14:solidFill>
              <w14:schemeClr w14:val="tx1"/>
            </w14:solidFill>
          </w14:textFill>
        </w:rPr>
        <w:t>chemical defoliation and ripening agent</w:t>
      </w:r>
      <w:r>
        <w:rPr>
          <w:rFonts w:hint="eastAsia" w:ascii="黑体" w:hAnsi="黑体" w:eastAsia="黑体"/>
          <w:color w:val="000000" w:themeColor="text1"/>
          <w14:textFill>
            <w14:solidFill>
              <w14:schemeClr w14:val="tx1"/>
            </w14:solidFill>
          </w14:textFill>
        </w:rPr>
        <w:t xml:space="preserve"> </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用于棉花脱叶和催熟的一种脱叶催熟类药剂。一般</w:t>
      </w:r>
      <w:r>
        <w:rPr>
          <w:color w:val="000000" w:themeColor="text1"/>
          <w14:textFill>
            <w14:solidFill>
              <w14:schemeClr w14:val="tx1"/>
            </w14:solidFill>
          </w14:textFill>
        </w:rPr>
        <w:t>可分为激素型和除草剂型，或两类物质的混配使用。激素型脱叶剂是通过刺激棉花叶片产生乙烯或者抑制生长素的运输，以噻苯隆及其相关复配产品为代表。</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品种选择</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选择通过国家或省级农作物品种审定委员会审定的适于机采的优质棉品种，纤维品质指标达到优质棉要求。</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种植密度</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选用“宽早优”植棉模式，行距为76 cm，高产棉田收获密度为9000株/666.67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～10000株/666.67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，播种密度为11000株/666.67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～12000株/666.67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，株距是7.3 cm～8 cm；一般棉田收获密度为10000株/666.67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～12000株/666.67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，播种密度为12000株/666.67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～13000株/666.67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，株距是6.7 cm～7.3 cm。</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化学调控技术</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苗期</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“宽早优”植棉模式的棉田根据苗情，98％甲哌鎓</w:t>
      </w:r>
      <w:bookmarkStart w:id="47" w:name="_Hlk186454287"/>
      <w:r>
        <w:rPr>
          <w:rFonts w:hint="eastAsia"/>
          <w:color w:val="000000" w:themeColor="text1"/>
          <w14:textFill>
            <w14:solidFill>
              <w14:schemeClr w14:val="tx1"/>
            </w14:solidFill>
          </w14:textFill>
        </w:rPr>
        <w:t>可溶性粉剂</w:t>
      </w:r>
      <w:bookmarkEnd w:id="47"/>
      <w:r>
        <w:rPr>
          <w:rFonts w:hint="eastAsia"/>
          <w:color w:val="000000" w:themeColor="text1"/>
          <w14:textFill>
            <w14:solidFill>
              <w14:schemeClr w14:val="tx1"/>
            </w14:solidFill>
          </w14:textFill>
        </w:rPr>
        <w:t>化学调控2次。第一次在1片～2片真叶期，用量为0.3 g/666.67 m²～0.5 g/666.67 m²,弱苗可以不化调。第二次在4片～6片真叶期，用量0.5 g/666.67 m²～1 g/666.67 m²,壮苗用下限，旺苗用上限。</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蕾期</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“宽早优”植棉模式的棉田根据苗情，98％甲哌鎓可溶性粉剂化学调控2次。第一次在现蕾期至头水前，为塑造棉花的理想株型，旺、壮苗棉田除适当推迟头水外，也可根据苗情施用甲哌鎓，用量为1 g/666.67 m²～1.5 g/666.67 m²。第二次在头水后至开花期，以水肥调控为主，对长势过旺的棉田进行化调，在滴灌后2 d～3 d进行，用量为1.5 g/666.67 m²～2 g/666.67 m²。</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花铃期</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棉花进入营养生长与生殖生长并进时期，以水肥调控为主，主要针对长势偏旺的棉田进行化学调控， 甲哌鎓用量2 g/666.67 m²～2.5 g/666.67 m²。</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棉田打顶</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人工打顶</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在人工打顶后，顶部果枝伸长5 cm～7 cm或现出第2个蕾时，进行1次化学调控，98％甲哌鎓可溶性粉剂用量8 g/666.67 m²～10 g/666.67 m²，待顶部果枝第2果节长到2 cm～3 cm时，即5 d～7 d后，可进行第2次化学调控，98％甲哌鎓可溶性粉剂用量6 g/666.67 m²～8 g/666.67 m²。不旺长的棉花只进行1次封顶化控。</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化学封顶</w:t>
      </w:r>
    </w:p>
    <w:p>
      <w:pPr>
        <w:pStyle w:val="164"/>
        <w:rPr>
          <w:color w:val="000000" w:themeColor="text1"/>
          <w14:textFill>
            <w14:solidFill>
              <w14:schemeClr w14:val="tx1"/>
            </w14:solidFill>
          </w14:textFill>
        </w:rPr>
      </w:pPr>
      <w:r>
        <w:rPr>
          <w:rFonts w:hint="eastAsia"/>
          <w:color w:val="000000" w:themeColor="text1"/>
          <w14:textFill>
            <w14:solidFill>
              <w14:schemeClr w14:val="tx1"/>
            </w14:solidFill>
          </w14:textFill>
        </w:rPr>
        <w:t>与人工打顶时间同步，初花期至盛花期；剂量：25％甲哌鎓水剂50 mL/666.67 m²～75 mL/666.67 m²，或15 g甲哌鎓+10 mL助剂；采用无人机或地面施药。</w:t>
      </w:r>
    </w:p>
    <w:p>
      <w:pPr>
        <w:pStyle w:val="164"/>
        <w:rPr>
          <w:color w:val="000000" w:themeColor="text1"/>
          <w14:textFill>
            <w14:solidFill>
              <w14:schemeClr w14:val="tx1"/>
            </w14:solidFill>
          </w14:textFill>
        </w:rPr>
      </w:pPr>
      <w:r>
        <w:rPr>
          <w:rFonts w:hint="eastAsia"/>
          <w:color w:val="000000" w:themeColor="text1"/>
          <w14:textFill>
            <w14:solidFill>
              <w14:schemeClr w14:val="tx1"/>
            </w14:solidFill>
          </w14:textFill>
        </w:rPr>
        <w:t>喷施化学封顶剂时，喷杆离棉株顶心30 cm左右，无人机喷施，作业高度2.5 m左右，</w:t>
      </w:r>
      <w:r>
        <w:rPr>
          <w:color w:val="000000" w:themeColor="text1"/>
          <w14:textFill>
            <w14:solidFill>
              <w14:schemeClr w14:val="tx1"/>
            </w14:solidFill>
          </w14:textFill>
        </w:rPr>
        <w:t>飞行速度一般设定5</w:t>
      </w:r>
      <w:r>
        <w:rPr>
          <w:rFonts w:hint="eastAsia"/>
          <w:color w:val="000000" w:themeColor="text1"/>
          <w14:textFill>
            <w14:solidFill>
              <w14:schemeClr w14:val="tx1"/>
            </w14:solidFill>
          </w14:textFill>
        </w:rPr>
        <w:t xml:space="preserve"> m</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s</w:t>
      </w:r>
      <w:r>
        <w:rPr>
          <w:color w:val="000000" w:themeColor="text1"/>
          <w14:textFill>
            <w14:solidFill>
              <w14:schemeClr w14:val="tx1"/>
            </w14:solidFill>
          </w14:textFill>
        </w:rPr>
        <w:t>，应优先选择雾滴分布均匀的离心式喷头</w:t>
      </w:r>
      <w:r>
        <w:rPr>
          <w:rFonts w:hint="eastAsia"/>
          <w:color w:val="000000" w:themeColor="text1"/>
          <w14:textFill>
            <w14:solidFill>
              <w14:schemeClr w14:val="tx1"/>
            </w14:solidFill>
          </w14:textFill>
        </w:rPr>
        <w:t>。化学封顶剂用量和化学封顶时间一定要与棉花生长情况相结合，并通过水肥和系统98％甲哌鎓可溶性粉剂化控保障棉花生长稳健。化学封顶剂可以与杀虫剂混用。喷施6 h内遇雨，减半补喷。</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脱叶催熟技术</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施药时间</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9月1日～9月10日，自然吐絮率达到30%～40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,使用脱叶剂5 d～7 d晴天，日平均气温≥16 ℃，日最低气温连续3天≥12 ℃。</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药剂用量</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正常棉田</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正常棉田适时施药时棉株自然吐絮率在30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～40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。脱叶催熟剂种类及用量见表1，兑水量为35 L/666.67 m²～40 L/666.67 m²,机械喷施。</w:t>
      </w:r>
    </w:p>
    <w:p>
      <w:pPr>
        <w:pStyle w:val="11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脱叶催熟剂种类及用量</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6"/>
        <w:gridCol w:w="2552"/>
        <w:gridCol w:w="2511"/>
        <w:gridCol w:w="13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7189" w:type="dxa"/>
            <w:gridSpan w:val="3"/>
            <w:tcBorders>
              <w:top w:val="single" w:color="auto" w:sz="8" w:space="0"/>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脱叶剂用量</w:t>
            </w:r>
          </w:p>
        </w:tc>
        <w:tc>
          <w:tcPr>
            <w:tcW w:w="1324" w:type="dxa"/>
            <w:vMerge w:val="restart"/>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40</w:t>
            </w:r>
            <w:r>
              <w:rPr>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乙烯利用量mL/666.67 m</w:t>
            </w:r>
            <w:r>
              <w:rPr>
                <w:rFonts w:hint="eastAsia"/>
                <w:color w:val="000000" w:themeColor="text1"/>
                <w:szCs w:val="18"/>
                <w:vertAlign w:val="superscript"/>
                <w14:textFill>
                  <w14:solidFill>
                    <w14:schemeClr w14:val="tx1"/>
                  </w14:solidFill>
                </w14:textFill>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26" w:type="dxa"/>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color w:val="000000" w:themeColor="text1"/>
                <w:szCs w:val="18"/>
                <w14:textFill>
                  <w14:solidFill>
                    <w14:schemeClr w14:val="tx1"/>
                  </w14:solidFill>
                </w14:textFill>
              </w:rPr>
              <w:t>主要成分</w:t>
            </w:r>
          </w:p>
        </w:tc>
        <w:tc>
          <w:tcPr>
            <w:tcW w:w="2552" w:type="dxa"/>
            <w:tcBorders>
              <w:top w:val="single" w:color="auto" w:sz="8" w:space="0"/>
            </w:tcBorders>
            <w:shd w:val="clear" w:color="auto" w:fill="auto"/>
            <w:vAlign w:val="center"/>
          </w:tcPr>
          <w:p>
            <w:pPr>
              <w:pStyle w:val="178"/>
              <w:rPr>
                <w:color w:val="000000" w:themeColor="text1"/>
                <w:szCs w:val="18"/>
                <w14:textFill>
                  <w14:solidFill>
                    <w14:schemeClr w14:val="tx1"/>
                  </w14:solidFill>
                </w14:textFill>
              </w:rPr>
            </w:pPr>
            <w:r>
              <w:rPr>
                <w:color w:val="000000" w:themeColor="text1"/>
                <w:szCs w:val="18"/>
                <w14:textFill>
                  <w14:solidFill>
                    <w14:schemeClr w14:val="tx1"/>
                  </w14:solidFill>
                </w14:textFill>
              </w:rPr>
              <w:t>用量</w:t>
            </w:r>
          </w:p>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g/666.67 m</w:t>
            </w:r>
            <w:r>
              <w:rPr>
                <w:rFonts w:hint="eastAsia"/>
                <w:color w:val="000000" w:themeColor="text1"/>
                <w:szCs w:val="18"/>
                <w:vertAlign w:val="superscript"/>
                <w14:textFill>
                  <w14:solidFill>
                    <w14:schemeClr w14:val="tx1"/>
                  </w14:solidFill>
                </w14:textFill>
              </w:rPr>
              <w:t>2</w:t>
            </w:r>
          </w:p>
        </w:tc>
        <w:tc>
          <w:tcPr>
            <w:tcW w:w="2511" w:type="dxa"/>
            <w:tcBorders>
              <w:top w:val="single" w:color="auto" w:sz="8" w:space="0"/>
            </w:tcBorders>
            <w:shd w:val="clear" w:color="auto" w:fill="auto"/>
            <w:vAlign w:val="center"/>
          </w:tcPr>
          <w:p>
            <w:pPr>
              <w:pStyle w:val="178"/>
              <w:rPr>
                <w:color w:val="000000" w:themeColor="text1"/>
                <w:szCs w:val="18"/>
                <w14:textFill>
                  <w14:solidFill>
                    <w14:schemeClr w14:val="tx1"/>
                  </w14:solidFill>
                </w14:textFill>
              </w:rPr>
            </w:pPr>
            <w:r>
              <w:rPr>
                <w:rFonts w:hint="eastAsia"/>
                <w:color w:val="000000" w:themeColor="text1"/>
                <w:szCs w:val="18"/>
                <w14:textFill>
                  <w14:solidFill>
                    <w14:schemeClr w14:val="tx1"/>
                  </w14:solidFill>
                </w14:textFill>
              </w:rPr>
              <w:t>助剂用量</w:t>
            </w:r>
          </w:p>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mL/666.67 m</w:t>
            </w:r>
            <w:r>
              <w:rPr>
                <w:rFonts w:hint="eastAsia"/>
                <w:color w:val="000000" w:themeColor="text1"/>
                <w:szCs w:val="18"/>
                <w:vertAlign w:val="superscript"/>
                <w14:textFill>
                  <w14:solidFill>
                    <w14:schemeClr w14:val="tx1"/>
                  </w14:solidFill>
                </w14:textFill>
              </w:rPr>
              <w:t>2</w:t>
            </w:r>
          </w:p>
        </w:tc>
        <w:tc>
          <w:tcPr>
            <w:tcW w:w="1324" w:type="dxa"/>
            <w:vMerge w:val="continue"/>
            <w:shd w:val="clear" w:color="auto" w:fill="auto"/>
            <w:vAlign w:val="center"/>
          </w:tcPr>
          <w:p>
            <w:pPr>
              <w:pStyle w:val="178"/>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26"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50</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噻苯隆可湿性粉剂</w:t>
            </w:r>
          </w:p>
        </w:tc>
        <w:tc>
          <w:tcPr>
            <w:tcW w:w="2552"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30</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 xml:space="preserve">40 </w:t>
            </w:r>
          </w:p>
        </w:tc>
        <w:tc>
          <w:tcPr>
            <w:tcW w:w="2511"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324"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150</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 xml:space="preserve">300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26" w:type="dxa"/>
            <w:shd w:val="clear" w:color="auto" w:fill="auto"/>
            <w:vAlign w:val="center"/>
          </w:tcPr>
          <w:p>
            <w:pPr>
              <w:pStyle w:val="178"/>
              <w:rPr>
                <w:color w:val="000000" w:themeColor="text1"/>
                <w14:textFill>
                  <w14:solidFill>
                    <w14:schemeClr w14:val="tx1"/>
                  </w14:solidFill>
                </w14:textFill>
              </w:rPr>
            </w:pPr>
            <w:bookmarkStart w:id="48" w:name="OLE_LINK7"/>
            <w:r>
              <w:rPr>
                <w:color w:val="000000" w:themeColor="text1"/>
                <w:szCs w:val="18"/>
                <w14:textFill>
                  <w14:solidFill>
                    <w14:schemeClr w14:val="tx1"/>
                  </w14:solidFill>
                </w14:textFill>
              </w:rPr>
              <w:t>36</w:t>
            </w:r>
            <w:r>
              <w:rPr>
                <w:rFonts w:hint="eastAsia"/>
                <w:color w:val="000000" w:themeColor="text1"/>
                <w14:textFill>
                  <w14:solidFill>
                    <w14:schemeClr w14:val="tx1"/>
                  </w14:solidFill>
                </w14:textFill>
              </w:rPr>
              <w:t>%</w:t>
            </w:r>
            <w:r>
              <w:rPr>
                <w:color w:val="000000" w:themeColor="text1"/>
                <w:szCs w:val="18"/>
                <w14:textFill>
                  <w14:solidFill>
                    <w14:schemeClr w14:val="tx1"/>
                  </w14:solidFill>
                </w14:textFill>
              </w:rPr>
              <w:t>噻苯隆+18</w:t>
            </w:r>
            <w:r>
              <w:rPr>
                <w:rFonts w:hint="eastAsia"/>
                <w:color w:val="000000" w:themeColor="text1"/>
                <w14:textFill>
                  <w14:solidFill>
                    <w14:schemeClr w14:val="tx1"/>
                  </w14:solidFill>
                </w14:textFill>
              </w:rPr>
              <w:t>％</w:t>
            </w:r>
            <w:r>
              <w:rPr>
                <w:color w:val="000000" w:themeColor="text1"/>
                <w:szCs w:val="18"/>
                <w14:textFill>
                  <w14:solidFill>
                    <w14:schemeClr w14:val="tx1"/>
                  </w14:solidFill>
                </w14:textFill>
              </w:rPr>
              <w:t>敌草隆</w:t>
            </w:r>
            <w:bookmarkEnd w:id="48"/>
          </w:p>
        </w:tc>
        <w:tc>
          <w:tcPr>
            <w:tcW w:w="2552"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13</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 xml:space="preserve">15 </w:t>
            </w:r>
          </w:p>
        </w:tc>
        <w:tc>
          <w:tcPr>
            <w:tcW w:w="2511" w:type="dxa"/>
            <w:shd w:val="clear" w:color="auto" w:fill="auto"/>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 xml:space="preserve">50 </w:t>
            </w:r>
          </w:p>
        </w:tc>
        <w:tc>
          <w:tcPr>
            <w:tcW w:w="1324"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 xml:space="preserve"> 70</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 xml:space="preserve">100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26" w:type="dxa"/>
            <w:shd w:val="clear" w:color="auto" w:fill="auto"/>
          </w:tcPr>
          <w:p>
            <w:pPr>
              <w:pStyle w:val="178"/>
              <w:rPr>
                <w:color w:val="000000" w:themeColor="text1"/>
                <w14:textFill>
                  <w14:solidFill>
                    <w14:schemeClr w14:val="tx1"/>
                  </w14:solidFill>
                </w14:textFill>
              </w:rPr>
            </w:pPr>
            <w:bookmarkStart w:id="49" w:name="OLE_LINK9"/>
            <w:bookmarkStart w:id="50" w:name="OLE_LINK10"/>
            <w:r>
              <w:rPr>
                <w:color w:val="000000" w:themeColor="text1"/>
                <w:szCs w:val="18"/>
                <w14:textFill>
                  <w14:solidFill>
                    <w14:schemeClr w14:val="tx1"/>
                  </w14:solidFill>
                </w14:textFill>
              </w:rPr>
              <w:t>75</w:t>
            </w:r>
            <w:r>
              <w:rPr>
                <w:rFonts w:hint="eastAsia"/>
                <w:color w:val="000000" w:themeColor="text1"/>
                <w14:textFill>
                  <w14:solidFill>
                    <w14:schemeClr w14:val="tx1"/>
                  </w14:solidFill>
                </w14:textFill>
              </w:rPr>
              <w:t>%</w:t>
            </w:r>
            <w:r>
              <w:rPr>
                <w:color w:val="000000" w:themeColor="text1"/>
                <w:szCs w:val="18"/>
                <w14:textFill>
                  <w14:solidFill>
                    <w14:schemeClr w14:val="tx1"/>
                  </w14:solidFill>
                </w14:textFill>
              </w:rPr>
              <w:t>噻苯隆+6</w:t>
            </w:r>
            <w:r>
              <w:rPr>
                <w:rFonts w:hint="eastAsia"/>
                <w:color w:val="000000" w:themeColor="text1"/>
                <w14:textFill>
                  <w14:solidFill>
                    <w14:schemeClr w14:val="tx1"/>
                  </w14:solidFill>
                </w14:textFill>
              </w:rPr>
              <w:t>％</w:t>
            </w:r>
            <w:r>
              <w:rPr>
                <w:color w:val="000000" w:themeColor="text1"/>
                <w:szCs w:val="18"/>
                <w14:textFill>
                  <w14:solidFill>
                    <w14:schemeClr w14:val="tx1"/>
                  </w14:solidFill>
                </w14:textFill>
              </w:rPr>
              <w:t>敌草隆</w:t>
            </w:r>
            <w:bookmarkEnd w:id="49"/>
            <w:bookmarkEnd w:id="50"/>
          </w:p>
        </w:tc>
        <w:tc>
          <w:tcPr>
            <w:tcW w:w="2552"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20</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 xml:space="preserve">25 </w:t>
            </w:r>
          </w:p>
        </w:tc>
        <w:tc>
          <w:tcPr>
            <w:tcW w:w="2511"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6.3 </w:t>
            </w:r>
          </w:p>
        </w:tc>
        <w:tc>
          <w:tcPr>
            <w:tcW w:w="1324"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 xml:space="preserve"> 70</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 xml:space="preserve">100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26" w:type="dxa"/>
            <w:tcBorders>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50</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噻苯隆+乙烯利悬浮剂</w:t>
            </w:r>
          </w:p>
        </w:tc>
        <w:tc>
          <w:tcPr>
            <w:tcW w:w="6387" w:type="dxa"/>
            <w:gridSpan w:val="3"/>
            <w:tcBorders>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150 mL</w:t>
            </w:r>
            <w:r>
              <w:rPr>
                <w:rFonts w:hint="eastAsia"/>
                <w:color w:val="000000" w:themeColor="text1"/>
                <w14:textFill>
                  <w14:solidFill>
                    <w14:schemeClr w14:val="tx1"/>
                  </w14:solidFill>
                </w14:textFill>
              </w:rPr>
              <w:t>～</w:t>
            </w:r>
            <w:r>
              <w:rPr>
                <w:rFonts w:hint="eastAsia"/>
                <w:color w:val="000000" w:themeColor="text1"/>
                <w:szCs w:val="18"/>
                <w14:textFill>
                  <w14:solidFill>
                    <w14:schemeClr w14:val="tx1"/>
                  </w14:solidFill>
                </w14:textFill>
              </w:rPr>
              <w:t>180 mL</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513" w:type="dxa"/>
            <w:gridSpan w:val="4"/>
            <w:tcBorders>
              <w:top w:val="single" w:color="auto" w:sz="8" w:space="0"/>
              <w:bottom w:val="single" w:color="auto" w:sz="8" w:space="0"/>
            </w:tcBorders>
            <w:shd w:val="clear" w:color="auto" w:fill="auto"/>
            <w:vAlign w:val="center"/>
          </w:tcPr>
          <w:p>
            <w:pPr>
              <w:pStyle w:val="180"/>
            </w:pPr>
            <w:r>
              <w:rPr>
                <w:rFonts w:hint="eastAsia"/>
              </w:rPr>
              <w:t>36</w:t>
            </w:r>
            <w:r>
              <w:rPr>
                <w:color w:val="000000" w:themeColor="text1"/>
                <w14:textFill>
                  <w14:solidFill>
                    <w14:schemeClr w14:val="tx1"/>
                  </w14:solidFill>
                </w14:textFill>
              </w:rPr>
              <w:t>%</w:t>
            </w:r>
            <w:r>
              <w:rPr>
                <w:rFonts w:hint="eastAsia"/>
              </w:rPr>
              <w:t>噻苯隆+18</w:t>
            </w:r>
            <w:r>
              <w:t>%</w:t>
            </w:r>
            <w:r>
              <w:rPr>
                <w:rFonts w:hint="eastAsia"/>
              </w:rPr>
              <w:t>敌草隆</w:t>
            </w:r>
            <w:bookmarkStart w:id="51" w:name="OLE_LINK11"/>
            <w:bookmarkStart w:id="52" w:name="OLE_LINK12"/>
            <w:r>
              <w:rPr>
                <w:rFonts w:hint="eastAsia"/>
              </w:rPr>
              <w:t>的助剂为烷基乙磺酸盐</w:t>
            </w:r>
            <w:bookmarkEnd w:id="51"/>
            <w:bookmarkEnd w:id="52"/>
            <w:r>
              <w:rPr>
                <w:rFonts w:hint="eastAsia"/>
              </w:rPr>
              <w:t>。</w:t>
            </w:r>
          </w:p>
          <w:p>
            <w:pPr>
              <w:pStyle w:val="180"/>
            </w:pPr>
            <w:r>
              <w:rPr>
                <w:rFonts w:hint="eastAsia"/>
              </w:rPr>
              <w:t>75</w:t>
            </w:r>
            <w:r>
              <w:rPr>
                <w:color w:val="000000" w:themeColor="text1"/>
                <w14:textFill>
                  <w14:solidFill>
                    <w14:schemeClr w14:val="tx1"/>
                  </w14:solidFill>
                </w14:textFill>
              </w:rPr>
              <w:t>%</w:t>
            </w:r>
            <w:r>
              <w:rPr>
                <w:rFonts w:hint="eastAsia"/>
              </w:rPr>
              <w:t>噻苯隆+6</w:t>
            </w:r>
            <w:r>
              <w:t>%</w:t>
            </w:r>
            <w:r>
              <w:rPr>
                <w:rFonts w:hint="eastAsia"/>
              </w:rPr>
              <w:t>敌草隆的助剂为专用助剂。</w:t>
            </w:r>
          </w:p>
        </w:tc>
      </w:tr>
    </w:tbl>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贪青晚熟棉田</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进入9月份，</w:t>
      </w:r>
      <w:r>
        <w:rPr>
          <w:rStyle w:val="230"/>
          <w:color w:val="000000" w:themeColor="text1"/>
          <w14:textFill>
            <w14:solidFill>
              <w14:schemeClr w14:val="tx1"/>
            </w14:solidFill>
          </w14:textFill>
        </w:rPr>
        <w:t>棉株仍叶色浓绿、青铃多、吐絮少的棉田</w:t>
      </w:r>
      <w:r>
        <w:rPr>
          <w:rStyle w:val="230"/>
          <w:rFonts w:hint="eastAsia"/>
          <w:color w:val="000000" w:themeColor="text1"/>
          <w14:textFill>
            <w14:solidFill>
              <w14:schemeClr w14:val="tx1"/>
            </w14:solidFill>
          </w14:textFill>
        </w:rPr>
        <w:t>，</w:t>
      </w:r>
      <w:r>
        <w:rPr>
          <w:rFonts w:hint="eastAsia"/>
          <w:color w:val="000000" w:themeColor="text1"/>
          <w14:textFill>
            <w14:solidFill>
              <w14:schemeClr w14:val="tx1"/>
            </w14:solidFill>
          </w14:textFill>
        </w:rPr>
        <w:t>适时施药时棉株自然吐絮率＜10</w:t>
      </w:r>
      <w:r>
        <w:rPr>
          <w:color w:val="000000" w:themeColor="text1"/>
          <w14:textFill>
            <w14:solidFill>
              <w14:schemeClr w14:val="tx1"/>
            </w14:solidFill>
          </w14:textFill>
        </w:rPr>
        <w:t>%</w:t>
      </w:r>
      <w:r>
        <w:rPr>
          <w:rStyle w:val="230"/>
          <w:color w:val="000000" w:themeColor="text1"/>
          <w14:textFill>
            <w14:solidFill>
              <w14:schemeClr w14:val="tx1"/>
            </w14:solidFill>
          </w14:textFill>
        </w:rPr>
        <w:t>。</w:t>
      </w:r>
      <w:r>
        <w:rPr>
          <w:rFonts w:hint="eastAsia"/>
          <w:color w:val="000000" w:themeColor="text1"/>
          <w14:textFill>
            <w14:solidFill>
              <w14:schemeClr w14:val="tx1"/>
            </w14:solidFill>
          </w14:textFill>
        </w:rPr>
        <w:t>分两次喷施脱叶催熟剂，第一次喷施时间较正常时间提前5 d～7 d,用量为正常药量的50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～70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；第一次施药8 d～10 d后进行第二次施药，药量≥正常药量的70%。</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施药要求</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药液配置，应二次稀释。对棉株中上部和外围叶片、棉铃进行均匀喷雾，保证全部叶片和棉铃全部着药。悬挂牵引式喷杆喷雾机技术条件应符合</w:t>
      </w:r>
      <w:bookmarkStart w:id="53" w:name="OLE_LINK5"/>
      <w:bookmarkStart w:id="54" w:name="OLE_LINK4"/>
      <w:r>
        <w:rPr>
          <w:rFonts w:hint="eastAsia"/>
          <w:color w:val="000000" w:themeColor="text1"/>
          <w14:textFill>
            <w14:solidFill>
              <w14:schemeClr w14:val="tx1"/>
            </w14:solidFill>
          </w14:textFill>
        </w:rPr>
        <w:t>GB/T 24677.1的要求</w:t>
      </w:r>
      <w:bookmarkEnd w:id="53"/>
      <w:bookmarkEnd w:id="54"/>
      <w:r>
        <w:rPr>
          <w:rFonts w:hint="eastAsia"/>
          <w:color w:val="000000" w:themeColor="text1"/>
          <w14:textFill>
            <w14:solidFill>
              <w14:schemeClr w14:val="tx1"/>
            </w14:solidFill>
          </w14:textFill>
        </w:rPr>
        <w:t>，植保无人机作业剂量应符合NY/T 3213的要求。对于长势较旺和贪青棉田，不应一次性超剂量</w:t>
      </w:r>
      <w:r>
        <w:rPr>
          <w:rFonts w:hint="eastAsia" w:hAnsi="宋体"/>
          <w:color w:val="000000" w:themeColor="text1"/>
          <w14:textFill>
            <w14:solidFill>
              <w14:schemeClr w14:val="tx1"/>
            </w14:solidFill>
          </w14:textFill>
        </w:rPr>
        <w:t>≥</w:t>
      </w:r>
      <w:r>
        <w:rPr>
          <w:rFonts w:hint="eastAsia"/>
          <w:color w:val="000000" w:themeColor="text1"/>
          <w14:textFill>
            <w14:solidFill>
              <w14:schemeClr w14:val="tx1"/>
            </w14:solidFill>
          </w14:textFill>
        </w:rPr>
        <w:t>2倍的高浓度用药，易造成叶片干枯不落。喷施6 h内遇雨，应重喷。</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喷雾农艺指标</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喷雾机作业参数</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横杆直喷式喷雾，施药液量按15 L/667.67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～25 L/667.67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；水平式吊杆喷雾，施药液量按25 L/667.67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 xml:space="preserve">～35 </w:t>
      </w:r>
      <w:r>
        <w:rPr>
          <w:color w:val="000000" w:themeColor="text1"/>
          <w14:textFill>
            <w14:solidFill>
              <w14:schemeClr w14:val="tx1"/>
            </w14:solidFill>
          </w14:textFill>
        </w:rPr>
        <w:t>L</w:t>
      </w:r>
      <w:r>
        <w:rPr>
          <w:rFonts w:hint="eastAsia"/>
          <w:color w:val="000000" w:themeColor="text1"/>
          <w14:textFill>
            <w14:solidFill>
              <w14:schemeClr w14:val="tx1"/>
            </w14:solidFill>
          </w14:textFill>
        </w:rPr>
        <w:t>/667.67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，棉花株高＞85 cm，采用双层吊喷的，施药液量35 L/667.67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～40 L/667.67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；风幕袖简式喷雾，施药液量按8 L/667.67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～12 L/667.67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无人机喷施作业指标</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应按照NY/T 3212-2018的规定进行作业质量测定。作业高度为2 m～2.5 m，飞行速度为3 m/s～5 m/s,风速为≤4 m/s，单个喷幅内CV(％)≤30，喷洒区域内CV(</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)≤50，雾滴分布均匀，喷施质量好。</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采收</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喷脱叶剂后，脱叶率≥90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，吐絮率≥95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，可适期早采收，9月20日～10月20日。</w:t>
      </w:r>
      <w:r>
        <w:rPr>
          <w:color w:val="000000" w:themeColor="text1"/>
          <w14:textFill>
            <w14:solidFill>
              <w14:schemeClr w14:val="tx1"/>
            </w14:solidFill>
          </w14:textFill>
        </w:rPr>
        <w:t>可</w:t>
      </w:r>
      <w:r>
        <w:rPr>
          <w:rFonts w:hint="eastAsia"/>
          <w:color w:val="000000" w:themeColor="text1"/>
          <w14:textFill>
            <w14:solidFill>
              <w14:schemeClr w14:val="tx1"/>
            </w14:solidFill>
          </w14:textFill>
        </w:rPr>
        <w:t>实行一次机械采收，为保证质量，机械进地时间以早晚避开露水为宜。采净率达到≥95</w:t>
      </w:r>
      <w:r>
        <w:rPr>
          <w:rFonts w:hAnsi="宋体"/>
          <w:color w:val="000000" w:themeColor="text1"/>
          <w14:textFill>
            <w14:solidFill>
              <w14:schemeClr w14:val="tx1"/>
            </w14:solidFill>
          </w14:textFill>
        </w:rPr>
        <w:t>%</w:t>
      </w:r>
      <w:r>
        <w:rPr>
          <w:rFonts w:hint="eastAsia"/>
          <w:color w:val="000000" w:themeColor="text1"/>
          <w14:textFill>
            <w14:solidFill>
              <w14:schemeClr w14:val="tx1"/>
            </w14:solidFill>
          </w14:textFill>
        </w:rPr>
        <w:t>，挂枝率≤0.8</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；遗留棉≤1.5</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；撞落棉≤1.7</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；含杂率≤10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，含水率≤10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。采用打圆模的采棉机采收，每个圆模粘贴绿色高品质棉编号标签。做到单收、单运、单放，并要求采收前后，所有用具清理干净。</w:t>
      </w:r>
    </w:p>
    <w:bookmarkEnd w:id="19"/>
    <w:p>
      <w:pPr>
        <w:pStyle w:val="56"/>
        <w:ind w:firstLine="0" w:firstLineChars="0"/>
        <w:jc w:val="center"/>
      </w:pPr>
      <w:bookmarkStart w:id="55" w:name="BookMark8"/>
      <w:r>
        <w:drawing>
          <wp:inline distT="0" distB="0" distL="0" distR="0">
            <wp:extent cx="1485900" cy="317500"/>
            <wp:effectExtent l="0" t="0" r="0" b="6350"/>
            <wp:docPr id="2101052279" name="图片 3"/>
            <wp:cNvGraphicFramePr/>
            <a:graphic xmlns:a="http://schemas.openxmlformats.org/drawingml/2006/main">
              <a:graphicData uri="http://schemas.openxmlformats.org/drawingml/2006/picture">
                <pic:pic xmlns:pic="http://schemas.openxmlformats.org/drawingml/2006/picture">
                  <pic:nvPicPr>
                    <pic:cNvPr id="2101052279" name="图片 3"/>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5"/>
    </w:p>
    <w:sectPr>
      <w:headerReference r:id="rId15" w:type="default"/>
      <w:footerReference r:id="rId17" w:type="default"/>
      <w:headerReference r:id="rId16" w:type="even"/>
      <w:footerReference r:id="rId18" w:type="even"/>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等线 Light">
    <w:altName w:val="华文中宋"/>
    <w:panose1 w:val="02010600030101010101"/>
    <w:charset w:val="86"/>
    <w:family w:val="auto"/>
    <w:pitch w:val="default"/>
    <w:sig w:usb0="00000000" w:usb1="00000000" w:usb2="00000016" w:usb3="00000000" w:csb0="0004000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298—2025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298—2025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298—2025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rFonts w:hint="eastAsia"/>
      </w:rPr>
      <w:t>DB 6523/T 298—2025</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1418" w:firstLine="0"/>
      </w:pPr>
      <w:rPr>
        <w:rFonts w:hint="eastAsia" w:ascii="黑体" w:eastAsia="黑体"/>
        <w:b w:val="0"/>
        <w:i w:val="0"/>
        <w:sz w:val="21"/>
      </w:rPr>
    </w:lvl>
    <w:lvl w:ilvl="2" w:tentative="0">
      <w:start w:val="1"/>
      <w:numFmt w:val="decimal"/>
      <w:pStyle w:val="105"/>
      <w:suff w:val="nothing"/>
      <w:lvlText w:val="%1%2.%3　"/>
      <w:lvlJc w:val="left"/>
      <w:pPr>
        <w:ind w:left="1985"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1418"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1" w:cryptProviderType="rsaFull" w:cryptAlgorithmClass="hash" w:cryptAlgorithmType="typeAny" w:cryptAlgorithmSid="4" w:cryptSpinCount="100000" w:hash="DBZxNih/s/gGI4eYMdoP3F4qUfg=" w:salt="m/BdeWfMImOSnjCpk3YAMQ=="/>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B9"/>
    <w:rsid w:val="0000040A"/>
    <w:rsid w:val="00000A94"/>
    <w:rsid w:val="00001972"/>
    <w:rsid w:val="00001D9A"/>
    <w:rsid w:val="00007B3A"/>
    <w:rsid w:val="000107E0"/>
    <w:rsid w:val="00011FDE"/>
    <w:rsid w:val="00012FFD"/>
    <w:rsid w:val="00014162"/>
    <w:rsid w:val="00014340"/>
    <w:rsid w:val="00016A9C"/>
    <w:rsid w:val="00017B45"/>
    <w:rsid w:val="00022184"/>
    <w:rsid w:val="00022762"/>
    <w:rsid w:val="00022FE5"/>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0EAB"/>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55EE"/>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6155"/>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43B9"/>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200"/>
    <w:rsid w:val="00170804"/>
    <w:rsid w:val="001708E9"/>
    <w:rsid w:val="0017340B"/>
    <w:rsid w:val="00173FB1"/>
    <w:rsid w:val="00176DFD"/>
    <w:rsid w:val="001852C9"/>
    <w:rsid w:val="0018730F"/>
    <w:rsid w:val="00187742"/>
    <w:rsid w:val="00190087"/>
    <w:rsid w:val="001913C4"/>
    <w:rsid w:val="0019348F"/>
    <w:rsid w:val="00193A07"/>
    <w:rsid w:val="00194C95"/>
    <w:rsid w:val="00195C34"/>
    <w:rsid w:val="00196EF5"/>
    <w:rsid w:val="001A0BD1"/>
    <w:rsid w:val="001A1A53"/>
    <w:rsid w:val="001A234A"/>
    <w:rsid w:val="001A4CF3"/>
    <w:rsid w:val="001B06E8"/>
    <w:rsid w:val="001B425E"/>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787"/>
    <w:rsid w:val="00225CF8"/>
    <w:rsid w:val="0022794E"/>
    <w:rsid w:val="00233D64"/>
    <w:rsid w:val="0023482A"/>
    <w:rsid w:val="002359CB"/>
    <w:rsid w:val="00235F34"/>
    <w:rsid w:val="002366C2"/>
    <w:rsid w:val="00243540"/>
    <w:rsid w:val="0024497B"/>
    <w:rsid w:val="0024515B"/>
    <w:rsid w:val="00246021"/>
    <w:rsid w:val="0024666E"/>
    <w:rsid w:val="00247F52"/>
    <w:rsid w:val="00250B25"/>
    <w:rsid w:val="00250BBE"/>
    <w:rsid w:val="002515C2"/>
    <w:rsid w:val="0025194F"/>
    <w:rsid w:val="0026148A"/>
    <w:rsid w:val="00262696"/>
    <w:rsid w:val="00263954"/>
    <w:rsid w:val="00263D25"/>
    <w:rsid w:val="002643C3"/>
    <w:rsid w:val="00264A0C"/>
    <w:rsid w:val="00266EEB"/>
    <w:rsid w:val="00267EF4"/>
    <w:rsid w:val="00270CB8"/>
    <w:rsid w:val="00272B08"/>
    <w:rsid w:val="002771AC"/>
    <w:rsid w:val="00281BB8"/>
    <w:rsid w:val="00281E9E"/>
    <w:rsid w:val="00282405"/>
    <w:rsid w:val="00285170"/>
    <w:rsid w:val="002852FC"/>
    <w:rsid w:val="00285361"/>
    <w:rsid w:val="00292D60"/>
    <w:rsid w:val="00293B30"/>
    <w:rsid w:val="00294D34"/>
    <w:rsid w:val="00294E3B"/>
    <w:rsid w:val="00295D9B"/>
    <w:rsid w:val="00296193"/>
    <w:rsid w:val="00296C66"/>
    <w:rsid w:val="00296EBE"/>
    <w:rsid w:val="002974E3"/>
    <w:rsid w:val="002A084B"/>
    <w:rsid w:val="002A1260"/>
    <w:rsid w:val="002A1589"/>
    <w:rsid w:val="002A1608"/>
    <w:rsid w:val="002A25DC"/>
    <w:rsid w:val="002A3AAB"/>
    <w:rsid w:val="002A4CEA"/>
    <w:rsid w:val="002A58D7"/>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3E68"/>
    <w:rsid w:val="002F497E"/>
    <w:rsid w:val="002F7AF6"/>
    <w:rsid w:val="00300E63"/>
    <w:rsid w:val="00302364"/>
    <w:rsid w:val="00302F5F"/>
    <w:rsid w:val="0030441D"/>
    <w:rsid w:val="00306063"/>
    <w:rsid w:val="00313B85"/>
    <w:rsid w:val="00317988"/>
    <w:rsid w:val="003221B4"/>
    <w:rsid w:val="0032258D"/>
    <w:rsid w:val="00322E62"/>
    <w:rsid w:val="00324D13"/>
    <w:rsid w:val="00324D2A"/>
    <w:rsid w:val="00324EDD"/>
    <w:rsid w:val="003331E4"/>
    <w:rsid w:val="00333A9C"/>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2AEA"/>
    <w:rsid w:val="00376713"/>
    <w:rsid w:val="00381815"/>
    <w:rsid w:val="003819AF"/>
    <w:rsid w:val="003820E9"/>
    <w:rsid w:val="00382DE7"/>
    <w:rsid w:val="0038333F"/>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4BDA"/>
    <w:rsid w:val="0041567F"/>
    <w:rsid w:val="004167A3"/>
    <w:rsid w:val="00416C3E"/>
    <w:rsid w:val="00432DAA"/>
    <w:rsid w:val="00434305"/>
    <w:rsid w:val="00435DF7"/>
    <w:rsid w:val="0044083F"/>
    <w:rsid w:val="00441AE7"/>
    <w:rsid w:val="00442B56"/>
    <w:rsid w:val="00445574"/>
    <w:rsid w:val="004467FB"/>
    <w:rsid w:val="00452D6B"/>
    <w:rsid w:val="00454484"/>
    <w:rsid w:val="0045517B"/>
    <w:rsid w:val="00463B77"/>
    <w:rsid w:val="00463C7B"/>
    <w:rsid w:val="004644A6"/>
    <w:rsid w:val="004659BD"/>
    <w:rsid w:val="00470775"/>
    <w:rsid w:val="004746B1"/>
    <w:rsid w:val="0047583F"/>
    <w:rsid w:val="00475DE8"/>
    <w:rsid w:val="00476EDE"/>
    <w:rsid w:val="00480042"/>
    <w:rsid w:val="00481C44"/>
    <w:rsid w:val="00484936"/>
    <w:rsid w:val="00485C89"/>
    <w:rsid w:val="00486BE3"/>
    <w:rsid w:val="004904BC"/>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45A"/>
    <w:rsid w:val="004C1FBC"/>
    <w:rsid w:val="004C3F1D"/>
    <w:rsid w:val="004C458D"/>
    <w:rsid w:val="004C7556"/>
    <w:rsid w:val="004C7E8B"/>
    <w:rsid w:val="004C7E9D"/>
    <w:rsid w:val="004C7F67"/>
    <w:rsid w:val="004D076D"/>
    <w:rsid w:val="004D0EF1"/>
    <w:rsid w:val="004D2253"/>
    <w:rsid w:val="004D4406"/>
    <w:rsid w:val="004D708F"/>
    <w:rsid w:val="004D7C42"/>
    <w:rsid w:val="004E0465"/>
    <w:rsid w:val="004E127B"/>
    <w:rsid w:val="004E1C0A"/>
    <w:rsid w:val="004E2B06"/>
    <w:rsid w:val="004E30C5"/>
    <w:rsid w:val="004E4AA5"/>
    <w:rsid w:val="004E4AEE"/>
    <w:rsid w:val="004E59E3"/>
    <w:rsid w:val="004E67C0"/>
    <w:rsid w:val="004F391A"/>
    <w:rsid w:val="004F3CFB"/>
    <w:rsid w:val="004F581B"/>
    <w:rsid w:val="004F6456"/>
    <w:rsid w:val="004F696E"/>
    <w:rsid w:val="004F6C71"/>
    <w:rsid w:val="00501139"/>
    <w:rsid w:val="0050363E"/>
    <w:rsid w:val="005039BC"/>
    <w:rsid w:val="005043BB"/>
    <w:rsid w:val="00504A3D"/>
    <w:rsid w:val="00505767"/>
    <w:rsid w:val="005073F0"/>
    <w:rsid w:val="00510A7B"/>
    <w:rsid w:val="00512F6E"/>
    <w:rsid w:val="00513038"/>
    <w:rsid w:val="00513144"/>
    <w:rsid w:val="00514174"/>
    <w:rsid w:val="00514920"/>
    <w:rsid w:val="00516088"/>
    <w:rsid w:val="00516B0B"/>
    <w:rsid w:val="005220EC"/>
    <w:rsid w:val="00523F95"/>
    <w:rsid w:val="00524D65"/>
    <w:rsid w:val="00525B16"/>
    <w:rsid w:val="00533D04"/>
    <w:rsid w:val="00534804"/>
    <w:rsid w:val="00534A31"/>
    <w:rsid w:val="00534BDF"/>
    <w:rsid w:val="005354EA"/>
    <w:rsid w:val="0053585F"/>
    <w:rsid w:val="00535EC4"/>
    <w:rsid w:val="00535ED9"/>
    <w:rsid w:val="0053692B"/>
    <w:rsid w:val="00541853"/>
    <w:rsid w:val="00543BDA"/>
    <w:rsid w:val="005441CC"/>
    <w:rsid w:val="005479DA"/>
    <w:rsid w:val="00547BCC"/>
    <w:rsid w:val="0055013B"/>
    <w:rsid w:val="0055137F"/>
    <w:rsid w:val="00551F6F"/>
    <w:rsid w:val="00555044"/>
    <w:rsid w:val="00561475"/>
    <w:rsid w:val="0056487B"/>
    <w:rsid w:val="00564FB9"/>
    <w:rsid w:val="00573D9E"/>
    <w:rsid w:val="005801E3"/>
    <w:rsid w:val="00581802"/>
    <w:rsid w:val="005836A8"/>
    <w:rsid w:val="0058409C"/>
    <w:rsid w:val="00584262"/>
    <w:rsid w:val="00586630"/>
    <w:rsid w:val="00587ADD"/>
    <w:rsid w:val="00587E4D"/>
    <w:rsid w:val="00591E27"/>
    <w:rsid w:val="00596160"/>
    <w:rsid w:val="005966E2"/>
    <w:rsid w:val="00597007"/>
    <w:rsid w:val="005A0966"/>
    <w:rsid w:val="005A11B7"/>
    <w:rsid w:val="005A260B"/>
    <w:rsid w:val="005A2E08"/>
    <w:rsid w:val="005A4A1B"/>
    <w:rsid w:val="005A7830"/>
    <w:rsid w:val="005A7FCE"/>
    <w:rsid w:val="005B0F3F"/>
    <w:rsid w:val="005B4903"/>
    <w:rsid w:val="005B51CE"/>
    <w:rsid w:val="005B5885"/>
    <w:rsid w:val="005B5CD7"/>
    <w:rsid w:val="005B6CF6"/>
    <w:rsid w:val="005B7422"/>
    <w:rsid w:val="005C29B8"/>
    <w:rsid w:val="005C4D4A"/>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4E68"/>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702"/>
    <w:rsid w:val="00655D4F"/>
    <w:rsid w:val="00656D29"/>
    <w:rsid w:val="00663DD6"/>
    <w:rsid w:val="006640E5"/>
    <w:rsid w:val="006646F1"/>
    <w:rsid w:val="00664929"/>
    <w:rsid w:val="00664F62"/>
    <w:rsid w:val="00665300"/>
    <w:rsid w:val="006655E1"/>
    <w:rsid w:val="00671CF7"/>
    <w:rsid w:val="00672060"/>
    <w:rsid w:val="00672BFD"/>
    <w:rsid w:val="006770F4"/>
    <w:rsid w:val="00677A84"/>
    <w:rsid w:val="0068026D"/>
    <w:rsid w:val="00680A27"/>
    <w:rsid w:val="006816A4"/>
    <w:rsid w:val="006819B8"/>
    <w:rsid w:val="006840A6"/>
    <w:rsid w:val="006850CD"/>
    <w:rsid w:val="00685AAB"/>
    <w:rsid w:val="00695D22"/>
    <w:rsid w:val="006A0354"/>
    <w:rsid w:val="006A07AA"/>
    <w:rsid w:val="006A224A"/>
    <w:rsid w:val="006A25E5"/>
    <w:rsid w:val="006A2B46"/>
    <w:rsid w:val="006A336D"/>
    <w:rsid w:val="006A37B9"/>
    <w:rsid w:val="006A729C"/>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E4333"/>
    <w:rsid w:val="006E5C92"/>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853E6"/>
    <w:rsid w:val="007959E8"/>
    <w:rsid w:val="00795E9C"/>
    <w:rsid w:val="00796955"/>
    <w:rsid w:val="007A0521"/>
    <w:rsid w:val="007A13F7"/>
    <w:rsid w:val="007A2854"/>
    <w:rsid w:val="007A2E12"/>
    <w:rsid w:val="007A3475"/>
    <w:rsid w:val="007A41C8"/>
    <w:rsid w:val="007A54CE"/>
    <w:rsid w:val="007A57CD"/>
    <w:rsid w:val="007A6FD9"/>
    <w:rsid w:val="007A7FFA"/>
    <w:rsid w:val="007B04EB"/>
    <w:rsid w:val="007B0D4F"/>
    <w:rsid w:val="007B5A3D"/>
    <w:rsid w:val="007B5B95"/>
    <w:rsid w:val="007B68EA"/>
    <w:rsid w:val="007B7453"/>
    <w:rsid w:val="007C1E8B"/>
    <w:rsid w:val="007C2D89"/>
    <w:rsid w:val="007C4593"/>
    <w:rsid w:val="007C5309"/>
    <w:rsid w:val="007C6069"/>
    <w:rsid w:val="007C7D9E"/>
    <w:rsid w:val="007D06C4"/>
    <w:rsid w:val="007D1352"/>
    <w:rsid w:val="007D14C7"/>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4766"/>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41E1"/>
    <w:rsid w:val="008454F8"/>
    <w:rsid w:val="0085173A"/>
    <w:rsid w:val="00856316"/>
    <w:rsid w:val="008603CE"/>
    <w:rsid w:val="008620FC"/>
    <w:rsid w:val="008627A5"/>
    <w:rsid w:val="008635A1"/>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3F5"/>
    <w:rsid w:val="00895680"/>
    <w:rsid w:val="00896DFF"/>
    <w:rsid w:val="00896EED"/>
    <w:rsid w:val="0089762C"/>
    <w:rsid w:val="008A0288"/>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D7F8C"/>
    <w:rsid w:val="008E0C9D"/>
    <w:rsid w:val="008E1648"/>
    <w:rsid w:val="008E1B3E"/>
    <w:rsid w:val="008E2319"/>
    <w:rsid w:val="008E4BB6"/>
    <w:rsid w:val="008E5518"/>
    <w:rsid w:val="008E6A84"/>
    <w:rsid w:val="008E7A5F"/>
    <w:rsid w:val="008F0CDC"/>
    <w:rsid w:val="008F17A3"/>
    <w:rsid w:val="008F1ED3"/>
    <w:rsid w:val="008F23A5"/>
    <w:rsid w:val="008F4C29"/>
    <w:rsid w:val="008F5BD2"/>
    <w:rsid w:val="008F70BD"/>
    <w:rsid w:val="008F788F"/>
    <w:rsid w:val="008F7EA2"/>
    <w:rsid w:val="00902722"/>
    <w:rsid w:val="009027BC"/>
    <w:rsid w:val="009062E6"/>
    <w:rsid w:val="00911BE5"/>
    <w:rsid w:val="00913CA9"/>
    <w:rsid w:val="009145AE"/>
    <w:rsid w:val="009146CE"/>
    <w:rsid w:val="00914CA7"/>
    <w:rsid w:val="00915C3E"/>
    <w:rsid w:val="009161A8"/>
    <w:rsid w:val="00922E18"/>
    <w:rsid w:val="009245F5"/>
    <w:rsid w:val="009249EC"/>
    <w:rsid w:val="009269AF"/>
    <w:rsid w:val="009273B3"/>
    <w:rsid w:val="009305B5"/>
    <w:rsid w:val="009429D5"/>
    <w:rsid w:val="00942BF1"/>
    <w:rsid w:val="00943A83"/>
    <w:rsid w:val="00945180"/>
    <w:rsid w:val="00945428"/>
    <w:rsid w:val="0094607B"/>
    <w:rsid w:val="00953604"/>
    <w:rsid w:val="0095496B"/>
    <w:rsid w:val="009610DC"/>
    <w:rsid w:val="00961490"/>
    <w:rsid w:val="0096381A"/>
    <w:rsid w:val="00965E04"/>
    <w:rsid w:val="009674AD"/>
    <w:rsid w:val="00970CDC"/>
    <w:rsid w:val="00971A2A"/>
    <w:rsid w:val="00976BD7"/>
    <w:rsid w:val="00977010"/>
    <w:rsid w:val="00977D02"/>
    <w:rsid w:val="009809BB"/>
    <w:rsid w:val="0098364B"/>
    <w:rsid w:val="009911AF"/>
    <w:rsid w:val="00991875"/>
    <w:rsid w:val="00991F92"/>
    <w:rsid w:val="00992985"/>
    <w:rsid w:val="00993889"/>
    <w:rsid w:val="0099551B"/>
    <w:rsid w:val="00997BF1"/>
    <w:rsid w:val="009A049E"/>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2934"/>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207A"/>
    <w:rsid w:val="00A55BD6"/>
    <w:rsid w:val="00A55D50"/>
    <w:rsid w:val="00A57142"/>
    <w:rsid w:val="00A648CD"/>
    <w:rsid w:val="00A6537A"/>
    <w:rsid w:val="00A66888"/>
    <w:rsid w:val="00A67866"/>
    <w:rsid w:val="00A70B07"/>
    <w:rsid w:val="00A723F8"/>
    <w:rsid w:val="00A77CCB"/>
    <w:rsid w:val="00A80CCF"/>
    <w:rsid w:val="00A83D8D"/>
    <w:rsid w:val="00A8446B"/>
    <w:rsid w:val="00A8473F"/>
    <w:rsid w:val="00A862D6"/>
    <w:rsid w:val="00A8715E"/>
    <w:rsid w:val="00A91F9C"/>
    <w:rsid w:val="00A9295B"/>
    <w:rsid w:val="00A93B09"/>
    <w:rsid w:val="00A94247"/>
    <w:rsid w:val="00A952D7"/>
    <w:rsid w:val="00A963F7"/>
    <w:rsid w:val="00A96AD8"/>
    <w:rsid w:val="00A97C59"/>
    <w:rsid w:val="00AA052C"/>
    <w:rsid w:val="00AA1E45"/>
    <w:rsid w:val="00AA4286"/>
    <w:rsid w:val="00AA456B"/>
    <w:rsid w:val="00AA57F5"/>
    <w:rsid w:val="00AA672E"/>
    <w:rsid w:val="00AA6EC9"/>
    <w:rsid w:val="00AB41BC"/>
    <w:rsid w:val="00AB41D5"/>
    <w:rsid w:val="00AB6309"/>
    <w:rsid w:val="00AB6C5F"/>
    <w:rsid w:val="00AB7129"/>
    <w:rsid w:val="00AC27A6"/>
    <w:rsid w:val="00AC30F7"/>
    <w:rsid w:val="00AC3A5A"/>
    <w:rsid w:val="00AC4D95"/>
    <w:rsid w:val="00AC5CDA"/>
    <w:rsid w:val="00AC5DF4"/>
    <w:rsid w:val="00AD05C6"/>
    <w:rsid w:val="00AD0AEF"/>
    <w:rsid w:val="00AD11B7"/>
    <w:rsid w:val="00AD1A94"/>
    <w:rsid w:val="00AD1C05"/>
    <w:rsid w:val="00AD4126"/>
    <w:rsid w:val="00AD421C"/>
    <w:rsid w:val="00AD44FA"/>
    <w:rsid w:val="00AE070A"/>
    <w:rsid w:val="00AE101C"/>
    <w:rsid w:val="00AE37E5"/>
    <w:rsid w:val="00AE5EB4"/>
    <w:rsid w:val="00AF0C18"/>
    <w:rsid w:val="00AF192F"/>
    <w:rsid w:val="00AF47C5"/>
    <w:rsid w:val="00AF5398"/>
    <w:rsid w:val="00B049AF"/>
    <w:rsid w:val="00B06399"/>
    <w:rsid w:val="00B07242"/>
    <w:rsid w:val="00B10534"/>
    <w:rsid w:val="00B113DB"/>
    <w:rsid w:val="00B11D8A"/>
    <w:rsid w:val="00B12981"/>
    <w:rsid w:val="00B1359C"/>
    <w:rsid w:val="00B147DD"/>
    <w:rsid w:val="00B156FD"/>
    <w:rsid w:val="00B20CD7"/>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27B"/>
    <w:rsid w:val="00B97386"/>
    <w:rsid w:val="00BA263B"/>
    <w:rsid w:val="00BA27FF"/>
    <w:rsid w:val="00BA3093"/>
    <w:rsid w:val="00BA42B2"/>
    <w:rsid w:val="00BA58D4"/>
    <w:rsid w:val="00BA5B9E"/>
    <w:rsid w:val="00BA7C9A"/>
    <w:rsid w:val="00BB203B"/>
    <w:rsid w:val="00BB5F8F"/>
    <w:rsid w:val="00BB657A"/>
    <w:rsid w:val="00BC1A4E"/>
    <w:rsid w:val="00BC4790"/>
    <w:rsid w:val="00BC58AB"/>
    <w:rsid w:val="00BC5DC7"/>
    <w:rsid w:val="00BC6B8B"/>
    <w:rsid w:val="00BC73D8"/>
    <w:rsid w:val="00BD39DA"/>
    <w:rsid w:val="00BD52D7"/>
    <w:rsid w:val="00BD5AD2"/>
    <w:rsid w:val="00BE22F3"/>
    <w:rsid w:val="00BE5B52"/>
    <w:rsid w:val="00BE7B8D"/>
    <w:rsid w:val="00BF0993"/>
    <w:rsid w:val="00BF10A9"/>
    <w:rsid w:val="00BF1703"/>
    <w:rsid w:val="00BF231C"/>
    <w:rsid w:val="00BF51E5"/>
    <w:rsid w:val="00BF5C4E"/>
    <w:rsid w:val="00BF74A6"/>
    <w:rsid w:val="00C00B0F"/>
    <w:rsid w:val="00C013AD"/>
    <w:rsid w:val="00C019BC"/>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3FE"/>
    <w:rsid w:val="00C34C20"/>
    <w:rsid w:val="00C35A3E"/>
    <w:rsid w:val="00C42130"/>
    <w:rsid w:val="00C423A4"/>
    <w:rsid w:val="00C44BF5"/>
    <w:rsid w:val="00C5156E"/>
    <w:rsid w:val="00C521D6"/>
    <w:rsid w:val="00C55232"/>
    <w:rsid w:val="00C553A4"/>
    <w:rsid w:val="00C55A06"/>
    <w:rsid w:val="00C55D03"/>
    <w:rsid w:val="00C601BC"/>
    <w:rsid w:val="00C6246C"/>
    <w:rsid w:val="00C6329F"/>
    <w:rsid w:val="00C63340"/>
    <w:rsid w:val="00C643F9"/>
    <w:rsid w:val="00C64BFB"/>
    <w:rsid w:val="00C64E95"/>
    <w:rsid w:val="00C71372"/>
    <w:rsid w:val="00C72410"/>
    <w:rsid w:val="00C7287F"/>
    <w:rsid w:val="00C76A48"/>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185F"/>
    <w:rsid w:val="00CC39FF"/>
    <w:rsid w:val="00CC3C2F"/>
    <w:rsid w:val="00CC3D51"/>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12C2"/>
    <w:rsid w:val="00D02DD7"/>
    <w:rsid w:val="00D0321C"/>
    <w:rsid w:val="00D035EC"/>
    <w:rsid w:val="00D06A70"/>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083C"/>
    <w:rsid w:val="00D32719"/>
    <w:rsid w:val="00D33333"/>
    <w:rsid w:val="00D33457"/>
    <w:rsid w:val="00D33FF0"/>
    <w:rsid w:val="00D352A2"/>
    <w:rsid w:val="00D363BD"/>
    <w:rsid w:val="00D3660F"/>
    <w:rsid w:val="00D377EB"/>
    <w:rsid w:val="00D40AA8"/>
    <w:rsid w:val="00D4162B"/>
    <w:rsid w:val="00D4514F"/>
    <w:rsid w:val="00D451E2"/>
    <w:rsid w:val="00D45E89"/>
    <w:rsid w:val="00D45E8D"/>
    <w:rsid w:val="00D466AE"/>
    <w:rsid w:val="00D4734F"/>
    <w:rsid w:val="00D51BF3"/>
    <w:rsid w:val="00D64E39"/>
    <w:rsid w:val="00D65D30"/>
    <w:rsid w:val="00D66846"/>
    <w:rsid w:val="00D675FB"/>
    <w:rsid w:val="00D67A23"/>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E7B2C"/>
    <w:rsid w:val="00DF1961"/>
    <w:rsid w:val="00DF44DE"/>
    <w:rsid w:val="00DF5812"/>
    <w:rsid w:val="00DF5F11"/>
    <w:rsid w:val="00E01138"/>
    <w:rsid w:val="00E02A77"/>
    <w:rsid w:val="00E02DFB"/>
    <w:rsid w:val="00E030F9"/>
    <w:rsid w:val="00E0311A"/>
    <w:rsid w:val="00E03138"/>
    <w:rsid w:val="00E06404"/>
    <w:rsid w:val="00E065D2"/>
    <w:rsid w:val="00E11A85"/>
    <w:rsid w:val="00E12495"/>
    <w:rsid w:val="00E15CCD"/>
    <w:rsid w:val="00E202EF"/>
    <w:rsid w:val="00E210B5"/>
    <w:rsid w:val="00E23D99"/>
    <w:rsid w:val="00E2552F"/>
    <w:rsid w:val="00E26969"/>
    <w:rsid w:val="00E3137A"/>
    <w:rsid w:val="00E32CC2"/>
    <w:rsid w:val="00E32CCF"/>
    <w:rsid w:val="00E34A98"/>
    <w:rsid w:val="00E35D1E"/>
    <w:rsid w:val="00E364F9"/>
    <w:rsid w:val="00E365FA"/>
    <w:rsid w:val="00E36789"/>
    <w:rsid w:val="00E40EA6"/>
    <w:rsid w:val="00E42742"/>
    <w:rsid w:val="00E44A83"/>
    <w:rsid w:val="00E50166"/>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1C4E"/>
    <w:rsid w:val="00E74C54"/>
    <w:rsid w:val="00E77A03"/>
    <w:rsid w:val="00E8138F"/>
    <w:rsid w:val="00E822E8"/>
    <w:rsid w:val="00E82554"/>
    <w:rsid w:val="00E82606"/>
    <w:rsid w:val="00E846C8"/>
    <w:rsid w:val="00E84957"/>
    <w:rsid w:val="00E84A55"/>
    <w:rsid w:val="00E85BFF"/>
    <w:rsid w:val="00E90391"/>
    <w:rsid w:val="00E906C2"/>
    <w:rsid w:val="00E9311F"/>
    <w:rsid w:val="00E933E3"/>
    <w:rsid w:val="00E934D1"/>
    <w:rsid w:val="00E94AF0"/>
    <w:rsid w:val="00E95D13"/>
    <w:rsid w:val="00E95DD3"/>
    <w:rsid w:val="00E969D5"/>
    <w:rsid w:val="00EA1708"/>
    <w:rsid w:val="00EA192C"/>
    <w:rsid w:val="00EA58D1"/>
    <w:rsid w:val="00EA61BC"/>
    <w:rsid w:val="00EA681A"/>
    <w:rsid w:val="00EA735B"/>
    <w:rsid w:val="00EA7410"/>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4174"/>
    <w:rsid w:val="00F06D37"/>
    <w:rsid w:val="00F07B9D"/>
    <w:rsid w:val="00F11586"/>
    <w:rsid w:val="00F1183B"/>
    <w:rsid w:val="00F11C9F"/>
    <w:rsid w:val="00F12263"/>
    <w:rsid w:val="00F1409D"/>
    <w:rsid w:val="00F14214"/>
    <w:rsid w:val="00F157A9"/>
    <w:rsid w:val="00F25BB6"/>
    <w:rsid w:val="00F26B7E"/>
    <w:rsid w:val="00F27A3B"/>
    <w:rsid w:val="00F33817"/>
    <w:rsid w:val="00F41136"/>
    <w:rsid w:val="00F420D5"/>
    <w:rsid w:val="00F451EA"/>
    <w:rsid w:val="00F45447"/>
    <w:rsid w:val="00F456C6"/>
    <w:rsid w:val="00F4577B"/>
    <w:rsid w:val="00F46496"/>
    <w:rsid w:val="00F474D0"/>
    <w:rsid w:val="00F50179"/>
    <w:rsid w:val="00F515EE"/>
    <w:rsid w:val="00F52895"/>
    <w:rsid w:val="00F56511"/>
    <w:rsid w:val="00F6194E"/>
    <w:rsid w:val="00F623AC"/>
    <w:rsid w:val="00F6412A"/>
    <w:rsid w:val="00F65893"/>
    <w:rsid w:val="00F66A4A"/>
    <w:rsid w:val="00F71E22"/>
    <w:rsid w:val="00F72142"/>
    <w:rsid w:val="00F7224C"/>
    <w:rsid w:val="00F72AE7"/>
    <w:rsid w:val="00F74276"/>
    <w:rsid w:val="00F74A5F"/>
    <w:rsid w:val="00F81141"/>
    <w:rsid w:val="00F81A8B"/>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115"/>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4262"/>
    <w:rsid w:val="00FF5B99"/>
    <w:rsid w:val="00FF730C"/>
    <w:rsid w:val="00FF73F4"/>
    <w:rsid w:val="00FF7CE4"/>
    <w:rsid w:val="00FF7E39"/>
    <w:rsid w:val="56BE01BC"/>
    <w:rsid w:val="725F2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uiPriority w:val="99"/>
    <w:rPr>
      <w:kern w:val="2"/>
      <w:sz w:val="18"/>
      <w:szCs w:val="18"/>
    </w:rPr>
  </w:style>
  <w:style w:type="character" w:customStyle="1" w:styleId="44">
    <w:name w:val="页脚 Char"/>
    <w:link w:val="17"/>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ind w:left="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ind w:left="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uiPriority w:val="0"/>
    <w:rPr>
      <w:rFonts w:ascii="黑体" w:eastAsia="黑体"/>
      <w:spacing w:val="85"/>
      <w:w w:val="100"/>
      <w:position w:val="3"/>
      <w:sz w:val="28"/>
      <w:szCs w:val="28"/>
    </w:rPr>
  </w:style>
  <w:style w:type="character" w:customStyle="1" w:styleId="230">
    <w:name w:val="bjh-p"/>
    <w:basedOn w:val="28"/>
    <w:qFormat/>
    <w:uiPriority w:val="0"/>
  </w:style>
  <w:style w:type="character" w:customStyle="1" w:styleId="231">
    <w:name w:val="content-right_2s-h41"/>
    <w:basedOn w:val="2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jpeg"/><Relationship Id="rId20" Type="http://schemas.openxmlformats.org/officeDocument/2006/relationships/image" Target="media/image1.tiff"/><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1244B8BC7B04DE48F1602D40661D6CB"/>
        <w:style w:val=""/>
        <w:category>
          <w:name w:val="常规"/>
          <w:gallery w:val="placeholder"/>
        </w:category>
        <w:types>
          <w:type w:val="bbPlcHdr"/>
        </w:types>
        <w:behaviors>
          <w:behavior w:val="content"/>
        </w:behaviors>
        <w:description w:val=""/>
        <w:guid w:val="{8B043431-285F-4159-A831-AC39F67B6D2D}"/>
      </w:docPartPr>
      <w:docPartBody>
        <w:p>
          <w:pPr>
            <w:pStyle w:val="5"/>
          </w:pPr>
          <w:r>
            <w:rPr>
              <w:rStyle w:val="4"/>
              <w:rFonts w:hint="eastAsia"/>
            </w:rPr>
            <w:t>单击或点击此处输入文字。</w:t>
          </w:r>
        </w:p>
      </w:docPartBody>
    </w:docPart>
    <w:docPart>
      <w:docPartPr>
        <w:name w:val="C30E4FDCD76142B4808AEDCCD2FF6B1F"/>
        <w:style w:val=""/>
        <w:category>
          <w:name w:val="常规"/>
          <w:gallery w:val="placeholder"/>
        </w:category>
        <w:types>
          <w:type w:val="bbPlcHdr"/>
        </w:types>
        <w:behaviors>
          <w:behavior w:val="content"/>
        </w:behaviors>
        <w:description w:val=""/>
        <w:guid w:val="{D9E60824-7AC4-4B6A-B1C1-88212D5F3CD0}"/>
      </w:docPartPr>
      <w:docPartBody>
        <w:p>
          <w:pPr>
            <w:pStyle w:val="6"/>
          </w:pPr>
          <w:r>
            <w:rPr>
              <w:rStyle w:val="4"/>
              <w:rFonts w:hint="eastAsia"/>
            </w:rPr>
            <w:t>选择一项。</w:t>
          </w:r>
        </w:p>
      </w:docPartBody>
    </w:docPart>
    <w:docPart>
      <w:docPartPr>
        <w:name w:val="A22F53AF33E444D1AA73A26EF749A58C"/>
        <w:style w:val=""/>
        <w:category>
          <w:name w:val="常规"/>
          <w:gallery w:val="placeholder"/>
        </w:category>
        <w:types>
          <w:type w:val="bbPlcHdr"/>
        </w:types>
        <w:behaviors>
          <w:behavior w:val="content"/>
        </w:behaviors>
        <w:description w:val=""/>
        <w:guid w:val="{D8A30AF0-7273-4233-842E-0BDDC440763A}"/>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873"/>
    <w:rsid w:val="0018730F"/>
    <w:rsid w:val="00235F34"/>
    <w:rsid w:val="00410853"/>
    <w:rsid w:val="0041567F"/>
    <w:rsid w:val="00444850"/>
    <w:rsid w:val="00480042"/>
    <w:rsid w:val="004A6473"/>
    <w:rsid w:val="004C4EE6"/>
    <w:rsid w:val="00513144"/>
    <w:rsid w:val="005A5873"/>
    <w:rsid w:val="005E4E3D"/>
    <w:rsid w:val="00671CF7"/>
    <w:rsid w:val="007D14C7"/>
    <w:rsid w:val="008C3A58"/>
    <w:rsid w:val="008C6B91"/>
    <w:rsid w:val="0099430E"/>
    <w:rsid w:val="00A0237F"/>
    <w:rsid w:val="00AC5C5B"/>
    <w:rsid w:val="00AC5CDA"/>
    <w:rsid w:val="00B20CD7"/>
    <w:rsid w:val="00B23EA0"/>
    <w:rsid w:val="00BB364E"/>
    <w:rsid w:val="00C550CD"/>
    <w:rsid w:val="00CA1F88"/>
    <w:rsid w:val="00D04ADD"/>
    <w:rsid w:val="00D212DC"/>
    <w:rsid w:val="00D33FF0"/>
    <w:rsid w:val="00D377EB"/>
    <w:rsid w:val="00D67024"/>
    <w:rsid w:val="00DB5685"/>
    <w:rsid w:val="00DF5C27"/>
    <w:rsid w:val="00E27ED2"/>
    <w:rsid w:val="00F35D43"/>
    <w:rsid w:val="00F62A28"/>
    <w:rsid w:val="00FF4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61244B8BC7B04DE48F1602D40661D6CB"/>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C30E4FDCD76142B4808AEDCCD2FF6B1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A22F53AF33E444D1AA73A26EF749A58C"/>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998B06-A56B-45E6-B77F-05A090859950}">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8</Pages>
  <Words>730</Words>
  <Characters>4161</Characters>
  <Lines>34</Lines>
  <Paragraphs>9</Paragraphs>
  <TotalTime>0</TotalTime>
  <ScaleCrop>false</ScaleCrop>
  <LinksUpToDate>false</LinksUpToDate>
  <CharactersWithSpaces>4882</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2025-05-13T17:49:00Z</dcterms:created>
  <dc:creator>意逍遥</dc:creator>
  <dc:description>&lt;config cover="true" show_menu="true" version="1.0.0" doctype="SDKXY"&gt;_x000d_
&lt;/config&gt;</dc:description>
  <cp:lastModifiedBy>user</cp:lastModifiedBy>
  <cp:lastPrinted>2025-01-06T19:13:00Z</cp:lastPrinted>
  <dcterms:modified xsi:type="dcterms:W3CDTF">2025-05-16T15:55:29Z</dcterms:modified>
  <dc:title>地方标准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eyJoZGlkIjoiYWQwNTVjNzE4NjIyMTg5ZDYxZGRlMjdkM2MyNmNkNzIiLCJ1c2VySWQiOiI5MDM0MjcyMjEifQ==</vt:lpwstr>
  </property>
  <property fmtid="{D5CDD505-2E9C-101B-9397-08002B2CF9AE}" pid="15" name="KSOProductBuildVer">
    <vt:lpwstr>2052-11.8.2.12309</vt:lpwstr>
  </property>
  <property fmtid="{D5CDD505-2E9C-101B-9397-08002B2CF9AE}" pid="16" name="ICV">
    <vt:lpwstr>25DAC61465CC417EBDE6CA71BFCB43E6_12</vt:lpwstr>
  </property>
  <property fmtid="{D5CDD505-2E9C-101B-9397-08002B2CF9AE}" pid="17" name="DoublePage">
    <vt:lpwstr>true</vt:lpwstr>
  </property>
</Properties>
</file>