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03.080.99</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A 12</w:t>
            </w:r>
            <w:r>
              <w:rPr>
                <w:rFonts w:ascii="黑体" w:hAnsi="黑体" w:eastAsia="黑体"/>
                <w:sz w:val="21"/>
                <w:szCs w:val="21"/>
              </w:rPr>
              <w:fldChar w:fldCharType="end"/>
            </w:r>
            <w:bookmarkEnd w:id="1"/>
          </w:p>
        </w:tc>
      </w:tr>
    </w:tbl>
    <w:tbl>
      <w:tblPr>
        <w:tblStyle w:val="28"/>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Ex>
        <w:tc>
          <w:tcPr>
            <w:tcW w:w="6407" w:type="dxa"/>
          </w:tcPr>
          <w:p>
            <w:pPr>
              <w:pStyle w:val="50"/>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pPr>
        <w:pStyle w:val="51"/>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w:t>
      </w:r>
      <w:r>
        <w:rPr>
          <w:rFonts w:ascii="黑体" w:eastAsia="黑体"/>
          <w:b w:val="0"/>
          <w:w w:val="100"/>
          <w:sz w:val="48"/>
        </w:rPr>
        <w:t>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6"/>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398</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2024</w:t>
      </w:r>
      <w:r>
        <w:fldChar w:fldCharType="end"/>
      </w:r>
      <w:bookmarkEnd w:id="7"/>
    </w:p>
    <w:p>
      <w:pPr>
        <w:pStyle w:val="197"/>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1"/>
        <w:framePr w:w="9639" w:h="6976" w:hRule="exact" w:hSpace="0" w:vSpace="0" w:hAnchor="page" w:y="6408"/>
        <w:jc w:val="center"/>
        <w:rPr>
          <w:rFonts w:ascii="黑体" w:hAnsi="黑体" w:eastAsia="黑体"/>
          <w:b w:val="0"/>
          <w:bCs w:val="0"/>
          <w:w w:val="100"/>
        </w:rPr>
      </w:pPr>
    </w:p>
    <w:p>
      <w:pPr>
        <w:pStyle w:val="198"/>
        <w:framePr w:h="6974" w:hRule="exact"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养老机构临终关怀服务规范</w:t>
      </w:r>
      <w:r>
        <w:fldChar w:fldCharType="end"/>
      </w:r>
      <w:bookmarkEnd w:id="9"/>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Specification for hospice care services of senior care organization</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p>
    <w:p>
      <w:pPr>
        <w:pStyle w:val="126"/>
        <w:framePr w:w="9639" w:h="6974" w:hRule="exact" w:wrap="around" w:vAnchor="page" w:hAnchor="page" w:x="1419" w:y="6408" w:anchorLock="1"/>
        <w:spacing w:before="440" w:after="160"/>
        <w:textAlignment w:val="bottom"/>
        <w:rPr>
          <w:sz w:val="24"/>
          <w:szCs w:val="28"/>
        </w:rPr>
      </w:pPr>
    </w:p>
    <w:p>
      <w:pPr>
        <w:pStyle w:val="126"/>
        <w:framePr w:w="9639" w:h="6974" w:hRule="exact" w:wrap="around" w:vAnchor="page" w:hAnchor="page" w:x="1419" w:y="6408" w:anchorLock="1"/>
        <w:spacing w:before="180" w:line="240" w:lineRule="atLeast"/>
        <w:textAlignment w:val="bottom"/>
        <w:rPr>
          <w:sz w:val="21"/>
          <w:szCs w:val="28"/>
        </w:rPr>
      </w:pPr>
    </w:p>
    <w:p>
      <w:pPr>
        <w:pStyle w:val="126"/>
        <w:framePr w:w="9639" w:h="6974" w:hRule="exact" w:wrap="around" w:vAnchor="page" w:hAnchor="page" w:x="1419" w:y="6408" w:anchorLock="1"/>
        <w:spacing w:before="720" w:beforeLines="300" w:after="72" w:afterLines="30" w:line="240" w:lineRule="auto"/>
        <w:textAlignment w:val="bottom"/>
        <w:rPr>
          <w:b/>
          <w:sz w:val="21"/>
          <w:szCs w:val="28"/>
        </w:rPr>
      </w:pPr>
    </w:p>
    <w:p>
      <w:pPr>
        <w:pStyle w:val="194"/>
        <w:framePr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08</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02</w:t>
      </w:r>
      <w:r>
        <w:rPr>
          <w:rFonts w:ascii="黑体"/>
        </w:rPr>
        <w:fldChar w:fldCharType="end"/>
      </w:r>
      <w:bookmarkEnd w:id="13"/>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08</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20</w:t>
      </w:r>
      <w:r>
        <w:rPr>
          <w:rFonts w:ascii="黑体"/>
        </w:rPr>
        <w:fldChar w:fldCharType="end"/>
      </w:r>
      <w:bookmarkEnd w:id="16"/>
      <w:r>
        <w:rPr>
          <w:rFonts w:hint="eastAsia"/>
        </w:rPr>
        <w:t>实施</w:t>
      </w:r>
    </w:p>
    <w:p>
      <w:pPr>
        <w:pStyle w:val="152"/>
        <w:framePr w:h="584" w:hRule="exact" w:hSpace="181" w:vSpace="181"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昌吉回族自治州市场监管局</w:t>
      </w:r>
      <w:r>
        <w:rPr>
          <w:rFonts w:hAnsi="黑体"/>
          <w:w w:val="100"/>
          <w:sz w:val="28"/>
        </w:rPr>
        <w:fldChar w:fldCharType="end"/>
      </w:r>
      <w:bookmarkEnd w:id="17"/>
      <w:r>
        <w:rPr>
          <w:rFonts w:ascii="Times New Roman"/>
          <w:w w:val="100"/>
          <w:sz w:val="28"/>
        </w:rPr>
        <w:t>  </w:t>
      </w:r>
      <w:r>
        <w:rPr>
          <w:rStyle w:val="230"/>
          <w:rFonts w:hint="eastAsia" w:hAnsi="黑体"/>
          <w:position w:val="0"/>
        </w:rPr>
        <w:t>发</w:t>
      </w:r>
      <w:r>
        <w:rPr>
          <w:rStyle w:val="230"/>
          <w:rFonts w:hint="eastAsia" w:hAnsi="黑体"/>
          <w:spacing w:val="0"/>
          <w:position w:val="0"/>
        </w:rPr>
        <w:t>布</w:t>
      </w:r>
    </w:p>
    <w:p>
      <w:pPr>
        <w:rPr>
          <w:rFonts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90"/>
        <w:spacing w:before="900" w:after="468"/>
      </w:pPr>
      <w:bookmarkStart w:id="18" w:name="BookMark2"/>
      <w:r>
        <w:rPr>
          <w:rFonts w:hint="eastAsia"/>
          <w:spacing w:val="320"/>
        </w:rPr>
        <w:t>前</w:t>
      </w:r>
      <w:r>
        <w:rPr>
          <w:rFonts w:hint="eastAsia"/>
        </w:rPr>
        <w:t>言</w:t>
      </w:r>
    </w:p>
    <w:p>
      <w:pPr>
        <w:pStyle w:val="57"/>
        <w:ind w:firstLine="420"/>
      </w:pPr>
      <w:r>
        <w:rPr>
          <w:rFonts w:hint="eastAsia"/>
        </w:rPr>
        <w:t>本文件按照GB/T 1.1—2020《标准化工作导则  第1部分：标准化文件的结构和起草规则》的规定起草。</w:t>
      </w:r>
    </w:p>
    <w:p>
      <w:pPr>
        <w:pStyle w:val="57"/>
        <w:ind w:firstLine="420"/>
      </w:pPr>
      <w:r>
        <w:rPr>
          <w:rFonts w:hint="eastAsia"/>
        </w:rPr>
        <w:t>本文件由昌吉市厚德老年养护院提出。</w:t>
      </w:r>
    </w:p>
    <w:p>
      <w:pPr>
        <w:pStyle w:val="57"/>
        <w:ind w:firstLine="420"/>
      </w:pPr>
      <w:r>
        <w:rPr>
          <w:rFonts w:hint="eastAsia"/>
        </w:rPr>
        <w:t>本文件由昌吉回族自治州民政局归口并组织实施。</w:t>
      </w:r>
    </w:p>
    <w:p>
      <w:pPr>
        <w:pStyle w:val="57"/>
        <w:ind w:firstLine="420"/>
      </w:pPr>
      <w:r>
        <w:rPr>
          <w:rFonts w:hint="eastAsia"/>
        </w:rPr>
        <w:t>本文件起草单位：昌吉市厚德老年养护院。</w:t>
      </w:r>
    </w:p>
    <w:p>
      <w:pPr>
        <w:pStyle w:val="57"/>
        <w:ind w:firstLine="420"/>
      </w:pPr>
      <w:r>
        <w:rPr>
          <w:rFonts w:hint="eastAsia"/>
        </w:rPr>
        <w:t>本文件主要起草人：董梅德、孙彩娥、裴园丽、楚建忠、赵芳。</w:t>
      </w:r>
    </w:p>
    <w:p>
      <w:pPr>
        <w:pStyle w:val="57"/>
        <w:ind w:firstLine="420"/>
      </w:pPr>
      <w:r>
        <w:rPr>
          <w:rFonts w:hint="eastAsia"/>
        </w:rPr>
        <w:t>本文件实施应用中的疑问，请咨询昌吉市厚德老年养护院。</w:t>
      </w:r>
    </w:p>
    <w:p>
      <w:pPr>
        <w:pStyle w:val="57"/>
        <w:ind w:firstLine="420"/>
      </w:pPr>
      <w:r>
        <w:rPr>
          <w:rFonts w:hint="eastAsia"/>
        </w:rPr>
        <w:t>对本文件的修改意见和建议，请反馈至昌吉市厚德老年养护院（昌吉市六工镇经三路314号）、昌吉回族自治州民政局（昌吉市健康西路113号）、昌吉回族自治州市场监督管理局（昌吉市西外环与健康西路交汇处）。</w:t>
      </w:r>
    </w:p>
    <w:p>
      <w:pPr>
        <w:pStyle w:val="57"/>
        <w:ind w:firstLine="420"/>
      </w:pPr>
      <w:r>
        <w:rPr>
          <w:rFonts w:hint="eastAsia"/>
        </w:rPr>
        <w:t>昌吉市厚德老年养护院 联系电话：0994-8282888 ；邮政编码：831100。</w:t>
      </w:r>
    </w:p>
    <w:p>
      <w:pPr>
        <w:pStyle w:val="57"/>
        <w:ind w:firstLine="420"/>
      </w:pPr>
      <w:r>
        <w:rPr>
          <w:rFonts w:hint="eastAsia"/>
        </w:rPr>
        <w:t>昌吉回族自治州民政局 联系电话：0994-2343070 ；传真：0994-2348501；邮政编码：831100。</w:t>
      </w:r>
    </w:p>
    <w:p>
      <w:pPr>
        <w:pStyle w:val="57"/>
        <w:ind w:firstLine="420"/>
      </w:pPr>
      <w:r>
        <w:rPr>
          <w:rFonts w:hint="eastAsia"/>
        </w:rPr>
        <w:t>昌吉回族自治州市场监督管理局 联系电话：0994-2329097；传真：0994-2381050； 邮政编码：831100。</w:t>
      </w:r>
    </w:p>
    <w:p>
      <w:pPr>
        <w:pStyle w:val="57"/>
        <w:ind w:firstLine="420"/>
      </w:pPr>
    </w:p>
    <w:p>
      <w:pPr>
        <w:pStyle w:val="57"/>
        <w:ind w:firstLine="420"/>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p>
    <w:bookmarkEnd w:id="18"/>
    <w:p>
      <w:pPr>
        <w:pStyle w:val="90"/>
        <w:spacing w:after="468"/>
      </w:pPr>
      <w:bookmarkStart w:id="19" w:name="BookMark3"/>
      <w:r>
        <w:rPr>
          <w:spacing w:val="320"/>
        </w:rPr>
        <w:t>引</w:t>
      </w:r>
      <w:r>
        <w:t>言</w:t>
      </w:r>
    </w:p>
    <w:p>
      <w:pPr>
        <w:pStyle w:val="57"/>
        <w:ind w:firstLine="420"/>
      </w:pPr>
      <w:r>
        <w:rPr>
          <w:rFonts w:hint="eastAsia"/>
        </w:rPr>
        <w:t>近年来，随着生活水平的不断提高和人们观念意识的不断转变，人们对临终关怀服务的需求不断增加，我国临终关怀和安宁疗护也在逐步发展，各个地区发展的程度不一致，根据《养老机构服务质量基本规范》和《养老机构等级划分与评定国家标准实施指南（试行）》，本文件侧重于养老机构对于临终关怀服务的相关流程和内容进行规范，经过多方深入研究</w:t>
      </w:r>
      <w:bookmarkStart w:id="259" w:name="_GoBack"/>
      <w:bookmarkEnd w:id="259"/>
      <w:r>
        <w:rPr>
          <w:rFonts w:hint="eastAsia"/>
        </w:rPr>
        <w:t>和探讨，形成本文件。</w:t>
      </w:r>
    </w:p>
    <w:p>
      <w:pPr>
        <w:pStyle w:val="57"/>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type="lines" w:linePitch="312" w:charSpace="0"/>
        </w:sectPr>
      </w:pPr>
    </w:p>
    <w:bookmarkEnd w:id="19"/>
    <w:p>
      <w:pPr>
        <w:spacing w:line="20" w:lineRule="exact"/>
        <w:jc w:val="center"/>
        <w:rPr>
          <w:rFonts w:ascii="黑体" w:hAnsi="黑体" w:eastAsia="黑体"/>
          <w:sz w:val="32"/>
          <w:szCs w:val="32"/>
        </w:rPr>
      </w:pPr>
      <w:bookmarkStart w:id="20" w:name="BookMark4"/>
    </w:p>
    <w:p>
      <w:pPr>
        <w:spacing w:line="20" w:lineRule="exact"/>
        <w:jc w:val="center"/>
        <w:rPr>
          <w:rFonts w:ascii="黑体" w:hAnsi="黑体" w:eastAsia="黑体"/>
          <w:sz w:val="32"/>
          <w:szCs w:val="32"/>
        </w:rPr>
      </w:pPr>
    </w:p>
    <w:sdt>
      <w:sdtPr>
        <w:tag w:val="NEW_STAND_NAME"/>
        <w:id w:val="595910757"/>
        <w:lock w:val="sdtLocked"/>
        <w:placeholder>
          <w:docPart w:val="A1EB530DA7554DD6AFF6652387D39900"/>
        </w:placeholder>
      </w:sdtPr>
      <w:sdtContent>
        <w:p>
          <w:pPr>
            <w:pStyle w:val="178"/>
            <w:spacing w:before="312" w:beforeLines="100" w:after="686" w:afterLines="220"/>
          </w:pPr>
          <w:bookmarkStart w:id="21" w:name="NEW_STAND_NAME"/>
          <w:r>
            <w:rPr>
              <w:rFonts w:hint="eastAsia"/>
            </w:rPr>
            <w:t>养老机构临终关怀服务规范</w:t>
          </w:r>
        </w:p>
      </w:sdtContent>
    </w:sdt>
    <w:bookmarkEnd w:id="21"/>
    <w:p>
      <w:pPr>
        <w:pStyle w:val="105"/>
        <w:spacing w:before="312" w:after="312"/>
      </w:pPr>
      <w:bookmarkStart w:id="22" w:name="_Toc24884218"/>
      <w:bookmarkStart w:id="23" w:name="_Toc26648465"/>
      <w:bookmarkStart w:id="24" w:name="_Toc26986771"/>
      <w:bookmarkStart w:id="25" w:name="_Toc26986530"/>
      <w:bookmarkStart w:id="26" w:name="_Toc17233325"/>
      <w:bookmarkStart w:id="27" w:name="_Toc97191423"/>
      <w:bookmarkStart w:id="28" w:name="_Toc17233333"/>
      <w:bookmarkStart w:id="29" w:name="_Toc26718930"/>
      <w:bookmarkStart w:id="30" w:name="_Toc24884211"/>
      <w:r>
        <w:rPr>
          <w:rFonts w:hint="eastAsia"/>
        </w:rPr>
        <w:t>范围</w:t>
      </w:r>
      <w:bookmarkEnd w:id="22"/>
      <w:bookmarkEnd w:id="23"/>
      <w:bookmarkEnd w:id="24"/>
      <w:bookmarkEnd w:id="25"/>
      <w:bookmarkEnd w:id="26"/>
      <w:bookmarkEnd w:id="27"/>
      <w:bookmarkEnd w:id="28"/>
      <w:bookmarkEnd w:id="29"/>
      <w:bookmarkEnd w:id="30"/>
    </w:p>
    <w:p>
      <w:pPr>
        <w:pStyle w:val="57"/>
        <w:ind w:firstLine="420"/>
      </w:pPr>
      <w:r>
        <w:rPr>
          <w:rFonts w:hint="eastAsia"/>
        </w:rPr>
        <w:t>本文件规定了养老机构临终关怀服务的基本要求、环境与设施设备、人员、服务流程、服务内容、服务管理、服务评价与持续改进的要求。</w:t>
      </w:r>
    </w:p>
    <w:p>
      <w:pPr>
        <w:pStyle w:val="57"/>
        <w:ind w:firstLine="420"/>
      </w:pPr>
      <w:r>
        <w:rPr>
          <w:rFonts w:hint="eastAsia"/>
        </w:rPr>
        <w:t>本文件适用于养老机构的临终关怀服务工作。</w:t>
      </w:r>
      <w:bookmarkStart w:id="31" w:name="_Toc24884219"/>
      <w:bookmarkStart w:id="32" w:name="_Toc17233334"/>
      <w:bookmarkStart w:id="33" w:name="_Toc17233326"/>
      <w:bookmarkStart w:id="34" w:name="_Toc24884212"/>
      <w:bookmarkStart w:id="35" w:name="_Toc26648466"/>
    </w:p>
    <w:p>
      <w:pPr>
        <w:pStyle w:val="105"/>
        <w:spacing w:before="312" w:after="312"/>
      </w:pPr>
      <w:bookmarkStart w:id="36" w:name="_Toc26718931"/>
      <w:bookmarkStart w:id="37" w:name="_Toc26986772"/>
      <w:bookmarkStart w:id="38" w:name="_Toc97191424"/>
      <w:bookmarkStart w:id="39" w:name="_Toc26986531"/>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58E8109647A0414AA20CCB38C622C59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7"/>
        <w:ind w:firstLine="420"/>
      </w:pPr>
      <w:r>
        <w:rPr>
          <w:rFonts w:hint="eastAsia"/>
        </w:rPr>
        <w:t>GB 3096-2008  声环境质量标准</w:t>
      </w:r>
    </w:p>
    <w:p>
      <w:pPr>
        <w:pStyle w:val="57"/>
        <w:ind w:firstLine="420"/>
      </w:pPr>
      <w:r>
        <w:rPr>
          <w:rFonts w:hint="eastAsia"/>
        </w:rPr>
        <w:t>GB 38600  养老机构服务安全基本规范</w:t>
      </w:r>
    </w:p>
    <w:p>
      <w:pPr>
        <w:pStyle w:val="57"/>
        <w:ind w:firstLine="420"/>
      </w:pPr>
      <w:r>
        <w:rPr>
          <w:rFonts w:hint="eastAsia"/>
        </w:rPr>
        <w:t>GB/T 18883  室内空气质量标准</w:t>
      </w:r>
    </w:p>
    <w:p>
      <w:pPr>
        <w:pStyle w:val="57"/>
        <w:ind w:firstLine="420"/>
      </w:pPr>
      <w:r>
        <w:rPr>
          <w:rFonts w:hint="eastAsia"/>
        </w:rPr>
        <w:t>MZ/T 039  老年人能力评估</w:t>
      </w:r>
    </w:p>
    <w:p>
      <w:pPr>
        <w:pStyle w:val="57"/>
        <w:ind w:firstLine="420"/>
      </w:pPr>
      <w:r>
        <w:rPr>
          <w:rFonts w:hint="eastAsia"/>
        </w:rPr>
        <w:t>MZ/T 131  养老服务常用图形符号及标志</w:t>
      </w:r>
    </w:p>
    <w:p>
      <w:pPr>
        <w:pStyle w:val="57"/>
        <w:ind w:firstLine="420"/>
      </w:pPr>
      <w:r>
        <w:rPr>
          <w:rFonts w:hint="eastAsia"/>
        </w:rPr>
        <w:t>JGJ 450-2018  老年人照料设施建筑设计标准</w:t>
      </w:r>
    </w:p>
    <w:p>
      <w:pPr>
        <w:pStyle w:val="105"/>
        <w:spacing w:before="312" w:after="312"/>
      </w:pPr>
      <w:bookmarkStart w:id="40" w:name="_Toc97191425"/>
      <w:r>
        <w:rPr>
          <w:rFonts w:hint="eastAsia"/>
          <w:szCs w:val="21"/>
        </w:rPr>
        <w:t>术语和定义</w:t>
      </w:r>
      <w:bookmarkEnd w:id="40"/>
    </w:p>
    <w:sdt>
      <w:sdtPr>
        <w:id w:val="-1909835108"/>
        <w:placeholder>
          <w:docPart w:val="9DFB91161907402881E980E14E87FE2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7"/>
            <w:ind w:firstLine="420"/>
          </w:pPr>
          <w:bookmarkStart w:id="41" w:name="_Toc26986532"/>
          <w:bookmarkEnd w:id="41"/>
          <w:r>
            <w:t>下列术语和定义适用于本文件。</w:t>
          </w:r>
        </w:p>
      </w:sdtContent>
    </w:sdt>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哀伤辅导  grief counseling</w:t>
      </w:r>
    </w:p>
    <w:p>
      <w:pPr>
        <w:pStyle w:val="57"/>
        <w:ind w:firstLine="420"/>
      </w:pPr>
      <w:r>
        <w:rPr>
          <w:rFonts w:hint="eastAsia"/>
        </w:rPr>
        <w:t>为遭遇丧亲或重大失落的服务对象，提供谈论、处理悲伤的机会，重新认识失落的意义，从而促使其走出悲伤，恢复正常生活的服务活动。</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相关第三方  relevant third paily</w:t>
      </w:r>
    </w:p>
    <w:p>
      <w:pPr>
        <w:pStyle w:val="57"/>
        <w:ind w:firstLine="420"/>
      </w:pPr>
      <w:r>
        <w:rPr>
          <w:rFonts w:hint="eastAsia"/>
        </w:rPr>
        <w:t>为临终老人（病人）提供资金担保，监护或委托代理责任的个人或组织。</w:t>
      </w:r>
    </w:p>
    <w:p>
      <w:pPr>
        <w:pStyle w:val="105"/>
        <w:spacing w:before="312" w:after="312"/>
      </w:pPr>
      <w:r>
        <w:rPr>
          <w:rFonts w:hint="eastAsia"/>
        </w:rPr>
        <w:t>基本要求</w:t>
      </w:r>
    </w:p>
    <w:p>
      <w:pPr>
        <w:pStyle w:val="106"/>
        <w:spacing w:before="156" w:after="156"/>
      </w:pPr>
      <w:r>
        <w:rPr>
          <w:rFonts w:hint="eastAsia"/>
        </w:rPr>
        <w:t>服务环境</w:t>
      </w:r>
    </w:p>
    <w:p>
      <w:pPr>
        <w:pStyle w:val="166"/>
      </w:pPr>
      <w:r>
        <w:rPr>
          <w:rFonts w:hint="eastAsia"/>
        </w:rPr>
        <w:t>开展临终关怀的养老机构应设有相对独立的临终关怀区域，临终关怀室（区域）的设计与设置，应符合JGJ 450-2018中第5章的规定，亦可依据服务对象及家属需求进行个性化设置。</w:t>
      </w:r>
    </w:p>
    <w:p>
      <w:pPr>
        <w:pStyle w:val="166"/>
      </w:pPr>
      <w:r>
        <w:rPr>
          <w:rFonts w:hint="eastAsia"/>
        </w:rPr>
        <w:t>临终关怀区域远离污染源、噪声源及易燃易爆、危险品储存区域。</w:t>
      </w:r>
    </w:p>
    <w:p>
      <w:pPr>
        <w:pStyle w:val="166"/>
      </w:pPr>
      <w:r>
        <w:rPr>
          <w:rFonts w:hint="eastAsia"/>
        </w:rPr>
        <w:t>临终关怀区域无障碍设计应符合</w:t>
      </w:r>
      <w:r>
        <w:t>JGJ 450-2018的要求</w:t>
      </w:r>
      <w:r>
        <w:rPr>
          <w:rFonts w:hint="eastAsia"/>
        </w:rPr>
        <w:t>。</w:t>
      </w:r>
    </w:p>
    <w:p>
      <w:pPr>
        <w:pStyle w:val="166"/>
      </w:pPr>
      <w:r>
        <w:rPr>
          <w:rFonts w:hint="eastAsia"/>
        </w:rPr>
        <w:t>临终关怀区域应设置疗护室、家属陪伴室（床）、工作辅助区、适当的休闲区。</w:t>
      </w:r>
    </w:p>
    <w:p>
      <w:pPr>
        <w:pStyle w:val="166"/>
      </w:pPr>
      <w:r>
        <w:rPr>
          <w:rFonts w:hint="eastAsia"/>
        </w:rPr>
        <w:t>临终关怀区域应有明显标志，图形符号与标志示意应符合MZ/T 131的要求。</w:t>
      </w:r>
    </w:p>
    <w:p>
      <w:pPr>
        <w:pStyle w:val="166"/>
      </w:pPr>
      <w:r>
        <w:rPr>
          <w:rFonts w:hint="eastAsia"/>
        </w:rPr>
        <w:t>临终关怀室内环境应符合JGJ 450-2018中6.2的规定，空气质量应符合GB/T 18883的要求。</w:t>
      </w:r>
    </w:p>
    <w:p>
      <w:pPr>
        <w:pStyle w:val="166"/>
      </w:pPr>
      <w:r>
        <w:rPr>
          <w:rFonts w:hint="eastAsia"/>
        </w:rPr>
        <w:t>临终关怀室内噪音限制应符合GB 3096-2008的表1中0类声环境的要求。</w:t>
      </w:r>
    </w:p>
    <w:p>
      <w:pPr>
        <w:pStyle w:val="166"/>
      </w:pPr>
      <w:r>
        <w:rPr>
          <w:rFonts w:hint="eastAsia"/>
        </w:rPr>
        <w:t>亦可根据服务对象的生活习俗、文化背景及对环境的需求进行布置。</w:t>
      </w:r>
    </w:p>
    <w:p>
      <w:pPr>
        <w:pStyle w:val="106"/>
        <w:spacing w:before="156" w:after="156"/>
      </w:pPr>
      <w:r>
        <w:rPr>
          <w:rFonts w:hint="eastAsia"/>
        </w:rPr>
        <w:t>设施设备</w:t>
      </w:r>
    </w:p>
    <w:p>
      <w:pPr>
        <w:pStyle w:val="57"/>
        <w:ind w:firstLine="420"/>
      </w:pPr>
      <w:r>
        <w:rPr>
          <w:rFonts w:hint="eastAsia"/>
        </w:rPr>
        <w:t>养老机构临终关怀室设施设备的</w:t>
      </w:r>
      <w:r>
        <w:t>配置</w:t>
      </w:r>
      <w:r>
        <w:rPr>
          <w:rFonts w:hint="eastAsia"/>
        </w:rPr>
        <w:t>应</w:t>
      </w:r>
      <w:r>
        <w:t>符合</w:t>
      </w:r>
      <w:r>
        <w:rPr>
          <w:rFonts w:hint="eastAsia"/>
        </w:rPr>
        <w:t>表1的要求。</w:t>
      </w:r>
    </w:p>
    <w:p>
      <w:pPr>
        <w:pStyle w:val="78"/>
        <w:numPr>
          <w:ilvl w:val="0"/>
          <w:numId w:val="0"/>
        </w:numPr>
        <w:spacing w:before="156" w:after="156"/>
      </w:pPr>
      <w:r>
        <w:rPr>
          <w:rFonts w:hint="eastAsia"/>
        </w:rPr>
        <w:t>表1    临终关怀</w:t>
      </w:r>
      <w:r>
        <w:t>室（</w:t>
      </w:r>
      <w:r>
        <w:rPr>
          <w:rFonts w:hint="eastAsia"/>
        </w:rPr>
        <w:t>区域</w:t>
      </w:r>
      <w:r>
        <w:t>）主要设施设备配置</w:t>
      </w:r>
    </w:p>
    <w:tbl>
      <w:tblPr>
        <w:tblStyle w:val="28"/>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57"/>
        <w:gridCol w:w="1985"/>
        <w:gridCol w:w="67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blHeader/>
          <w:jc w:val="center"/>
        </w:trPr>
        <w:tc>
          <w:tcPr>
            <w:tcW w:w="557" w:type="dxa"/>
            <w:tcBorders>
              <w:top w:val="single" w:color="auto" w:sz="8" w:space="0"/>
              <w:bottom w:val="single" w:color="auto" w:sz="8" w:space="0"/>
            </w:tcBorders>
            <w:shd w:val="clear" w:color="auto" w:fill="auto"/>
            <w:vAlign w:val="center"/>
          </w:tcPr>
          <w:p>
            <w:pPr>
              <w:pStyle w:val="179"/>
            </w:pPr>
            <w:r>
              <w:rPr>
                <w:rFonts w:hint="eastAsia"/>
              </w:rPr>
              <w:t>序号</w:t>
            </w:r>
          </w:p>
        </w:tc>
        <w:tc>
          <w:tcPr>
            <w:tcW w:w="1985" w:type="dxa"/>
            <w:tcBorders>
              <w:top w:val="single" w:color="auto" w:sz="8" w:space="0"/>
              <w:bottom w:val="single" w:color="auto" w:sz="8" w:space="0"/>
            </w:tcBorders>
            <w:shd w:val="clear" w:color="auto" w:fill="auto"/>
            <w:vAlign w:val="center"/>
          </w:tcPr>
          <w:p>
            <w:pPr>
              <w:pStyle w:val="179"/>
            </w:pPr>
            <w:r>
              <w:rPr>
                <w:rFonts w:hint="eastAsia"/>
              </w:rPr>
              <w:t>功能区名称</w:t>
            </w:r>
          </w:p>
        </w:tc>
        <w:tc>
          <w:tcPr>
            <w:tcW w:w="6792" w:type="dxa"/>
            <w:tcBorders>
              <w:top w:val="single" w:color="auto" w:sz="8" w:space="0"/>
              <w:bottom w:val="single" w:color="auto" w:sz="8" w:space="0"/>
            </w:tcBorders>
            <w:shd w:val="clear" w:color="auto" w:fill="auto"/>
            <w:vAlign w:val="center"/>
          </w:tcPr>
          <w:p>
            <w:pPr>
              <w:pStyle w:val="179"/>
            </w:pPr>
            <w:r>
              <w:rPr>
                <w:rFonts w:hint="eastAsia"/>
              </w:rPr>
              <w:t>设施</w:t>
            </w:r>
            <w:r>
              <w:t>设备</w:t>
            </w:r>
            <w:r>
              <w:rPr>
                <w:rFonts w:hint="eastAsia"/>
              </w:rPr>
              <w:t>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77" w:hRule="atLeast"/>
          <w:jc w:val="center"/>
        </w:trPr>
        <w:tc>
          <w:tcPr>
            <w:tcW w:w="557" w:type="dxa"/>
            <w:tcBorders>
              <w:top w:val="single" w:color="auto" w:sz="8" w:space="0"/>
            </w:tcBorders>
            <w:shd w:val="clear" w:color="auto" w:fill="auto"/>
            <w:vAlign w:val="center"/>
          </w:tcPr>
          <w:p>
            <w:pPr>
              <w:pStyle w:val="179"/>
            </w:pPr>
            <w:r>
              <w:rPr>
                <w:rFonts w:hint="eastAsia"/>
              </w:rPr>
              <w:t>1</w:t>
            </w:r>
          </w:p>
        </w:tc>
        <w:tc>
          <w:tcPr>
            <w:tcW w:w="1985" w:type="dxa"/>
            <w:tcBorders>
              <w:top w:val="single" w:color="auto" w:sz="8" w:space="0"/>
            </w:tcBorders>
            <w:shd w:val="clear" w:color="auto" w:fill="auto"/>
            <w:vAlign w:val="center"/>
          </w:tcPr>
          <w:p>
            <w:pPr>
              <w:pStyle w:val="179"/>
            </w:pPr>
            <w:r>
              <w:rPr>
                <w:rFonts w:hint="eastAsia"/>
              </w:rPr>
              <w:t>临终关怀区</w:t>
            </w:r>
          </w:p>
        </w:tc>
        <w:tc>
          <w:tcPr>
            <w:tcW w:w="6792" w:type="dxa"/>
            <w:tcBorders>
              <w:top w:val="single" w:color="auto" w:sz="8" w:space="0"/>
            </w:tcBorders>
            <w:shd w:val="clear" w:color="auto" w:fill="auto"/>
            <w:vAlign w:val="center"/>
          </w:tcPr>
          <w:p>
            <w:pPr>
              <w:pStyle w:val="179"/>
            </w:pPr>
            <w:r>
              <w:rPr>
                <w:rFonts w:hint="eastAsia"/>
              </w:rPr>
              <w:t>专用</w:t>
            </w:r>
            <w:r>
              <w:t>床、氧气瓶</w:t>
            </w:r>
            <w:r>
              <w:rPr>
                <w:rFonts w:hint="eastAsia"/>
              </w:rPr>
              <w:t>（</w:t>
            </w:r>
            <w:r>
              <w:t>供氧中心</w:t>
            </w:r>
            <w:r>
              <w:rPr>
                <w:rFonts w:hint="eastAsia"/>
              </w:rPr>
              <w:t>或</w:t>
            </w:r>
            <w:r>
              <w:t>制氧机</w:t>
            </w:r>
            <w:r>
              <w:rPr>
                <w:rFonts w:hint="eastAsia"/>
              </w:rPr>
              <w:t>）、</w:t>
            </w:r>
            <w:r>
              <w:t>治疗车、担架车、药品车</w:t>
            </w:r>
            <w:r>
              <w:rPr>
                <w:rFonts w:hint="eastAsia"/>
              </w:rPr>
              <w:t>（柜）、血氧仪</w:t>
            </w:r>
            <w:r>
              <w:t>、血压计</w:t>
            </w:r>
            <w:r>
              <w:rPr>
                <w:rFonts w:hint="eastAsia"/>
              </w:rPr>
              <w:t>、</w:t>
            </w:r>
            <w:r>
              <w:t>超声雾化器、电动吸引器、心电图机</w:t>
            </w:r>
            <w:r>
              <w:rPr>
                <w:rFonts w:hint="eastAsia"/>
              </w:rPr>
              <w:t>、</w:t>
            </w:r>
            <w:r>
              <w:t>输液架</w:t>
            </w:r>
            <w:r>
              <w:rPr>
                <w:rFonts w:hint="eastAsia"/>
              </w:rPr>
              <w:t>、</w:t>
            </w:r>
            <w:r>
              <w:t>消毒</w:t>
            </w:r>
            <w:r>
              <w:rPr>
                <w:rFonts w:hint="eastAsia"/>
              </w:rPr>
              <w:t>设备、</w:t>
            </w:r>
            <w:r>
              <w:t>椅子、凳子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70" w:hRule="atLeast"/>
          <w:jc w:val="center"/>
        </w:trPr>
        <w:tc>
          <w:tcPr>
            <w:tcW w:w="557" w:type="dxa"/>
            <w:shd w:val="clear" w:color="auto" w:fill="auto"/>
            <w:vAlign w:val="center"/>
          </w:tcPr>
          <w:p>
            <w:pPr>
              <w:pStyle w:val="179"/>
            </w:pPr>
            <w:r>
              <w:rPr>
                <w:rFonts w:hint="eastAsia"/>
              </w:rPr>
              <w:t>2</w:t>
            </w:r>
          </w:p>
        </w:tc>
        <w:tc>
          <w:tcPr>
            <w:tcW w:w="1985" w:type="dxa"/>
            <w:shd w:val="clear" w:color="auto" w:fill="auto"/>
            <w:vAlign w:val="center"/>
          </w:tcPr>
          <w:p>
            <w:pPr>
              <w:pStyle w:val="179"/>
            </w:pPr>
            <w:r>
              <w:rPr>
                <w:rFonts w:hint="eastAsia"/>
              </w:rPr>
              <w:t>家属</w:t>
            </w:r>
            <w:r>
              <w:t>陪伴室</w:t>
            </w:r>
            <w:r>
              <w:rPr>
                <w:rFonts w:hint="eastAsia"/>
              </w:rPr>
              <w:t>（区）</w:t>
            </w:r>
          </w:p>
        </w:tc>
        <w:tc>
          <w:tcPr>
            <w:tcW w:w="6792" w:type="dxa"/>
            <w:shd w:val="clear" w:color="auto" w:fill="auto"/>
            <w:vAlign w:val="center"/>
          </w:tcPr>
          <w:p>
            <w:pPr>
              <w:pStyle w:val="179"/>
            </w:pPr>
            <w:r>
              <w:rPr>
                <w:rFonts w:hint="eastAsia"/>
              </w:rPr>
              <w:t>沙发</w:t>
            </w:r>
            <w:r>
              <w:t>、电视、简易家具若干</w:t>
            </w:r>
            <w:r>
              <w:rPr>
                <w:rFonts w:hint="eastAsia"/>
              </w:rPr>
              <w:t>（亦</w:t>
            </w:r>
            <w:r>
              <w:t>可配置陪护床</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32" w:hRule="atLeast"/>
          <w:jc w:val="center"/>
        </w:trPr>
        <w:tc>
          <w:tcPr>
            <w:tcW w:w="557" w:type="dxa"/>
            <w:shd w:val="clear" w:color="auto" w:fill="auto"/>
            <w:vAlign w:val="center"/>
          </w:tcPr>
          <w:p>
            <w:pPr>
              <w:pStyle w:val="179"/>
            </w:pPr>
            <w:r>
              <w:rPr>
                <w:rFonts w:hint="eastAsia"/>
              </w:rPr>
              <w:t>3</w:t>
            </w:r>
          </w:p>
        </w:tc>
        <w:tc>
          <w:tcPr>
            <w:tcW w:w="1985" w:type="dxa"/>
            <w:shd w:val="clear" w:color="auto" w:fill="auto"/>
            <w:vAlign w:val="center"/>
          </w:tcPr>
          <w:p>
            <w:pPr>
              <w:pStyle w:val="179"/>
            </w:pPr>
            <w:r>
              <w:rPr>
                <w:rFonts w:hint="eastAsia"/>
              </w:rPr>
              <w:t>医务</w:t>
            </w:r>
            <w:r>
              <w:t>人员办公室</w:t>
            </w:r>
          </w:p>
        </w:tc>
        <w:tc>
          <w:tcPr>
            <w:tcW w:w="6792" w:type="dxa"/>
            <w:shd w:val="clear" w:color="auto" w:fill="auto"/>
            <w:vAlign w:val="center"/>
          </w:tcPr>
          <w:p>
            <w:pPr>
              <w:pStyle w:val="179"/>
            </w:pPr>
            <w:r>
              <w:rPr>
                <w:rFonts w:hint="eastAsia"/>
              </w:rPr>
              <w:t>观片</w:t>
            </w:r>
            <w:r>
              <w:t>灯</w:t>
            </w:r>
            <w:r>
              <w:rPr>
                <w:rFonts w:hint="eastAsia"/>
              </w:rPr>
              <w:t>、</w:t>
            </w:r>
            <w:r>
              <w:t>电脑、打印机、档案柜、电话</w:t>
            </w:r>
          </w:p>
        </w:tc>
      </w:tr>
    </w:tbl>
    <w:p>
      <w:pPr>
        <w:pStyle w:val="57"/>
        <w:ind w:firstLine="420"/>
      </w:pPr>
      <w:bookmarkStart w:id="42" w:name="_Toc167146191"/>
      <w:bookmarkStart w:id="43" w:name="_Toc167007540"/>
      <w:bookmarkStart w:id="44" w:name="_Toc166697247"/>
      <w:bookmarkStart w:id="45" w:name="_Toc166668420"/>
      <w:bookmarkStart w:id="46" w:name="_Toc166500962"/>
      <w:bookmarkStart w:id="47" w:name="_Toc166500898"/>
      <w:bookmarkStart w:id="48" w:name="_Toc166500782"/>
      <w:bookmarkStart w:id="49" w:name="_Toc166236032"/>
      <w:bookmarkStart w:id="50" w:name="_Toc164722391"/>
      <w:bookmarkStart w:id="51" w:name="_Toc163429113"/>
      <w:bookmarkStart w:id="52" w:name="_Toc163427995"/>
      <w:bookmarkStart w:id="53" w:name="_Toc159529467"/>
      <w:bookmarkStart w:id="54" w:name="_Toc159528849"/>
      <w:bookmarkStart w:id="55" w:name="_Toc167185294"/>
      <w:bookmarkStart w:id="56" w:name="_Toc167206784"/>
    </w:p>
    <w:p>
      <w:pPr>
        <w:widowControl/>
        <w:numPr>
          <w:ilvl w:val="2"/>
          <w:numId w:val="2"/>
        </w:numPr>
        <w:adjustRightInd/>
        <w:spacing w:before="156" w:beforeLines="50" w:after="156" w:afterLines="50" w:line="240" w:lineRule="auto"/>
        <w:outlineLvl w:val="1"/>
        <w:rPr>
          <w:rFonts w:ascii="黑体" w:hAnsi="Times New Roman" w:eastAsia="黑体"/>
          <w:kern w:val="0"/>
          <w:szCs w:val="20"/>
        </w:rPr>
      </w:pPr>
      <w:r>
        <w:rPr>
          <w:rFonts w:hint="eastAsia" w:ascii="黑体" w:hAnsi="Times New Roman" w:eastAsia="黑体"/>
          <w:kern w:val="0"/>
          <w:szCs w:val="20"/>
        </w:rPr>
        <w:t>人员配置</w:t>
      </w:r>
      <w:r>
        <w:rPr>
          <w:rFonts w:ascii="黑体" w:hAnsi="Times New Roman" w:eastAsia="黑体"/>
          <w:kern w:val="0"/>
          <w:szCs w:val="20"/>
        </w:rPr>
        <w:t>与要求</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numPr>
          <w:ilvl w:val="3"/>
          <w:numId w:val="2"/>
        </w:numPr>
        <w:adjustRightInd/>
        <w:spacing w:line="240" w:lineRule="auto"/>
        <w:rPr>
          <w:rFonts w:ascii="宋体" w:hAnsi="Times New Roman"/>
          <w:kern w:val="0"/>
          <w:szCs w:val="20"/>
        </w:rPr>
      </w:pPr>
      <w:r>
        <w:rPr>
          <w:rFonts w:hint="eastAsia" w:ascii="宋体" w:hAnsi="Times New Roman"/>
          <w:kern w:val="0"/>
          <w:szCs w:val="20"/>
        </w:rPr>
        <w:t>养老机构临终关怀</w:t>
      </w:r>
      <w:r>
        <w:rPr>
          <w:rFonts w:ascii="宋体" w:hAnsi="Times New Roman"/>
          <w:kern w:val="0"/>
          <w:szCs w:val="20"/>
        </w:rPr>
        <w:t>服务</w:t>
      </w:r>
      <w:r>
        <w:rPr>
          <w:rFonts w:hint="eastAsia" w:ascii="宋体" w:hAnsi="Times New Roman"/>
          <w:kern w:val="0"/>
          <w:szCs w:val="20"/>
        </w:rPr>
        <w:t>人员</w:t>
      </w:r>
      <w:r>
        <w:rPr>
          <w:rFonts w:ascii="宋体" w:hAnsi="Times New Roman"/>
          <w:kern w:val="0"/>
          <w:szCs w:val="20"/>
        </w:rPr>
        <w:t>包括但不限于医护人员、护理员、社会工作者，</w:t>
      </w:r>
      <w:r>
        <w:rPr>
          <w:rFonts w:hint="eastAsia" w:ascii="宋体" w:hAnsi="Times New Roman"/>
          <w:kern w:val="0"/>
          <w:szCs w:val="20"/>
        </w:rPr>
        <w:t>养老</w:t>
      </w:r>
      <w:r>
        <w:rPr>
          <w:rFonts w:ascii="宋体" w:hAnsi="Times New Roman"/>
          <w:kern w:val="0"/>
          <w:szCs w:val="20"/>
        </w:rPr>
        <w:t>机构</w:t>
      </w:r>
      <w:r>
        <w:rPr>
          <w:rFonts w:hint="eastAsia" w:ascii="宋体" w:hAnsi="Times New Roman"/>
          <w:kern w:val="0"/>
          <w:szCs w:val="20"/>
        </w:rPr>
        <w:t>不具备医养</w:t>
      </w:r>
      <w:r>
        <w:rPr>
          <w:rFonts w:ascii="宋体" w:hAnsi="Times New Roman"/>
          <w:kern w:val="0"/>
          <w:szCs w:val="20"/>
        </w:rPr>
        <w:t>条件</w:t>
      </w:r>
      <w:r>
        <w:rPr>
          <w:rFonts w:hint="eastAsia" w:ascii="宋体" w:hAnsi="Times New Roman"/>
          <w:kern w:val="0"/>
          <w:szCs w:val="20"/>
        </w:rPr>
        <w:t>的，可</w:t>
      </w:r>
      <w:r>
        <w:rPr>
          <w:rFonts w:ascii="宋体" w:hAnsi="Times New Roman"/>
          <w:kern w:val="0"/>
          <w:szCs w:val="20"/>
        </w:rPr>
        <w:t>与</w:t>
      </w:r>
      <w:r>
        <w:rPr>
          <w:rFonts w:hint="eastAsia" w:ascii="宋体" w:hAnsi="Times New Roman"/>
          <w:kern w:val="0"/>
          <w:szCs w:val="20"/>
        </w:rPr>
        <w:t>协议</w:t>
      </w:r>
      <w:r>
        <w:rPr>
          <w:rFonts w:ascii="宋体" w:hAnsi="Times New Roman"/>
          <w:kern w:val="0"/>
          <w:szCs w:val="20"/>
        </w:rPr>
        <w:t>医</w:t>
      </w:r>
      <w:r>
        <w:rPr>
          <w:rFonts w:hint="eastAsia" w:ascii="宋体" w:hAnsi="Times New Roman"/>
          <w:kern w:val="0"/>
          <w:szCs w:val="20"/>
        </w:rPr>
        <w:t>疗</w:t>
      </w:r>
      <w:r>
        <w:rPr>
          <w:rFonts w:ascii="宋体" w:hAnsi="Times New Roman"/>
          <w:kern w:val="0"/>
          <w:szCs w:val="20"/>
        </w:rPr>
        <w:t xml:space="preserve">机构合作。 </w:t>
      </w:r>
    </w:p>
    <w:p>
      <w:pPr>
        <w:numPr>
          <w:ilvl w:val="3"/>
          <w:numId w:val="2"/>
        </w:numPr>
        <w:adjustRightInd/>
        <w:spacing w:line="240" w:lineRule="auto"/>
        <w:rPr>
          <w:rFonts w:ascii="宋体" w:hAnsi="Times New Roman"/>
          <w:kern w:val="0"/>
          <w:szCs w:val="20"/>
        </w:rPr>
      </w:pPr>
      <w:r>
        <w:rPr>
          <w:rFonts w:ascii="宋体" w:hAnsi="Times New Roman"/>
          <w:kern w:val="0"/>
          <w:szCs w:val="20"/>
        </w:rPr>
        <w:t>服务人员应接受知识培训，掌握知识和</w:t>
      </w:r>
      <w:r>
        <w:rPr>
          <w:rFonts w:hint="eastAsia" w:ascii="宋体" w:hAnsi="Times New Roman"/>
          <w:kern w:val="0"/>
          <w:szCs w:val="20"/>
        </w:rPr>
        <w:t>技能，</w:t>
      </w:r>
      <w:r>
        <w:rPr>
          <w:rFonts w:ascii="宋体" w:hAnsi="Times New Roman"/>
          <w:kern w:val="0"/>
          <w:szCs w:val="20"/>
        </w:rPr>
        <w:t>工作耐心细致、语言亲切，富有爱心和同情心，尊重病患者隐私</w:t>
      </w:r>
      <w:r>
        <w:rPr>
          <w:rFonts w:hint="eastAsia" w:ascii="宋体" w:hAnsi="Times New Roman"/>
          <w:kern w:val="0"/>
          <w:szCs w:val="20"/>
        </w:rPr>
        <w:t>。</w:t>
      </w:r>
    </w:p>
    <w:p>
      <w:pPr>
        <w:numPr>
          <w:ilvl w:val="3"/>
          <w:numId w:val="2"/>
        </w:numPr>
        <w:adjustRightInd/>
        <w:spacing w:line="240" w:lineRule="auto"/>
        <w:rPr>
          <w:rFonts w:ascii="宋体" w:hAnsi="Times New Roman"/>
          <w:kern w:val="0"/>
          <w:szCs w:val="20"/>
        </w:rPr>
      </w:pPr>
      <w:r>
        <w:rPr>
          <w:rFonts w:hint="eastAsia" w:ascii="宋体" w:hAnsi="Times New Roman"/>
          <w:kern w:val="0"/>
          <w:szCs w:val="20"/>
        </w:rPr>
        <w:t>应</w:t>
      </w:r>
      <w:r>
        <w:rPr>
          <w:rFonts w:ascii="宋体" w:hAnsi="Times New Roman"/>
          <w:kern w:val="0"/>
          <w:szCs w:val="20"/>
        </w:rPr>
        <w:t>具备对临终者厚家属的察觉能力和评估能力</w:t>
      </w:r>
      <w:r>
        <w:rPr>
          <w:rFonts w:hint="eastAsia" w:ascii="宋体" w:hAnsi="Times New Roman"/>
          <w:kern w:val="0"/>
          <w:szCs w:val="20"/>
        </w:rPr>
        <w:t>，</w:t>
      </w:r>
      <w:r>
        <w:rPr>
          <w:rFonts w:ascii="宋体" w:hAnsi="Times New Roman"/>
          <w:kern w:val="0"/>
          <w:szCs w:val="20"/>
        </w:rPr>
        <w:t>能发现</w:t>
      </w:r>
      <w:r>
        <w:rPr>
          <w:rFonts w:hint="eastAsia" w:ascii="宋体" w:hAnsi="Times New Roman"/>
          <w:kern w:val="0"/>
          <w:szCs w:val="20"/>
        </w:rPr>
        <w:t>病患</w:t>
      </w:r>
      <w:r>
        <w:rPr>
          <w:rFonts w:ascii="宋体" w:hAnsi="Times New Roman"/>
          <w:kern w:val="0"/>
          <w:szCs w:val="20"/>
        </w:rPr>
        <w:t>者和家属在心理和社会层面的需求并介入心理治疗方法。</w:t>
      </w:r>
    </w:p>
    <w:p>
      <w:pPr>
        <w:pStyle w:val="105"/>
        <w:spacing w:before="312" w:after="312"/>
      </w:pPr>
      <w:bookmarkStart w:id="57" w:name="_Toc163427996"/>
      <w:bookmarkStart w:id="58" w:name="_Toc163429114"/>
      <w:bookmarkStart w:id="59" w:name="_Toc164722392"/>
      <w:bookmarkStart w:id="60" w:name="_Toc166236033"/>
      <w:bookmarkStart w:id="61" w:name="_Toc166500783"/>
      <w:bookmarkStart w:id="62" w:name="_Toc166500899"/>
      <w:bookmarkStart w:id="63" w:name="_Toc166500963"/>
      <w:bookmarkStart w:id="64" w:name="_Toc166668421"/>
      <w:bookmarkStart w:id="65" w:name="_Toc166697248"/>
      <w:bookmarkStart w:id="66" w:name="_Toc167007541"/>
      <w:bookmarkStart w:id="67" w:name="_Toc167146192"/>
      <w:bookmarkStart w:id="68" w:name="_Toc167185295"/>
      <w:bookmarkStart w:id="69" w:name="_Toc167206785"/>
      <w:r>
        <w:rPr>
          <w:rFonts w:hint="eastAsia"/>
        </w:rPr>
        <w:t>服务流程</w:t>
      </w:r>
      <w:bookmarkEnd w:id="57"/>
      <w:bookmarkEnd w:id="58"/>
      <w:bookmarkEnd w:id="59"/>
      <w:bookmarkEnd w:id="60"/>
      <w:bookmarkEnd w:id="61"/>
      <w:bookmarkEnd w:id="62"/>
      <w:bookmarkEnd w:id="63"/>
      <w:bookmarkEnd w:id="64"/>
      <w:bookmarkEnd w:id="65"/>
      <w:bookmarkEnd w:id="66"/>
      <w:bookmarkEnd w:id="67"/>
      <w:bookmarkEnd w:id="68"/>
      <w:bookmarkEnd w:id="69"/>
    </w:p>
    <w:p>
      <w:pPr>
        <w:pStyle w:val="57"/>
        <w:ind w:firstLine="420"/>
      </w:pPr>
      <w:r>
        <w:rPr>
          <w:rFonts w:hint="eastAsia"/>
        </w:rPr>
        <w:t>临终关怀</w:t>
      </w:r>
      <w:r>
        <w:t>服务</w:t>
      </w:r>
      <w:r>
        <w:rPr>
          <w:rFonts w:hint="eastAsia"/>
        </w:rPr>
        <w:t>流程</w:t>
      </w:r>
      <w:r>
        <w:t>见图</w:t>
      </w:r>
      <w:r>
        <w:rPr>
          <w:rFonts w:hint="eastAsia"/>
        </w:rPr>
        <w:t>1。</w:t>
      </w:r>
    </w:p>
    <w:p>
      <w:pPr>
        <w:pStyle w:val="57"/>
        <w:ind w:firstLine="525" w:firstLineChars="250"/>
      </w:pPr>
      <w:r>
        <w:rPr>
          <w:rFonts w:hint="eastAsia"/>
        </w:rPr>
        <mc:AlternateContent>
          <mc:Choice Requires="wpc">
            <w:drawing>
              <wp:inline distT="0" distB="0" distL="0" distR="0">
                <wp:extent cx="5200650" cy="5382260"/>
                <wp:effectExtent l="0" t="0" r="0" b="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矩形 6"/>
                        <wps:cNvSpPr/>
                        <wps:spPr>
                          <a:xfrm>
                            <a:off x="1420399" y="958343"/>
                            <a:ext cx="1266824" cy="4570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评估及</w:t>
                              </w:r>
                              <w:r>
                                <w:rPr>
                                  <w:color w:val="000000" w:themeColor="text1"/>
                                  <w:sz w:val="18"/>
                                  <w:szCs w:val="18"/>
                                  <w14:textFill>
                                    <w14:solidFill>
                                      <w14:schemeClr w14:val="tx1"/>
                                    </w14:solidFill>
                                  </w14:textFill>
                                </w:rPr>
                                <w:t>签订服务协议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矩形 8"/>
                        <wps:cNvSpPr/>
                        <wps:spPr>
                          <a:xfrm>
                            <a:off x="1376694" y="1685317"/>
                            <a:ext cx="1266190" cy="4369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服务</w:t>
                              </w:r>
                              <w:r>
                                <w:rPr>
                                  <w:color w:val="000000" w:themeColor="text1"/>
                                  <w:sz w:val="18"/>
                                  <w:szCs w:val="18"/>
                                  <w14:textFill>
                                    <w14:solidFill>
                                      <w14:schemeClr w14:val="tx1"/>
                                    </w14:solidFill>
                                  </w14:textFill>
                                </w:rPr>
                                <w:t>计划制定</w:t>
                              </w:r>
                            </w:p>
                          </w:txbxContent>
                        </wps:txbx>
                        <wps:bodyPr rot="0" spcFirstLastPara="0" vert="horz" wrap="square" lIns="91440" tIns="45720" rIns="91440" bIns="45720" numCol="1" spcCol="0" rtlCol="0" fromWordArt="0" anchor="ctr" anchorCtr="0" forceAA="0" compatLnSpc="1">
                          <a:noAutofit/>
                        </wps:bodyPr>
                      </wps:wsp>
                      <wps:wsp>
                        <wps:cNvPr id="10" name="矩形 10"/>
                        <wps:cNvSpPr/>
                        <wps:spPr>
                          <a:xfrm>
                            <a:off x="3466853" y="1514717"/>
                            <a:ext cx="1266190" cy="410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生活</w:t>
                              </w:r>
                              <w:r>
                                <w:rPr>
                                  <w:color w:val="000000" w:themeColor="text1"/>
                                  <w:sz w:val="18"/>
                                  <w:szCs w:val="18"/>
                                  <w14:textFill>
                                    <w14:solidFill>
                                      <w14:schemeClr w14:val="tx1"/>
                                    </w14:solidFill>
                                  </w14:textFill>
                                </w:rPr>
                                <w:t>护理</w:t>
                              </w:r>
                            </w:p>
                            <w:p>
                              <w:pPr>
                                <w:jc w:val="center"/>
                                <w:rPr>
                                  <w:color w:val="000000" w:themeColor="text1"/>
                                  <w:sz w:val="18"/>
                                  <w:szCs w:val="18"/>
                                  <w14:textFill>
                                    <w14:solidFill>
                                      <w14:schemeClr w14:val="tx1"/>
                                    </w14:solidFill>
                                  </w14:textFill>
                                </w:rPr>
                              </w:pPr>
                            </w:p>
                          </w:txbxContent>
                        </wps:txbx>
                        <wps:bodyPr rot="0" spcFirstLastPara="0" vert="horz" wrap="square" lIns="91440" tIns="45720" rIns="91440" bIns="45720" numCol="1" spcCol="0" rtlCol="0" fromWordArt="0" anchor="ctr" anchorCtr="0" forceAA="0" compatLnSpc="1">
                          <a:noAutofit/>
                        </wps:bodyPr>
                      </wps:wsp>
                      <wps:wsp>
                        <wps:cNvPr id="11" name="矩形 11"/>
                        <wps:cNvSpPr/>
                        <wps:spPr>
                          <a:xfrm>
                            <a:off x="3483271" y="1880699"/>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膳食</w:t>
                              </w:r>
                              <w:r>
                                <w:rPr>
                                  <w:color w:val="000000" w:themeColor="text1"/>
                                  <w:sz w:val="18"/>
                                  <w:szCs w:val="18"/>
                                  <w14:textFill>
                                    <w14:solidFill>
                                      <w14:schemeClr w14:val="tx1"/>
                                    </w14:solidFill>
                                  </w14:textFill>
                                </w:rPr>
                                <w:t>与营养支持</w:t>
                              </w:r>
                            </w:p>
                          </w:txbxContent>
                        </wps:txbx>
                        <wps:bodyPr rot="0" spcFirstLastPara="0" vert="horz" wrap="square" lIns="91440" tIns="45720" rIns="91440" bIns="45720" numCol="1" spcCol="0" rtlCol="0" fromWordArt="0" anchor="ctr" anchorCtr="0" forceAA="0" compatLnSpc="1">
                          <a:noAutofit/>
                        </wps:bodyPr>
                      </wps:wsp>
                      <wps:wsp>
                        <wps:cNvPr id="12" name="矩形 12"/>
                        <wps:cNvSpPr/>
                        <wps:spPr>
                          <a:xfrm>
                            <a:off x="3477353" y="2284453"/>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心理照护</w:t>
                              </w:r>
                              <w:r>
                                <w:rPr>
                                  <w:color w:val="000000" w:themeColor="text1"/>
                                  <w:sz w:val="18"/>
                                  <w:szCs w:val="18"/>
                                  <w14:textFill>
                                    <w14:solidFill>
                                      <w14:schemeClr w14:val="tx1"/>
                                    </w14:solidFill>
                                  </w14:textFill>
                                </w:rPr>
                                <w:t>与情感支持</w:t>
                              </w:r>
                            </w:p>
                          </w:txbxContent>
                        </wps:txbx>
                        <wps:bodyPr rot="0" spcFirstLastPara="0" vert="horz" wrap="square" lIns="91440" tIns="45720" rIns="91440" bIns="45720" numCol="1" spcCol="0" rtlCol="0" fromWordArt="0" anchor="ctr" anchorCtr="0" forceAA="0" compatLnSpc="1">
                          <a:noAutofit/>
                        </wps:bodyPr>
                      </wps:wsp>
                      <wps:wsp>
                        <wps:cNvPr id="13" name="矩形 13"/>
                        <wps:cNvSpPr/>
                        <wps:spPr>
                          <a:xfrm>
                            <a:off x="3466853" y="2640309"/>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后事</w:t>
                              </w:r>
                              <w:r>
                                <w:rPr>
                                  <w:color w:val="000000" w:themeColor="text1"/>
                                  <w:sz w:val="18"/>
                                  <w:szCs w:val="18"/>
                                  <w14:textFill>
                                    <w14:solidFill>
                                      <w14:schemeClr w14:val="tx1"/>
                                    </w14:solidFill>
                                  </w14:textFill>
                                </w:rPr>
                                <w:t>处理与哀伤辅导</w:t>
                              </w:r>
                            </w:p>
                          </w:txbxContent>
                        </wps:txbx>
                        <wps:bodyPr rot="0" spcFirstLastPara="0" vert="horz" wrap="square" lIns="91440" tIns="45720" rIns="91440" bIns="45720" numCol="1" spcCol="0" rtlCol="0" fromWordArt="0" anchor="ctr" anchorCtr="0" forceAA="0" compatLnSpc="1">
                          <a:noAutofit/>
                        </wps:bodyPr>
                      </wps:wsp>
                      <wps:wsp>
                        <wps:cNvPr id="14" name="矩形 14"/>
                        <wps:cNvSpPr/>
                        <wps:spPr>
                          <a:xfrm>
                            <a:off x="3358880" y="3060599"/>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r>
                                <w:rPr>
                                  <w:color w:val="000000" w:themeColor="text1"/>
                                  <w:sz w:val="18"/>
                                  <w:szCs w:val="18"/>
                                  <w14:textFill>
                                    <w14:solidFill>
                                      <w14:schemeClr w14:val="tx1"/>
                                    </w14:solidFill>
                                  </w14:textFill>
                                </w:rPr>
                                <w:t>服务</w:t>
                              </w:r>
                            </w:p>
                          </w:txbxContent>
                        </wps:txbx>
                        <wps:bodyPr rot="0" spcFirstLastPara="0" vert="horz" wrap="square" lIns="91440" tIns="45720" rIns="91440" bIns="45720" numCol="1" spcCol="0" rtlCol="0" fromWordArt="0" anchor="ctr" anchorCtr="0" forceAA="0" compatLnSpc="1">
                          <a:noAutofit/>
                        </wps:bodyPr>
                      </wps:wsp>
                      <wps:wsp>
                        <wps:cNvPr id="15" name="矩形 15"/>
                        <wps:cNvSpPr/>
                        <wps:spPr>
                          <a:xfrm>
                            <a:off x="2302760" y="3512089"/>
                            <a:ext cx="543900" cy="410210"/>
                          </a:xfrm>
                          <a:prstGeom prst="rect">
                            <a:avLst/>
                          </a:pr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好转</w:t>
                              </w:r>
                            </w:p>
                          </w:txbxContent>
                        </wps:txbx>
                        <wps:bodyPr rot="0" spcFirstLastPara="0" vert="horz" wrap="square" lIns="91440" tIns="45720" rIns="91440" bIns="45720" numCol="1" spcCol="0" rtlCol="0" fromWordArt="0" anchor="ctr" anchorCtr="0" forceAA="0" compatLnSpc="1">
                          <a:noAutofit/>
                        </wps:bodyPr>
                      </wps:wsp>
                      <wps:wsp>
                        <wps:cNvPr id="16" name="矩形 16"/>
                        <wps:cNvSpPr/>
                        <wps:spPr>
                          <a:xfrm>
                            <a:off x="2267191" y="4069848"/>
                            <a:ext cx="543560" cy="410210"/>
                          </a:xfrm>
                          <a:prstGeom prst="rect">
                            <a:avLst/>
                          </a:pr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离世</w:t>
                              </w:r>
                            </w:p>
                          </w:txbxContent>
                        </wps:txbx>
                        <wps:bodyPr rot="0" spcFirstLastPara="0" vert="horz" wrap="square" lIns="91440" tIns="45720" rIns="91440" bIns="45720" numCol="1" spcCol="0" rtlCol="0" fromWordArt="0" anchor="ctr" anchorCtr="0" forceAA="0" compatLnSpc="1">
                          <a:noAutofit/>
                        </wps:bodyPr>
                      </wps:wsp>
                      <wps:wsp>
                        <wps:cNvPr id="17" name="矩形 17"/>
                        <wps:cNvSpPr/>
                        <wps:spPr>
                          <a:xfrm>
                            <a:off x="2267191" y="4585739"/>
                            <a:ext cx="543560" cy="410210"/>
                          </a:xfrm>
                          <a:prstGeom prst="rect">
                            <a:avLst/>
                          </a:pr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转介</w:t>
                              </w:r>
                            </w:p>
                          </w:txbxContent>
                        </wps:txbx>
                        <wps:bodyPr rot="0" spcFirstLastPara="0" vert="horz" wrap="square" lIns="91440" tIns="45720" rIns="91440" bIns="45720" numCol="1" spcCol="0" rtlCol="0" fromWordArt="0" anchor="ctr" anchorCtr="0" forceAA="0" compatLnSpc="1">
                          <a:noAutofit/>
                        </wps:bodyPr>
                      </wps:wsp>
                      <wps:wsp>
                        <wps:cNvPr id="24" name="直接箭头连接符 24"/>
                        <wps:cNvCnPr/>
                        <wps:spPr bwMode="auto">
                          <a:xfrm>
                            <a:off x="2028028" y="2115564"/>
                            <a:ext cx="0" cy="330538"/>
                          </a:xfrm>
                          <a:prstGeom prst="straightConnector1">
                            <a:avLst/>
                          </a:prstGeom>
                          <a:noFill/>
                          <a:ln w="9525">
                            <a:solidFill>
                              <a:srgbClr val="000000"/>
                            </a:solidFill>
                            <a:round/>
                            <a:tailEnd type="triangle"/>
                          </a:ln>
                        </wps:spPr>
                        <wps:bodyPr/>
                      </wps:wsp>
                      <wps:wsp>
                        <wps:cNvPr id="37" name="直接连接符 37"/>
                        <wps:cNvCnPr/>
                        <wps:spPr bwMode="auto">
                          <a:xfrm>
                            <a:off x="3483271" y="1553576"/>
                            <a:ext cx="1339339" cy="0"/>
                          </a:xfrm>
                          <a:prstGeom prst="line">
                            <a:avLst/>
                          </a:prstGeom>
                          <a:noFill/>
                          <a:ln w="9525">
                            <a:solidFill>
                              <a:srgbClr val="000000"/>
                            </a:solidFill>
                            <a:round/>
                          </a:ln>
                        </wps:spPr>
                        <wps:bodyPr/>
                      </wps:wsp>
                      <wps:wsp>
                        <wps:cNvPr id="38" name="直接连接符 38"/>
                        <wps:cNvCnPr/>
                        <wps:spPr bwMode="auto">
                          <a:xfrm flipV="1">
                            <a:off x="3466853" y="3511301"/>
                            <a:ext cx="1339339" cy="388"/>
                          </a:xfrm>
                          <a:prstGeom prst="line">
                            <a:avLst/>
                          </a:prstGeom>
                          <a:noFill/>
                          <a:ln w="9525">
                            <a:solidFill>
                              <a:srgbClr val="000000"/>
                            </a:solidFill>
                            <a:round/>
                          </a:ln>
                        </wps:spPr>
                        <wps:bodyPr/>
                      </wps:wsp>
                      <wps:wsp>
                        <wps:cNvPr id="39" name="直接连接符 39"/>
                        <wps:cNvCnPr/>
                        <wps:spPr bwMode="auto">
                          <a:xfrm flipH="1">
                            <a:off x="3466853" y="1562911"/>
                            <a:ext cx="16418" cy="1949076"/>
                          </a:xfrm>
                          <a:prstGeom prst="line">
                            <a:avLst/>
                          </a:prstGeom>
                          <a:noFill/>
                          <a:ln w="9525">
                            <a:solidFill>
                              <a:srgbClr val="000000"/>
                            </a:solidFill>
                            <a:round/>
                          </a:ln>
                        </wps:spPr>
                        <wps:bodyPr/>
                      </wps:wsp>
                      <wps:wsp>
                        <wps:cNvPr id="40" name="流程图: 终止 40"/>
                        <wps:cNvSpPr>
                          <a:spLocks noChangeArrowheads="1"/>
                        </wps:cNvSpPr>
                        <wps:spPr bwMode="auto">
                          <a:xfrm>
                            <a:off x="1376694" y="203793"/>
                            <a:ext cx="1335405" cy="470658"/>
                          </a:xfrm>
                          <a:prstGeom prst="flowChartTerminator">
                            <a:avLst/>
                          </a:prstGeom>
                          <a:solidFill>
                            <a:srgbClr val="FFFFFF"/>
                          </a:solidFill>
                          <a:ln w="12700">
                            <a:solidFill>
                              <a:srgbClr val="000000"/>
                            </a:solidFill>
                            <a:miter lim="800000"/>
                          </a:ln>
                        </wps:spPr>
                        <wps:txbx>
                          <w:txbxContent>
                            <w:p>
                              <w:pPr>
                                <w:jc w:val="center"/>
                                <w:rPr>
                                  <w:sz w:val="15"/>
                                  <w:szCs w:val="15"/>
                                </w:rPr>
                              </w:pPr>
                              <w:r>
                                <w:rPr>
                                  <w:rFonts w:hint="eastAsia"/>
                                  <w:color w:val="000000" w:themeColor="text1"/>
                                  <w:sz w:val="18"/>
                                  <w:szCs w:val="18"/>
                                  <w14:textFill>
                                    <w14:solidFill>
                                      <w14:schemeClr w14:val="tx1"/>
                                    </w14:solidFill>
                                  </w14:textFill>
                                </w:rPr>
                                <w:t>接受</w:t>
                              </w:r>
                              <w:r>
                                <w:rPr>
                                  <w:color w:val="000000" w:themeColor="text1"/>
                                  <w:sz w:val="18"/>
                                  <w:szCs w:val="18"/>
                                  <w14:textFill>
                                    <w14:solidFill>
                                      <w14:schemeClr w14:val="tx1"/>
                                    </w14:solidFill>
                                  </w14:textFill>
                                </w:rPr>
                                <w:t>临终关怀者</w:t>
                              </w:r>
                            </w:p>
                          </w:txbxContent>
                        </wps:txbx>
                        <wps:bodyPr rot="0" vert="horz" wrap="square" lIns="91440" tIns="45720" rIns="91440" bIns="45720" anchor="ctr" anchorCtr="0" upright="1">
                          <a:noAutofit/>
                        </wps:bodyPr>
                      </wps:wsp>
                      <wps:wsp>
                        <wps:cNvPr id="41" name="直接箭头连接符 41"/>
                        <wps:cNvCnPr/>
                        <wps:spPr bwMode="auto">
                          <a:xfrm>
                            <a:off x="2028028" y="687152"/>
                            <a:ext cx="0" cy="271190"/>
                          </a:xfrm>
                          <a:prstGeom prst="straightConnector1">
                            <a:avLst/>
                          </a:prstGeom>
                          <a:noFill/>
                          <a:ln w="9525">
                            <a:solidFill>
                              <a:srgbClr val="000000"/>
                            </a:solidFill>
                            <a:round/>
                            <a:tailEnd type="triangle"/>
                          </a:ln>
                        </wps:spPr>
                        <wps:bodyPr/>
                      </wps:wsp>
                      <wps:wsp>
                        <wps:cNvPr id="21" name="直接连接符 21"/>
                        <wps:cNvCnPr/>
                        <wps:spPr bwMode="auto">
                          <a:xfrm>
                            <a:off x="2743200" y="2734693"/>
                            <a:ext cx="723653"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2" name="流程图: 终止 42"/>
                        <wps:cNvSpPr>
                          <a:spLocks noChangeArrowheads="1"/>
                        </wps:cNvSpPr>
                        <wps:spPr bwMode="auto">
                          <a:xfrm>
                            <a:off x="3067050" y="3695368"/>
                            <a:ext cx="1185376" cy="482400"/>
                          </a:xfrm>
                          <a:prstGeom prst="flowChartTerminator">
                            <a:avLst/>
                          </a:prstGeom>
                          <a:solidFill>
                            <a:srgbClr val="FFFFFF"/>
                          </a:solidFill>
                          <a:ln w="12700">
                            <a:solidFill>
                              <a:srgbClr val="000000"/>
                            </a:solidFill>
                            <a:miter lim="800000"/>
                          </a:ln>
                        </wps:spPr>
                        <wps:txbx>
                          <w:txbxContent>
                            <w:p>
                              <w:pPr>
                                <w:jc w:val="center"/>
                                <w:rPr>
                                  <w:color w:val="000000"/>
                                  <w:sz w:val="18"/>
                                  <w:szCs w:val="18"/>
                                </w:rPr>
                              </w:pPr>
                              <w:r>
                                <w:rPr>
                                  <w:rFonts w:hint="eastAsia"/>
                                  <w:color w:val="000000" w:themeColor="text1"/>
                                  <w:sz w:val="18"/>
                                  <w:szCs w:val="18"/>
                                  <w14:textFill>
                                    <w14:solidFill>
                                      <w14:schemeClr w14:val="tx1"/>
                                    </w14:solidFill>
                                  </w14:textFill>
                                </w:rPr>
                                <w:t>一般</w:t>
                              </w:r>
                              <w:r>
                                <w:rPr>
                                  <w:color w:val="000000" w:themeColor="text1"/>
                                  <w:sz w:val="18"/>
                                  <w:szCs w:val="18"/>
                                  <w14:textFill>
                                    <w14:solidFill>
                                      <w14:schemeClr w14:val="tx1"/>
                                    </w14:solidFill>
                                  </w14:textFill>
                                </w:rPr>
                                <w:t>休养</w:t>
                              </w:r>
                              <w:r>
                                <w:rPr>
                                  <w:rFonts w:hint="eastAsia"/>
                                  <w:color w:val="000000" w:themeColor="text1"/>
                                  <w:sz w:val="18"/>
                                  <w:szCs w:val="18"/>
                                  <w14:textFill>
                                    <w14:solidFill>
                                      <w14:schemeClr w14:val="tx1"/>
                                    </w14:solidFill>
                                  </w14:textFill>
                                </w:rPr>
                                <w:t>服务</w:t>
                              </w:r>
                            </w:p>
                          </w:txbxContent>
                        </wps:txbx>
                        <wps:bodyPr rot="0" vert="horz" wrap="square" lIns="91440" tIns="45720" rIns="91440" bIns="45720" anchor="ctr" anchorCtr="0" upright="1">
                          <a:noAutofit/>
                        </wps:bodyPr>
                      </wps:wsp>
                      <wps:wsp>
                        <wps:cNvPr id="43" name="流程图: 终止 43"/>
                        <wps:cNvSpPr>
                          <a:spLocks noChangeArrowheads="1"/>
                        </wps:cNvSpPr>
                        <wps:spPr bwMode="auto">
                          <a:xfrm>
                            <a:off x="3067516" y="4227553"/>
                            <a:ext cx="1184910" cy="481965"/>
                          </a:xfrm>
                          <a:prstGeom prst="flowChartTerminator">
                            <a:avLst/>
                          </a:prstGeom>
                          <a:solidFill>
                            <a:srgbClr val="FFFFFF"/>
                          </a:solidFill>
                          <a:ln w="12700">
                            <a:solidFill>
                              <a:srgbClr val="000000"/>
                            </a:solidFill>
                            <a:miter lim="800000"/>
                          </a:ln>
                        </wps:spPr>
                        <wps:txb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善后</w:t>
                              </w:r>
                              <w:r>
                                <w:rPr>
                                  <w:color w:val="000000" w:themeColor="text1"/>
                                  <w:sz w:val="18"/>
                                  <w:szCs w:val="18"/>
                                  <w14:textFill>
                                    <w14:solidFill>
                                      <w14:schemeClr w14:val="tx1"/>
                                    </w14:solidFill>
                                  </w14:textFill>
                                </w:rPr>
                                <w:t>处理</w:t>
                              </w:r>
                            </w:p>
                            <w:p>
                              <w:pPr>
                                <w:jc w:val="center"/>
                                <w:rPr>
                                  <w:color w:val="000000"/>
                                  <w:sz w:val="18"/>
                                  <w:szCs w:val="18"/>
                                </w:rPr>
                              </w:pPr>
                              <w:r>
                                <w:rPr>
                                  <w:color w:val="000000"/>
                                  <w:sz w:val="18"/>
                                  <w:szCs w:val="18"/>
                                </w:rPr>
                                <w:t> </w:t>
                              </w:r>
                            </w:p>
                          </w:txbxContent>
                        </wps:txbx>
                        <wps:bodyPr rot="0" vert="horz" wrap="square" lIns="91440" tIns="45720" rIns="91440" bIns="45720" anchor="ctr" anchorCtr="0" upright="1">
                          <a:noAutofit/>
                        </wps:bodyPr>
                      </wps:wsp>
                      <wps:wsp>
                        <wps:cNvPr id="45" name="流程图: 终止 45"/>
                        <wps:cNvSpPr>
                          <a:spLocks noChangeArrowheads="1"/>
                        </wps:cNvSpPr>
                        <wps:spPr bwMode="auto">
                          <a:xfrm>
                            <a:off x="3067050" y="4796102"/>
                            <a:ext cx="1184910" cy="481965"/>
                          </a:xfrm>
                          <a:prstGeom prst="flowChartTerminator">
                            <a:avLst/>
                          </a:prstGeom>
                          <a:solidFill>
                            <a:srgbClr val="FFFFFF"/>
                          </a:solidFill>
                          <a:ln w="12700">
                            <a:solidFill>
                              <a:srgbClr val="000000"/>
                            </a:solidFill>
                            <a:miter lim="800000"/>
                          </a:ln>
                        </wps:spPr>
                        <wps:txbx>
                          <w:txbxContent>
                            <w:p>
                              <w:pPr>
                                <w:jc w:val="center"/>
                                <w:rPr>
                                  <w:color w:val="000000"/>
                                  <w:sz w:val="18"/>
                                  <w:szCs w:val="18"/>
                                </w:rPr>
                              </w:pPr>
                              <w:r>
                                <w:rPr>
                                  <w:rFonts w:hint="eastAsia"/>
                                  <w:color w:val="000000"/>
                                  <w:sz w:val="18"/>
                                  <w:szCs w:val="18"/>
                                </w:rPr>
                                <w:t>其他机构</w:t>
                              </w:r>
                            </w:p>
                            <w:p>
                              <w:pPr>
                                <w:jc w:val="center"/>
                                <w:rPr>
                                  <w:color w:val="000000"/>
                                  <w:sz w:val="18"/>
                                  <w:szCs w:val="18"/>
                                </w:rPr>
                              </w:pPr>
                              <w:r>
                                <w:rPr>
                                  <w:color w:val="000000"/>
                                  <w:sz w:val="18"/>
                                  <w:szCs w:val="18"/>
                                </w:rPr>
                                <w:t> </w:t>
                              </w:r>
                            </w:p>
                          </w:txbxContent>
                        </wps:txbx>
                        <wps:bodyPr rot="0" vert="horz" wrap="square" lIns="91440" tIns="45720" rIns="91440" bIns="45720" anchor="ctr" anchorCtr="0" upright="1">
                          <a:noAutofit/>
                        </wps:bodyPr>
                      </wps:wsp>
                      <wps:wsp>
                        <wps:cNvPr id="48" name="直接箭头连接符 48"/>
                        <wps:cNvCnPr/>
                        <wps:spPr bwMode="auto">
                          <a:xfrm>
                            <a:off x="2028258" y="1415372"/>
                            <a:ext cx="0" cy="256519"/>
                          </a:xfrm>
                          <a:prstGeom prst="straightConnector1">
                            <a:avLst/>
                          </a:prstGeom>
                          <a:noFill/>
                          <a:ln w="9525">
                            <a:solidFill>
                              <a:srgbClr val="000000"/>
                            </a:solidFill>
                            <a:round/>
                            <a:tailEnd type="triangle"/>
                          </a:ln>
                        </wps:spPr>
                        <wps:bodyPr/>
                      </wps:wsp>
                      <wps:wsp>
                        <wps:cNvPr id="46" name="直接连接符 46"/>
                        <wps:cNvCnPr/>
                        <wps:spPr bwMode="auto">
                          <a:xfrm flipH="1">
                            <a:off x="2027928" y="2961386"/>
                            <a:ext cx="10422" cy="2061493"/>
                          </a:xfrm>
                          <a:prstGeom prst="line">
                            <a:avLst/>
                          </a:prstGeom>
                          <a:noFill/>
                          <a:ln w="9525">
                            <a:solidFill>
                              <a:srgbClr val="000000"/>
                            </a:solidFill>
                            <a:round/>
                          </a:ln>
                        </wps:spPr>
                        <wps:bodyPr/>
                      </wps:wsp>
                      <wps:wsp>
                        <wps:cNvPr id="33" name="直接连接符 33"/>
                        <wps:cNvCnPr/>
                        <wps:spPr bwMode="auto">
                          <a:xfrm flipH="1">
                            <a:off x="4806192" y="1553576"/>
                            <a:ext cx="16418" cy="1970674"/>
                          </a:xfrm>
                          <a:prstGeom prst="line">
                            <a:avLst/>
                          </a:prstGeom>
                          <a:noFill/>
                          <a:ln w="9525">
                            <a:solidFill>
                              <a:srgbClr val="000000"/>
                            </a:solidFill>
                            <a:round/>
                          </a:ln>
                        </wps:spPr>
                        <wps:bodyPr/>
                      </wps:wsp>
                      <wps:wsp>
                        <wps:cNvPr id="34" name="直接箭头连接符 34"/>
                        <wps:cNvCnPr>
                          <a:endCxn id="42" idx="1"/>
                        </wps:cNvCnPr>
                        <wps:spPr bwMode="auto">
                          <a:xfrm>
                            <a:off x="2038350" y="3933825"/>
                            <a:ext cx="1028700" cy="2743"/>
                          </a:xfrm>
                          <a:prstGeom prst="straightConnector1">
                            <a:avLst/>
                          </a:prstGeom>
                          <a:noFill/>
                          <a:ln w="9525">
                            <a:solidFill>
                              <a:srgbClr val="000000"/>
                            </a:solidFill>
                            <a:round/>
                            <a:tailEnd type="triangle"/>
                          </a:ln>
                        </wps:spPr>
                        <wps:bodyPr/>
                      </wps:wsp>
                      <wps:wsp>
                        <wps:cNvPr id="35" name="直接箭头连接符 35"/>
                        <wps:cNvCnPr/>
                        <wps:spPr bwMode="auto">
                          <a:xfrm>
                            <a:off x="2028451" y="4476065"/>
                            <a:ext cx="1036494" cy="0"/>
                          </a:xfrm>
                          <a:prstGeom prst="straightConnector1">
                            <a:avLst/>
                          </a:prstGeom>
                          <a:noFill/>
                          <a:ln w="9525">
                            <a:solidFill>
                              <a:srgbClr val="000000"/>
                            </a:solidFill>
                            <a:round/>
                            <a:tailEnd type="triangle"/>
                          </a:ln>
                        </wps:spPr>
                        <wps:bodyPr/>
                      </wps:wsp>
                      <wps:wsp>
                        <wps:cNvPr id="36" name="直接箭头连接符 36"/>
                        <wps:cNvCnPr/>
                        <wps:spPr bwMode="auto">
                          <a:xfrm>
                            <a:off x="2024458" y="5024266"/>
                            <a:ext cx="1038173" cy="0"/>
                          </a:xfrm>
                          <a:prstGeom prst="straightConnector1">
                            <a:avLst/>
                          </a:prstGeom>
                          <a:noFill/>
                          <a:ln w="9525">
                            <a:solidFill>
                              <a:srgbClr val="000000"/>
                            </a:solidFill>
                            <a:round/>
                            <a:tailEnd type="triangle"/>
                          </a:ln>
                        </wps:spPr>
                        <wps:bodyPr/>
                      </wps:wsp>
                      <wps:wsp>
                        <wps:cNvPr id="49" name="矩形 49"/>
                        <wps:cNvSpPr/>
                        <wps:spPr>
                          <a:xfrm>
                            <a:off x="1399199" y="2457450"/>
                            <a:ext cx="1312899" cy="502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5"/>
                                <w:spacing w:before="0" w:beforeAutospacing="0" w:after="0" w:afterAutospacing="0" w:line="400" w:lineRule="exact"/>
                                <w:jc w:val="center"/>
                              </w:pPr>
                              <w:r>
                                <w:rPr>
                                  <w:rFonts w:hint="eastAsia" w:ascii="Calibri" w:cs="Times New Roman"/>
                                  <w:color w:val="000000"/>
                                  <w:kern w:val="2"/>
                                  <w:sz w:val="18"/>
                                  <w:szCs w:val="18"/>
                                </w:rPr>
                                <w:t>服务实施</w:t>
                              </w:r>
                            </w:p>
                          </w:txbxContent>
                        </wps:txbx>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423.8pt;width:409.5pt;" coordsize="5200650,5382260" editas="canvas" o:gfxdata="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">
                <o:lock v:ext="edit" aspectratio="f"/>
                <v:shape id="_x0000_s1026" o:spid="_x0000_s1026" style="position:absolute;left:0;top:0;height:5382260;width:5200650;" filled="f" stroked="f" coordsize="21600,21600" o:gfxdata="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">
                  <v:fill on="f" focussize="0,0"/>
                  <v:stroke on="f"/>
                  <v:imagedata o:title=""/>
                  <o:lock v:ext="edit" aspectratio="t"/>
                </v:shape>
                <v:rect id="_x0000_s1026" o:spid="_x0000_s1026" o:spt="1" style="position:absolute;left:1420399;top:958343;height:457027;width:1266824;v-text-anchor:middle;" fillcolor="#FFFFFF [3212]" filled="t" stroked="t" coordsize="21600,21600" o:gfxdata="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s&#10;TJCI0gAAAAUBAAAPAAAAAAAAAAEAIAAAACIAAABkcnMvZG93bnJldi54bWxQSwECFAAUAAAACACH&#10;TuJAPtmFBmMCAAC8BAAADgAAAAAAAAABACAAAAAhAQAAZHJzL2Uyb0RvYy54bWxQSwUGAAAAAAYA&#10;BgBZAQAA9gUAAAAA&#10;">
                  <v:fill on="t" focussize="0,0"/>
                  <v:stroke weight="1pt" color="#000000 [3213]" miterlimit="8" joinstyle="miter"/>
                  <v:imagedata o:title=""/>
                  <o:lock v:ext="edit" aspectratio="f"/>
                  <v:textbox>
                    <w:txbxContent>
                      <w:p>
                        <w:pPr>
                          <w:jc w:val="center"/>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评估及</w:t>
                        </w:r>
                        <w:r>
                          <w:rPr>
                            <w:color w:val="000000" w:themeColor="text1"/>
                            <w:sz w:val="18"/>
                            <w:szCs w:val="18"/>
                            <w14:textFill>
                              <w14:solidFill>
                                <w14:schemeClr w14:val="tx1"/>
                              </w14:solidFill>
                            </w14:textFill>
                          </w:rPr>
                          <w:t>签订服务协议</w:t>
                        </w:r>
                      </w:p>
                    </w:txbxContent>
                  </v:textbox>
                </v:rect>
                <v:rect id="_x0000_s1026" o:spid="_x0000_s1026" o:spt="1" style="position:absolute;left:1376694;top:1685317;height:436920;width:1266190;v-text-anchor:middle;" fillcolor="#FFFFFF [3212]" filled="t" stroked="t" coordsize="21600,21600" o:gfxdata="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xMkIjSAAAABQEAAA8AAAAA&#10;AAAAAQAgAAAAIgAAAGRycy9kb3ducmV2LnhtbFBLAQIUABQAAAAIAIdO4kDkHeoBUwIAAI0EAAAO&#10;AAAAAAAAAAEAIAAAACEBAABkcnMvZTJvRG9jLnhtbFBLBQYAAAAABgAGAFkBAADmBQAAAAA=&#10;">
                  <v:fill on="t" focussize="0,0"/>
                  <v:stroke weight="1pt" color="#000000 [3213]" miterlimit="8" joinstyle="miter"/>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服务</w:t>
                        </w:r>
                        <w:r>
                          <w:rPr>
                            <w:color w:val="000000" w:themeColor="text1"/>
                            <w:sz w:val="18"/>
                            <w:szCs w:val="18"/>
                            <w14:textFill>
                              <w14:solidFill>
                                <w14:schemeClr w14:val="tx1"/>
                              </w14:solidFill>
                            </w14:textFill>
                          </w:rPr>
                          <w:t>计划制定</w:t>
                        </w:r>
                      </w:p>
                    </w:txbxContent>
                  </v:textbox>
                </v:rect>
                <v:rect id="_x0000_s1026" o:spid="_x0000_s1026" o:spt="1" style="position:absolute;left:3466853;top:1514717;height:410550;width:1266190;v-text-anchor:middle;" fillcolor="#FFFFFF [3212]" filled="t" stroked="f" coordsize="21600,21600" o:gfxdata="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TIFqdUAAAAFAQAADwAA&#10;AAAAAAABACAAAAAiAAAAZHJzL2Rvd25yZXYueG1sUEsBAhQAFAAAAAgAh07iQMw/g/hSAgAAZgQA&#10;AA4AAAAAAAAAAQAgAAAAJAEAAGRycy9lMm9Eb2MueG1sUEsFBgAAAAAGAAYAWQEAAOgFAAAAAA==&#10;">
                  <v:fill on="t" focussize="0,0"/>
                  <v:stroke on="f" weight="1pt" miterlimit="8" joinstyle="miter"/>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生活</w:t>
                        </w:r>
                        <w:r>
                          <w:rPr>
                            <w:color w:val="000000" w:themeColor="text1"/>
                            <w:sz w:val="18"/>
                            <w:szCs w:val="18"/>
                            <w14:textFill>
                              <w14:solidFill>
                                <w14:schemeClr w14:val="tx1"/>
                              </w14:solidFill>
                            </w14:textFill>
                          </w:rPr>
                          <w:t>护理</w:t>
                        </w:r>
                      </w:p>
                      <w:p>
                        <w:pPr>
                          <w:jc w:val="center"/>
                          <w:rPr>
                            <w:color w:val="000000" w:themeColor="text1"/>
                            <w:sz w:val="18"/>
                            <w:szCs w:val="18"/>
                            <w14:textFill>
                              <w14:solidFill>
                                <w14:schemeClr w14:val="tx1"/>
                              </w14:solidFill>
                            </w14:textFill>
                          </w:rPr>
                        </w:pPr>
                      </w:p>
                    </w:txbxContent>
                  </v:textbox>
                </v:rect>
                <v:rect id="_x0000_s1026" o:spid="_x0000_s1026" o:spt="1" style="position:absolute;left:3483271;top:1880699;height:410210;width:1266190;v-text-anchor:middle;" fillcolor="#FFFFFF [3212]" filled="t" stroked="f" coordsize="21600,21600" o:gfxdata="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TIFqdUAAAAFAQAADwAA&#10;AAAAAAABACAAAAAiAAAAZHJzL2Rvd25yZXYueG1sUEsBAhQAFAAAAAgAh07iQKJvUhhSAgAAZgQA&#10;AA4AAAAAAAAAAQAgAAAAJAEAAGRycy9lMm9Eb2MueG1sUEsFBgAAAAAGAAYAWQEAAOgFAAAAAA==&#10;">
                  <v:fill on="t" focussize="0,0"/>
                  <v:stroke on="f" weight="1pt" miterlimit="8" joinstyle="miter"/>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膳食</w:t>
                        </w:r>
                        <w:r>
                          <w:rPr>
                            <w:color w:val="000000" w:themeColor="text1"/>
                            <w:sz w:val="18"/>
                            <w:szCs w:val="18"/>
                            <w14:textFill>
                              <w14:solidFill>
                                <w14:schemeClr w14:val="tx1"/>
                              </w14:solidFill>
                            </w14:textFill>
                          </w:rPr>
                          <w:t>与营养支持</w:t>
                        </w:r>
                      </w:p>
                    </w:txbxContent>
                  </v:textbox>
                </v:rect>
                <v:rect id="_x0000_s1026" o:spid="_x0000_s1026" o:spt="1" style="position:absolute;left:3477353;top:2284453;height:410210;width:1266190;v-text-anchor:middle;" fillcolor="#FFFFFF [3212]" filled="t" stroked="f" coordsize="21600,21600" o:gfxdata="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TIFqdUAAAAFAQAADwAA&#10;AAAAAAABACAAAAAiAAAAZHJzL2Rvd25yZXYueG1sUEsBAhQAFAAAAAgAh07iQKIkr8lSAgAAZgQA&#10;AA4AAAAAAAAAAQAgAAAAJAEAAGRycy9lMm9Eb2MueG1sUEsFBgAAAAAGAAYAWQEAAOgFAAAAAA==&#10;">
                  <v:fill on="t" focussize="0,0"/>
                  <v:stroke on="f" weight="1pt" miterlimit="8" joinstyle="miter"/>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心理照护</w:t>
                        </w:r>
                        <w:r>
                          <w:rPr>
                            <w:color w:val="000000" w:themeColor="text1"/>
                            <w:sz w:val="18"/>
                            <w:szCs w:val="18"/>
                            <w14:textFill>
                              <w14:solidFill>
                                <w14:schemeClr w14:val="tx1"/>
                              </w14:solidFill>
                            </w14:textFill>
                          </w:rPr>
                          <w:t>与情感支持</w:t>
                        </w:r>
                      </w:p>
                    </w:txbxContent>
                  </v:textbox>
                </v:rect>
                <v:rect id="_x0000_s1026" o:spid="_x0000_s1026" o:spt="1" style="position:absolute;left:3466853;top:2640309;height:410210;width:1266190;v-text-anchor:middle;" fillcolor="#FFFFFF [3212]" filled="t" stroked="f" coordsize="21600,21600" o:gfxdata="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lMgWp1QAAAAUBAAAP&#10;AAAAAAAAAAEAIAAAACIAAABkcnMvZG93bnJldi54bWxQSwECFAAUAAAACACHTuJAZZxIylQCAABm&#10;BAAADgAAAAAAAAABACAAAAAkAQAAZHJzL2Uyb0RvYy54bWxQSwUGAAAAAAYABgBZAQAA6gUAAAAA&#10;">
                  <v:fill on="t" focussize="0,0"/>
                  <v:stroke on="f" weight="1pt" miterlimit="8" joinstyle="miter"/>
                  <v:imagedata o:title=""/>
                  <o:lock v:ext="edit" aspectratio="f"/>
                  <v:textbox>
                    <w:txbxContent>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后事</w:t>
                        </w:r>
                        <w:r>
                          <w:rPr>
                            <w:color w:val="000000" w:themeColor="text1"/>
                            <w:sz w:val="18"/>
                            <w:szCs w:val="18"/>
                            <w14:textFill>
                              <w14:solidFill>
                                <w14:schemeClr w14:val="tx1"/>
                              </w14:solidFill>
                            </w14:textFill>
                          </w:rPr>
                          <w:t>处理与哀伤辅导</w:t>
                        </w:r>
                      </w:p>
                    </w:txbxContent>
                  </v:textbox>
                </v:rect>
                <v:rect id="_x0000_s1026" o:spid="_x0000_s1026" o:spt="1" style="position:absolute;left:3358880;top:3060599;height:410210;width:1266190;v-text-anchor:middle;" fillcolor="#FFFFFF [3212]" filled="t" stroked="f" coordsize="21600,21600" o:gfxdata="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TIFqdUAAAAFAQAADwAA&#10;AAAAAAABACAAAAAiAAAAZHJzL2Rvd25yZXYueG1sUEsBAhQAFAAAAAgAh07iQBszJoBSAgAAZgQA&#10;AA4AAAAAAAAAAQAgAAAAJAEAAGRycy9lMm9Eb2MueG1sUEsFBgAAAAAGAAYAWQEAAOgFAAAAAA==&#10;">
                  <v:fill on="t" focussize="0,0"/>
                  <v:stroke on="f" weight="1pt" miterlimit="8" joinstyle="miter"/>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r>
                          <w:rPr>
                            <w:color w:val="000000" w:themeColor="text1"/>
                            <w:sz w:val="18"/>
                            <w:szCs w:val="18"/>
                            <w14:textFill>
                              <w14:solidFill>
                                <w14:schemeClr w14:val="tx1"/>
                              </w14:solidFill>
                            </w14:textFill>
                          </w:rPr>
                          <w:t>服务</w:t>
                        </w:r>
                      </w:p>
                    </w:txbxContent>
                  </v:textbox>
                </v:rect>
                <v:rect id="_x0000_s1026" o:spid="_x0000_s1026" o:spt="1" style="position:absolute;left:2302760;top:3512089;height:410210;width:543900;v-text-anchor:middle;" fillcolor="#FFFFFF [3212]" filled="t" stroked="f" coordsize="21600,21600" o:gfxdata="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gBJZTSAAAABQEAAA8AAAAA&#10;AAAAAQAgAAAAIgAAAGRycy9kb3ducmV2LnhtbFBLAQIUABQAAAAIAIdO4kCfjA45UwIAAGcEAAAO&#10;AAAAAAAAAAEAIAAAACEBAABkcnMvZTJvRG9jLnhtbFBLBQYAAAAABgAGAFkBAADmBQAAAAA=&#10;">
                  <v:fill on="t" focussize="0,0"/>
                  <v:stroke on="f" weight="1pt" miterlimit="8" joinstyle="miter" dashstyle="3 1"/>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好转</w:t>
                        </w:r>
                      </w:p>
                    </w:txbxContent>
                  </v:textbox>
                </v:rect>
                <v:rect id="_x0000_s1026" o:spid="_x0000_s1026" o:spt="1" style="position:absolute;left:2267191;top:4069848;height:410210;width:543560;v-text-anchor:middle;" fillcolor="#FFFFFF [3212]" filled="t" stroked="f" coordsize="21600,21600" o:gfxdata="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gBJZTSAAAABQEAAA8AAAAA&#10;AAAAAQAgAAAAIgAAAGRycy9kb3ducmV2LnhtbFBLAQIUABQAAAAIAIdO4kDYnTUIUwIAAGcEAAAO&#10;AAAAAAAAAAEAIAAAACEBAABkcnMvZTJvRG9jLnhtbFBLBQYAAAAABgAGAFkBAADmBQAAAAA=&#10;">
                  <v:fill on="t" focussize="0,0"/>
                  <v:stroke on="f" weight="1pt" miterlimit="8" joinstyle="miter" dashstyle="3 1"/>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离世</w:t>
                        </w:r>
                      </w:p>
                    </w:txbxContent>
                  </v:textbox>
                </v:rect>
                <v:rect id="_x0000_s1026" o:spid="_x0000_s1026" o:spt="1" style="position:absolute;left:2267191;top:4585739;height:410210;width:543560;v-text-anchor:middle;" fillcolor="#FFFFFF [3212]" filled="t" stroked="f" coordsize="21600,21600" o:gfxdata="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AEllNIAAAAFAQAADwAAAAAA&#10;AAABACAAAAAiAAAAZHJzL2Rvd25yZXYueG1sUEsBAhQAFAAAAAgAh07iQCrQ1k1SAgAAZwQAAA4A&#10;AAAAAAAAAQAgAAAAIQEAAGRycy9lMm9Eb2MueG1sUEsFBgAAAAAGAAYAWQEAAOUFAAAAAA==&#10;">
                  <v:fill on="t" focussize="0,0"/>
                  <v:stroke on="f" weight="1pt" miterlimit="8" joinstyle="miter" dashstyle="3 1"/>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转介</w:t>
                        </w:r>
                      </w:p>
                    </w:txbxContent>
                  </v:textbox>
                </v:rect>
                <v:shape id="_x0000_s1026" o:spid="_x0000_s1026" o:spt="32" type="#_x0000_t32" style="position:absolute;left:2028028;top:2115564;height:330538;width:0;" filled="f" stroked="t" coordsize="21600,21600" o:gfxdata="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fwki3WAAAABQEAAA8AAAAA&#10;AAAAAQAgAAAAIgAAAGRycy9kb3ducmV2LnhtbFBLAQIUABQAAAAIAIdO4kDeiFIz3QEAAGcDAAAO&#10;AAAAAAAAAAEAIAAAACUBAABkcnMvZTJvRG9jLnhtbFBLBQYAAAAABgAGAFkBAAB0BQAAAAA=&#10;">
                  <v:fill on="f" focussize="0,0"/>
                  <v:stroke color="#000000" joinstyle="round" endarrow="block"/>
                  <v:imagedata o:title=""/>
                  <o:lock v:ext="edit" aspectratio="f"/>
                </v:shape>
                <v:line id="_x0000_s1026" o:spid="_x0000_s1026" o:spt="20" style="position:absolute;left:3483271;top:1553576;height:0;width:1339339;" filled="f" stroked="t" coordsize="21600,21600" o:gfxdata="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e6Es31AAAAAUBAAAPAAAAAAAAAAEAIAAAACIAAABkcnMvZG93bnJldi54bWxQSwEC&#10;FAAUAAAACACHTuJAzTnO2L8BAAA4AwAADgAAAAAAAAABACAAAAAjAQAAZHJzL2Uyb0RvYy54bWxQ&#10;SwUGAAAAAAYABgBZAQAAVAUAAAAA&#10;">
                  <v:fill on="f" focussize="0,0"/>
                  <v:stroke color="#000000" joinstyle="round"/>
                  <v:imagedata o:title=""/>
                  <o:lock v:ext="edit" aspectratio="f"/>
                </v:line>
                <v:line id="_x0000_s1026" o:spid="_x0000_s1026" o:spt="20" style="position:absolute;left:3466853;top:3511301;flip:y;height:388;width:1339339;" filled="f" stroked="t" coordsize="21600,21600" o:gfxdata="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t5EmdQAAAAFAQAADwAAAAAAAAABACAAAAAiAAAAZHJzL2Rvd25yZXYu&#10;eG1sUEsBAhQAFAAAAAgAh07iQHaB8o3GAQAARAMAAA4AAAAAAAAAAQAgAAAAIwEAAGRycy9lMm9E&#10;b2MueG1sUEsFBgAAAAAGAAYAWQEAAFsFAAAAAA==&#10;">
                  <v:fill on="f" focussize="0,0"/>
                  <v:stroke color="#000000" joinstyle="round"/>
                  <v:imagedata o:title=""/>
                  <o:lock v:ext="edit" aspectratio="f"/>
                </v:line>
                <v:line id="_x0000_s1026" o:spid="_x0000_s1026" o:spt="20" style="position:absolute;left:3466853;top:1562911;flip:x;height:1949076;width:16418;" filled="f" stroked="t" coordsize="21600,21600" o:gfxdata="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S3kSZ1AAAAAUBAAAPAAAAAAAAAAEAIAAAACIAAABkcnMvZG93bnJl&#10;di54bWxQSwECFAAUAAAACACHTuJADC+uEcgBAABGAwAADgAAAAAAAAABACAAAAAjAQAAZHJzL2Uy&#10;b0RvYy54bWxQSwUGAAAAAAYABgBZAQAAXQUAAAAA&#10;">
                  <v:fill on="f" focussize="0,0"/>
                  <v:stroke color="#000000" joinstyle="round"/>
                  <v:imagedata o:title=""/>
                  <o:lock v:ext="edit" aspectratio="f"/>
                </v:line>
                <v:shape id="_x0000_s1026" o:spid="_x0000_s1026" o:spt="116" type="#_x0000_t116" style="position:absolute;left:1376694;top:203793;height:470658;width:1335405;v-text-anchor:middle;" fillcolor="#FFFFFF" filled="t" stroked="t" coordsize="21600,21600" o:gfxdata="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sQMBD1AAAAAUBAAAPAAAAAAAAAAEAIAAAACIA&#10;AABkcnMvZG93bnJldi54bWxQSwECFAAUAAAACACHTuJAgkJaUEYCAABWBAAADgAAAAAAAAABACAA&#10;AAAjAQAAZHJzL2Uyb0RvYy54bWxQSwUGAAAAAAYABgBZAQAA2wUAAAAA&#10;">
                  <v:fill on="t" focussize="0,0"/>
                  <v:stroke weight="1pt" color="#000000" miterlimit="8" joinstyle="miter"/>
                  <v:imagedata o:title=""/>
                  <o:lock v:ext="edit" aspectratio="f"/>
                  <v:textbox>
                    <w:txbxContent>
                      <w:p>
                        <w:pPr>
                          <w:jc w:val="center"/>
                          <w:rPr>
                            <w:sz w:val="15"/>
                            <w:szCs w:val="15"/>
                          </w:rPr>
                        </w:pPr>
                        <w:r>
                          <w:rPr>
                            <w:rFonts w:hint="eastAsia"/>
                            <w:color w:val="000000" w:themeColor="text1"/>
                            <w:sz w:val="18"/>
                            <w:szCs w:val="18"/>
                            <w14:textFill>
                              <w14:solidFill>
                                <w14:schemeClr w14:val="tx1"/>
                              </w14:solidFill>
                            </w14:textFill>
                          </w:rPr>
                          <w:t>接受</w:t>
                        </w:r>
                        <w:r>
                          <w:rPr>
                            <w:color w:val="000000" w:themeColor="text1"/>
                            <w:sz w:val="18"/>
                            <w:szCs w:val="18"/>
                            <w14:textFill>
                              <w14:solidFill>
                                <w14:schemeClr w14:val="tx1"/>
                              </w14:solidFill>
                            </w14:textFill>
                          </w:rPr>
                          <w:t>临终关怀者</w:t>
                        </w:r>
                      </w:p>
                    </w:txbxContent>
                  </v:textbox>
                </v:shape>
                <v:shape id="_x0000_s1026" o:spid="_x0000_s1026" o:spt="32" type="#_x0000_t32" style="position:absolute;left:2028028;top:687152;height:271190;width:0;" filled="f" stroked="t" coordsize="21600,21600" o:gfxdata="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X8JIt1gAAAAUBAAAPAAAA&#10;AAAAAAEAIAAAACIAAABkcnMvZG93bnJldi54bWxQSwECFAAUAAAACACHTuJA5Pi12d4BAABmAwAA&#10;DgAAAAAAAAABACAAAAAlAQAAZHJzL2Uyb0RvYy54bWxQSwUGAAAAAAYABgBZAQAAdQUAAAAA&#10;">
                  <v:fill on="f" focussize="0,0"/>
                  <v:stroke color="#000000" joinstyle="round" endarrow="block"/>
                  <v:imagedata o:title=""/>
                  <o:lock v:ext="edit" aspectratio="f"/>
                </v:shape>
                <v:line id="_x0000_s1026" o:spid="_x0000_s1026" o:spt="20" style="position:absolute;left:2743200;top:2734693;height:0;width:723653;" filled="f" stroked="t" coordsize="21600,21600" o:gfxdata="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XGT5tUAAAAFAQAADwAAAAAAAAABACAAAAAiAAAAZHJzL2Rvd25yZXYueG1s&#10;UEsBAhQAFAAAAAgAh07iQM20nS/7AQAAxAMAAA4AAAAAAAAAAQAgAAAAJAEAAGRycy9lMm9Eb2Mu&#10;eG1sUEsFBgAAAAAGAAYAWQEAAJEFAAAAAA==&#10;">
                  <v:fill on="f" focussize="0,0"/>
                  <v:stroke color="#000000 [3200]" joinstyle="round" dashstyle="dash"/>
                  <v:imagedata o:title=""/>
                  <o:lock v:ext="edit" aspectratio="f"/>
                </v:line>
                <v:shape id="_x0000_s1026" o:spid="_x0000_s1026" o:spt="116" type="#_x0000_t116" style="position:absolute;left:3067050;top:3695368;height:482400;width:1185376;v-text-anchor:middle;" fillcolor="#FFFFFF" filled="t" stroked="t" coordsize="21600,21600" o:gfxdata="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sQMBD1AAAAAUBAAAPAAAAAAAAAAEAIAAA&#10;ACIAAABkcnMvZG93bnJldi54bWxQSwECFAAUAAAACACHTuJA+hngEUkCAABXBAAADgAAAAAAAAAB&#10;ACAAAAAjAQAAZHJzL2Uyb0RvYy54bWxQSwUGAAAAAAYABgBZAQAA3gUAAAAA&#10;">
                  <v:fill on="t" focussize="0,0"/>
                  <v:stroke weight="1pt" color="#000000" miterlimit="8" joinstyle="miter"/>
                  <v:imagedata o:title=""/>
                  <o:lock v:ext="edit" aspectratio="f"/>
                  <v:textbox>
                    <w:txbxContent>
                      <w:p>
                        <w:pPr>
                          <w:jc w:val="center"/>
                          <w:rPr>
                            <w:color w:val="000000"/>
                            <w:sz w:val="18"/>
                            <w:szCs w:val="18"/>
                          </w:rPr>
                        </w:pPr>
                        <w:r>
                          <w:rPr>
                            <w:rFonts w:hint="eastAsia"/>
                            <w:color w:val="000000" w:themeColor="text1"/>
                            <w:sz w:val="18"/>
                            <w:szCs w:val="18"/>
                            <w14:textFill>
                              <w14:solidFill>
                                <w14:schemeClr w14:val="tx1"/>
                              </w14:solidFill>
                            </w14:textFill>
                          </w:rPr>
                          <w:t>一般</w:t>
                        </w:r>
                        <w:r>
                          <w:rPr>
                            <w:color w:val="000000" w:themeColor="text1"/>
                            <w:sz w:val="18"/>
                            <w:szCs w:val="18"/>
                            <w14:textFill>
                              <w14:solidFill>
                                <w14:schemeClr w14:val="tx1"/>
                              </w14:solidFill>
                            </w14:textFill>
                          </w:rPr>
                          <w:t>休养</w:t>
                        </w:r>
                        <w:r>
                          <w:rPr>
                            <w:rFonts w:hint="eastAsia"/>
                            <w:color w:val="000000" w:themeColor="text1"/>
                            <w:sz w:val="18"/>
                            <w:szCs w:val="18"/>
                            <w14:textFill>
                              <w14:solidFill>
                                <w14:schemeClr w14:val="tx1"/>
                              </w14:solidFill>
                            </w14:textFill>
                          </w:rPr>
                          <w:t>服务</w:t>
                        </w:r>
                      </w:p>
                    </w:txbxContent>
                  </v:textbox>
                </v:shape>
                <v:shape id="_x0000_s1026" o:spid="_x0000_s1026" o:spt="116" type="#_x0000_t116" style="position:absolute;left:3067516;top:4227553;height:481965;width:1184910;v-text-anchor:middle;" fillcolor="#FFFFFF" filled="t" stroked="t" coordsize="21600,21600" o:gfxdata="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EDAQ9QAAAAFAQAADwAAAAAAAAABACAA&#10;AAAiAAAAZHJzL2Rvd25yZXYueG1sUEsBAhQAFAAAAAgAh07iQLVzVj1KAgAAVwQAAA4AAAAAAAAA&#10;AQAgAAAAIwEAAGRycy9lMm9Eb2MueG1sUEsFBgAAAAAGAAYAWQEAAN8FAAAAAA==&#10;">
                  <v:fill on="t" focussize="0,0"/>
                  <v:stroke weight="1pt" color="#000000" miterlimit="8" joinstyle="miter"/>
                  <v:imagedata o:title=""/>
                  <o:lock v:ext="edit" aspectratio="f"/>
                  <v:textbox>
                    <w:txbxContent>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善后</w:t>
                        </w:r>
                        <w:r>
                          <w:rPr>
                            <w:color w:val="000000" w:themeColor="text1"/>
                            <w:sz w:val="18"/>
                            <w:szCs w:val="18"/>
                            <w14:textFill>
                              <w14:solidFill>
                                <w14:schemeClr w14:val="tx1"/>
                              </w14:solidFill>
                            </w14:textFill>
                          </w:rPr>
                          <w:t>处理</w:t>
                        </w:r>
                      </w:p>
                      <w:p>
                        <w:pPr>
                          <w:jc w:val="center"/>
                          <w:rPr>
                            <w:color w:val="000000"/>
                            <w:sz w:val="18"/>
                            <w:szCs w:val="18"/>
                          </w:rPr>
                        </w:pPr>
                        <w:r>
                          <w:rPr>
                            <w:color w:val="000000"/>
                            <w:sz w:val="18"/>
                            <w:szCs w:val="18"/>
                          </w:rPr>
                          <w:t> </w:t>
                        </w:r>
                      </w:p>
                    </w:txbxContent>
                  </v:textbox>
                </v:shape>
                <v:shape id="_x0000_s1026" o:spid="_x0000_s1026" o:spt="116" type="#_x0000_t116" style="position:absolute;left:3067050;top:4796102;height:481965;width:1184910;v-text-anchor:middle;" fillcolor="#FFFFFF" filled="t" stroked="t" coordsize="21600,21600" o:gfxdata="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sQMBD1AAAAAUBAAAPAAAAAAAAAAEAIAAA&#10;ACIAAABkcnMvZG93bnJldi54bWxQSwECFAAUAAAACACHTuJAEZEyQEkCAABXBAAADgAAAAAAAAAB&#10;ACAAAAAjAQAAZHJzL2Uyb0RvYy54bWxQSwUGAAAAAAYABgBZAQAA3gUAAAAA&#10;">
                  <v:fill on="t" focussize="0,0"/>
                  <v:stroke weight="1pt" color="#000000" miterlimit="8" joinstyle="miter"/>
                  <v:imagedata o:title=""/>
                  <o:lock v:ext="edit" aspectratio="f"/>
                  <v:textbox>
                    <w:txbxContent>
                      <w:p>
                        <w:pPr>
                          <w:jc w:val="center"/>
                          <w:rPr>
                            <w:color w:val="000000"/>
                            <w:sz w:val="18"/>
                            <w:szCs w:val="18"/>
                          </w:rPr>
                        </w:pPr>
                        <w:r>
                          <w:rPr>
                            <w:rFonts w:hint="eastAsia"/>
                            <w:color w:val="000000"/>
                            <w:sz w:val="18"/>
                            <w:szCs w:val="18"/>
                          </w:rPr>
                          <w:t>其他机构</w:t>
                        </w:r>
                      </w:p>
                      <w:p>
                        <w:pPr>
                          <w:jc w:val="center"/>
                          <w:rPr>
                            <w:color w:val="000000"/>
                            <w:sz w:val="18"/>
                            <w:szCs w:val="18"/>
                          </w:rPr>
                        </w:pPr>
                        <w:r>
                          <w:rPr>
                            <w:color w:val="000000"/>
                            <w:sz w:val="18"/>
                            <w:szCs w:val="18"/>
                          </w:rPr>
                          <w:t> </w:t>
                        </w:r>
                      </w:p>
                    </w:txbxContent>
                  </v:textbox>
                </v:shape>
                <v:shape id="_x0000_s1026" o:spid="_x0000_s1026" o:spt="32" type="#_x0000_t32" style="position:absolute;left:2028258;top:1415372;height:256519;width:0;" filled="f" stroked="t" coordsize="21600,21600" o:gfxdata="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X8JIt1gAAAAUBAAAPAAAA&#10;AAAAAAEAIAAAACIAAABkcnMvZG93bnJldi54bWxQSwECFAAUAAAACACHTuJAvLHirt4BAABnAwAA&#10;DgAAAAAAAAABACAAAAAlAQAAZHJzL2Uyb0RvYy54bWxQSwUGAAAAAAYABgBZAQAAdQUAAAAA&#10;">
                  <v:fill on="f" focussize="0,0"/>
                  <v:stroke color="#000000" joinstyle="round" endarrow="block"/>
                  <v:imagedata o:title=""/>
                  <o:lock v:ext="edit" aspectratio="f"/>
                </v:shape>
                <v:line id="_x0000_s1026" o:spid="_x0000_s1026" o:spt="20" style="position:absolute;left:2027928;top:2961386;flip:x;height:2061493;width:10422;" filled="f" stroked="t" coordsize="21600,21600" o:gfxdata="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S3kSZ1AAAAAUBAAAPAAAAAAAAAAEAIAAAACIAAABkcnMvZG93bnJl&#10;di54bWxQSwECFAAUAAAACACHTuJAOIdBesgBAABGAwAADgAAAAAAAAABACAAAAAjAQAAZHJzL2Uy&#10;b0RvYy54bWxQSwUGAAAAAAYABgBZAQAAXQUAAAAA&#10;">
                  <v:fill on="f" focussize="0,0"/>
                  <v:stroke color="#000000" joinstyle="round"/>
                  <v:imagedata o:title=""/>
                  <o:lock v:ext="edit" aspectratio="f"/>
                </v:line>
                <v:line id="_x0000_s1026" o:spid="_x0000_s1026" o:spt="20" style="position:absolute;left:4806192;top:1553576;flip:x;height:1970674;width:16418;" filled="f" stroked="t" coordsize="21600,21600" o:gfxdata="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Et5EmdQAAAAFAQAADwAAAAAAAAABACAAAAAiAAAAZHJzL2Rvd25y&#10;ZXYueG1sUEsBAhQAFAAAAAgAh07iQHQCHInJAQAARgMAAA4AAAAAAAAAAQAgAAAAIwEAAGRycy9l&#10;Mm9Eb2MueG1sUEsFBgAAAAAGAAYAWQEAAF4FAAAAAA==&#10;">
                  <v:fill on="f" focussize="0,0"/>
                  <v:stroke color="#000000" joinstyle="round"/>
                  <v:imagedata o:title=""/>
                  <o:lock v:ext="edit" aspectratio="f"/>
                </v:line>
                <v:shape id="_x0000_s1026" o:spid="_x0000_s1026" o:spt="32" type="#_x0000_t32" style="position:absolute;left:2038350;top:3933825;height:2743;width:1028700;" filled="f" stroked="t" coordsize="21600,21600" o:gfxdata="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CSLdYAAAAFAQAADwAAAAAAAAABACAAAAAiAAAAZHJzL2Rvd25yZXYueG1sUEsBAhQAFAAA&#10;AAgAh07iQFYo3knxAQAAkwMAAA4AAAAAAAAAAQAgAAAAJQEAAGRycy9lMm9Eb2MueG1sUEsFBgAA&#10;AAAGAAYAWQEAAIgFAAAAAA==&#10;">
                  <v:fill on="f" focussize="0,0"/>
                  <v:stroke color="#000000" joinstyle="round" endarrow="block"/>
                  <v:imagedata o:title=""/>
                  <o:lock v:ext="edit" aspectratio="f"/>
                </v:shape>
                <v:shape id="_x0000_s1026" o:spid="_x0000_s1026" o:spt="32" type="#_x0000_t32" style="position:absolute;left:2028451;top:4476065;height:0;width:1036494;" filled="f" stroked="t" coordsize="21600,21600" o:gfxdata="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1/CSLdYAAAAFAQAA&#10;DwAAAAAAAAABACAAAAAiAAAAZHJzL2Rvd25yZXYueG1sUEsBAhQAFAAAAAgAh07iQDmPNeHiAQAA&#10;aAMAAA4AAAAAAAAAAQAgAAAAJQEAAGRycy9lMm9Eb2MueG1sUEsFBgAAAAAGAAYAWQEAAHkFAAAA&#10;AA==&#10;">
                  <v:fill on="f" focussize="0,0"/>
                  <v:stroke color="#000000" joinstyle="round" endarrow="block"/>
                  <v:imagedata o:title=""/>
                  <o:lock v:ext="edit" aspectratio="f"/>
                </v:shape>
                <v:shape id="_x0000_s1026" o:spid="_x0000_s1026" o:spt="32" type="#_x0000_t32" style="position:absolute;left:2024458;top:5024266;height:0;width:1038173;" filled="f" stroked="t" coordsize="21600,21600" o:gfxdata="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fwki3WAAAABQEAAA8A&#10;AAAAAAAAAQAgAAAAIgAAAGRycy9kb3ducmV2LnhtbFBLAQIUABQAAAAIAIdO4kBLDbeH4AEAAGgD&#10;AAAOAAAAAAAAAAEAIAAAACUBAABkcnMvZTJvRG9jLnhtbFBLBQYAAAAABgAGAFkBAAB3BQAAAAA=&#10;">
                  <v:fill on="f" focussize="0,0"/>
                  <v:stroke color="#000000" joinstyle="round" endarrow="block"/>
                  <v:imagedata o:title=""/>
                  <o:lock v:ext="edit" aspectratio="f"/>
                </v:shape>
                <v:rect id="_x0000_s1026" o:spid="_x0000_s1026" o:spt="1" style="position:absolute;left:1399199;top:2457450;height:502580;width:1312899;v-text-anchor:middle;" fillcolor="#FFFFFF [3212]" filled="t" stroked="t" coordsize="21600,21600" o:gfxdata="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sTJCI0gAAAAUBAAAPAAAA&#10;AAAAAAEAIAAAACIAAABkcnMvZG93bnJldi54bWxQSwECFAAUAAAACACHTuJAVBywzVQCAACPBAAA&#10;DgAAAAAAAAABACAAAAAhAQAAZHJzL2Uyb0RvYy54bWxQSwUGAAAAAAYABgBZAQAA5wUAAAAA&#10;">
                  <v:fill on="t" focussize="0,0"/>
                  <v:stroke weight="1pt" color="#000000 [3213]" miterlimit="8" joinstyle="miter"/>
                  <v:imagedata o:title=""/>
                  <o:lock v:ext="edit" aspectratio="f"/>
                  <v:textbox>
                    <w:txbxContent>
                      <w:p>
                        <w:pPr>
                          <w:pStyle w:val="25"/>
                          <w:spacing w:before="0" w:beforeAutospacing="0" w:after="0" w:afterAutospacing="0" w:line="400" w:lineRule="exact"/>
                          <w:jc w:val="center"/>
                        </w:pPr>
                        <w:r>
                          <w:rPr>
                            <w:rFonts w:hint="eastAsia" w:ascii="Calibri" w:cs="Times New Roman"/>
                            <w:color w:val="000000"/>
                            <w:kern w:val="2"/>
                            <w:sz w:val="18"/>
                            <w:szCs w:val="18"/>
                          </w:rPr>
                          <w:t>服务实施</w:t>
                        </w:r>
                      </w:p>
                    </w:txbxContent>
                  </v:textbox>
                </v:rect>
                <w10:wrap type="none"/>
                <w10:anchorlock/>
              </v:group>
            </w:pict>
          </mc:Fallback>
        </mc:AlternateContent>
      </w:r>
    </w:p>
    <w:p>
      <w:pPr>
        <w:pStyle w:val="115"/>
        <w:spacing w:before="156" w:after="156"/>
      </w:pPr>
      <w:r>
        <w:rPr>
          <w:rFonts w:hint="eastAsia"/>
        </w:rPr>
        <w:t>临终关怀</w:t>
      </w:r>
      <w:r>
        <w:t>服务</w:t>
      </w:r>
      <w:r>
        <w:rPr>
          <w:rFonts w:hint="eastAsia"/>
        </w:rPr>
        <w:t>流程</w:t>
      </w:r>
    </w:p>
    <w:p>
      <w:pPr>
        <w:pStyle w:val="105"/>
        <w:spacing w:before="312" w:after="312"/>
      </w:pPr>
      <w:bookmarkStart w:id="70" w:name="_Toc167185296"/>
      <w:bookmarkStart w:id="71" w:name="_Toc167146193"/>
      <w:bookmarkStart w:id="72" w:name="_Toc167206786"/>
      <w:r>
        <w:rPr>
          <w:rFonts w:hint="eastAsia"/>
        </w:rPr>
        <w:t>服务内容</w:t>
      </w:r>
      <w:r>
        <w:t>与要求</w:t>
      </w:r>
      <w:bookmarkEnd w:id="70"/>
      <w:bookmarkEnd w:id="71"/>
      <w:bookmarkEnd w:id="72"/>
    </w:p>
    <w:p>
      <w:pPr>
        <w:pStyle w:val="106"/>
        <w:spacing w:before="156" w:after="156"/>
      </w:pPr>
      <w:bookmarkStart w:id="73" w:name="_Toc167206787"/>
      <w:bookmarkStart w:id="74" w:name="_Toc167007543"/>
      <w:bookmarkStart w:id="75" w:name="_Toc166697250"/>
      <w:bookmarkStart w:id="76" w:name="_Toc166668423"/>
      <w:bookmarkStart w:id="77" w:name="_Toc167146194"/>
      <w:bookmarkStart w:id="78" w:name="_Toc167185297"/>
      <w:bookmarkStart w:id="79" w:name="_Toc166500785"/>
      <w:bookmarkStart w:id="80" w:name="_Toc166236035"/>
      <w:bookmarkStart w:id="81" w:name="_Toc164722394"/>
      <w:bookmarkStart w:id="82" w:name="_Toc166500901"/>
      <w:bookmarkStart w:id="83" w:name="_Toc166500965"/>
      <w:bookmarkStart w:id="84" w:name="_Toc163429116"/>
      <w:bookmarkStart w:id="85" w:name="_Toc163427998"/>
      <w:bookmarkStart w:id="86" w:name="_Toc159529469"/>
      <w:bookmarkStart w:id="87" w:name="_Toc159528851"/>
      <w:r>
        <w:rPr>
          <w:rFonts w:hint="eastAsia"/>
        </w:rPr>
        <w:t>服务对象</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57"/>
        <w:ind w:firstLine="420"/>
      </w:pPr>
      <w:r>
        <w:rPr>
          <w:rFonts w:hint="eastAsia"/>
        </w:rPr>
        <w:t>入住临终关怀</w:t>
      </w:r>
      <w:r>
        <w:t>场所的服务对象符合下列条件</w:t>
      </w:r>
      <w:r>
        <w:rPr>
          <w:rFonts w:hint="eastAsia"/>
        </w:rPr>
        <w:t>：</w:t>
      </w:r>
    </w:p>
    <w:p>
      <w:pPr>
        <w:pStyle w:val="133"/>
      </w:pPr>
      <w:r>
        <w:rPr>
          <w:rFonts w:hint="eastAsia"/>
        </w:rPr>
        <w:t>各种急、慢性损伤或疾病致各</w:t>
      </w:r>
      <w:r>
        <w:t>脏器</w:t>
      </w:r>
      <w:r>
        <w:rPr>
          <w:rFonts w:hint="eastAsia"/>
        </w:rPr>
        <w:t>功能衰竭，面临生命危险者；</w:t>
      </w:r>
    </w:p>
    <w:p>
      <w:pPr>
        <w:pStyle w:val="133"/>
      </w:pPr>
      <w:r>
        <w:rPr>
          <w:rFonts w:hint="eastAsia"/>
        </w:rPr>
        <w:t>各类晚期癌症等绝症老人，尤其是剧烈疼痛导致身心极度痛苦的患者；</w:t>
      </w:r>
    </w:p>
    <w:p>
      <w:pPr>
        <w:pStyle w:val="133"/>
      </w:pPr>
      <w:r>
        <w:rPr>
          <w:rFonts w:hint="eastAsia"/>
        </w:rPr>
        <w:t>从医院ICU转出的，病情危重者进入临终阶段者；</w:t>
      </w:r>
    </w:p>
    <w:p>
      <w:pPr>
        <w:pStyle w:val="133"/>
      </w:pPr>
      <w:r>
        <w:rPr>
          <w:rFonts w:hint="eastAsia"/>
        </w:rPr>
        <w:t>病情危重家属放弃外出就医治疗的患者；</w:t>
      </w:r>
    </w:p>
    <w:p>
      <w:pPr>
        <w:pStyle w:val="133"/>
      </w:pPr>
      <w:r>
        <w:rPr>
          <w:rFonts w:hint="eastAsia"/>
        </w:rPr>
        <w:t>其他</w:t>
      </w:r>
      <w:r>
        <w:t>疾病</w:t>
      </w:r>
      <w:r>
        <w:rPr>
          <w:rFonts w:hint="eastAsia"/>
        </w:rPr>
        <w:t>终</w:t>
      </w:r>
      <w:r>
        <w:t>末期，有服务需求、自愿接受</w:t>
      </w:r>
      <w:r>
        <w:rPr>
          <w:rFonts w:hint="eastAsia"/>
        </w:rPr>
        <w:t>临终关怀</w:t>
      </w:r>
      <w:r>
        <w:t>服务</w:t>
      </w:r>
      <w:r>
        <w:rPr>
          <w:rFonts w:hint="eastAsia"/>
        </w:rPr>
        <w:t>协议</w:t>
      </w:r>
      <w:r>
        <w:t>的服务对象</w:t>
      </w:r>
      <w:r>
        <w:rPr>
          <w:rFonts w:hint="eastAsia"/>
        </w:rPr>
        <w:t>。</w:t>
      </w:r>
    </w:p>
    <w:p>
      <w:pPr>
        <w:pStyle w:val="106"/>
        <w:spacing w:before="156" w:after="156"/>
      </w:pPr>
      <w:bookmarkStart w:id="88" w:name="_Toc167146195"/>
      <w:bookmarkStart w:id="89" w:name="_Toc167007544"/>
      <w:bookmarkStart w:id="90" w:name="_Toc166697251"/>
      <w:bookmarkStart w:id="91" w:name="_Toc167185298"/>
      <w:bookmarkStart w:id="92" w:name="_Toc167206788"/>
      <w:bookmarkStart w:id="93" w:name="_Toc166500786"/>
      <w:bookmarkStart w:id="94" w:name="_Toc166236036"/>
      <w:bookmarkStart w:id="95" w:name="_Toc164722395"/>
      <w:bookmarkStart w:id="96" w:name="_Toc166500902"/>
      <w:bookmarkStart w:id="97" w:name="_Toc166668424"/>
      <w:bookmarkStart w:id="98" w:name="_Toc166500966"/>
      <w:bookmarkStart w:id="99" w:name="_Toc159529471"/>
      <w:bookmarkStart w:id="100" w:name="_Toc163429118"/>
      <w:bookmarkStart w:id="101" w:name="_Toc163428000"/>
      <w:r>
        <w:rPr>
          <w:rFonts w:hint="eastAsia"/>
        </w:rPr>
        <w:t>咨询</w:t>
      </w:r>
      <w:r>
        <w:t>服务</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166"/>
      </w:pPr>
      <w:r>
        <w:rPr>
          <w:rFonts w:hint="eastAsia"/>
        </w:rPr>
        <w:t>应</w:t>
      </w:r>
      <w:r>
        <w:t>通过</w:t>
      </w:r>
      <w:r>
        <w:rPr>
          <w:rFonts w:hint="eastAsia"/>
        </w:rPr>
        <w:t>现场</w:t>
      </w:r>
      <w:r>
        <w:t>、电话、网络等多种渠道接受老年人（</w:t>
      </w:r>
      <w:r>
        <w:rPr>
          <w:rFonts w:hint="eastAsia"/>
        </w:rPr>
        <w:t>病患者</w:t>
      </w:r>
      <w:r>
        <w:t>）</w:t>
      </w:r>
      <w:r>
        <w:rPr>
          <w:rFonts w:hint="eastAsia"/>
        </w:rPr>
        <w:t>家属</w:t>
      </w:r>
      <w:r>
        <w:t>的咨询。</w:t>
      </w:r>
    </w:p>
    <w:p>
      <w:pPr>
        <w:pStyle w:val="166"/>
      </w:pPr>
      <w:r>
        <w:rPr>
          <w:rFonts w:hint="eastAsia"/>
        </w:rPr>
        <w:t>咨询</w:t>
      </w:r>
      <w:r>
        <w:t>服务内容包括但不限于入住条件、服务项目、膳食情况、心理咨询、丧亲咨询等。</w:t>
      </w:r>
    </w:p>
    <w:p>
      <w:pPr>
        <w:pStyle w:val="166"/>
      </w:pPr>
      <w:r>
        <w:rPr>
          <w:rFonts w:hint="eastAsia"/>
        </w:rPr>
        <w:t>咨询</w:t>
      </w:r>
      <w:r>
        <w:t>过程应认真倾听，用通俗易懂的语言与</w:t>
      </w:r>
      <w:r>
        <w:rPr>
          <w:rFonts w:hint="eastAsia"/>
        </w:rPr>
        <w:t>咨询</w:t>
      </w:r>
      <w:r>
        <w:t>人进行沟通，耐心解答相关问题。</w:t>
      </w:r>
    </w:p>
    <w:p>
      <w:pPr>
        <w:pStyle w:val="106"/>
        <w:spacing w:before="156" w:after="156"/>
      </w:pPr>
      <w:bookmarkStart w:id="102" w:name="_Toc167206789"/>
      <w:bookmarkStart w:id="103" w:name="_Toc167146196"/>
      <w:bookmarkStart w:id="104" w:name="_Toc167185299"/>
      <w:bookmarkStart w:id="105" w:name="_Toc166697252"/>
      <w:bookmarkStart w:id="106" w:name="_Toc167007545"/>
      <w:bookmarkStart w:id="107" w:name="_Toc166668425"/>
      <w:bookmarkStart w:id="108" w:name="_Toc166500967"/>
      <w:bookmarkStart w:id="109" w:name="_Toc166500903"/>
      <w:bookmarkStart w:id="110" w:name="_Toc166500787"/>
      <w:bookmarkStart w:id="111" w:name="_Toc166236037"/>
      <w:bookmarkStart w:id="112" w:name="_Toc164722396"/>
      <w:bookmarkStart w:id="113" w:name="_Toc159529470"/>
      <w:bookmarkStart w:id="114" w:name="_Toc163429117"/>
      <w:bookmarkStart w:id="115" w:name="_Toc163427999"/>
      <w:bookmarkStart w:id="116" w:name="_Toc159528852"/>
      <w:r>
        <w:rPr>
          <w:rFonts w:hint="eastAsia"/>
        </w:rPr>
        <w:t>评估</w:t>
      </w:r>
      <w:r>
        <w:t>服务</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166"/>
      </w:pPr>
      <w:r>
        <w:t>对入住的老人及病患者</w:t>
      </w:r>
      <w:r>
        <w:rPr>
          <w:rFonts w:hint="eastAsia"/>
        </w:rPr>
        <w:t>按照</w:t>
      </w:r>
      <w:r>
        <w:t>MZ/T 039</w:t>
      </w:r>
      <w:r>
        <w:rPr>
          <w:rFonts w:hint="eastAsia"/>
        </w:rPr>
        <w:t>对</w:t>
      </w:r>
      <w:r>
        <w:t>老年人进行评估，符合入住条件，</w:t>
      </w:r>
      <w:r>
        <w:rPr>
          <w:rFonts w:hint="eastAsia"/>
        </w:rPr>
        <w:t>宜参照附录A</w:t>
      </w:r>
      <w:r>
        <w:t xml:space="preserve"> 《</w:t>
      </w:r>
      <w:r>
        <w:rPr>
          <w:rFonts w:hint="eastAsia"/>
        </w:rPr>
        <w:t>临终</w:t>
      </w:r>
      <w:r>
        <w:t>关怀服务协议》</w:t>
      </w:r>
      <w:r>
        <w:rPr>
          <w:rFonts w:hint="eastAsia"/>
        </w:rPr>
        <w:t>，</w:t>
      </w:r>
      <w:r>
        <w:t>办理入住手续。</w:t>
      </w:r>
    </w:p>
    <w:p>
      <w:pPr>
        <w:pStyle w:val="166"/>
      </w:pPr>
      <w:r>
        <w:rPr>
          <w:rFonts w:hint="eastAsia"/>
        </w:rPr>
        <w:t>服务</w:t>
      </w:r>
      <w:r>
        <w:t>对象入住后，</w:t>
      </w:r>
      <w:r>
        <w:rPr>
          <w:rFonts w:hint="eastAsia"/>
        </w:rPr>
        <w:t>由</w:t>
      </w:r>
      <w:r>
        <w:t>医护人员进行谈话并记录，</w:t>
      </w:r>
      <w:r>
        <w:rPr>
          <w:rFonts w:hint="eastAsia"/>
        </w:rPr>
        <w:t>填写</w:t>
      </w:r>
      <w:r>
        <w:t>《</w:t>
      </w:r>
      <w:r>
        <w:rPr>
          <w:rFonts w:hint="eastAsia"/>
        </w:rPr>
        <w:t>临终关怀</w:t>
      </w:r>
      <w:r>
        <w:t>谈话记录</w:t>
      </w:r>
      <w:r>
        <w:rPr>
          <w:rFonts w:hint="eastAsia"/>
        </w:rPr>
        <w:t>与</w:t>
      </w:r>
      <w:r>
        <w:t>计划表》</w:t>
      </w:r>
      <w:r>
        <w:rPr>
          <w:rFonts w:hint="eastAsia"/>
        </w:rPr>
        <w:t>，</w:t>
      </w:r>
      <w:r>
        <w:t>见附录B</w:t>
      </w:r>
      <w:r>
        <w:rPr>
          <w:rFonts w:hint="eastAsia"/>
        </w:rPr>
        <w:t>。</w:t>
      </w:r>
    </w:p>
    <w:p>
      <w:pPr>
        <w:pStyle w:val="166"/>
      </w:pPr>
      <w:r>
        <w:rPr>
          <w:rFonts w:hint="eastAsia"/>
        </w:rPr>
        <w:t>根据</w:t>
      </w:r>
      <w:r>
        <w:t>收集的信息及资料，制定个性化照护计划</w:t>
      </w:r>
      <w:r>
        <w:rPr>
          <w:rFonts w:hint="eastAsia"/>
        </w:rPr>
        <w:t>，填写</w:t>
      </w:r>
      <w:r>
        <w:t>《</w:t>
      </w:r>
      <w:r>
        <w:rPr>
          <w:rFonts w:hint="eastAsia"/>
        </w:rPr>
        <w:t>临终关怀</w:t>
      </w:r>
      <w:r>
        <w:t>谈话记录</w:t>
      </w:r>
      <w:r>
        <w:rPr>
          <w:rFonts w:hint="eastAsia"/>
        </w:rPr>
        <w:t>与计划</w:t>
      </w:r>
      <w:r>
        <w:t>表》</w:t>
      </w:r>
      <w:r>
        <w:rPr>
          <w:rFonts w:hint="eastAsia"/>
        </w:rPr>
        <w:t>，</w:t>
      </w:r>
      <w:r>
        <w:t>见附录B</w:t>
      </w:r>
      <w:r>
        <w:rPr>
          <w:rFonts w:hint="eastAsia"/>
        </w:rPr>
        <w:t>。</w:t>
      </w:r>
    </w:p>
    <w:p>
      <w:pPr>
        <w:pStyle w:val="166"/>
      </w:pPr>
      <w:r>
        <w:rPr>
          <w:rFonts w:hint="eastAsia"/>
        </w:rPr>
        <w:t>照护</w:t>
      </w:r>
      <w:r>
        <w:t>计划应与疾病终末期</w:t>
      </w:r>
      <w:r>
        <w:rPr>
          <w:rFonts w:hint="eastAsia"/>
        </w:rPr>
        <w:t>相</w:t>
      </w:r>
      <w:r>
        <w:t>关</w:t>
      </w:r>
      <w:r>
        <w:rPr>
          <w:rFonts w:hint="eastAsia"/>
        </w:rPr>
        <w:t>，</w:t>
      </w:r>
      <w:r>
        <w:t>有</w:t>
      </w:r>
      <w:r>
        <w:rPr>
          <w:rFonts w:hint="eastAsia"/>
        </w:rPr>
        <w:t>清晰</w:t>
      </w:r>
      <w:r>
        <w:t>的照护目标及干预措施，并根据评估结果动态调整。</w:t>
      </w:r>
    </w:p>
    <w:p>
      <w:pPr>
        <w:pStyle w:val="106"/>
        <w:spacing w:before="156" w:after="156"/>
      </w:pPr>
      <w:bookmarkStart w:id="117" w:name="_Toc166697253"/>
      <w:bookmarkStart w:id="118" w:name="_Toc166500968"/>
      <w:bookmarkStart w:id="119" w:name="_Toc166668426"/>
      <w:bookmarkStart w:id="120" w:name="_Toc166236038"/>
      <w:bookmarkStart w:id="121" w:name="_Toc166500904"/>
      <w:bookmarkStart w:id="122" w:name="_Toc166500788"/>
      <w:bookmarkStart w:id="123" w:name="_Toc163428001"/>
      <w:bookmarkStart w:id="124" w:name="_Toc164722397"/>
      <w:bookmarkStart w:id="125" w:name="_Toc163429119"/>
      <w:bookmarkStart w:id="126" w:name="_Toc167007546"/>
      <w:bookmarkStart w:id="127" w:name="_Toc167206790"/>
      <w:bookmarkStart w:id="128" w:name="_Toc167185300"/>
      <w:bookmarkStart w:id="129" w:name="_Toc167146197"/>
      <w:r>
        <w:rPr>
          <w:rFonts w:hint="eastAsia"/>
        </w:rPr>
        <w:t>生活</w:t>
      </w:r>
      <w:bookmarkEnd w:id="117"/>
      <w:bookmarkEnd w:id="118"/>
      <w:bookmarkEnd w:id="119"/>
      <w:bookmarkEnd w:id="120"/>
      <w:bookmarkEnd w:id="121"/>
      <w:bookmarkEnd w:id="122"/>
      <w:bookmarkEnd w:id="123"/>
      <w:bookmarkEnd w:id="124"/>
      <w:bookmarkEnd w:id="125"/>
      <w:r>
        <w:rPr>
          <w:rFonts w:hint="eastAsia"/>
        </w:rPr>
        <w:t>服务</w:t>
      </w:r>
      <w:bookmarkEnd w:id="126"/>
      <w:bookmarkEnd w:id="127"/>
      <w:bookmarkEnd w:id="128"/>
      <w:bookmarkEnd w:id="129"/>
    </w:p>
    <w:p>
      <w:pPr>
        <w:pStyle w:val="66"/>
        <w:spacing w:before="156" w:after="156"/>
      </w:pPr>
      <w:r>
        <w:rPr>
          <w:rFonts w:hint="eastAsia"/>
        </w:rPr>
        <w:t>基础</w:t>
      </w:r>
      <w:r>
        <w:t>护理</w:t>
      </w:r>
    </w:p>
    <w:p>
      <w:pPr>
        <w:pStyle w:val="165"/>
      </w:pPr>
      <w:r>
        <w:rPr>
          <w:rFonts w:hint="eastAsia"/>
        </w:rPr>
        <w:t>对</w:t>
      </w:r>
      <w:r>
        <w:t>老年人进行清洗护理。根据</w:t>
      </w:r>
      <w:r>
        <w:rPr>
          <w:rFonts w:hint="eastAsia"/>
        </w:rPr>
        <w:t>老年人</w:t>
      </w:r>
      <w:r>
        <w:t>身体状况和需求，对皮肤等进行清洁护理，必要时协助翻身，以温水擦浴；保持口腔清洁湿润，必要时予以口腔护理。</w:t>
      </w:r>
    </w:p>
    <w:p>
      <w:pPr>
        <w:pStyle w:val="165"/>
      </w:pPr>
      <w:r>
        <w:rPr>
          <w:rFonts w:hint="eastAsia"/>
        </w:rPr>
        <w:t>对</w:t>
      </w:r>
      <w:r>
        <w:t>老年人进行排泄护理。有</w:t>
      </w:r>
      <w:r>
        <w:rPr>
          <w:rFonts w:hint="eastAsia"/>
        </w:rPr>
        <w:t>大小便</w:t>
      </w:r>
      <w:r>
        <w:t>失禁者，应保持会阴、肛门处皮肤清洁、干燥，若发生皮肤破损，应及时</w:t>
      </w:r>
      <w:r>
        <w:rPr>
          <w:rFonts w:hint="eastAsia"/>
        </w:rPr>
        <w:t>给予</w:t>
      </w:r>
      <w:r>
        <w:t>处理。</w:t>
      </w:r>
    </w:p>
    <w:p>
      <w:pPr>
        <w:pStyle w:val="66"/>
        <w:spacing w:before="156" w:after="156"/>
      </w:pPr>
      <w:bookmarkStart w:id="130" w:name="_Toc159528853"/>
      <w:bookmarkStart w:id="131" w:name="_Toc159529472"/>
      <w:r>
        <w:rPr>
          <w:rFonts w:hint="eastAsia"/>
        </w:rPr>
        <w:t>症状控制</w:t>
      </w:r>
      <w:bookmarkEnd w:id="130"/>
      <w:bookmarkEnd w:id="131"/>
    </w:p>
    <w:p>
      <w:pPr>
        <w:pStyle w:val="165"/>
      </w:pPr>
      <w:r>
        <w:rPr>
          <w:rFonts w:hint="eastAsia"/>
        </w:rPr>
        <w:t>对</w:t>
      </w:r>
      <w:r>
        <w:t>疼痛老人进行护理时应对其护理程度、部位、</w:t>
      </w:r>
      <w:r>
        <w:rPr>
          <w:rFonts w:hint="eastAsia"/>
        </w:rPr>
        <w:t>持续</w:t>
      </w:r>
      <w:r>
        <w:t>时间等进行评估，</w:t>
      </w:r>
      <w:r>
        <w:rPr>
          <w:rFonts w:hint="eastAsia"/>
        </w:rPr>
        <w:t>轻度</w:t>
      </w:r>
      <w:r>
        <w:t>疼痛时应采用非药物止疼法，如转移注意力等；重度疼痛时，应给与药物止痛，并注意观察用药疗效和副作用等</w:t>
      </w:r>
      <w:r>
        <w:rPr>
          <w:rFonts w:hint="eastAsia"/>
        </w:rPr>
        <w:t>。</w:t>
      </w:r>
    </w:p>
    <w:p>
      <w:pPr>
        <w:pStyle w:val="165"/>
      </w:pPr>
      <w:r>
        <w:rPr>
          <w:rFonts w:hint="eastAsia"/>
        </w:rPr>
        <w:t>对恶心</w:t>
      </w:r>
      <w:r>
        <w:t>呕吐者护理时，应</w:t>
      </w:r>
      <w:r>
        <w:rPr>
          <w:rFonts w:hint="eastAsia"/>
        </w:rPr>
        <w:t>清除</w:t>
      </w:r>
      <w:r>
        <w:t>引起恶心呕吐的视、听、嗅觉刺激，转移注意力，采取适当措施使其感到舒适。</w:t>
      </w:r>
    </w:p>
    <w:p>
      <w:pPr>
        <w:pStyle w:val="165"/>
      </w:pPr>
      <w:r>
        <w:rPr>
          <w:rFonts w:hint="eastAsia"/>
        </w:rPr>
        <w:t>对</w:t>
      </w:r>
      <w:r>
        <w:t>呼吸困难者护理时，应让其保持舒适的体位；发生痰液堵塞、剧烈咳嗽或喘息等症状时，应对症处理，并注意开窗通风，保持空气清新</w:t>
      </w:r>
      <w:r>
        <w:rPr>
          <w:rFonts w:hint="eastAsia"/>
        </w:rPr>
        <w:t>，</w:t>
      </w:r>
      <w:r>
        <w:t>咳血</w:t>
      </w:r>
      <w:r>
        <w:rPr>
          <w:rFonts w:hint="eastAsia"/>
        </w:rPr>
        <w:t>患者</w:t>
      </w:r>
      <w:r>
        <w:t>取患</w:t>
      </w:r>
      <w:r>
        <w:rPr>
          <w:rFonts w:hint="eastAsia"/>
        </w:rPr>
        <w:t>侧</w:t>
      </w:r>
      <w:r>
        <w:t>卧位</w:t>
      </w:r>
      <w:r>
        <w:rPr>
          <w:rFonts w:hint="eastAsia"/>
        </w:rPr>
        <w:t>，出血</w:t>
      </w:r>
      <w:r>
        <w:t>部位不明者取</w:t>
      </w:r>
      <w:r>
        <w:rPr>
          <w:rFonts w:hint="eastAsia"/>
        </w:rPr>
        <w:t>平</w:t>
      </w:r>
      <w:r>
        <w:t>卧位，头</w:t>
      </w:r>
      <w:r>
        <w:rPr>
          <w:rFonts w:hint="eastAsia"/>
        </w:rPr>
        <w:t>偏向</w:t>
      </w:r>
      <w:r>
        <w:t>一侧。</w:t>
      </w:r>
    </w:p>
    <w:p>
      <w:pPr>
        <w:pStyle w:val="165"/>
      </w:pPr>
      <w:r>
        <w:rPr>
          <w:rFonts w:hint="eastAsia"/>
        </w:rPr>
        <w:t>对嗜睡</w:t>
      </w:r>
      <w:r>
        <w:t>、</w:t>
      </w:r>
      <w:r>
        <w:rPr>
          <w:rFonts w:hint="eastAsia"/>
        </w:rPr>
        <w:t>谵妄</w:t>
      </w:r>
      <w:r>
        <w:t>或昏迷者护理时，应密切观察其意识变化，注意体位安置；必要时做好防坠床等意外伤害发生的预防措施，加强巡视并加强基础护理。</w:t>
      </w:r>
    </w:p>
    <w:p>
      <w:pPr>
        <w:pStyle w:val="66"/>
        <w:spacing w:before="156" w:after="156"/>
      </w:pPr>
      <w:r>
        <w:rPr>
          <w:rFonts w:hint="eastAsia"/>
        </w:rPr>
        <w:t>护理</w:t>
      </w:r>
      <w:r>
        <w:t>记录</w:t>
      </w:r>
    </w:p>
    <w:p>
      <w:pPr>
        <w:pStyle w:val="57"/>
        <w:ind w:firstLine="420"/>
      </w:pPr>
      <w:r>
        <w:rPr>
          <w:rFonts w:hint="eastAsia"/>
        </w:rPr>
        <w:t>做好常见症状的评估、诊断、干预和管理，并做好记录</w:t>
      </w:r>
      <w:r>
        <w:rPr>
          <w:rFonts w:hint="eastAsia" w:ascii="Times New Roman"/>
        </w:rPr>
        <w:t>表，《临终关怀护理记录表》见附录</w:t>
      </w:r>
      <w:bookmarkStart w:id="132" w:name="_Hlk81393702"/>
      <w:r>
        <w:rPr>
          <w:rFonts w:ascii="Times New Roman"/>
        </w:rPr>
        <w:t>C</w:t>
      </w:r>
      <w:bookmarkEnd w:id="132"/>
      <w:r>
        <w:rPr>
          <w:rFonts w:hint="eastAsia" w:ascii="Times New Roman"/>
        </w:rPr>
        <w:t>。</w:t>
      </w:r>
    </w:p>
    <w:p>
      <w:pPr>
        <w:pStyle w:val="106"/>
        <w:spacing w:before="156" w:after="156"/>
      </w:pPr>
      <w:bookmarkStart w:id="133" w:name="_Toc159528855"/>
      <w:bookmarkStart w:id="134" w:name="_Toc159529474"/>
      <w:bookmarkStart w:id="135" w:name="_Toc163428002"/>
      <w:bookmarkStart w:id="136" w:name="_Toc163429120"/>
      <w:bookmarkStart w:id="137" w:name="_Toc164722398"/>
      <w:bookmarkStart w:id="138" w:name="_Toc166236039"/>
      <w:bookmarkStart w:id="139" w:name="_Toc166500789"/>
      <w:bookmarkStart w:id="140" w:name="_Toc166500905"/>
      <w:bookmarkStart w:id="141" w:name="_Toc166500969"/>
      <w:bookmarkStart w:id="142" w:name="_Toc166668427"/>
      <w:bookmarkStart w:id="143" w:name="_Toc166697254"/>
      <w:bookmarkStart w:id="144" w:name="_Toc167007547"/>
      <w:bookmarkStart w:id="145" w:name="_Toc167146198"/>
      <w:bookmarkStart w:id="146" w:name="_Toc167185301"/>
      <w:bookmarkStart w:id="147" w:name="_Toc167206791"/>
      <w:r>
        <w:rPr>
          <w:rFonts w:hint="eastAsia"/>
        </w:rPr>
        <w:t>膳食与</w:t>
      </w:r>
      <w:r>
        <w:t>营养</w:t>
      </w:r>
      <w:bookmarkEnd w:id="133"/>
      <w:bookmarkEnd w:id="134"/>
      <w:r>
        <w:rPr>
          <w:rFonts w:hint="eastAsia"/>
        </w:rPr>
        <w:t>支持</w:t>
      </w:r>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166"/>
      </w:pPr>
      <w:r>
        <w:rPr>
          <w:rFonts w:hint="eastAsia"/>
        </w:rPr>
        <w:t>营养师</w:t>
      </w:r>
      <w:r>
        <w:t>根据老年人</w:t>
      </w:r>
      <w:r>
        <w:rPr>
          <w:rFonts w:hint="eastAsia"/>
        </w:rPr>
        <w:t>（病人）</w:t>
      </w:r>
      <w:r>
        <w:t>的饮食喜好及身体</w:t>
      </w:r>
      <w:r>
        <w:rPr>
          <w:rFonts w:hint="eastAsia"/>
        </w:rPr>
        <w:t>状况，制定</w:t>
      </w:r>
      <w:r>
        <w:t>膳食计划并辅助进食</w:t>
      </w:r>
      <w:r>
        <w:rPr>
          <w:rFonts w:hint="eastAsia"/>
        </w:rPr>
        <w:t>，当老年人出现营养不良状况时，可按其病情特点补充适宜的营养素。</w:t>
      </w:r>
    </w:p>
    <w:p>
      <w:pPr>
        <w:pStyle w:val="166"/>
      </w:pPr>
      <w:r>
        <w:rPr>
          <w:rFonts w:hint="eastAsia"/>
        </w:rPr>
        <w:t>老年人（病人）用餐前，宜做好口腔护理，以增强食欲。应少食多餐，每餐不宜过饱。</w:t>
      </w:r>
    </w:p>
    <w:p>
      <w:pPr>
        <w:pStyle w:val="166"/>
      </w:pPr>
      <w:r>
        <w:rPr>
          <w:rFonts w:hint="eastAsia"/>
        </w:rPr>
        <w:t>老年人（病人）因疼痛等原因没有食欲时，应鼓励但不应勉强其进食。必要时可采取其他措施，以保证营养供给和维持体内水分、电解质平衡。</w:t>
      </w:r>
    </w:p>
    <w:p>
      <w:pPr>
        <w:pStyle w:val="166"/>
      </w:pPr>
      <w:r>
        <w:rPr>
          <w:rFonts w:hint="eastAsia"/>
        </w:rPr>
        <w:t>做好</w:t>
      </w:r>
      <w:r>
        <w:t>服务记录，《</w:t>
      </w:r>
      <w:r>
        <w:rPr>
          <w:rFonts w:hint="eastAsia"/>
        </w:rPr>
        <w:t>临终关怀</w:t>
      </w:r>
      <w:r>
        <w:t>服务表》见附录D</w:t>
      </w:r>
      <w:r>
        <w:rPr>
          <w:rFonts w:hint="eastAsia"/>
        </w:rPr>
        <w:t>。</w:t>
      </w:r>
    </w:p>
    <w:p>
      <w:pPr>
        <w:pStyle w:val="106"/>
        <w:spacing w:before="156" w:after="156"/>
      </w:pPr>
      <w:bookmarkStart w:id="148" w:name="_Toc163428003"/>
      <w:bookmarkStart w:id="149" w:name="_Toc163429121"/>
      <w:bookmarkStart w:id="150" w:name="_Toc164722399"/>
      <w:bookmarkStart w:id="151" w:name="_Toc166236040"/>
      <w:bookmarkStart w:id="152" w:name="_Toc166500790"/>
      <w:bookmarkStart w:id="153" w:name="_Toc166500906"/>
      <w:bookmarkStart w:id="154" w:name="_Toc166500970"/>
      <w:bookmarkStart w:id="155" w:name="_Toc166668428"/>
      <w:bookmarkStart w:id="156" w:name="_Toc166697255"/>
      <w:bookmarkStart w:id="157" w:name="_Toc167007548"/>
      <w:bookmarkStart w:id="158" w:name="_Toc167146199"/>
      <w:bookmarkStart w:id="159" w:name="_Toc167185302"/>
      <w:bookmarkStart w:id="160" w:name="_Toc167206792"/>
      <w:r>
        <w:rPr>
          <w:rFonts w:hint="eastAsia"/>
        </w:rPr>
        <w:t>心理照护与情感支持</w:t>
      </w:r>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166"/>
      </w:pPr>
      <w:r>
        <w:rPr>
          <w:rFonts w:hint="eastAsia"/>
        </w:rPr>
        <w:t>为老年人（病人）提供情感支持与陪伴服务，提供</w:t>
      </w:r>
      <w:r>
        <w:t>心理疏导和精神支持，</w:t>
      </w:r>
      <w:r>
        <w:rPr>
          <w:rFonts w:hint="eastAsia"/>
        </w:rPr>
        <w:t>减少</w:t>
      </w:r>
      <w:r>
        <w:t>负面心理</w:t>
      </w:r>
      <w:r>
        <w:rPr>
          <w:rFonts w:hint="eastAsia"/>
        </w:rPr>
        <w:t>、</w:t>
      </w:r>
      <w:r>
        <w:t>情绪和行为反应；</w:t>
      </w:r>
    </w:p>
    <w:p>
      <w:pPr>
        <w:pStyle w:val="166"/>
      </w:pPr>
      <w:r>
        <w:rPr>
          <w:rFonts w:hint="eastAsia"/>
        </w:rPr>
        <w:t>开展</w:t>
      </w:r>
      <w:r>
        <w:t>生命教育，帮助树立理性的生死观</w:t>
      </w:r>
      <w:r>
        <w:rPr>
          <w:rFonts w:hint="eastAsia"/>
        </w:rPr>
        <w:t>，采用怀旧、生命回顾等方式引导老年人回顾人生。</w:t>
      </w:r>
    </w:p>
    <w:p>
      <w:pPr>
        <w:pStyle w:val="166"/>
      </w:pPr>
      <w:r>
        <w:rPr>
          <w:rFonts w:hint="eastAsia"/>
        </w:rPr>
        <w:t>协助</w:t>
      </w:r>
      <w:r>
        <w:t>服务对象完成未了心愿，完成服务对象提出的合理需求。</w:t>
      </w:r>
    </w:p>
    <w:p>
      <w:pPr>
        <w:pStyle w:val="166"/>
      </w:pPr>
      <w:r>
        <w:rPr>
          <w:rFonts w:hint="eastAsia"/>
        </w:rPr>
        <w:t>应正确识别服务对象的焦虑、抑郁、恐惧和愤怒等不良情绪，采取适当的疏导方式进行情绪疏导，当老年人（病人）出现严重心理问题时应及时给予专业心理治疗，如有明显抑郁或精神分裂状态，应与第三方沟通后转院治疗。</w:t>
      </w:r>
    </w:p>
    <w:p>
      <w:pPr>
        <w:pStyle w:val="166"/>
      </w:pPr>
      <w:r>
        <w:rPr>
          <w:rFonts w:hint="eastAsia"/>
        </w:rPr>
        <w:t>引导亲友陪伴和照料老年人，坦诚沟通，表达关爱，尽最大可能满足老年人的心愿。</w:t>
      </w:r>
    </w:p>
    <w:p>
      <w:pPr>
        <w:pStyle w:val="166"/>
      </w:pPr>
      <w:r>
        <w:rPr>
          <w:rFonts w:hint="eastAsia"/>
        </w:rPr>
        <w:t>根据老人（病人）的文化、民族习惯，提供心理精神的寄托相关服务</w:t>
      </w:r>
    </w:p>
    <w:p>
      <w:pPr>
        <w:pStyle w:val="166"/>
      </w:pPr>
      <w:r>
        <w:rPr>
          <w:rFonts w:hint="eastAsia"/>
        </w:rPr>
        <w:t>为亲属</w:t>
      </w:r>
      <w:r>
        <w:t>提供精神支持</w:t>
      </w:r>
      <w:r>
        <w:rPr>
          <w:rFonts w:hint="eastAsia"/>
        </w:rPr>
        <w:t>，</w:t>
      </w:r>
      <w:r>
        <w:t>主动关怀亲属</w:t>
      </w:r>
      <w:r>
        <w:rPr>
          <w:rFonts w:hint="eastAsia"/>
        </w:rPr>
        <w:t>，协助亲属</w:t>
      </w:r>
      <w:r>
        <w:t>减缓所承受的心理压力。</w:t>
      </w:r>
    </w:p>
    <w:p>
      <w:pPr>
        <w:pStyle w:val="166"/>
      </w:pPr>
      <w:r>
        <w:rPr>
          <w:rFonts w:hint="eastAsia"/>
        </w:rPr>
        <w:t>进行</w:t>
      </w:r>
      <w:r>
        <w:t>资源链接，帮助亲属获得社会支援，如法律咨询</w:t>
      </w:r>
      <w:r>
        <w:rPr>
          <w:rFonts w:hint="eastAsia"/>
        </w:rPr>
        <w:t>、</w:t>
      </w:r>
      <w:r>
        <w:t>殡葬服务等。</w:t>
      </w:r>
    </w:p>
    <w:p>
      <w:pPr>
        <w:pStyle w:val="166"/>
      </w:pPr>
      <w:r>
        <w:rPr>
          <w:rFonts w:hint="eastAsia"/>
        </w:rPr>
        <w:t xml:space="preserve"> 做好</w:t>
      </w:r>
      <w:r>
        <w:t>服务记录，</w:t>
      </w:r>
      <w:r>
        <w:rPr>
          <w:rFonts w:hint="eastAsia"/>
        </w:rPr>
        <w:t>《临终关怀服务表》见附录</w:t>
      </w:r>
      <w:r>
        <w:t>D</w:t>
      </w:r>
      <w:r>
        <w:rPr>
          <w:rFonts w:hint="eastAsia"/>
        </w:rPr>
        <w:t>。</w:t>
      </w:r>
    </w:p>
    <w:p>
      <w:pPr>
        <w:pStyle w:val="166"/>
      </w:pPr>
      <w:r>
        <w:rPr>
          <w:rFonts w:hint="eastAsia"/>
        </w:rPr>
        <w:t>对</w:t>
      </w:r>
      <w:r>
        <w:t>亲属进行的哀伤辅导服务，并做好服务记录，《</w:t>
      </w:r>
      <w:r>
        <w:rPr>
          <w:rFonts w:hint="eastAsia"/>
        </w:rPr>
        <w:t>哀伤</w:t>
      </w:r>
      <w:r>
        <w:t>辅导服务及个案记录表》见附录</w:t>
      </w:r>
      <w:r>
        <w:rPr>
          <w:rFonts w:hint="eastAsia"/>
        </w:rPr>
        <w:t>E。</w:t>
      </w:r>
    </w:p>
    <w:p>
      <w:pPr>
        <w:pStyle w:val="106"/>
        <w:spacing w:before="156" w:after="156"/>
      </w:pPr>
      <w:bookmarkStart w:id="161" w:name="_Toc163428006"/>
      <w:bookmarkStart w:id="162" w:name="_Toc163429124"/>
      <w:bookmarkStart w:id="163" w:name="_Toc164722402"/>
      <w:bookmarkStart w:id="164" w:name="_Toc166236041"/>
      <w:bookmarkStart w:id="165" w:name="_Toc166500791"/>
      <w:bookmarkStart w:id="166" w:name="_Toc166500907"/>
      <w:bookmarkStart w:id="167" w:name="_Toc166500971"/>
      <w:bookmarkStart w:id="168" w:name="_Toc166668429"/>
      <w:bookmarkStart w:id="169" w:name="_Toc166697256"/>
      <w:bookmarkStart w:id="170" w:name="_Toc167007549"/>
      <w:bookmarkStart w:id="171" w:name="_Toc167146200"/>
      <w:bookmarkStart w:id="172" w:name="_Toc167185303"/>
      <w:bookmarkStart w:id="173" w:name="_Toc167206793"/>
      <w:r>
        <w:rPr>
          <w:rFonts w:hint="eastAsia"/>
        </w:rPr>
        <w:t>善后服务</w:t>
      </w:r>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66"/>
        <w:spacing w:before="156" w:after="156"/>
      </w:pPr>
      <w:r>
        <w:rPr>
          <w:rFonts w:hint="eastAsia"/>
        </w:rPr>
        <w:t>后事处理</w:t>
      </w:r>
    </w:p>
    <w:p>
      <w:pPr>
        <w:pStyle w:val="165"/>
      </w:pPr>
      <w:r>
        <w:rPr>
          <w:rFonts w:hint="eastAsia"/>
        </w:rPr>
        <w:t>应对</w:t>
      </w:r>
      <w:r>
        <w:t>逝者</w:t>
      </w:r>
      <w:r>
        <w:rPr>
          <w:rFonts w:hint="eastAsia"/>
        </w:rPr>
        <w:t>按相应的操作规范进行遗体处置，保持身体清洁、维持良好的状态。</w:t>
      </w:r>
    </w:p>
    <w:p>
      <w:pPr>
        <w:pStyle w:val="165"/>
      </w:pPr>
      <w:r>
        <w:rPr>
          <w:rFonts w:hint="eastAsia"/>
        </w:rPr>
        <w:t>处置过程中，应始终保持尊重逝者的人文态度，尊重逝者和家属的习俗。</w:t>
      </w:r>
    </w:p>
    <w:p>
      <w:pPr>
        <w:pStyle w:val="165"/>
      </w:pPr>
      <w:r>
        <w:rPr>
          <w:rFonts w:hint="eastAsia"/>
        </w:rPr>
        <w:t>应遵照老年人遗愿，按照适宜的民风民俗，指导家属处理后事。</w:t>
      </w:r>
    </w:p>
    <w:p>
      <w:pPr>
        <w:pStyle w:val="165"/>
      </w:pPr>
      <w:r>
        <w:rPr>
          <w:rFonts w:hint="eastAsia"/>
        </w:rPr>
        <w:t>服务</w:t>
      </w:r>
      <w:r>
        <w:t>对象离世后，应对临终关怀室</w:t>
      </w:r>
      <w:r>
        <w:rPr>
          <w:rFonts w:hint="eastAsia"/>
        </w:rPr>
        <w:t>进行</w:t>
      </w:r>
      <w:r>
        <w:t>终末消毒，</w:t>
      </w:r>
      <w:r>
        <w:rPr>
          <w:rFonts w:hint="eastAsia"/>
        </w:rPr>
        <w:t>老年人用过的被服、衣裤和其他用物应进行终末消毒，老年人自己的物品应交给家属，让其带走，并做好记录，《后事指导服务记录表》见附录F。</w:t>
      </w:r>
    </w:p>
    <w:p>
      <w:pPr>
        <w:pStyle w:val="66"/>
        <w:spacing w:before="156" w:after="156"/>
      </w:pPr>
      <w:bookmarkStart w:id="174" w:name="_Toc159529479"/>
      <w:bookmarkStart w:id="175" w:name="_Toc159528860"/>
      <w:r>
        <w:rPr>
          <w:rFonts w:hint="eastAsia"/>
        </w:rPr>
        <w:t>哀伤辅导</w:t>
      </w:r>
      <w:bookmarkEnd w:id="174"/>
      <w:bookmarkEnd w:id="175"/>
    </w:p>
    <w:p>
      <w:pPr>
        <w:pStyle w:val="166"/>
        <w:numPr>
          <w:ilvl w:val="0"/>
          <w:numId w:val="0"/>
        </w:numPr>
      </w:pPr>
      <w:r>
        <w:rPr>
          <w:rFonts w:hint="eastAsia"/>
        </w:rPr>
        <w:t xml:space="preserve"> </w:t>
      </w:r>
      <w:r>
        <w:t xml:space="preserve">   </w:t>
      </w:r>
      <w:r>
        <w:rPr>
          <w:rFonts w:hint="eastAsia"/>
        </w:rPr>
        <w:t>哀伤</w:t>
      </w:r>
      <w:r>
        <w:t>辅导包括但不限于以下内容：</w:t>
      </w:r>
    </w:p>
    <w:p>
      <w:pPr>
        <w:pStyle w:val="133"/>
      </w:pPr>
      <w:r>
        <w:rPr>
          <w:rFonts w:hint="eastAsia"/>
        </w:rPr>
        <w:t>应尊重逝者，鼓励并指导家属或相关第三方参与遗体护理，保持遗体清洁，面部安详；</w:t>
      </w:r>
    </w:p>
    <w:p>
      <w:pPr>
        <w:pStyle w:val="133"/>
      </w:pPr>
      <w:r>
        <w:rPr>
          <w:rFonts w:hint="eastAsia"/>
        </w:rPr>
        <w:t>应重视和预知家属的悲伤情绪反应，采取陪伴、倾听、交流等方式，缓解家属悲伤情绪；</w:t>
      </w:r>
    </w:p>
    <w:p>
      <w:pPr>
        <w:pStyle w:val="133"/>
      </w:pPr>
      <w:r>
        <w:rPr>
          <w:rFonts w:hint="eastAsia"/>
        </w:rPr>
        <w:t>宜采用适宜的悼念仪式让家属与逝者告别，让家属充分表达悲伤情绪，接受现实；</w:t>
      </w:r>
    </w:p>
    <w:p>
      <w:pPr>
        <w:pStyle w:val="133"/>
      </w:pPr>
      <w:r>
        <w:rPr>
          <w:rFonts w:hint="eastAsia"/>
        </w:rPr>
        <w:t>宜采用电话、信件、网络等形式提供居丧期随访支持，表达对居丧者的慰问；</w:t>
      </w:r>
    </w:p>
    <w:p>
      <w:pPr>
        <w:pStyle w:val="133"/>
      </w:pPr>
      <w:r>
        <w:rPr>
          <w:rFonts w:hint="eastAsia"/>
        </w:rPr>
        <w:t>做好哀伤辅导记录，</w:t>
      </w:r>
      <w:r>
        <w:t>《</w:t>
      </w:r>
      <w:r>
        <w:rPr>
          <w:rFonts w:hint="eastAsia"/>
        </w:rPr>
        <w:t>哀伤</w:t>
      </w:r>
      <w:r>
        <w:t>辅导服务及个案记录表》</w:t>
      </w:r>
      <w:r>
        <w:rPr>
          <w:rFonts w:hint="eastAsia"/>
        </w:rPr>
        <w:t>见附录</w:t>
      </w:r>
      <w:r>
        <w:t>E</w:t>
      </w:r>
      <w:r>
        <w:rPr>
          <w:rFonts w:hint="eastAsia"/>
        </w:rPr>
        <w:t xml:space="preserve">。 </w:t>
      </w:r>
      <w:r>
        <w:t xml:space="preserve"> </w:t>
      </w:r>
    </w:p>
    <w:p>
      <w:pPr>
        <w:pStyle w:val="105"/>
        <w:spacing w:before="312" w:after="312"/>
      </w:pPr>
      <w:bookmarkStart w:id="176" w:name="_Toc163429125"/>
      <w:bookmarkStart w:id="177" w:name="_Toc164722403"/>
      <w:bookmarkStart w:id="178" w:name="_Toc166236042"/>
      <w:bookmarkStart w:id="179" w:name="_Toc166500792"/>
      <w:bookmarkStart w:id="180" w:name="_Toc166500908"/>
      <w:bookmarkStart w:id="181" w:name="_Toc166500972"/>
      <w:bookmarkStart w:id="182" w:name="_Toc166668430"/>
      <w:bookmarkStart w:id="183" w:name="_Toc166697257"/>
      <w:bookmarkStart w:id="184" w:name="_Toc167007550"/>
      <w:bookmarkStart w:id="185" w:name="_Toc167146201"/>
      <w:bookmarkStart w:id="186" w:name="_Toc167185304"/>
      <w:bookmarkStart w:id="187" w:name="_Toc167206794"/>
      <w:r>
        <w:rPr>
          <w:rFonts w:hint="eastAsia"/>
        </w:rPr>
        <w:t>服务管理</w:t>
      </w:r>
      <w:bookmarkEnd w:id="176"/>
      <w:bookmarkEnd w:id="177"/>
      <w:bookmarkEnd w:id="178"/>
      <w:bookmarkEnd w:id="179"/>
      <w:bookmarkEnd w:id="180"/>
      <w:bookmarkEnd w:id="181"/>
      <w:bookmarkEnd w:id="182"/>
      <w:bookmarkEnd w:id="183"/>
      <w:bookmarkEnd w:id="184"/>
      <w:bookmarkEnd w:id="185"/>
      <w:bookmarkEnd w:id="186"/>
      <w:bookmarkEnd w:id="187"/>
    </w:p>
    <w:p>
      <w:pPr>
        <w:pStyle w:val="106"/>
        <w:spacing w:before="156" w:after="156"/>
      </w:pPr>
      <w:bookmarkStart w:id="188" w:name="_Toc163429126"/>
      <w:bookmarkStart w:id="189" w:name="_Toc164722404"/>
      <w:bookmarkStart w:id="190" w:name="_Toc166236043"/>
      <w:bookmarkStart w:id="191" w:name="_Toc166500793"/>
      <w:bookmarkStart w:id="192" w:name="_Toc166500909"/>
      <w:bookmarkStart w:id="193" w:name="_Toc166500973"/>
      <w:bookmarkStart w:id="194" w:name="_Toc166668431"/>
      <w:bookmarkStart w:id="195" w:name="_Toc166697258"/>
      <w:bookmarkStart w:id="196" w:name="_Toc167007551"/>
      <w:bookmarkStart w:id="197" w:name="_Toc167146202"/>
      <w:bookmarkStart w:id="198" w:name="_Toc167185305"/>
      <w:bookmarkStart w:id="199" w:name="_Toc167206795"/>
      <w:r>
        <w:rPr>
          <w:rFonts w:hint="eastAsia"/>
        </w:rPr>
        <w:t>安全管理</w:t>
      </w:r>
      <w:bookmarkEnd w:id="188"/>
      <w:bookmarkEnd w:id="189"/>
      <w:bookmarkEnd w:id="190"/>
      <w:bookmarkEnd w:id="191"/>
      <w:bookmarkEnd w:id="192"/>
      <w:bookmarkEnd w:id="193"/>
      <w:bookmarkEnd w:id="194"/>
      <w:bookmarkEnd w:id="195"/>
      <w:bookmarkEnd w:id="196"/>
      <w:bookmarkEnd w:id="197"/>
      <w:bookmarkEnd w:id="198"/>
      <w:bookmarkEnd w:id="199"/>
    </w:p>
    <w:p>
      <w:pPr>
        <w:pStyle w:val="166"/>
      </w:pPr>
      <w:r>
        <w:rPr>
          <w:rFonts w:hint="eastAsia"/>
        </w:rPr>
        <w:t>应加强对服务对象的评估和观察，防范发生意外情况。</w:t>
      </w:r>
    </w:p>
    <w:p>
      <w:pPr>
        <w:pStyle w:val="166"/>
      </w:pPr>
      <w:r>
        <w:rPr>
          <w:rFonts w:hint="eastAsia"/>
        </w:rPr>
        <w:t>开展临终关怀服务应符合 GB 38600的规定，制定噎食、药品误食</w:t>
      </w:r>
      <w:r>
        <w:t>、</w:t>
      </w:r>
      <w:r>
        <w:rPr>
          <w:rFonts w:hint="eastAsia"/>
        </w:rPr>
        <w:t>防</w:t>
      </w:r>
      <w:r>
        <w:t>坠床、压疮</w:t>
      </w:r>
      <w:r>
        <w:rPr>
          <w:rFonts w:hint="eastAsia"/>
        </w:rPr>
        <w:t>的应急预案。</w:t>
      </w:r>
    </w:p>
    <w:p>
      <w:pPr>
        <w:pStyle w:val="166"/>
      </w:pPr>
      <w:r>
        <w:rPr>
          <w:rFonts w:hint="eastAsia"/>
        </w:rPr>
        <w:t>对有自残、自杀倾向的服务对象应早预防、早发现、早干预。</w:t>
      </w:r>
    </w:p>
    <w:p>
      <w:pPr>
        <w:pStyle w:val="166"/>
      </w:pPr>
      <w:r>
        <w:rPr>
          <w:rFonts w:hint="eastAsia"/>
        </w:rPr>
        <w:t>建立亲属沟通机制，及时与亲属沟通服务对象的状态及病情。</w:t>
      </w:r>
    </w:p>
    <w:p>
      <w:pPr>
        <w:pStyle w:val="106"/>
        <w:spacing w:before="156" w:after="156"/>
      </w:pPr>
      <w:bookmarkStart w:id="200" w:name="_Toc163429127"/>
      <w:bookmarkStart w:id="201" w:name="_Toc164722405"/>
      <w:bookmarkStart w:id="202" w:name="_Toc166236044"/>
      <w:bookmarkStart w:id="203" w:name="_Toc166500794"/>
      <w:bookmarkStart w:id="204" w:name="_Toc166500910"/>
      <w:bookmarkStart w:id="205" w:name="_Toc166500974"/>
      <w:bookmarkStart w:id="206" w:name="_Toc166668432"/>
      <w:bookmarkStart w:id="207" w:name="_Toc166697259"/>
      <w:bookmarkStart w:id="208" w:name="_Toc167007552"/>
      <w:bookmarkStart w:id="209" w:name="_Toc167146203"/>
      <w:bookmarkStart w:id="210" w:name="_Toc167185306"/>
      <w:bookmarkStart w:id="211" w:name="_Toc167206796"/>
      <w:r>
        <w:rPr>
          <w:rFonts w:hint="eastAsia"/>
        </w:rPr>
        <w:t>记录管理</w:t>
      </w:r>
      <w:bookmarkEnd w:id="200"/>
      <w:bookmarkEnd w:id="201"/>
      <w:bookmarkEnd w:id="202"/>
      <w:bookmarkEnd w:id="203"/>
      <w:bookmarkEnd w:id="204"/>
      <w:bookmarkEnd w:id="205"/>
      <w:bookmarkEnd w:id="206"/>
      <w:bookmarkEnd w:id="207"/>
      <w:bookmarkEnd w:id="208"/>
      <w:bookmarkEnd w:id="209"/>
      <w:bookmarkEnd w:id="210"/>
      <w:bookmarkEnd w:id="211"/>
    </w:p>
    <w:p>
      <w:pPr>
        <w:pStyle w:val="166"/>
      </w:pPr>
      <w:r>
        <w:rPr>
          <w:rFonts w:hint="eastAsia"/>
        </w:rPr>
        <w:t>服务实施过程中开展的各项服务应做好相关记录。</w:t>
      </w:r>
    </w:p>
    <w:p>
      <w:pPr>
        <w:pStyle w:val="166"/>
      </w:pPr>
      <w:r>
        <w:rPr>
          <w:rFonts w:hint="eastAsia"/>
        </w:rPr>
        <w:t>服务过程中形成的服务计划、服务记录等资料应妥善保存。</w:t>
      </w:r>
    </w:p>
    <w:p>
      <w:pPr>
        <w:pStyle w:val="105"/>
        <w:spacing w:before="312" w:after="312"/>
      </w:pPr>
      <w:bookmarkStart w:id="212" w:name="_Toc159528861"/>
      <w:bookmarkStart w:id="213" w:name="_Toc159529480"/>
      <w:bookmarkStart w:id="214" w:name="_Toc163428007"/>
      <w:bookmarkStart w:id="215" w:name="_Toc163429128"/>
      <w:bookmarkStart w:id="216" w:name="_Toc164722406"/>
      <w:bookmarkStart w:id="217" w:name="_Toc166236045"/>
      <w:bookmarkStart w:id="218" w:name="_Toc166500795"/>
      <w:bookmarkStart w:id="219" w:name="_Toc166500911"/>
      <w:bookmarkStart w:id="220" w:name="_Toc166500975"/>
      <w:bookmarkStart w:id="221" w:name="_Toc166668433"/>
      <w:bookmarkStart w:id="222" w:name="_Toc166697260"/>
      <w:bookmarkStart w:id="223" w:name="_Toc167007553"/>
      <w:bookmarkStart w:id="224" w:name="_Toc167146204"/>
      <w:bookmarkStart w:id="225" w:name="_Toc167185307"/>
      <w:bookmarkStart w:id="226" w:name="_Toc167206797"/>
      <w:r>
        <w:rPr>
          <w:rFonts w:hint="eastAsia"/>
        </w:rPr>
        <w:t>服务</w:t>
      </w:r>
      <w:r>
        <w:t>评价与</w:t>
      </w:r>
      <w:r>
        <w:rPr>
          <w:rFonts w:hint="eastAsia"/>
        </w:rPr>
        <w:t>持续</w:t>
      </w:r>
      <w:r>
        <w:t>改进</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106"/>
        <w:spacing w:before="156" w:after="156"/>
      </w:pPr>
      <w:bookmarkStart w:id="227" w:name="_Toc159528862"/>
      <w:bookmarkStart w:id="228" w:name="_Toc159529481"/>
      <w:bookmarkStart w:id="229" w:name="_Toc163428008"/>
      <w:bookmarkStart w:id="230" w:name="_Toc163429129"/>
      <w:bookmarkStart w:id="231" w:name="_Toc164722407"/>
      <w:bookmarkStart w:id="232" w:name="_Toc166236046"/>
      <w:bookmarkStart w:id="233" w:name="_Toc166500796"/>
      <w:bookmarkStart w:id="234" w:name="_Toc166500912"/>
      <w:bookmarkStart w:id="235" w:name="_Toc166500976"/>
      <w:bookmarkStart w:id="236" w:name="_Toc166668434"/>
      <w:bookmarkStart w:id="237" w:name="_Toc166697261"/>
      <w:bookmarkStart w:id="238" w:name="_Toc167007554"/>
      <w:bookmarkStart w:id="239" w:name="_Toc167146205"/>
      <w:bookmarkStart w:id="240" w:name="_Toc167185308"/>
      <w:bookmarkStart w:id="241" w:name="_Toc167206798"/>
      <w:r>
        <w:rPr>
          <w:rFonts w:hint="eastAsia"/>
        </w:rPr>
        <w:t>投诉处置</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175"/>
      </w:pPr>
      <w:r>
        <w:rPr>
          <w:rFonts w:hint="eastAsia"/>
        </w:rPr>
        <w:t>养老机构接到老年人、家属或相关第三方投诉后，应认真听取投诉方陈述或阅读确记录，对投诉事件进行调查，分析原因，妥善处理；</w:t>
      </w:r>
    </w:p>
    <w:p>
      <w:pPr>
        <w:pStyle w:val="175"/>
      </w:pPr>
      <w:r>
        <w:rPr>
          <w:rFonts w:hint="eastAsia"/>
        </w:rPr>
        <w:t>应定期对老年人（病人）、家属及工作人员开展满意度评价，收集各类人员对临终关怀服务</w:t>
      </w:r>
      <w:r>
        <w:t>期间</w:t>
      </w:r>
      <w:r>
        <w:rPr>
          <w:rFonts w:hint="eastAsia"/>
        </w:rPr>
        <w:t>出现</w:t>
      </w:r>
      <w:r>
        <w:t>的问题并</w:t>
      </w:r>
      <w:r>
        <w:rPr>
          <w:rFonts w:hint="eastAsia"/>
        </w:rPr>
        <w:t>分析问题原因，</w:t>
      </w:r>
      <w:r>
        <w:t>提出改进</w:t>
      </w:r>
      <w:r>
        <w:rPr>
          <w:rFonts w:hint="eastAsia"/>
        </w:rPr>
        <w:t>意见。</w:t>
      </w:r>
    </w:p>
    <w:p>
      <w:pPr>
        <w:pStyle w:val="106"/>
        <w:spacing w:before="156" w:after="156"/>
      </w:pPr>
      <w:bookmarkStart w:id="242" w:name="_Toc159528863"/>
      <w:bookmarkStart w:id="243" w:name="_Toc159529482"/>
      <w:bookmarkStart w:id="244" w:name="_Toc163428009"/>
      <w:bookmarkStart w:id="245" w:name="_Toc163429130"/>
      <w:bookmarkStart w:id="246" w:name="_Toc164722408"/>
      <w:bookmarkStart w:id="247" w:name="_Toc166236047"/>
      <w:bookmarkStart w:id="248" w:name="_Toc166500797"/>
      <w:bookmarkStart w:id="249" w:name="_Toc166500913"/>
      <w:bookmarkStart w:id="250" w:name="_Toc166500977"/>
      <w:bookmarkStart w:id="251" w:name="_Toc166668435"/>
      <w:bookmarkStart w:id="252" w:name="_Toc166697262"/>
      <w:bookmarkStart w:id="253" w:name="_Toc167007555"/>
      <w:bookmarkStart w:id="254" w:name="_Toc167146206"/>
      <w:bookmarkStart w:id="255" w:name="_Toc167185309"/>
      <w:bookmarkStart w:id="256" w:name="_Toc167206799"/>
      <w:r>
        <w:rPr>
          <w:rFonts w:hint="eastAsia"/>
        </w:rPr>
        <w:t>持续改进</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57"/>
        <w:ind w:firstLine="420"/>
      </w:pPr>
      <w:r>
        <w:rPr>
          <w:rFonts w:hint="eastAsia"/>
        </w:rPr>
        <w:t>通过召开工作例会、座谈会等方式，对工作中发现的问题及评价和投诉中提出的意见提出整改措施，不断改进临终关怀服务质量。</w:t>
      </w:r>
    </w:p>
    <w:p>
      <w:pPr>
        <w:pStyle w:val="57"/>
        <w:ind w:firstLine="0" w:firstLineChars="0"/>
        <w:sectPr>
          <w:headerReference r:id="rId17" w:type="default"/>
          <w:footerReference r:id="rId19" w:type="default"/>
          <w:headerReference r:id="rId18" w:type="even"/>
          <w:footerReference r:id="rId20" w:type="even"/>
          <w:pgSz w:w="11906" w:h="16838"/>
          <w:pgMar w:top="1928" w:right="1134" w:bottom="1134" w:left="1134" w:header="1418" w:footer="1134" w:gutter="284"/>
          <w:pgNumType w:start="1"/>
          <w:cols w:space="425" w:num="1"/>
          <w:formProt w:val="0"/>
          <w:docGrid w:type="lines" w:linePitch="312" w:charSpace="0"/>
        </w:sectPr>
      </w:pPr>
    </w:p>
    <w:bookmarkEnd w:id="20"/>
    <w:p>
      <w:pPr>
        <w:pStyle w:val="199"/>
        <w:rPr>
          <w:vanish w:val="0"/>
        </w:rPr>
      </w:pPr>
      <w:bookmarkStart w:id="257" w:name="BookMark5"/>
    </w:p>
    <w:p>
      <w:pPr>
        <w:pStyle w:val="200"/>
        <w:rPr>
          <w:vanish w:val="0"/>
        </w:rPr>
      </w:pPr>
    </w:p>
    <w:p>
      <w:pPr>
        <w:pStyle w:val="199"/>
        <w:rPr>
          <w:vanish w:val="0"/>
        </w:rPr>
      </w:pPr>
    </w:p>
    <w:p>
      <w:pPr>
        <w:pStyle w:val="200"/>
        <w:rPr>
          <w:vanish w:val="0"/>
        </w:rPr>
      </w:pPr>
    </w:p>
    <w:p>
      <w:pPr>
        <w:pStyle w:val="77"/>
        <w:spacing w:after="156"/>
      </w:pPr>
      <w:r>
        <w:br w:type="textWrapping"/>
      </w:r>
      <w:r>
        <w:rPr>
          <w:rFonts w:hint="eastAsia"/>
        </w:rPr>
        <w:t>（资料性）</w:t>
      </w:r>
      <w:r>
        <w:br w:type="textWrapping"/>
      </w:r>
      <w:r>
        <w:rPr>
          <w:rFonts w:hint="eastAsia"/>
        </w:rPr>
        <w:t>临终关怀服务协议</w:t>
      </w:r>
    </w:p>
    <w:p>
      <w:pPr>
        <w:pStyle w:val="57"/>
        <w:ind w:firstLine="420"/>
      </w:pPr>
      <w:r>
        <w:rPr>
          <w:rFonts w:hint="eastAsia"/>
        </w:rPr>
        <w:t>养老机构</w:t>
      </w:r>
      <w:r>
        <mc:AlternateContent>
          <mc:Choice Requires="wps">
            <w:drawing>
              <wp:anchor distT="45720" distB="45720" distL="114300" distR="114300" simplePos="0" relativeHeight="251665408" behindDoc="0" locked="0" layoutInCell="1" allowOverlap="1">
                <wp:simplePos x="0" y="0"/>
                <wp:positionH relativeFrom="column">
                  <wp:posOffset>71755</wp:posOffset>
                </wp:positionH>
                <wp:positionV relativeFrom="paragraph">
                  <wp:posOffset>315595</wp:posOffset>
                </wp:positionV>
                <wp:extent cx="5911215" cy="6880225"/>
                <wp:effectExtent l="0" t="0" r="13335" b="1587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911215" cy="6880225"/>
                        </a:xfrm>
                        <a:prstGeom prst="rect">
                          <a:avLst/>
                        </a:prstGeom>
                        <a:solidFill>
                          <a:srgbClr val="FFFFFF"/>
                        </a:solidFill>
                        <a:ln w="9525">
                          <a:solidFill>
                            <a:srgbClr val="000000"/>
                          </a:solidFill>
                          <a:miter lim="800000"/>
                        </a:ln>
                      </wps:spPr>
                      <wps:txbx>
                        <w:txbxContent>
                          <w:p>
                            <w:pPr>
                              <w:pStyle w:val="57"/>
                              <w:ind w:firstLine="3465" w:firstLineChars="1650"/>
                              <w:rPr>
                                <w:rFonts w:hAnsi="宋体"/>
                                <w:szCs w:val="21"/>
                              </w:rPr>
                            </w:pPr>
                            <w:r>
                              <w:rPr>
                                <w:rFonts w:hint="eastAsia" w:hAnsi="宋体"/>
                              </w:rPr>
                              <w:t>XXXX机构临终关怀服务协议</w:t>
                            </w:r>
                          </w:p>
                          <w:p>
                            <w:pPr>
                              <w:pStyle w:val="57"/>
                              <w:ind w:firstLine="3465" w:firstLineChars="1650"/>
                              <w:rPr>
                                <w:rFonts w:hAnsi="宋体"/>
                              </w:rPr>
                            </w:pPr>
                            <w:r>
                              <w:rPr>
                                <w:rFonts w:hint="eastAsia" w:hAnsi="宋体"/>
                              </w:rPr>
                              <w:t xml:space="preserve"> </w:t>
                            </w:r>
                          </w:p>
                          <w:p>
                            <w:pPr>
                              <w:pStyle w:val="57"/>
                              <w:ind w:firstLine="420"/>
                              <w:rPr>
                                <w:rFonts w:hAnsi="宋体"/>
                              </w:rPr>
                            </w:pPr>
                            <w:r>
                              <w:rPr>
                                <w:rFonts w:hint="eastAsia" w:hAnsi="宋体"/>
                              </w:rPr>
                              <w:t>本协议由以下两方签署:</w:t>
                            </w:r>
                          </w:p>
                          <w:p>
                            <w:pPr>
                              <w:pStyle w:val="57"/>
                              <w:ind w:firstLine="422"/>
                              <w:rPr>
                                <w:rFonts w:hAnsi="宋体"/>
                              </w:rPr>
                            </w:pPr>
                            <w:r>
                              <w:rPr>
                                <w:rFonts w:hint="eastAsia" w:hAnsi="宋体"/>
                                <w:b/>
                              </w:rPr>
                              <w:t>甲方</w:t>
                            </w:r>
                            <w:r>
                              <w:rPr>
                                <w:rFonts w:hint="eastAsia" w:hAnsi="宋体"/>
                              </w:rPr>
                              <w:t>:(患者或其委托代理人)</w:t>
                            </w:r>
                          </w:p>
                          <w:p>
                            <w:pPr>
                              <w:pStyle w:val="57"/>
                              <w:ind w:firstLine="422"/>
                              <w:rPr>
                                <w:rFonts w:hAnsi="宋体"/>
                              </w:rPr>
                            </w:pPr>
                            <w:r>
                              <w:rPr>
                                <w:rFonts w:hint="eastAsia" w:hAnsi="宋体"/>
                                <w:b/>
                              </w:rPr>
                              <w:t>乙方</w:t>
                            </w:r>
                            <w:r>
                              <w:rPr>
                                <w:rFonts w:hint="eastAsia" w:hAnsi="宋体"/>
                              </w:rPr>
                              <w:t>:(养老机构名称)</w:t>
                            </w:r>
                          </w:p>
                          <w:p>
                            <w:pPr>
                              <w:pStyle w:val="57"/>
                              <w:ind w:firstLine="420"/>
                              <w:rPr>
                                <w:rFonts w:hAnsi="宋体"/>
                              </w:rPr>
                            </w:pPr>
                            <w:r>
                              <w:rPr>
                                <w:rFonts w:hint="eastAsia" w:hAnsi="宋体"/>
                              </w:rPr>
                              <w:t>鉴于患者目前病情处于无法逆转的状态，为尊重患者（亲属）意</w:t>
                            </w:r>
                            <w:r>
                              <w:rPr>
                                <w:rFonts w:hint="eastAsia" w:hAnsi="宋体"/>
                                <w:color w:val="000000" w:themeColor="text1"/>
                                <w14:textFill>
                                  <w14:solidFill>
                                    <w14:schemeClr w14:val="tx1"/>
                                  </w14:solidFill>
                                </w14:textFill>
                              </w:rPr>
                              <w:t>愿，放弃</w:t>
                            </w:r>
                            <w:r>
                              <w:rPr>
                                <w:rFonts w:hAnsi="宋体"/>
                                <w:color w:val="000000" w:themeColor="text1"/>
                                <w14:textFill>
                                  <w14:solidFill>
                                    <w14:schemeClr w14:val="tx1"/>
                                  </w14:solidFill>
                                </w14:textFill>
                              </w:rPr>
                              <w:t>治疗</w:t>
                            </w:r>
                            <w:r>
                              <w:rPr>
                                <w:rFonts w:hint="eastAsia" w:hAnsi="宋体"/>
                                <w:color w:val="000000" w:themeColor="text1"/>
                                <w14:textFill>
                                  <w14:solidFill>
                                    <w14:schemeClr w14:val="tx1"/>
                                  </w14:solidFill>
                                </w14:textFill>
                              </w:rPr>
                              <w:t>，</w:t>
                            </w:r>
                            <w:r>
                              <w:rPr>
                                <w:rFonts w:hint="eastAsia" w:hAnsi="宋体"/>
                              </w:rPr>
                              <w:t>提高患者生命末期的生活质量，甲乙双方经过友好协商，就乙方为甲方提供临终关怀服务达成以下协议:</w:t>
                            </w:r>
                          </w:p>
                          <w:p>
                            <w:pPr>
                              <w:pStyle w:val="57"/>
                              <w:ind w:firstLine="422"/>
                              <w:rPr>
                                <w:rFonts w:hAnsi="宋体"/>
                                <w:b/>
                              </w:rPr>
                            </w:pPr>
                            <w:r>
                              <w:rPr>
                                <w:rFonts w:hint="eastAsia" w:hAnsi="宋体"/>
                                <w:b/>
                              </w:rPr>
                              <w:t>一、服务内容</w:t>
                            </w:r>
                          </w:p>
                          <w:p>
                            <w:pPr>
                              <w:pStyle w:val="57"/>
                              <w:ind w:firstLine="420"/>
                              <w:rPr>
                                <w:rFonts w:hAnsi="宋体"/>
                              </w:rPr>
                            </w:pPr>
                            <w:r>
                              <w:rPr>
                                <w:rFonts w:hint="eastAsia" w:hAnsi="宋体"/>
                              </w:rPr>
                              <w:t>1.乙方将为患者提供疼痛控制、症状缓解、心理支持、精神慰藉等全方位的临终关怀服务。</w:t>
                            </w:r>
                          </w:p>
                          <w:p>
                            <w:pPr>
                              <w:pStyle w:val="57"/>
                              <w:ind w:firstLine="420"/>
                              <w:rPr>
                                <w:rFonts w:hAnsi="宋体"/>
                              </w:rPr>
                            </w:pPr>
                            <w:r>
                              <w:rPr>
                                <w:rFonts w:hint="eastAsia" w:hAnsi="宋体"/>
                              </w:rPr>
                              <w:t>2.乙方将尊重患者的意愿，尽量满足其在生命末期的合理需求。</w:t>
                            </w:r>
                          </w:p>
                          <w:p>
                            <w:pPr>
                              <w:pStyle w:val="57"/>
                              <w:ind w:firstLine="420"/>
                              <w:rPr>
                                <w:rFonts w:hAnsi="宋体"/>
                              </w:rPr>
                            </w:pPr>
                            <w:r>
                              <w:rPr>
                                <w:rFonts w:hint="eastAsia" w:hAnsi="宋体"/>
                              </w:rPr>
                              <w:t>3、乙方将为患者及其家属提供有关临终关怀的咨询和指导。</w:t>
                            </w:r>
                          </w:p>
                          <w:p>
                            <w:pPr>
                              <w:pStyle w:val="57"/>
                              <w:ind w:firstLine="422"/>
                              <w:rPr>
                                <w:rFonts w:hAnsi="宋体"/>
                                <w:b/>
                              </w:rPr>
                            </w:pPr>
                            <w:r>
                              <w:rPr>
                                <w:rFonts w:hint="eastAsia" w:hAnsi="宋体"/>
                                <w:b/>
                              </w:rPr>
                              <w:t>二、服务期限</w:t>
                            </w:r>
                          </w:p>
                          <w:p>
                            <w:pPr>
                              <w:pStyle w:val="57"/>
                              <w:ind w:firstLine="420"/>
                              <w:rPr>
                                <w:rFonts w:hAnsi="宋体"/>
                              </w:rPr>
                            </w:pPr>
                            <w:r>
                              <w:rPr>
                                <w:rFonts w:hint="eastAsia" w:hAnsi="宋体"/>
                              </w:rPr>
                              <w:t>本协议自签署之日起生效，至甲方生命如下</w:t>
                            </w:r>
                            <w:r>
                              <w:rPr>
                                <w:rFonts w:hAnsi="宋体"/>
                              </w:rPr>
                              <w:t>情形</w:t>
                            </w:r>
                            <w:r>
                              <w:rPr>
                                <w:rFonts w:hint="eastAsia" w:hAnsi="宋体"/>
                              </w:rPr>
                              <w:t>时终止。</w:t>
                            </w:r>
                          </w:p>
                          <w:p>
                            <w:pPr>
                              <w:pStyle w:val="57"/>
                              <w:ind w:firstLine="420"/>
                              <w:rPr>
                                <w:rFonts w:hAnsi="宋体"/>
                              </w:rPr>
                            </w:pPr>
                            <w:r>
                              <w:rPr>
                                <w:rFonts w:hAnsi="宋体"/>
                              </w:rPr>
                              <w:t>1.</w:t>
                            </w:r>
                            <w:r>
                              <w:rPr>
                                <w:rFonts w:hint="eastAsia" w:hAnsi="宋体"/>
                              </w:rPr>
                              <w:t>甲方</w:t>
                            </w:r>
                            <w:r>
                              <w:rPr>
                                <w:rFonts w:hAnsi="宋体"/>
                              </w:rPr>
                              <w:t>生命终止时；</w:t>
                            </w:r>
                          </w:p>
                          <w:p>
                            <w:pPr>
                              <w:pStyle w:val="57"/>
                              <w:ind w:firstLine="420"/>
                              <w:rPr>
                                <w:rFonts w:hAnsi="宋体"/>
                              </w:rPr>
                            </w:pPr>
                            <w:r>
                              <w:rPr>
                                <w:rFonts w:hint="eastAsia" w:hAnsi="宋体"/>
                              </w:rPr>
                              <w:t>2．</w:t>
                            </w:r>
                            <w:r>
                              <w:rPr>
                                <w:rFonts w:hAnsi="宋体"/>
                              </w:rPr>
                              <w:t>甲方</w:t>
                            </w:r>
                            <w:r>
                              <w:rPr>
                                <w:rFonts w:hint="eastAsia" w:hAnsi="宋体"/>
                              </w:rPr>
                              <w:t>委托人</w:t>
                            </w:r>
                            <w:r>
                              <w:rPr>
                                <w:rFonts w:hAnsi="宋体"/>
                              </w:rPr>
                              <w:t>终止协议；</w:t>
                            </w:r>
                          </w:p>
                          <w:p>
                            <w:pPr>
                              <w:pStyle w:val="57"/>
                              <w:ind w:firstLine="420"/>
                              <w:rPr>
                                <w:rFonts w:hAnsi="宋体"/>
                              </w:rPr>
                            </w:pPr>
                            <w:r>
                              <w:rPr>
                                <w:rFonts w:hAnsi="宋体"/>
                              </w:rPr>
                              <w:t>3.</w:t>
                            </w:r>
                            <w:r>
                              <w:rPr>
                                <w:rFonts w:hint="eastAsia" w:hAnsi="宋体"/>
                              </w:rPr>
                              <w:t>病情</w:t>
                            </w:r>
                            <w:r>
                              <w:rPr>
                                <w:rFonts w:hAnsi="宋体"/>
                              </w:rPr>
                              <w:t>好转；</w:t>
                            </w:r>
                          </w:p>
                          <w:p>
                            <w:pPr>
                              <w:pStyle w:val="57"/>
                              <w:ind w:firstLine="420"/>
                              <w:rPr>
                                <w:rFonts w:hAnsi="宋体"/>
                              </w:rPr>
                            </w:pPr>
                            <w:r>
                              <w:rPr>
                                <w:rFonts w:hint="eastAsia" w:hAnsi="宋体"/>
                              </w:rPr>
                              <w:t>4.转介</w:t>
                            </w:r>
                            <w:r>
                              <w:rPr>
                                <w:rFonts w:hAnsi="宋体"/>
                              </w:rPr>
                              <w:t>。</w:t>
                            </w:r>
                          </w:p>
                          <w:p>
                            <w:pPr>
                              <w:pStyle w:val="57"/>
                              <w:ind w:firstLine="422"/>
                              <w:rPr>
                                <w:rFonts w:hAnsi="宋体"/>
                                <w:b/>
                              </w:rPr>
                            </w:pPr>
                            <w:r>
                              <w:rPr>
                                <w:rFonts w:hint="eastAsia" w:hAnsi="宋体"/>
                                <w:b/>
                              </w:rPr>
                              <w:t>三、权利和义务</w:t>
                            </w:r>
                          </w:p>
                          <w:p>
                            <w:pPr>
                              <w:pStyle w:val="57"/>
                              <w:ind w:firstLine="420"/>
                              <w:rPr>
                                <w:rFonts w:hAnsi="宋体"/>
                              </w:rPr>
                            </w:pPr>
                            <w:r>
                              <w:rPr>
                                <w:rFonts w:hint="eastAsia" w:hAnsi="宋体"/>
                              </w:rPr>
                              <w:t>1.甲方有权接受乙方提供的临终关怀服务，并有权对服务质量提出意见和建议。</w:t>
                            </w:r>
                          </w:p>
                          <w:p>
                            <w:pPr>
                              <w:pStyle w:val="57"/>
                              <w:ind w:firstLine="420"/>
                              <w:rPr>
                                <w:rFonts w:hAnsi="宋体"/>
                              </w:rPr>
                            </w:pPr>
                            <w:r>
                              <w:rPr>
                                <w:rFonts w:hint="eastAsia" w:hAnsi="宋体"/>
                              </w:rPr>
                              <w:t>2.甲方应尊重乙方的医疗判断和决策，并配合乙方的工作。</w:t>
                            </w:r>
                          </w:p>
                          <w:p>
                            <w:pPr>
                              <w:pStyle w:val="57"/>
                              <w:ind w:firstLine="420"/>
                              <w:rPr>
                                <w:rFonts w:hAnsi="宋体"/>
                              </w:rPr>
                            </w:pPr>
                            <w:r>
                              <w:rPr>
                                <w:rFonts w:hint="eastAsia" w:hAnsi="宋体"/>
                              </w:rPr>
                              <w:t>3.乙方有权根据甲方的病情和需求，制定和调整临终关怀服务计划。</w:t>
                            </w:r>
                          </w:p>
                          <w:p>
                            <w:pPr>
                              <w:pStyle w:val="57"/>
                              <w:ind w:firstLine="420"/>
                              <w:rPr>
                                <w:rFonts w:hAnsi="宋体"/>
                              </w:rPr>
                            </w:pPr>
                            <w:r>
                              <w:rPr>
                                <w:rFonts w:hint="eastAsia" w:hAnsi="宋体"/>
                              </w:rPr>
                              <w:t>4.乙方有义务保护甲方的隐私和尊严，不得泄露甲方的个人信息和病情。</w:t>
                            </w:r>
                          </w:p>
                          <w:p>
                            <w:pPr>
                              <w:pStyle w:val="57"/>
                              <w:ind w:firstLine="422"/>
                              <w:rPr>
                                <w:rFonts w:hAnsi="宋体"/>
                                <w:b/>
                              </w:rPr>
                            </w:pPr>
                            <w:r>
                              <w:rPr>
                                <w:rFonts w:hint="eastAsia" w:hAnsi="宋体"/>
                                <w:b/>
                              </w:rPr>
                              <w:t>四、费用支付</w:t>
                            </w:r>
                          </w:p>
                          <w:p>
                            <w:pPr>
                              <w:pStyle w:val="57"/>
                              <w:ind w:firstLine="420"/>
                              <w:rPr>
                                <w:rFonts w:hAnsi="宋体"/>
                              </w:rPr>
                            </w:pPr>
                            <w:r>
                              <w:rPr>
                                <w:rFonts w:hint="eastAsia" w:hAnsi="宋体"/>
                              </w:rPr>
                              <w:t>1.甲方应按照乙方的规定支付临终关怀服务费用。费用标准按照相关</w:t>
                            </w:r>
                            <w:r>
                              <w:rPr>
                                <w:rFonts w:hAnsi="宋体"/>
                              </w:rPr>
                              <w:t>规定执行。</w:t>
                            </w:r>
                          </w:p>
                          <w:p>
                            <w:pPr>
                              <w:pStyle w:val="57"/>
                              <w:ind w:firstLine="422"/>
                              <w:rPr>
                                <w:rFonts w:hAnsi="宋体"/>
                                <w:b/>
                              </w:rPr>
                            </w:pPr>
                            <w:r>
                              <w:rPr>
                                <w:rFonts w:hint="eastAsia" w:hAnsi="宋体"/>
                                <w:b/>
                              </w:rPr>
                              <w:t>五、争议解决</w:t>
                            </w:r>
                          </w:p>
                          <w:p>
                            <w:pPr>
                              <w:pStyle w:val="57"/>
                              <w:ind w:firstLine="420"/>
                              <w:rPr>
                                <w:rFonts w:hAnsi="宋体"/>
                              </w:rPr>
                            </w:pPr>
                            <w:r>
                              <w:rPr>
                                <w:rFonts w:hint="eastAsia" w:hAnsi="宋体"/>
                              </w:rPr>
                              <w:t>如双方在履行本协议过程中发生争议，应首先通过友好协商解决;协商不成的，可向乙方所在地人民法院提起诉讼。</w:t>
                            </w:r>
                          </w:p>
                          <w:p>
                            <w:pPr>
                              <w:pStyle w:val="57"/>
                              <w:ind w:firstLine="422"/>
                              <w:rPr>
                                <w:rFonts w:hAnsi="宋体"/>
                                <w:b/>
                              </w:rPr>
                            </w:pPr>
                            <w:r>
                              <w:rPr>
                                <w:rFonts w:hint="eastAsia" w:hAnsi="宋体"/>
                                <w:b/>
                              </w:rPr>
                              <w:t>六、其他</w:t>
                            </w:r>
                          </w:p>
                          <w:p>
                            <w:pPr>
                              <w:pStyle w:val="57"/>
                              <w:ind w:firstLine="420"/>
                              <w:rPr>
                                <w:rFonts w:hAnsi="宋体"/>
                              </w:rPr>
                            </w:pPr>
                            <w:r>
                              <w:rPr>
                                <w:rFonts w:hint="eastAsia" w:hAnsi="宋体"/>
                              </w:rPr>
                              <w:t>1.本协议一式两份，甲乙双方各执一份。</w:t>
                            </w:r>
                          </w:p>
                          <w:p>
                            <w:pPr>
                              <w:pStyle w:val="57"/>
                              <w:ind w:firstLine="420"/>
                              <w:rPr>
                                <w:rFonts w:hAnsi="宋体"/>
                              </w:rPr>
                            </w:pPr>
                            <w:r>
                              <w:rPr>
                                <w:rFonts w:hint="eastAsia" w:hAnsi="宋体"/>
                              </w:rPr>
                              <w:t>2.本协议自双方签字(或盖章)之日起生效。</w:t>
                            </w:r>
                          </w:p>
                          <w:p>
                            <w:pPr>
                              <w:pStyle w:val="57"/>
                              <w:ind w:firstLine="420"/>
                              <w:rPr>
                                <w:rFonts w:hAnsi="宋体"/>
                              </w:rPr>
                            </w:pPr>
                            <w:r>
                              <w:rPr>
                                <w:rFonts w:hint="eastAsia" w:hAnsi="宋体"/>
                              </w:rPr>
                              <w:t>3.本协议未尽事宜，可由双方另行协商补充。</w:t>
                            </w:r>
                          </w:p>
                          <w:p>
                            <w:pPr>
                              <w:pStyle w:val="57"/>
                              <w:ind w:firstLine="420"/>
                              <w:rPr>
                                <w:rFonts w:hAnsi="宋体"/>
                              </w:rPr>
                            </w:pPr>
                            <w:r>
                              <w:rPr>
                                <w:rFonts w:hint="eastAsia" w:hAnsi="宋体"/>
                              </w:rPr>
                              <w:t xml:space="preserve">  </w:t>
                            </w:r>
                          </w:p>
                          <w:p>
                            <w:pPr>
                              <w:pStyle w:val="57"/>
                              <w:ind w:firstLine="105" w:firstLineChars="50"/>
                              <w:rPr>
                                <w:rFonts w:hAnsi="宋体"/>
                              </w:rPr>
                            </w:pPr>
                            <w:r>
                              <w:rPr>
                                <w:rFonts w:hint="eastAsia" w:hAnsi="宋体"/>
                              </w:rPr>
                              <w:t>甲方签字:                                日期:--</w:t>
                            </w:r>
                          </w:p>
                          <w:p>
                            <w:pPr>
                              <w:pStyle w:val="231"/>
                              <w:ind w:firstLine="105" w:firstLineChars="50"/>
                              <w:rPr>
                                <w:rFonts w:ascii="宋体" w:hAnsi="宋体"/>
                              </w:rPr>
                            </w:pPr>
                            <w:r>
                              <w:rPr>
                                <w:rFonts w:hint="eastAsia" w:ascii="宋体" w:hAnsi="宋体"/>
                              </w:rPr>
                              <w:t xml:space="preserve">乙方签字(或盖章):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日期:_</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65pt;margin-top:24.85pt;height:541.75pt;width:465.45pt;mso-wrap-distance-bottom:3.6pt;mso-wrap-distance-left:9pt;mso-wrap-distance-right:9pt;mso-wrap-distance-top:3.6pt;z-index:251665408;mso-width-relative:page;mso-height-relative:page;" fillcolor="#FFFFFF" filled="t" stroked="t" coordsize="21600,21600" o:gfxdata="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puM0y1wAA&#10;AAoBAAAPAAAAAAAAAAEAIAAAACIAAABkcnMvZG93bnJldi54bWxQSwECFAAUAAAACACHTuJAPorC&#10;sh8CAAAwBAAADgAAAAAAAAABACAAAAAmAQAAZHJzL2Uyb0RvYy54bWxQSwUGAAAAAAYABgBZAQAA&#10;twUAAAAA&#10;">
                <v:fill on="t" focussize="0,0"/>
                <v:stroke color="#000000" miterlimit="8" joinstyle="miter"/>
                <v:imagedata o:title=""/>
                <o:lock v:ext="edit" aspectratio="f"/>
                <v:textbox>
                  <w:txbxContent>
                    <w:p>
                      <w:pPr>
                        <w:pStyle w:val="57"/>
                        <w:ind w:firstLine="3465" w:firstLineChars="1650"/>
                        <w:rPr>
                          <w:rFonts w:hAnsi="宋体"/>
                          <w:szCs w:val="21"/>
                        </w:rPr>
                      </w:pPr>
                      <w:r>
                        <w:rPr>
                          <w:rFonts w:hint="eastAsia" w:hAnsi="宋体"/>
                        </w:rPr>
                        <w:t>XXXX机构临终关怀服务协议</w:t>
                      </w:r>
                    </w:p>
                    <w:p>
                      <w:pPr>
                        <w:pStyle w:val="57"/>
                        <w:ind w:firstLine="3465" w:firstLineChars="1650"/>
                        <w:rPr>
                          <w:rFonts w:hAnsi="宋体"/>
                        </w:rPr>
                      </w:pPr>
                      <w:r>
                        <w:rPr>
                          <w:rFonts w:hint="eastAsia" w:hAnsi="宋体"/>
                        </w:rPr>
                        <w:t xml:space="preserve"> </w:t>
                      </w:r>
                    </w:p>
                    <w:p>
                      <w:pPr>
                        <w:pStyle w:val="57"/>
                        <w:ind w:firstLine="420"/>
                        <w:rPr>
                          <w:rFonts w:hAnsi="宋体"/>
                        </w:rPr>
                      </w:pPr>
                      <w:r>
                        <w:rPr>
                          <w:rFonts w:hint="eastAsia" w:hAnsi="宋体"/>
                        </w:rPr>
                        <w:t>本协议由以下两方签署:</w:t>
                      </w:r>
                    </w:p>
                    <w:p>
                      <w:pPr>
                        <w:pStyle w:val="57"/>
                        <w:ind w:firstLine="422"/>
                        <w:rPr>
                          <w:rFonts w:hAnsi="宋体"/>
                        </w:rPr>
                      </w:pPr>
                      <w:r>
                        <w:rPr>
                          <w:rFonts w:hint="eastAsia" w:hAnsi="宋体"/>
                          <w:b/>
                        </w:rPr>
                        <w:t>甲方</w:t>
                      </w:r>
                      <w:r>
                        <w:rPr>
                          <w:rFonts w:hint="eastAsia" w:hAnsi="宋体"/>
                        </w:rPr>
                        <w:t>:(患者或其委托代理人)</w:t>
                      </w:r>
                    </w:p>
                    <w:p>
                      <w:pPr>
                        <w:pStyle w:val="57"/>
                        <w:ind w:firstLine="422"/>
                        <w:rPr>
                          <w:rFonts w:hAnsi="宋体"/>
                        </w:rPr>
                      </w:pPr>
                      <w:r>
                        <w:rPr>
                          <w:rFonts w:hint="eastAsia" w:hAnsi="宋体"/>
                          <w:b/>
                        </w:rPr>
                        <w:t>乙方</w:t>
                      </w:r>
                      <w:r>
                        <w:rPr>
                          <w:rFonts w:hint="eastAsia" w:hAnsi="宋体"/>
                        </w:rPr>
                        <w:t>:(养老机构名称)</w:t>
                      </w:r>
                    </w:p>
                    <w:p>
                      <w:pPr>
                        <w:pStyle w:val="57"/>
                        <w:ind w:firstLine="420"/>
                        <w:rPr>
                          <w:rFonts w:hAnsi="宋体"/>
                        </w:rPr>
                      </w:pPr>
                      <w:r>
                        <w:rPr>
                          <w:rFonts w:hint="eastAsia" w:hAnsi="宋体"/>
                        </w:rPr>
                        <w:t>鉴于患者目前病情处于无法逆转的状态，为尊重患者（亲属）意</w:t>
                      </w:r>
                      <w:r>
                        <w:rPr>
                          <w:rFonts w:hint="eastAsia" w:hAnsi="宋体"/>
                          <w:color w:val="000000" w:themeColor="text1"/>
                          <w14:textFill>
                            <w14:solidFill>
                              <w14:schemeClr w14:val="tx1"/>
                            </w14:solidFill>
                          </w14:textFill>
                        </w:rPr>
                        <w:t>愿，放弃</w:t>
                      </w:r>
                      <w:r>
                        <w:rPr>
                          <w:rFonts w:hAnsi="宋体"/>
                          <w:color w:val="000000" w:themeColor="text1"/>
                          <w14:textFill>
                            <w14:solidFill>
                              <w14:schemeClr w14:val="tx1"/>
                            </w14:solidFill>
                          </w14:textFill>
                        </w:rPr>
                        <w:t>治疗</w:t>
                      </w:r>
                      <w:r>
                        <w:rPr>
                          <w:rFonts w:hint="eastAsia" w:hAnsi="宋体"/>
                          <w:color w:val="000000" w:themeColor="text1"/>
                          <w14:textFill>
                            <w14:solidFill>
                              <w14:schemeClr w14:val="tx1"/>
                            </w14:solidFill>
                          </w14:textFill>
                        </w:rPr>
                        <w:t>，</w:t>
                      </w:r>
                      <w:r>
                        <w:rPr>
                          <w:rFonts w:hint="eastAsia" w:hAnsi="宋体"/>
                        </w:rPr>
                        <w:t>提高患者生命末期的生活质量，甲乙双方经过友好协商，就乙方为甲方提供临终关怀服务达成以下协议:</w:t>
                      </w:r>
                    </w:p>
                    <w:p>
                      <w:pPr>
                        <w:pStyle w:val="57"/>
                        <w:ind w:firstLine="422"/>
                        <w:rPr>
                          <w:rFonts w:hAnsi="宋体"/>
                          <w:b/>
                        </w:rPr>
                      </w:pPr>
                      <w:r>
                        <w:rPr>
                          <w:rFonts w:hint="eastAsia" w:hAnsi="宋体"/>
                          <w:b/>
                        </w:rPr>
                        <w:t>一、服务内容</w:t>
                      </w:r>
                    </w:p>
                    <w:p>
                      <w:pPr>
                        <w:pStyle w:val="57"/>
                        <w:ind w:firstLine="420"/>
                        <w:rPr>
                          <w:rFonts w:hAnsi="宋体"/>
                        </w:rPr>
                      </w:pPr>
                      <w:r>
                        <w:rPr>
                          <w:rFonts w:hint="eastAsia" w:hAnsi="宋体"/>
                        </w:rPr>
                        <w:t>1.乙方将为患者提供疼痛控制、症状缓解、心理支持、精神慰藉等全方位的临终关怀服务。</w:t>
                      </w:r>
                    </w:p>
                    <w:p>
                      <w:pPr>
                        <w:pStyle w:val="57"/>
                        <w:ind w:firstLine="420"/>
                        <w:rPr>
                          <w:rFonts w:hAnsi="宋体"/>
                        </w:rPr>
                      </w:pPr>
                      <w:r>
                        <w:rPr>
                          <w:rFonts w:hint="eastAsia" w:hAnsi="宋体"/>
                        </w:rPr>
                        <w:t>2.乙方将尊重患者的意愿，尽量满足其在生命末期的合理需求。</w:t>
                      </w:r>
                    </w:p>
                    <w:p>
                      <w:pPr>
                        <w:pStyle w:val="57"/>
                        <w:ind w:firstLine="420"/>
                        <w:rPr>
                          <w:rFonts w:hAnsi="宋体"/>
                        </w:rPr>
                      </w:pPr>
                      <w:r>
                        <w:rPr>
                          <w:rFonts w:hint="eastAsia" w:hAnsi="宋体"/>
                        </w:rPr>
                        <w:t>3、乙方将为患者及其家属提供有关临终关怀的咨询和指导。</w:t>
                      </w:r>
                    </w:p>
                    <w:p>
                      <w:pPr>
                        <w:pStyle w:val="57"/>
                        <w:ind w:firstLine="422"/>
                        <w:rPr>
                          <w:rFonts w:hAnsi="宋体"/>
                          <w:b/>
                        </w:rPr>
                      </w:pPr>
                      <w:r>
                        <w:rPr>
                          <w:rFonts w:hint="eastAsia" w:hAnsi="宋体"/>
                          <w:b/>
                        </w:rPr>
                        <w:t>二、服务期限</w:t>
                      </w:r>
                    </w:p>
                    <w:p>
                      <w:pPr>
                        <w:pStyle w:val="57"/>
                        <w:ind w:firstLine="420"/>
                        <w:rPr>
                          <w:rFonts w:hAnsi="宋体"/>
                        </w:rPr>
                      </w:pPr>
                      <w:r>
                        <w:rPr>
                          <w:rFonts w:hint="eastAsia" w:hAnsi="宋体"/>
                        </w:rPr>
                        <w:t>本协议自签署之日起生效，至甲方生命如下</w:t>
                      </w:r>
                      <w:r>
                        <w:rPr>
                          <w:rFonts w:hAnsi="宋体"/>
                        </w:rPr>
                        <w:t>情形</w:t>
                      </w:r>
                      <w:r>
                        <w:rPr>
                          <w:rFonts w:hint="eastAsia" w:hAnsi="宋体"/>
                        </w:rPr>
                        <w:t>时终止。</w:t>
                      </w:r>
                    </w:p>
                    <w:p>
                      <w:pPr>
                        <w:pStyle w:val="57"/>
                        <w:ind w:firstLine="420"/>
                        <w:rPr>
                          <w:rFonts w:hAnsi="宋体"/>
                        </w:rPr>
                      </w:pPr>
                      <w:r>
                        <w:rPr>
                          <w:rFonts w:hAnsi="宋体"/>
                        </w:rPr>
                        <w:t>1.</w:t>
                      </w:r>
                      <w:r>
                        <w:rPr>
                          <w:rFonts w:hint="eastAsia" w:hAnsi="宋体"/>
                        </w:rPr>
                        <w:t>甲方</w:t>
                      </w:r>
                      <w:r>
                        <w:rPr>
                          <w:rFonts w:hAnsi="宋体"/>
                        </w:rPr>
                        <w:t>生命终止时；</w:t>
                      </w:r>
                    </w:p>
                    <w:p>
                      <w:pPr>
                        <w:pStyle w:val="57"/>
                        <w:ind w:firstLine="420"/>
                        <w:rPr>
                          <w:rFonts w:hAnsi="宋体"/>
                        </w:rPr>
                      </w:pPr>
                      <w:r>
                        <w:rPr>
                          <w:rFonts w:hint="eastAsia" w:hAnsi="宋体"/>
                        </w:rPr>
                        <w:t>2．</w:t>
                      </w:r>
                      <w:r>
                        <w:rPr>
                          <w:rFonts w:hAnsi="宋体"/>
                        </w:rPr>
                        <w:t>甲方</w:t>
                      </w:r>
                      <w:r>
                        <w:rPr>
                          <w:rFonts w:hint="eastAsia" w:hAnsi="宋体"/>
                        </w:rPr>
                        <w:t>委托人</w:t>
                      </w:r>
                      <w:r>
                        <w:rPr>
                          <w:rFonts w:hAnsi="宋体"/>
                        </w:rPr>
                        <w:t>终止协议；</w:t>
                      </w:r>
                    </w:p>
                    <w:p>
                      <w:pPr>
                        <w:pStyle w:val="57"/>
                        <w:ind w:firstLine="420"/>
                        <w:rPr>
                          <w:rFonts w:hAnsi="宋体"/>
                        </w:rPr>
                      </w:pPr>
                      <w:r>
                        <w:rPr>
                          <w:rFonts w:hAnsi="宋体"/>
                        </w:rPr>
                        <w:t>3.</w:t>
                      </w:r>
                      <w:r>
                        <w:rPr>
                          <w:rFonts w:hint="eastAsia" w:hAnsi="宋体"/>
                        </w:rPr>
                        <w:t>病情</w:t>
                      </w:r>
                      <w:r>
                        <w:rPr>
                          <w:rFonts w:hAnsi="宋体"/>
                        </w:rPr>
                        <w:t>好转；</w:t>
                      </w:r>
                    </w:p>
                    <w:p>
                      <w:pPr>
                        <w:pStyle w:val="57"/>
                        <w:ind w:firstLine="420"/>
                        <w:rPr>
                          <w:rFonts w:hAnsi="宋体"/>
                        </w:rPr>
                      </w:pPr>
                      <w:r>
                        <w:rPr>
                          <w:rFonts w:hint="eastAsia" w:hAnsi="宋体"/>
                        </w:rPr>
                        <w:t>4.转介</w:t>
                      </w:r>
                      <w:r>
                        <w:rPr>
                          <w:rFonts w:hAnsi="宋体"/>
                        </w:rPr>
                        <w:t>。</w:t>
                      </w:r>
                    </w:p>
                    <w:p>
                      <w:pPr>
                        <w:pStyle w:val="57"/>
                        <w:ind w:firstLine="422"/>
                        <w:rPr>
                          <w:rFonts w:hAnsi="宋体"/>
                          <w:b/>
                        </w:rPr>
                      </w:pPr>
                      <w:r>
                        <w:rPr>
                          <w:rFonts w:hint="eastAsia" w:hAnsi="宋体"/>
                          <w:b/>
                        </w:rPr>
                        <w:t>三、权利和义务</w:t>
                      </w:r>
                    </w:p>
                    <w:p>
                      <w:pPr>
                        <w:pStyle w:val="57"/>
                        <w:ind w:firstLine="420"/>
                        <w:rPr>
                          <w:rFonts w:hAnsi="宋体"/>
                        </w:rPr>
                      </w:pPr>
                      <w:r>
                        <w:rPr>
                          <w:rFonts w:hint="eastAsia" w:hAnsi="宋体"/>
                        </w:rPr>
                        <w:t>1.甲方有权接受乙方提供的临终关怀服务，并有权对服务质量提出意见和建议。</w:t>
                      </w:r>
                    </w:p>
                    <w:p>
                      <w:pPr>
                        <w:pStyle w:val="57"/>
                        <w:ind w:firstLine="420"/>
                        <w:rPr>
                          <w:rFonts w:hAnsi="宋体"/>
                        </w:rPr>
                      </w:pPr>
                      <w:r>
                        <w:rPr>
                          <w:rFonts w:hint="eastAsia" w:hAnsi="宋体"/>
                        </w:rPr>
                        <w:t>2.甲方应尊重乙方的医疗判断和决策，并配合乙方的工作。</w:t>
                      </w:r>
                    </w:p>
                    <w:p>
                      <w:pPr>
                        <w:pStyle w:val="57"/>
                        <w:ind w:firstLine="420"/>
                        <w:rPr>
                          <w:rFonts w:hAnsi="宋体"/>
                        </w:rPr>
                      </w:pPr>
                      <w:r>
                        <w:rPr>
                          <w:rFonts w:hint="eastAsia" w:hAnsi="宋体"/>
                        </w:rPr>
                        <w:t>3.乙方有权根据甲方的病情和需求，制定和调整临终关怀服务计划。</w:t>
                      </w:r>
                    </w:p>
                    <w:p>
                      <w:pPr>
                        <w:pStyle w:val="57"/>
                        <w:ind w:firstLine="420"/>
                        <w:rPr>
                          <w:rFonts w:hAnsi="宋体"/>
                        </w:rPr>
                      </w:pPr>
                      <w:r>
                        <w:rPr>
                          <w:rFonts w:hint="eastAsia" w:hAnsi="宋体"/>
                        </w:rPr>
                        <w:t>4.乙方有义务保护甲方的隐私和尊严，不得泄露甲方的个人信息和病情。</w:t>
                      </w:r>
                    </w:p>
                    <w:p>
                      <w:pPr>
                        <w:pStyle w:val="57"/>
                        <w:ind w:firstLine="422"/>
                        <w:rPr>
                          <w:rFonts w:hAnsi="宋体"/>
                          <w:b/>
                        </w:rPr>
                      </w:pPr>
                      <w:r>
                        <w:rPr>
                          <w:rFonts w:hint="eastAsia" w:hAnsi="宋体"/>
                          <w:b/>
                        </w:rPr>
                        <w:t>四、费用支付</w:t>
                      </w:r>
                    </w:p>
                    <w:p>
                      <w:pPr>
                        <w:pStyle w:val="57"/>
                        <w:ind w:firstLine="420"/>
                        <w:rPr>
                          <w:rFonts w:hAnsi="宋体"/>
                        </w:rPr>
                      </w:pPr>
                      <w:r>
                        <w:rPr>
                          <w:rFonts w:hint="eastAsia" w:hAnsi="宋体"/>
                        </w:rPr>
                        <w:t>1.甲方应按照乙方的规定支付临终关怀服务费用。费用标准按照相关</w:t>
                      </w:r>
                      <w:r>
                        <w:rPr>
                          <w:rFonts w:hAnsi="宋体"/>
                        </w:rPr>
                        <w:t>规定执行。</w:t>
                      </w:r>
                    </w:p>
                    <w:p>
                      <w:pPr>
                        <w:pStyle w:val="57"/>
                        <w:ind w:firstLine="422"/>
                        <w:rPr>
                          <w:rFonts w:hAnsi="宋体"/>
                          <w:b/>
                        </w:rPr>
                      </w:pPr>
                      <w:r>
                        <w:rPr>
                          <w:rFonts w:hint="eastAsia" w:hAnsi="宋体"/>
                          <w:b/>
                        </w:rPr>
                        <w:t>五、争议解决</w:t>
                      </w:r>
                    </w:p>
                    <w:p>
                      <w:pPr>
                        <w:pStyle w:val="57"/>
                        <w:ind w:firstLine="420"/>
                        <w:rPr>
                          <w:rFonts w:hAnsi="宋体"/>
                        </w:rPr>
                      </w:pPr>
                      <w:r>
                        <w:rPr>
                          <w:rFonts w:hint="eastAsia" w:hAnsi="宋体"/>
                        </w:rPr>
                        <w:t>如双方在履行本协议过程中发生争议，应首先通过友好协商解决;协商不成的，可向乙方所在地人民法院提起诉讼。</w:t>
                      </w:r>
                    </w:p>
                    <w:p>
                      <w:pPr>
                        <w:pStyle w:val="57"/>
                        <w:ind w:firstLine="422"/>
                        <w:rPr>
                          <w:rFonts w:hAnsi="宋体"/>
                          <w:b/>
                        </w:rPr>
                      </w:pPr>
                      <w:r>
                        <w:rPr>
                          <w:rFonts w:hint="eastAsia" w:hAnsi="宋体"/>
                          <w:b/>
                        </w:rPr>
                        <w:t>六、其他</w:t>
                      </w:r>
                    </w:p>
                    <w:p>
                      <w:pPr>
                        <w:pStyle w:val="57"/>
                        <w:ind w:firstLine="420"/>
                        <w:rPr>
                          <w:rFonts w:hAnsi="宋体"/>
                        </w:rPr>
                      </w:pPr>
                      <w:r>
                        <w:rPr>
                          <w:rFonts w:hint="eastAsia" w:hAnsi="宋体"/>
                        </w:rPr>
                        <w:t>1.本协议一式两份，甲乙双方各执一份。</w:t>
                      </w:r>
                    </w:p>
                    <w:p>
                      <w:pPr>
                        <w:pStyle w:val="57"/>
                        <w:ind w:firstLine="420"/>
                        <w:rPr>
                          <w:rFonts w:hAnsi="宋体"/>
                        </w:rPr>
                      </w:pPr>
                      <w:r>
                        <w:rPr>
                          <w:rFonts w:hint="eastAsia" w:hAnsi="宋体"/>
                        </w:rPr>
                        <w:t>2.本协议自双方签字(或盖章)之日起生效。</w:t>
                      </w:r>
                    </w:p>
                    <w:p>
                      <w:pPr>
                        <w:pStyle w:val="57"/>
                        <w:ind w:firstLine="420"/>
                        <w:rPr>
                          <w:rFonts w:hAnsi="宋体"/>
                        </w:rPr>
                      </w:pPr>
                      <w:r>
                        <w:rPr>
                          <w:rFonts w:hint="eastAsia" w:hAnsi="宋体"/>
                        </w:rPr>
                        <w:t>3.本协议未尽事宜，可由双方另行协商补充。</w:t>
                      </w:r>
                    </w:p>
                    <w:p>
                      <w:pPr>
                        <w:pStyle w:val="57"/>
                        <w:ind w:firstLine="420"/>
                        <w:rPr>
                          <w:rFonts w:hAnsi="宋体"/>
                        </w:rPr>
                      </w:pPr>
                      <w:r>
                        <w:rPr>
                          <w:rFonts w:hint="eastAsia" w:hAnsi="宋体"/>
                        </w:rPr>
                        <w:t xml:space="preserve">  </w:t>
                      </w:r>
                    </w:p>
                    <w:p>
                      <w:pPr>
                        <w:pStyle w:val="57"/>
                        <w:ind w:firstLine="105" w:firstLineChars="50"/>
                        <w:rPr>
                          <w:rFonts w:hAnsi="宋体"/>
                        </w:rPr>
                      </w:pPr>
                      <w:r>
                        <w:rPr>
                          <w:rFonts w:hint="eastAsia" w:hAnsi="宋体"/>
                        </w:rPr>
                        <w:t>甲方签字:                                日期:--</w:t>
                      </w:r>
                    </w:p>
                    <w:p>
                      <w:pPr>
                        <w:pStyle w:val="231"/>
                        <w:ind w:firstLine="105" w:firstLineChars="50"/>
                        <w:rPr>
                          <w:rFonts w:ascii="宋体" w:hAnsi="宋体"/>
                        </w:rPr>
                      </w:pPr>
                      <w:r>
                        <w:rPr>
                          <w:rFonts w:hint="eastAsia" w:ascii="宋体" w:hAnsi="宋体"/>
                        </w:rPr>
                        <w:t xml:space="preserve">乙方签字(或盖章):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日期:_</w:t>
                      </w:r>
                    </w:p>
                  </w:txbxContent>
                </v:textbox>
                <w10:wrap type="square"/>
              </v:shape>
            </w:pict>
          </mc:Fallback>
        </mc:AlternateContent>
      </w:r>
      <w:r>
        <w:rPr>
          <w:rFonts w:hint="eastAsia"/>
        </w:rPr>
        <w:t>临终关怀服务协议宜参照下列模版。</w:t>
      </w:r>
    </w:p>
    <w:p>
      <w:pPr>
        <w:pStyle w:val="57"/>
        <w:ind w:firstLine="0" w:firstLineChars="0"/>
      </w:pPr>
    </w:p>
    <w:p>
      <w:pPr>
        <w:pStyle w:val="57"/>
        <w:ind w:firstLine="199" w:firstLineChars="95"/>
        <w:sectPr>
          <w:headerReference r:id="rId21" w:type="default"/>
          <w:footerReference r:id="rId23" w:type="default"/>
          <w:headerReference r:id="rId22" w:type="even"/>
          <w:footerReference r:id="rId24" w:type="even"/>
          <w:pgSz w:w="11906" w:h="16838"/>
          <w:pgMar w:top="1928" w:right="1134" w:bottom="1134" w:left="1134" w:header="1418" w:footer="1134" w:gutter="284"/>
          <w:cols w:space="425" w:num="1"/>
          <w:formProt w:val="0"/>
          <w:docGrid w:type="lines" w:linePitch="312" w:charSpace="0"/>
        </w:sectPr>
      </w:pPr>
    </w:p>
    <w:p>
      <w:pPr>
        <w:pStyle w:val="199"/>
        <w:rPr>
          <w:vanish w:val="0"/>
        </w:rPr>
      </w:pPr>
    </w:p>
    <w:p>
      <w:pPr>
        <w:pStyle w:val="200"/>
        <w:rPr>
          <w:vanish w:val="0"/>
        </w:rPr>
      </w:pPr>
    </w:p>
    <w:p>
      <w:pPr>
        <w:pStyle w:val="77"/>
        <w:spacing w:after="156"/>
      </w:pPr>
      <w:r>
        <w:br w:type="textWrapping"/>
      </w:r>
      <w:r>
        <w:rPr>
          <w:rFonts w:hint="eastAsia"/>
        </w:rPr>
        <w:t>（资料性）</w:t>
      </w:r>
      <w:r>
        <w:br w:type="textWrapping"/>
      </w:r>
      <w:r>
        <w:rPr>
          <w:rFonts w:hint="eastAsia"/>
        </w:rPr>
        <w:t>临终关怀谈话记录与计划表</w:t>
      </w:r>
    </w:p>
    <w:p>
      <w:pPr>
        <w:pStyle w:val="57"/>
        <w:ind w:firstLine="420"/>
      </w:pPr>
      <w:r>
        <w:rPr>
          <w:rFonts w:hint="eastAsia"/>
        </w:rPr>
        <w:t>临终关怀谈话记录与计划表见B.1。</w:t>
      </w:r>
    </w:p>
    <w:p>
      <w:pPr>
        <w:pStyle w:val="78"/>
        <w:spacing w:before="156" w:after="156"/>
      </w:pPr>
      <w:r>
        <w:rPr>
          <w:rFonts w:hint="eastAsia"/>
        </w:rPr>
        <w:t>临终关怀谈话记录与计划表</w:t>
      </w:r>
    </w:p>
    <w:p>
      <w:pPr>
        <w:pStyle w:val="200"/>
      </w:pPr>
      <w:r>
        <w:rPr>
          <w:rFonts w:hint="eastAsia"/>
        </w:rPr>
        <w:t>临终关怀服务谈话记录表</w:t>
      </w:r>
    </w:p>
    <w:tbl>
      <w:tblPr>
        <w:tblStyle w:val="28"/>
        <w:tblW w:w="937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8"/>
        <w:gridCol w:w="995"/>
        <w:gridCol w:w="427"/>
        <w:gridCol w:w="1478"/>
        <w:gridCol w:w="1223"/>
        <w:gridCol w:w="2417"/>
        <w:gridCol w:w="19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2270" w:type="dxa"/>
            <w:gridSpan w:val="3"/>
            <w:tcBorders>
              <w:top w:val="single" w:color="auto" w:sz="8" w:space="0"/>
              <w:left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长者（患者）姓名：</w:t>
            </w:r>
          </w:p>
        </w:tc>
        <w:tc>
          <w:tcPr>
            <w:tcW w:w="1478" w:type="dxa"/>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性别：</w:t>
            </w:r>
          </w:p>
        </w:tc>
        <w:tc>
          <w:tcPr>
            <w:tcW w:w="1223" w:type="dxa"/>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年龄：</w:t>
            </w:r>
          </w:p>
        </w:tc>
        <w:tc>
          <w:tcPr>
            <w:tcW w:w="2417" w:type="dxa"/>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照护级别：</w:t>
            </w:r>
          </w:p>
        </w:tc>
        <w:tc>
          <w:tcPr>
            <w:tcW w:w="1985" w:type="dxa"/>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Borders>
              <w:top w:val="single" w:color="auto" w:sz="8" w:space="0"/>
              <w:left w:val="single" w:color="auto" w:sz="8" w:space="0"/>
              <w:bottom w:val="single" w:color="auto" w:sz="8" w:space="0"/>
            </w:tcBorders>
            <w:vAlign w:val="center"/>
          </w:tcPr>
          <w:p>
            <w:pPr>
              <w:pStyle w:val="57"/>
              <w:ind w:firstLine="0" w:firstLineChars="0"/>
              <w:jc w:val="center"/>
              <w:rPr>
                <w:rFonts w:hAnsi="宋体"/>
                <w:sz w:val="18"/>
                <w:szCs w:val="18"/>
              </w:rPr>
            </w:pPr>
            <w:r>
              <w:rPr>
                <w:rFonts w:hint="eastAsia" w:hAnsi="宋体"/>
                <w:sz w:val="18"/>
                <w:szCs w:val="18"/>
              </w:rPr>
              <w:t>日期</w:t>
            </w:r>
          </w:p>
        </w:tc>
        <w:tc>
          <w:tcPr>
            <w:tcW w:w="995" w:type="dxa"/>
            <w:tcBorders>
              <w:top w:val="single" w:color="auto" w:sz="8" w:space="0"/>
              <w:bottom w:val="single" w:color="auto" w:sz="8" w:space="0"/>
            </w:tcBorders>
            <w:vAlign w:val="center"/>
          </w:tcPr>
          <w:p>
            <w:pPr>
              <w:pStyle w:val="57"/>
              <w:ind w:firstLine="0" w:firstLineChars="0"/>
              <w:jc w:val="center"/>
              <w:rPr>
                <w:rFonts w:hAnsi="宋体"/>
                <w:sz w:val="18"/>
                <w:szCs w:val="18"/>
              </w:rPr>
            </w:pPr>
            <w:r>
              <w:rPr>
                <w:rFonts w:hint="eastAsia" w:hAnsi="宋体"/>
                <w:sz w:val="18"/>
                <w:szCs w:val="18"/>
              </w:rPr>
              <w:t>时间</w:t>
            </w:r>
          </w:p>
        </w:tc>
        <w:tc>
          <w:tcPr>
            <w:tcW w:w="1905" w:type="dxa"/>
            <w:gridSpan w:val="2"/>
            <w:tcBorders>
              <w:top w:val="single" w:color="auto" w:sz="8" w:space="0"/>
              <w:bottom w:val="single" w:color="auto" w:sz="8" w:space="0"/>
            </w:tcBorders>
            <w:vAlign w:val="center"/>
          </w:tcPr>
          <w:p>
            <w:pPr>
              <w:pStyle w:val="57"/>
              <w:ind w:firstLine="0" w:firstLineChars="0"/>
              <w:jc w:val="center"/>
              <w:rPr>
                <w:rFonts w:hAnsi="宋体"/>
                <w:sz w:val="18"/>
                <w:szCs w:val="18"/>
              </w:rPr>
            </w:pPr>
            <w:r>
              <w:rPr>
                <w:rFonts w:hint="eastAsia" w:hAnsi="宋体"/>
                <w:sz w:val="18"/>
                <w:szCs w:val="18"/>
              </w:rPr>
              <w:t>家属姓名</w:t>
            </w:r>
          </w:p>
        </w:tc>
        <w:tc>
          <w:tcPr>
            <w:tcW w:w="3640" w:type="dxa"/>
            <w:gridSpan w:val="2"/>
            <w:tcBorders>
              <w:top w:val="single" w:color="auto" w:sz="8" w:space="0"/>
              <w:bottom w:val="single" w:color="auto" w:sz="8" w:space="0"/>
            </w:tcBorders>
            <w:vAlign w:val="center"/>
          </w:tcPr>
          <w:p>
            <w:pPr>
              <w:pStyle w:val="57"/>
              <w:ind w:firstLine="0" w:firstLineChars="0"/>
              <w:jc w:val="center"/>
              <w:rPr>
                <w:rFonts w:hAnsi="宋体"/>
                <w:sz w:val="18"/>
                <w:szCs w:val="18"/>
              </w:rPr>
            </w:pPr>
            <w:r>
              <w:rPr>
                <w:rFonts w:hint="eastAsia" w:hAnsi="宋体"/>
                <w:sz w:val="18"/>
                <w:szCs w:val="18"/>
              </w:rPr>
              <w:t>沟通内容</w:t>
            </w:r>
          </w:p>
        </w:tc>
        <w:tc>
          <w:tcPr>
            <w:tcW w:w="1985" w:type="dxa"/>
            <w:tcBorders>
              <w:top w:val="single" w:color="auto" w:sz="8" w:space="0"/>
              <w:bottom w:val="single" w:color="auto" w:sz="8" w:space="0"/>
            </w:tcBorders>
            <w:vAlign w:val="center"/>
          </w:tcPr>
          <w:p>
            <w:pPr>
              <w:pStyle w:val="57"/>
              <w:ind w:firstLine="0" w:firstLineChars="0"/>
              <w:jc w:val="center"/>
              <w:rPr>
                <w:rFonts w:hAnsi="宋体"/>
                <w:sz w:val="18"/>
                <w:szCs w:val="18"/>
              </w:rPr>
            </w:pPr>
            <w:r>
              <w:rPr>
                <w:rFonts w:hint="eastAsia" w:hAnsi="宋体"/>
                <w:sz w:val="18"/>
                <w:szCs w:val="18"/>
              </w:rPr>
              <w:t>签名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Borders>
              <w:top w:val="single" w:color="auto" w:sz="8" w:space="0"/>
            </w:tcBorders>
          </w:tcPr>
          <w:p>
            <w:pPr>
              <w:pStyle w:val="57"/>
              <w:ind w:firstLine="0" w:firstLineChars="0"/>
              <w:rPr>
                <w:rFonts w:hAnsi="宋体"/>
                <w:sz w:val="18"/>
                <w:szCs w:val="18"/>
              </w:rPr>
            </w:pPr>
          </w:p>
        </w:tc>
        <w:tc>
          <w:tcPr>
            <w:tcW w:w="995" w:type="dxa"/>
            <w:tcBorders>
              <w:top w:val="single" w:color="auto" w:sz="8" w:space="0"/>
            </w:tcBorders>
          </w:tcPr>
          <w:p>
            <w:pPr>
              <w:pStyle w:val="57"/>
              <w:ind w:firstLine="0" w:firstLineChars="0"/>
              <w:rPr>
                <w:rFonts w:hAnsi="宋体"/>
                <w:sz w:val="18"/>
                <w:szCs w:val="18"/>
              </w:rPr>
            </w:pPr>
          </w:p>
        </w:tc>
        <w:tc>
          <w:tcPr>
            <w:tcW w:w="1905" w:type="dxa"/>
            <w:gridSpan w:val="2"/>
            <w:tcBorders>
              <w:top w:val="single" w:color="auto" w:sz="8" w:space="0"/>
            </w:tcBorders>
          </w:tcPr>
          <w:p>
            <w:pPr>
              <w:pStyle w:val="57"/>
              <w:ind w:firstLine="0" w:firstLineChars="0"/>
              <w:rPr>
                <w:rFonts w:hAnsi="宋体"/>
                <w:sz w:val="18"/>
                <w:szCs w:val="18"/>
              </w:rPr>
            </w:pPr>
          </w:p>
        </w:tc>
        <w:tc>
          <w:tcPr>
            <w:tcW w:w="3640" w:type="dxa"/>
            <w:gridSpan w:val="2"/>
            <w:tcBorders>
              <w:top w:val="single" w:color="auto" w:sz="8" w:space="0"/>
            </w:tcBorders>
          </w:tcPr>
          <w:p>
            <w:pPr>
              <w:pStyle w:val="57"/>
              <w:ind w:firstLine="0" w:firstLineChars="0"/>
              <w:rPr>
                <w:rFonts w:hAnsi="宋体"/>
                <w:sz w:val="18"/>
                <w:szCs w:val="18"/>
              </w:rPr>
            </w:pPr>
          </w:p>
        </w:tc>
        <w:tc>
          <w:tcPr>
            <w:tcW w:w="1985" w:type="dxa"/>
            <w:tcBorders>
              <w:top w:val="single" w:color="auto" w:sz="8" w:space="0"/>
            </w:tcBorders>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848" w:type="dxa"/>
          </w:tcPr>
          <w:p>
            <w:pPr>
              <w:pStyle w:val="57"/>
              <w:ind w:firstLine="0" w:firstLineChars="0"/>
              <w:rPr>
                <w:rFonts w:hAnsi="宋体"/>
                <w:sz w:val="18"/>
                <w:szCs w:val="18"/>
              </w:rPr>
            </w:pPr>
          </w:p>
        </w:tc>
        <w:tc>
          <w:tcPr>
            <w:tcW w:w="995" w:type="dxa"/>
          </w:tcPr>
          <w:p>
            <w:pPr>
              <w:pStyle w:val="57"/>
              <w:ind w:firstLine="0" w:firstLineChars="0"/>
              <w:rPr>
                <w:rFonts w:hAnsi="宋体"/>
                <w:sz w:val="18"/>
                <w:szCs w:val="18"/>
              </w:rPr>
            </w:pPr>
          </w:p>
        </w:tc>
        <w:tc>
          <w:tcPr>
            <w:tcW w:w="1905" w:type="dxa"/>
            <w:gridSpan w:val="2"/>
          </w:tcPr>
          <w:p>
            <w:pPr>
              <w:pStyle w:val="57"/>
              <w:ind w:firstLine="0" w:firstLineChars="0"/>
              <w:rPr>
                <w:rFonts w:hAnsi="宋体"/>
                <w:sz w:val="18"/>
                <w:szCs w:val="18"/>
              </w:rPr>
            </w:pPr>
          </w:p>
        </w:tc>
        <w:tc>
          <w:tcPr>
            <w:tcW w:w="3640" w:type="dxa"/>
            <w:gridSpan w:val="2"/>
          </w:tcPr>
          <w:p>
            <w:pPr>
              <w:pStyle w:val="57"/>
              <w:ind w:firstLine="0" w:firstLineChars="0"/>
              <w:rPr>
                <w:rFonts w:hAnsi="宋体"/>
                <w:sz w:val="18"/>
                <w:szCs w:val="18"/>
              </w:rPr>
            </w:pPr>
          </w:p>
        </w:tc>
        <w:tc>
          <w:tcPr>
            <w:tcW w:w="1985"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9373" w:type="dxa"/>
            <w:gridSpan w:val="7"/>
            <w:vAlign w:val="center"/>
          </w:tcPr>
          <w:p>
            <w:pPr>
              <w:pStyle w:val="57"/>
              <w:ind w:firstLine="0" w:firstLineChars="0"/>
              <w:jc w:val="center"/>
              <w:rPr>
                <w:rFonts w:hAnsi="宋体"/>
                <w:sz w:val="18"/>
                <w:szCs w:val="18"/>
              </w:rPr>
            </w:pPr>
            <w:r>
              <w:rPr>
                <w:rFonts w:hint="eastAsia" w:hAnsi="宋体"/>
                <w:sz w:val="18"/>
                <w:szCs w:val="18"/>
              </w:rPr>
              <w:t xml:space="preserve">服 务 </w:t>
            </w:r>
            <w:r>
              <w:rPr>
                <w:rFonts w:hAnsi="宋体"/>
                <w:sz w:val="18"/>
                <w:szCs w:val="18"/>
              </w:rPr>
              <w:t>计</w:t>
            </w:r>
            <w:r>
              <w:rPr>
                <w:rFonts w:hint="eastAsia" w:hAnsi="宋体"/>
                <w:sz w:val="18"/>
                <w:szCs w:val="18"/>
              </w:rPr>
              <w:t xml:space="preserve"> </w:t>
            </w:r>
            <w:r>
              <w:rPr>
                <w:rFonts w:hAnsi="宋体"/>
                <w:sz w:val="18"/>
                <w:szCs w:val="18"/>
              </w:rPr>
              <w:t>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9373" w:type="dxa"/>
            <w:gridSpan w:val="7"/>
          </w:tcPr>
          <w:p>
            <w:pPr>
              <w:pStyle w:val="57"/>
              <w:ind w:firstLine="180" w:firstLineChars="100"/>
              <w:jc w:val="left"/>
              <w:rPr>
                <w:rFonts w:hAnsi="宋体"/>
                <w:sz w:val="18"/>
                <w:szCs w:val="18"/>
              </w:rPr>
            </w:pPr>
            <w:r>
              <w:rPr>
                <w:rFonts w:hint="eastAsia" w:hAnsi="宋体"/>
                <w:sz w:val="18"/>
                <w:szCs w:val="18"/>
              </w:rPr>
              <w:t>生活</w:t>
            </w:r>
            <w:r>
              <w:rPr>
                <w:rFonts w:hAnsi="宋体"/>
                <w:sz w:val="18"/>
                <w:szCs w:val="18"/>
              </w:rPr>
              <w:t>护理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9373" w:type="dxa"/>
            <w:gridSpan w:val="7"/>
          </w:tcPr>
          <w:p>
            <w:pPr>
              <w:pStyle w:val="57"/>
              <w:ind w:firstLine="180" w:firstLineChars="100"/>
              <w:jc w:val="left"/>
              <w:rPr>
                <w:rFonts w:hAnsi="宋体"/>
                <w:sz w:val="18"/>
                <w:szCs w:val="18"/>
              </w:rPr>
            </w:pPr>
            <w:r>
              <w:rPr>
                <w:rFonts w:hint="eastAsia" w:hAnsi="宋体"/>
                <w:sz w:val="18"/>
                <w:szCs w:val="18"/>
              </w:rPr>
              <w:t>膳食</w:t>
            </w:r>
            <w:r>
              <w:rPr>
                <w:rFonts w:hAnsi="宋体"/>
                <w:sz w:val="18"/>
                <w:szCs w:val="18"/>
              </w:rPr>
              <w:t>与营养支持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9373" w:type="dxa"/>
            <w:gridSpan w:val="7"/>
          </w:tcPr>
          <w:p>
            <w:pPr>
              <w:pStyle w:val="57"/>
              <w:ind w:firstLine="180" w:firstLineChars="100"/>
              <w:jc w:val="left"/>
              <w:rPr>
                <w:rFonts w:hAnsi="宋体"/>
                <w:sz w:val="18"/>
                <w:szCs w:val="18"/>
              </w:rPr>
            </w:pPr>
            <w:r>
              <w:rPr>
                <w:rFonts w:hint="eastAsia" w:hAnsi="宋体"/>
                <w:sz w:val="18"/>
                <w:szCs w:val="18"/>
              </w:rPr>
              <w:t>心理</w:t>
            </w:r>
            <w:r>
              <w:rPr>
                <w:rFonts w:hAnsi="宋体"/>
                <w:sz w:val="18"/>
                <w:szCs w:val="18"/>
              </w:rPr>
              <w:t>照护与情感</w:t>
            </w:r>
            <w:r>
              <w:rPr>
                <w:rFonts w:hint="eastAsia" w:hAnsi="宋体"/>
                <w:sz w:val="18"/>
                <w:szCs w:val="18"/>
              </w:rPr>
              <w:t>支持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9373" w:type="dxa"/>
            <w:gridSpan w:val="7"/>
          </w:tcPr>
          <w:p>
            <w:pPr>
              <w:pStyle w:val="57"/>
              <w:ind w:firstLine="180" w:firstLineChars="100"/>
              <w:jc w:val="left"/>
              <w:rPr>
                <w:rFonts w:hAnsi="宋体"/>
                <w:sz w:val="18"/>
                <w:szCs w:val="18"/>
              </w:rPr>
            </w:pPr>
            <w:r>
              <w:rPr>
                <w:rFonts w:hint="eastAsia" w:hAnsi="宋体"/>
                <w:sz w:val="18"/>
                <w:szCs w:val="18"/>
              </w:rPr>
              <w:t>其他</w:t>
            </w:r>
            <w:r>
              <w:rPr>
                <w:rFonts w:hAnsi="宋体"/>
                <w:sz w:val="18"/>
                <w:szCs w:val="18"/>
              </w:rPr>
              <w:t>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9373" w:type="dxa"/>
            <w:gridSpan w:val="7"/>
          </w:tcPr>
          <w:p>
            <w:pPr>
              <w:pStyle w:val="57"/>
              <w:ind w:firstLine="180" w:firstLineChars="100"/>
              <w:jc w:val="left"/>
              <w:rPr>
                <w:rFonts w:hAnsi="宋体"/>
                <w:sz w:val="18"/>
                <w:szCs w:val="18"/>
              </w:rPr>
            </w:pPr>
            <w:r>
              <w:rPr>
                <w:rFonts w:hint="eastAsia" w:hAnsi="宋体"/>
                <w:sz w:val="18"/>
                <w:szCs w:val="18"/>
              </w:rPr>
              <w:t>善后</w:t>
            </w:r>
            <w:r>
              <w:rPr>
                <w:rFonts w:hAnsi="宋体"/>
                <w:sz w:val="18"/>
                <w:szCs w:val="18"/>
              </w:rPr>
              <w:t>服务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9373" w:type="dxa"/>
            <w:gridSpan w:val="7"/>
            <w:tcBorders>
              <w:bottom w:val="single" w:color="auto" w:sz="8" w:space="0"/>
            </w:tcBorders>
          </w:tcPr>
          <w:p>
            <w:pPr>
              <w:pStyle w:val="57"/>
              <w:ind w:firstLine="180" w:firstLineChars="100"/>
              <w:jc w:val="left"/>
              <w:rPr>
                <w:rFonts w:hAnsi="宋体"/>
                <w:sz w:val="18"/>
                <w:szCs w:val="18"/>
              </w:rPr>
            </w:pPr>
            <w:r>
              <w:rPr>
                <w:rFonts w:hint="eastAsia" w:hAnsi="宋体"/>
                <w:sz w:val="18"/>
                <w:szCs w:val="18"/>
              </w:rPr>
              <w:t>其他</w:t>
            </w:r>
            <w:r>
              <w:rPr>
                <w:rFonts w:hAnsi="宋体"/>
                <w:sz w:val="18"/>
                <w:szCs w:val="18"/>
              </w:rPr>
              <w:t>服务</w:t>
            </w:r>
          </w:p>
        </w:tc>
      </w:tr>
    </w:tbl>
    <w:p>
      <w:pPr>
        <w:pStyle w:val="57"/>
        <w:ind w:firstLine="420"/>
        <w:sectPr>
          <w:headerReference r:id="rId25" w:type="default"/>
          <w:footerReference r:id="rId27" w:type="default"/>
          <w:headerReference r:id="rId26" w:type="even"/>
          <w:footerReference r:id="rId28" w:type="even"/>
          <w:pgSz w:w="11906" w:h="16838"/>
          <w:pgMar w:top="1928" w:right="1134" w:bottom="1134" w:left="1134" w:header="1418" w:footer="1134" w:gutter="284"/>
          <w:cols w:space="425" w:num="1"/>
          <w:formProt w:val="0"/>
          <w:docGrid w:type="lines" w:linePitch="312" w:charSpace="0"/>
        </w:sectPr>
      </w:pPr>
    </w:p>
    <w:p>
      <w:pPr>
        <w:pStyle w:val="199"/>
        <w:rPr>
          <w:vanish w:val="0"/>
        </w:rPr>
      </w:pPr>
    </w:p>
    <w:p>
      <w:pPr>
        <w:pStyle w:val="200"/>
        <w:rPr>
          <w:vanish w:val="0"/>
        </w:rPr>
      </w:pPr>
    </w:p>
    <w:p>
      <w:pPr>
        <w:pStyle w:val="77"/>
        <w:spacing w:after="156"/>
      </w:pPr>
      <w:r>
        <w:br w:type="textWrapping"/>
      </w:r>
      <w:r>
        <w:rPr>
          <w:rFonts w:hint="eastAsia"/>
        </w:rPr>
        <w:t>（资料性）</w:t>
      </w:r>
      <w:r>
        <w:br w:type="textWrapping"/>
      </w:r>
      <w:r>
        <w:rPr>
          <w:rFonts w:hint="eastAsia"/>
        </w:rPr>
        <w:t>临终关怀护理记录表</w:t>
      </w:r>
    </w:p>
    <w:p>
      <w:pPr>
        <w:pStyle w:val="57"/>
        <w:ind w:firstLine="420"/>
      </w:pPr>
      <w:r>
        <w:rPr>
          <w:rFonts w:hint="eastAsia"/>
        </w:rPr>
        <w:t>临终关怀护理记录表见</w:t>
      </w:r>
      <w:r>
        <w:t>C.1</w:t>
      </w:r>
      <w:r>
        <w:rPr>
          <w:rFonts w:hint="eastAsia"/>
        </w:rPr>
        <w:t>。</w:t>
      </w:r>
    </w:p>
    <w:p>
      <w:pPr>
        <w:pStyle w:val="78"/>
        <w:numPr>
          <w:ilvl w:val="0"/>
          <w:numId w:val="0"/>
        </w:numPr>
        <w:spacing w:before="156" w:after="156"/>
      </w:pPr>
      <w:r>
        <w:rPr>
          <w:rFonts w:hint="eastAsia"/>
        </w:rPr>
        <w:t>表C.1 临终关怀护理记录</w:t>
      </w:r>
    </w:p>
    <w:tbl>
      <w:tblPr>
        <w:tblStyle w:val="28"/>
        <w:tblW w:w="920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26"/>
        <w:gridCol w:w="532"/>
        <w:gridCol w:w="738"/>
        <w:gridCol w:w="708"/>
        <w:gridCol w:w="993"/>
        <w:gridCol w:w="708"/>
        <w:gridCol w:w="709"/>
        <w:gridCol w:w="567"/>
        <w:gridCol w:w="567"/>
        <w:gridCol w:w="567"/>
        <w:gridCol w:w="567"/>
        <w:gridCol w:w="567"/>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rPr>
        <w:tc>
          <w:tcPr>
            <w:tcW w:w="2122" w:type="dxa"/>
            <w:gridSpan w:val="4"/>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照护</w:t>
            </w:r>
            <w:r>
              <w:rPr>
                <w:rFonts w:hAnsi="宋体"/>
                <w:sz w:val="18"/>
                <w:szCs w:val="18"/>
              </w:rPr>
              <w:t>者姓名：</w:t>
            </w:r>
          </w:p>
        </w:tc>
        <w:tc>
          <w:tcPr>
            <w:tcW w:w="1701" w:type="dxa"/>
            <w:gridSpan w:val="2"/>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性别</w:t>
            </w:r>
            <w:r>
              <w:rPr>
                <w:rFonts w:hAnsi="宋体"/>
                <w:sz w:val="18"/>
                <w:szCs w:val="18"/>
              </w:rPr>
              <w:t>：</w:t>
            </w:r>
            <w:r>
              <w:rPr>
                <w:rFonts w:hint="eastAsia" w:hAnsi="宋体"/>
                <w:sz w:val="18"/>
                <w:szCs w:val="18"/>
              </w:rPr>
              <w:t xml:space="preserve">          </w:t>
            </w:r>
          </w:p>
        </w:tc>
        <w:tc>
          <w:tcPr>
            <w:tcW w:w="1417" w:type="dxa"/>
            <w:gridSpan w:val="2"/>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年龄：</w:t>
            </w:r>
          </w:p>
        </w:tc>
        <w:tc>
          <w:tcPr>
            <w:tcW w:w="3969" w:type="dxa"/>
            <w:gridSpan w:val="6"/>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进入</w:t>
            </w:r>
            <w:r>
              <w:rPr>
                <w:rFonts w:hAnsi="宋体"/>
                <w:sz w:val="18"/>
                <w:szCs w:val="18"/>
              </w:rPr>
              <w:t>临终关怀时间：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426" w:type="dxa"/>
            <w:vMerge w:val="restart"/>
            <w:tcBorders>
              <w:top w:val="single" w:color="auto" w:sz="8" w:space="0"/>
            </w:tcBorders>
            <w:vAlign w:val="center"/>
          </w:tcPr>
          <w:p>
            <w:pPr>
              <w:pStyle w:val="57"/>
              <w:ind w:firstLine="0" w:firstLineChars="0"/>
              <w:jc w:val="center"/>
              <w:rPr>
                <w:rFonts w:hAnsi="宋体"/>
                <w:sz w:val="18"/>
                <w:szCs w:val="18"/>
              </w:rPr>
            </w:pPr>
            <w:r>
              <w:rPr>
                <w:rFonts w:hint="eastAsia" w:hAnsi="宋体"/>
                <w:sz w:val="18"/>
                <w:szCs w:val="18"/>
              </w:rPr>
              <w:t>日期</w:t>
            </w:r>
          </w:p>
        </w:tc>
        <w:tc>
          <w:tcPr>
            <w:tcW w:w="426" w:type="dxa"/>
            <w:vMerge w:val="restart"/>
            <w:tcBorders>
              <w:top w:val="single" w:color="auto" w:sz="8" w:space="0"/>
            </w:tcBorders>
            <w:vAlign w:val="center"/>
          </w:tcPr>
          <w:p>
            <w:pPr>
              <w:pStyle w:val="57"/>
              <w:ind w:firstLine="0" w:firstLineChars="0"/>
              <w:jc w:val="center"/>
              <w:rPr>
                <w:rFonts w:hAnsi="宋体"/>
                <w:sz w:val="18"/>
                <w:szCs w:val="18"/>
              </w:rPr>
            </w:pPr>
            <w:r>
              <w:rPr>
                <w:rFonts w:hint="eastAsia" w:hAnsi="宋体"/>
                <w:sz w:val="18"/>
                <w:szCs w:val="18"/>
              </w:rPr>
              <w:t>时间</w:t>
            </w:r>
          </w:p>
        </w:tc>
        <w:tc>
          <w:tcPr>
            <w:tcW w:w="4388" w:type="dxa"/>
            <w:gridSpan w:val="6"/>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生命</w:t>
            </w:r>
            <w:r>
              <w:rPr>
                <w:rFonts w:hAnsi="宋体"/>
                <w:sz w:val="18"/>
                <w:szCs w:val="18"/>
              </w:rPr>
              <w:t>体征记录：</w:t>
            </w:r>
          </w:p>
        </w:tc>
        <w:tc>
          <w:tcPr>
            <w:tcW w:w="3969" w:type="dxa"/>
            <w:gridSpan w:val="6"/>
            <w:tcBorders>
              <w:top w:val="single" w:color="auto" w:sz="8" w:space="0"/>
              <w:bottom w:val="single" w:color="auto" w:sz="8" w:space="0"/>
            </w:tcBorders>
          </w:tcPr>
          <w:p>
            <w:pPr>
              <w:pStyle w:val="57"/>
              <w:ind w:firstLine="0" w:firstLineChars="0"/>
              <w:rPr>
                <w:rFonts w:hAnsi="宋体"/>
                <w:sz w:val="18"/>
                <w:szCs w:val="18"/>
              </w:rPr>
            </w:pPr>
            <w:r>
              <w:rPr>
                <w:rFonts w:hint="eastAsia" w:hAnsi="宋体"/>
                <w:sz w:val="18"/>
                <w:szCs w:val="18"/>
              </w:rPr>
              <w:t>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vMerge w:val="continue"/>
            <w:tcBorders>
              <w:bottom w:val="single" w:color="auto" w:sz="8" w:space="0"/>
            </w:tcBorders>
          </w:tcPr>
          <w:p>
            <w:pPr>
              <w:pStyle w:val="57"/>
              <w:ind w:firstLine="0" w:firstLineChars="0"/>
              <w:rPr>
                <w:rFonts w:hAnsi="宋体"/>
                <w:sz w:val="18"/>
                <w:szCs w:val="18"/>
              </w:rPr>
            </w:pPr>
          </w:p>
        </w:tc>
        <w:tc>
          <w:tcPr>
            <w:tcW w:w="426" w:type="dxa"/>
            <w:vMerge w:val="continue"/>
            <w:tcBorders>
              <w:bottom w:val="single" w:color="auto" w:sz="8" w:space="0"/>
            </w:tcBorders>
          </w:tcPr>
          <w:p>
            <w:pPr>
              <w:pStyle w:val="57"/>
              <w:ind w:firstLine="0" w:firstLineChars="0"/>
              <w:rPr>
                <w:rFonts w:hAnsi="宋体"/>
                <w:sz w:val="18"/>
                <w:szCs w:val="18"/>
              </w:rPr>
            </w:pPr>
          </w:p>
        </w:tc>
        <w:tc>
          <w:tcPr>
            <w:tcW w:w="532" w:type="dxa"/>
            <w:tcBorders>
              <w:top w:val="single" w:color="auto" w:sz="8" w:space="0"/>
              <w:bottom w:val="single" w:color="auto" w:sz="8" w:space="0"/>
            </w:tcBorders>
          </w:tcPr>
          <w:p>
            <w:pPr>
              <w:widowControl/>
              <w:spacing w:line="240" w:lineRule="auto"/>
              <w:jc w:val="left"/>
              <w:textAlignment w:val="center"/>
              <w:rPr>
                <w:rFonts w:ascii="宋体" w:hAnsi="宋体"/>
                <w:kern w:val="0"/>
                <w:sz w:val="18"/>
                <w:szCs w:val="18"/>
              </w:rPr>
            </w:pPr>
            <w:r>
              <w:rPr>
                <w:rFonts w:hint="eastAsia" w:ascii="宋体" w:hAnsi="宋体"/>
                <w:kern w:val="0"/>
                <w:sz w:val="18"/>
                <w:szCs w:val="18"/>
              </w:rPr>
              <w:t>体温</w:t>
            </w:r>
          </w:p>
          <w:p>
            <w:pPr>
              <w:pStyle w:val="57"/>
              <w:adjustRightInd w:val="0"/>
              <w:ind w:firstLine="0" w:firstLineChars="0"/>
              <w:jc w:val="left"/>
              <w:rPr>
                <w:rFonts w:hAnsi="宋体"/>
                <w:sz w:val="18"/>
                <w:szCs w:val="18"/>
              </w:rPr>
            </w:pPr>
            <w:r>
              <w:rPr>
                <w:rFonts w:hint="eastAsia" w:hAnsi="宋体" w:cs="宋体"/>
                <w:sz w:val="18"/>
                <w:szCs w:val="18"/>
              </w:rPr>
              <w:t>℃</w:t>
            </w:r>
          </w:p>
        </w:tc>
        <w:tc>
          <w:tcPr>
            <w:tcW w:w="738" w:type="dxa"/>
            <w:tcBorders>
              <w:top w:val="single" w:color="auto" w:sz="8" w:space="0"/>
              <w:bottom w:val="single" w:color="auto" w:sz="8" w:space="0"/>
            </w:tcBorders>
          </w:tcPr>
          <w:p>
            <w:pPr>
              <w:widowControl/>
              <w:spacing w:line="240" w:lineRule="auto"/>
              <w:jc w:val="left"/>
              <w:textAlignment w:val="center"/>
              <w:rPr>
                <w:rFonts w:ascii="宋体" w:hAnsi="宋体"/>
                <w:kern w:val="0"/>
                <w:sz w:val="18"/>
                <w:szCs w:val="18"/>
              </w:rPr>
            </w:pPr>
            <w:r>
              <w:rPr>
                <w:rFonts w:hint="eastAsia" w:ascii="宋体" w:hAnsi="宋体"/>
                <w:kern w:val="0"/>
                <w:sz w:val="18"/>
                <w:szCs w:val="18"/>
              </w:rPr>
              <w:t xml:space="preserve">脉搏 </w:t>
            </w:r>
          </w:p>
          <w:p>
            <w:pPr>
              <w:pStyle w:val="57"/>
              <w:adjustRightInd w:val="0"/>
              <w:ind w:firstLine="0" w:firstLineChars="0"/>
              <w:jc w:val="left"/>
              <w:rPr>
                <w:rFonts w:hAnsi="宋体"/>
                <w:sz w:val="18"/>
                <w:szCs w:val="18"/>
              </w:rPr>
            </w:pPr>
            <w:r>
              <w:rPr>
                <w:rFonts w:hint="eastAsia" w:hAnsi="宋体"/>
                <w:sz w:val="18"/>
                <w:szCs w:val="18"/>
              </w:rPr>
              <w:t>次/分</w:t>
            </w:r>
          </w:p>
        </w:tc>
        <w:tc>
          <w:tcPr>
            <w:tcW w:w="708" w:type="dxa"/>
            <w:tcBorders>
              <w:top w:val="single" w:color="auto" w:sz="8" w:space="0"/>
              <w:bottom w:val="single" w:color="auto" w:sz="8" w:space="0"/>
            </w:tcBorders>
          </w:tcPr>
          <w:p>
            <w:pPr>
              <w:widowControl/>
              <w:spacing w:line="240" w:lineRule="auto"/>
              <w:jc w:val="left"/>
              <w:textAlignment w:val="center"/>
              <w:rPr>
                <w:rFonts w:ascii="宋体" w:hAnsi="宋体"/>
                <w:kern w:val="0"/>
                <w:sz w:val="18"/>
                <w:szCs w:val="18"/>
              </w:rPr>
            </w:pPr>
            <w:r>
              <w:rPr>
                <w:rFonts w:hint="eastAsia" w:ascii="宋体" w:hAnsi="宋体"/>
                <w:kern w:val="0"/>
                <w:sz w:val="18"/>
                <w:szCs w:val="18"/>
              </w:rPr>
              <w:t>呼吸</w:t>
            </w:r>
          </w:p>
          <w:p>
            <w:pPr>
              <w:pStyle w:val="57"/>
              <w:adjustRightInd w:val="0"/>
              <w:ind w:firstLine="0" w:firstLineChars="0"/>
              <w:jc w:val="left"/>
              <w:rPr>
                <w:rFonts w:hAnsi="宋体"/>
                <w:sz w:val="18"/>
                <w:szCs w:val="18"/>
              </w:rPr>
            </w:pPr>
            <w:r>
              <w:rPr>
                <w:rFonts w:hint="eastAsia" w:hAnsi="宋体"/>
                <w:sz w:val="18"/>
                <w:szCs w:val="18"/>
              </w:rPr>
              <w:t>次/分</w:t>
            </w:r>
          </w:p>
        </w:tc>
        <w:tc>
          <w:tcPr>
            <w:tcW w:w="993" w:type="dxa"/>
            <w:tcBorders>
              <w:top w:val="single" w:color="auto" w:sz="8" w:space="0"/>
              <w:bottom w:val="single" w:color="auto" w:sz="8" w:space="0"/>
            </w:tcBorders>
          </w:tcPr>
          <w:p>
            <w:pPr>
              <w:widowControl/>
              <w:spacing w:line="240" w:lineRule="auto"/>
              <w:jc w:val="left"/>
              <w:textAlignment w:val="center"/>
              <w:rPr>
                <w:rFonts w:ascii="宋体" w:hAnsi="宋体"/>
                <w:kern w:val="0"/>
                <w:sz w:val="18"/>
                <w:szCs w:val="18"/>
              </w:rPr>
            </w:pPr>
            <w:r>
              <w:rPr>
                <w:rFonts w:hint="eastAsia" w:ascii="宋体" w:hAnsi="宋体"/>
                <w:kern w:val="0"/>
                <w:sz w:val="18"/>
                <w:szCs w:val="18"/>
              </w:rPr>
              <w:t>血压</w:t>
            </w:r>
          </w:p>
          <w:p>
            <w:pPr>
              <w:widowControl/>
              <w:spacing w:line="240" w:lineRule="auto"/>
              <w:jc w:val="left"/>
              <w:textAlignment w:val="center"/>
              <w:rPr>
                <w:rFonts w:ascii="宋体" w:hAnsi="宋体"/>
                <w:sz w:val="18"/>
                <w:szCs w:val="18"/>
              </w:rPr>
            </w:pPr>
            <w:r>
              <w:rPr>
                <w:rFonts w:hint="eastAsia" w:ascii="宋体" w:hAnsi="宋体"/>
                <w:kern w:val="0"/>
                <w:sz w:val="18"/>
                <w:szCs w:val="18"/>
              </w:rPr>
              <w:t>mmHg</w:t>
            </w:r>
          </w:p>
        </w:tc>
        <w:tc>
          <w:tcPr>
            <w:tcW w:w="708" w:type="dxa"/>
            <w:tcBorders>
              <w:top w:val="single" w:color="auto" w:sz="8" w:space="0"/>
              <w:bottom w:val="single" w:color="auto" w:sz="8" w:space="0"/>
            </w:tcBorders>
          </w:tcPr>
          <w:p>
            <w:pPr>
              <w:widowControl/>
              <w:spacing w:line="240" w:lineRule="auto"/>
              <w:jc w:val="left"/>
              <w:textAlignment w:val="center"/>
              <w:rPr>
                <w:rFonts w:ascii="宋体" w:hAnsi="宋体"/>
                <w:kern w:val="0"/>
                <w:sz w:val="18"/>
                <w:szCs w:val="18"/>
              </w:rPr>
            </w:pPr>
            <w:r>
              <w:rPr>
                <w:rFonts w:hint="eastAsia" w:ascii="宋体" w:hAnsi="宋体"/>
                <w:kern w:val="0"/>
                <w:sz w:val="18"/>
                <w:szCs w:val="18"/>
              </w:rPr>
              <w:t>血氧饱和度%</w:t>
            </w:r>
          </w:p>
        </w:tc>
        <w:tc>
          <w:tcPr>
            <w:tcW w:w="709" w:type="dxa"/>
            <w:tcBorders>
              <w:top w:val="single" w:color="auto" w:sz="8" w:space="0"/>
              <w:bottom w:val="single" w:color="auto" w:sz="8" w:space="0"/>
            </w:tcBorders>
          </w:tcPr>
          <w:p>
            <w:pPr>
              <w:widowControl/>
              <w:spacing w:line="240" w:lineRule="auto"/>
              <w:jc w:val="left"/>
              <w:textAlignment w:val="center"/>
              <w:rPr>
                <w:rFonts w:ascii="宋体" w:hAnsi="宋体"/>
                <w:kern w:val="0"/>
                <w:sz w:val="18"/>
                <w:szCs w:val="18"/>
              </w:rPr>
            </w:pPr>
            <w:r>
              <w:rPr>
                <w:rFonts w:hint="eastAsia" w:ascii="宋体" w:hAnsi="宋体"/>
                <w:kern w:val="0"/>
                <w:sz w:val="18"/>
                <w:szCs w:val="18"/>
              </w:rPr>
              <w:t>血糖</w:t>
            </w:r>
          </w:p>
          <w:p>
            <w:pPr>
              <w:widowControl/>
              <w:spacing w:line="240" w:lineRule="auto"/>
              <w:jc w:val="left"/>
              <w:textAlignment w:val="center"/>
              <w:rPr>
                <w:rFonts w:ascii="宋体" w:hAnsi="宋体"/>
                <w:sz w:val="18"/>
                <w:szCs w:val="18"/>
              </w:rPr>
            </w:pPr>
            <w:r>
              <w:rPr>
                <w:rFonts w:hint="eastAsia" w:ascii="宋体" w:hAnsi="宋体"/>
                <w:kern w:val="0"/>
                <w:sz w:val="18"/>
                <w:szCs w:val="18"/>
              </w:rPr>
              <w:t>mmol/</w:t>
            </w:r>
          </w:p>
        </w:tc>
        <w:tc>
          <w:tcPr>
            <w:tcW w:w="567" w:type="dxa"/>
            <w:tcBorders>
              <w:top w:val="single" w:color="auto" w:sz="8" w:space="0"/>
              <w:bottom w:val="single" w:color="auto" w:sz="8" w:space="0"/>
            </w:tcBorders>
          </w:tcPr>
          <w:p>
            <w:pPr>
              <w:widowControl/>
              <w:spacing w:line="240" w:lineRule="auto"/>
              <w:jc w:val="left"/>
              <w:textAlignment w:val="center"/>
              <w:rPr>
                <w:rFonts w:ascii="宋体" w:hAnsi="宋体"/>
                <w:sz w:val="18"/>
                <w:szCs w:val="18"/>
              </w:rPr>
            </w:pPr>
            <w:r>
              <w:rPr>
                <w:rFonts w:hint="eastAsia" w:ascii="宋体" w:hAnsi="宋体"/>
                <w:kern w:val="0"/>
                <w:sz w:val="18"/>
                <w:szCs w:val="18"/>
              </w:rPr>
              <w:t>清醒</w:t>
            </w:r>
          </w:p>
        </w:tc>
        <w:tc>
          <w:tcPr>
            <w:tcW w:w="567" w:type="dxa"/>
            <w:tcBorders>
              <w:top w:val="single" w:color="auto" w:sz="8" w:space="0"/>
              <w:bottom w:val="single" w:color="auto" w:sz="8" w:space="0"/>
            </w:tcBorders>
          </w:tcPr>
          <w:p>
            <w:pPr>
              <w:widowControl/>
              <w:spacing w:line="240" w:lineRule="auto"/>
              <w:jc w:val="left"/>
              <w:textAlignment w:val="center"/>
              <w:rPr>
                <w:rFonts w:ascii="宋体" w:hAnsi="宋体"/>
                <w:sz w:val="18"/>
                <w:szCs w:val="18"/>
              </w:rPr>
            </w:pPr>
            <w:r>
              <w:rPr>
                <w:rFonts w:hint="eastAsia" w:ascii="宋体" w:hAnsi="宋体"/>
                <w:kern w:val="0"/>
                <w:sz w:val="18"/>
                <w:szCs w:val="18"/>
              </w:rPr>
              <w:t>嗜睡</w:t>
            </w:r>
          </w:p>
        </w:tc>
        <w:tc>
          <w:tcPr>
            <w:tcW w:w="567" w:type="dxa"/>
            <w:tcBorders>
              <w:top w:val="single" w:color="auto" w:sz="8" w:space="0"/>
              <w:bottom w:val="single" w:color="auto" w:sz="8" w:space="0"/>
            </w:tcBorders>
          </w:tcPr>
          <w:p>
            <w:pPr>
              <w:widowControl/>
              <w:spacing w:line="240" w:lineRule="auto"/>
              <w:jc w:val="left"/>
              <w:textAlignment w:val="center"/>
              <w:rPr>
                <w:rFonts w:ascii="宋体" w:hAnsi="宋体"/>
                <w:sz w:val="18"/>
                <w:szCs w:val="18"/>
              </w:rPr>
            </w:pPr>
            <w:r>
              <w:rPr>
                <w:rFonts w:hint="eastAsia" w:ascii="宋体" w:hAnsi="宋体"/>
                <w:kern w:val="0"/>
                <w:sz w:val="18"/>
                <w:szCs w:val="18"/>
              </w:rPr>
              <w:t>昏迷</w:t>
            </w:r>
          </w:p>
        </w:tc>
        <w:tc>
          <w:tcPr>
            <w:tcW w:w="567" w:type="dxa"/>
            <w:tcBorders>
              <w:top w:val="single" w:color="auto" w:sz="8" w:space="0"/>
              <w:bottom w:val="single" w:color="auto" w:sz="8" w:space="0"/>
            </w:tcBorders>
          </w:tcPr>
          <w:p>
            <w:pPr>
              <w:widowControl/>
              <w:spacing w:line="240" w:lineRule="auto"/>
              <w:jc w:val="left"/>
              <w:textAlignment w:val="center"/>
              <w:rPr>
                <w:rFonts w:ascii="宋体" w:hAnsi="宋体"/>
                <w:sz w:val="18"/>
                <w:szCs w:val="18"/>
              </w:rPr>
            </w:pPr>
            <w:r>
              <w:rPr>
                <w:rFonts w:hint="eastAsia" w:ascii="宋体" w:hAnsi="宋体"/>
                <w:kern w:val="0"/>
                <w:sz w:val="18"/>
                <w:szCs w:val="18"/>
              </w:rPr>
              <w:t>大便</w:t>
            </w:r>
          </w:p>
        </w:tc>
        <w:tc>
          <w:tcPr>
            <w:tcW w:w="567" w:type="dxa"/>
            <w:tcBorders>
              <w:top w:val="single" w:color="auto" w:sz="8" w:space="0"/>
              <w:bottom w:val="single" w:color="auto" w:sz="8" w:space="0"/>
            </w:tcBorders>
          </w:tcPr>
          <w:p>
            <w:pPr>
              <w:widowControl/>
              <w:spacing w:line="240" w:lineRule="auto"/>
              <w:jc w:val="left"/>
              <w:textAlignment w:val="center"/>
              <w:rPr>
                <w:rFonts w:ascii="宋体" w:hAnsi="宋体"/>
                <w:sz w:val="18"/>
                <w:szCs w:val="18"/>
              </w:rPr>
            </w:pPr>
            <w:r>
              <w:rPr>
                <w:rFonts w:hint="eastAsia" w:ascii="宋体" w:hAnsi="宋体"/>
                <w:kern w:val="0"/>
                <w:sz w:val="18"/>
                <w:szCs w:val="18"/>
              </w:rPr>
              <w:t>尿量</w:t>
            </w:r>
          </w:p>
        </w:tc>
        <w:tc>
          <w:tcPr>
            <w:tcW w:w="1134" w:type="dxa"/>
            <w:tcBorders>
              <w:top w:val="single" w:color="auto" w:sz="8" w:space="0"/>
              <w:bottom w:val="single" w:color="auto" w:sz="8" w:space="0"/>
            </w:tcBorders>
          </w:tcPr>
          <w:p>
            <w:pPr>
              <w:widowControl/>
              <w:spacing w:line="240" w:lineRule="auto"/>
              <w:jc w:val="left"/>
              <w:textAlignment w:val="center"/>
              <w:rPr>
                <w:rFonts w:ascii="宋体" w:hAnsi="宋体"/>
                <w:sz w:val="18"/>
                <w:szCs w:val="18"/>
              </w:rPr>
            </w:pPr>
            <w:r>
              <w:rPr>
                <w:rFonts w:hint="eastAsia" w:ascii="宋体" w:hAnsi="宋体"/>
                <w:kern w:val="0"/>
                <w:sz w:val="18"/>
                <w:szCs w:val="18"/>
              </w:rPr>
              <w:t>病情</w:t>
            </w:r>
            <w:r>
              <w:rPr>
                <w:rFonts w:ascii="宋体" w:hAnsi="宋体"/>
                <w:kern w:val="0"/>
                <w:sz w:val="18"/>
                <w:szCs w:val="18"/>
              </w:rPr>
              <w:t>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Borders>
              <w:top w:val="single" w:color="auto" w:sz="8" w:space="0"/>
            </w:tcBorders>
          </w:tcPr>
          <w:p>
            <w:pPr>
              <w:pStyle w:val="57"/>
              <w:ind w:firstLine="0" w:firstLineChars="0"/>
              <w:rPr>
                <w:rFonts w:hAnsi="宋体"/>
                <w:sz w:val="18"/>
                <w:szCs w:val="18"/>
              </w:rPr>
            </w:pPr>
          </w:p>
        </w:tc>
        <w:tc>
          <w:tcPr>
            <w:tcW w:w="426" w:type="dxa"/>
            <w:tcBorders>
              <w:top w:val="single" w:color="auto" w:sz="8" w:space="0"/>
            </w:tcBorders>
          </w:tcPr>
          <w:p>
            <w:pPr>
              <w:pStyle w:val="57"/>
              <w:ind w:firstLine="0" w:firstLineChars="0"/>
              <w:rPr>
                <w:rFonts w:hAnsi="宋体"/>
                <w:sz w:val="18"/>
                <w:szCs w:val="18"/>
              </w:rPr>
            </w:pPr>
          </w:p>
        </w:tc>
        <w:tc>
          <w:tcPr>
            <w:tcW w:w="532" w:type="dxa"/>
            <w:tcBorders>
              <w:top w:val="single" w:color="auto" w:sz="8" w:space="0"/>
            </w:tcBorders>
          </w:tcPr>
          <w:p>
            <w:pPr>
              <w:pStyle w:val="57"/>
              <w:ind w:firstLine="0" w:firstLineChars="0"/>
              <w:rPr>
                <w:rFonts w:hAnsi="宋体"/>
                <w:sz w:val="18"/>
                <w:szCs w:val="18"/>
              </w:rPr>
            </w:pPr>
          </w:p>
        </w:tc>
        <w:tc>
          <w:tcPr>
            <w:tcW w:w="738" w:type="dxa"/>
            <w:tcBorders>
              <w:top w:val="single" w:color="auto" w:sz="8" w:space="0"/>
            </w:tcBorders>
          </w:tcPr>
          <w:p>
            <w:pPr>
              <w:pStyle w:val="57"/>
              <w:ind w:firstLine="0" w:firstLineChars="0"/>
              <w:rPr>
                <w:rFonts w:hAnsi="宋体"/>
                <w:sz w:val="18"/>
                <w:szCs w:val="18"/>
              </w:rPr>
            </w:pPr>
          </w:p>
        </w:tc>
        <w:tc>
          <w:tcPr>
            <w:tcW w:w="708" w:type="dxa"/>
            <w:tcBorders>
              <w:top w:val="single" w:color="auto" w:sz="8" w:space="0"/>
            </w:tcBorders>
          </w:tcPr>
          <w:p>
            <w:pPr>
              <w:pStyle w:val="57"/>
              <w:ind w:firstLine="0" w:firstLineChars="0"/>
              <w:rPr>
                <w:rFonts w:hAnsi="宋体"/>
                <w:sz w:val="18"/>
                <w:szCs w:val="18"/>
              </w:rPr>
            </w:pPr>
          </w:p>
        </w:tc>
        <w:tc>
          <w:tcPr>
            <w:tcW w:w="993" w:type="dxa"/>
            <w:tcBorders>
              <w:top w:val="single" w:color="auto" w:sz="8" w:space="0"/>
            </w:tcBorders>
          </w:tcPr>
          <w:p>
            <w:pPr>
              <w:pStyle w:val="57"/>
              <w:ind w:firstLine="0" w:firstLineChars="0"/>
              <w:rPr>
                <w:rFonts w:hAnsi="宋体"/>
                <w:sz w:val="18"/>
                <w:szCs w:val="18"/>
              </w:rPr>
            </w:pPr>
          </w:p>
        </w:tc>
        <w:tc>
          <w:tcPr>
            <w:tcW w:w="708" w:type="dxa"/>
            <w:tcBorders>
              <w:top w:val="single" w:color="auto" w:sz="8" w:space="0"/>
            </w:tcBorders>
          </w:tcPr>
          <w:p>
            <w:pPr>
              <w:pStyle w:val="57"/>
              <w:ind w:firstLine="0" w:firstLineChars="0"/>
              <w:rPr>
                <w:rFonts w:hAnsi="宋体"/>
                <w:sz w:val="18"/>
                <w:szCs w:val="18"/>
              </w:rPr>
            </w:pPr>
          </w:p>
        </w:tc>
        <w:tc>
          <w:tcPr>
            <w:tcW w:w="709" w:type="dxa"/>
            <w:tcBorders>
              <w:top w:val="single" w:color="auto" w:sz="8" w:space="0"/>
            </w:tcBorders>
          </w:tcPr>
          <w:p>
            <w:pPr>
              <w:pStyle w:val="57"/>
              <w:ind w:firstLine="0" w:firstLineChars="0"/>
              <w:rPr>
                <w:rFonts w:hAnsi="宋体"/>
                <w:sz w:val="18"/>
                <w:szCs w:val="18"/>
              </w:rPr>
            </w:pPr>
          </w:p>
        </w:tc>
        <w:tc>
          <w:tcPr>
            <w:tcW w:w="567" w:type="dxa"/>
            <w:tcBorders>
              <w:top w:val="single" w:color="auto" w:sz="8" w:space="0"/>
            </w:tcBorders>
          </w:tcPr>
          <w:p>
            <w:pPr>
              <w:pStyle w:val="57"/>
              <w:ind w:firstLine="0" w:firstLineChars="0"/>
              <w:rPr>
                <w:rFonts w:hAnsi="宋体"/>
                <w:sz w:val="18"/>
                <w:szCs w:val="18"/>
              </w:rPr>
            </w:pPr>
          </w:p>
        </w:tc>
        <w:tc>
          <w:tcPr>
            <w:tcW w:w="567" w:type="dxa"/>
            <w:tcBorders>
              <w:top w:val="single" w:color="auto" w:sz="8" w:space="0"/>
            </w:tcBorders>
          </w:tcPr>
          <w:p>
            <w:pPr>
              <w:pStyle w:val="57"/>
              <w:ind w:firstLine="0" w:firstLineChars="0"/>
              <w:rPr>
                <w:rFonts w:hAnsi="宋体"/>
                <w:sz w:val="18"/>
                <w:szCs w:val="18"/>
              </w:rPr>
            </w:pPr>
          </w:p>
        </w:tc>
        <w:tc>
          <w:tcPr>
            <w:tcW w:w="567" w:type="dxa"/>
            <w:tcBorders>
              <w:top w:val="single" w:color="auto" w:sz="8" w:space="0"/>
            </w:tcBorders>
          </w:tcPr>
          <w:p>
            <w:pPr>
              <w:pStyle w:val="57"/>
              <w:ind w:firstLine="0" w:firstLineChars="0"/>
              <w:rPr>
                <w:rFonts w:hAnsi="宋体"/>
                <w:sz w:val="18"/>
                <w:szCs w:val="18"/>
              </w:rPr>
            </w:pPr>
          </w:p>
        </w:tc>
        <w:tc>
          <w:tcPr>
            <w:tcW w:w="567" w:type="dxa"/>
            <w:tcBorders>
              <w:top w:val="single" w:color="auto" w:sz="8" w:space="0"/>
            </w:tcBorders>
          </w:tcPr>
          <w:p>
            <w:pPr>
              <w:pStyle w:val="57"/>
              <w:ind w:firstLine="0" w:firstLineChars="0"/>
              <w:rPr>
                <w:rFonts w:hAnsi="宋体"/>
                <w:sz w:val="18"/>
                <w:szCs w:val="18"/>
              </w:rPr>
            </w:pPr>
          </w:p>
        </w:tc>
        <w:tc>
          <w:tcPr>
            <w:tcW w:w="567" w:type="dxa"/>
            <w:tcBorders>
              <w:top w:val="single" w:color="auto" w:sz="8" w:space="0"/>
            </w:tcBorders>
          </w:tcPr>
          <w:p>
            <w:pPr>
              <w:pStyle w:val="57"/>
              <w:ind w:firstLine="0" w:firstLineChars="0"/>
              <w:rPr>
                <w:rFonts w:hAnsi="宋体"/>
                <w:sz w:val="18"/>
                <w:szCs w:val="18"/>
              </w:rPr>
            </w:pPr>
          </w:p>
        </w:tc>
        <w:tc>
          <w:tcPr>
            <w:tcW w:w="1134" w:type="dxa"/>
            <w:tcBorders>
              <w:top w:val="single" w:color="auto" w:sz="8" w:space="0"/>
            </w:tcBorders>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426" w:type="dxa"/>
          </w:tcPr>
          <w:p>
            <w:pPr>
              <w:pStyle w:val="57"/>
              <w:ind w:firstLine="0" w:firstLineChars="0"/>
              <w:rPr>
                <w:rFonts w:hAnsi="宋体"/>
                <w:sz w:val="18"/>
                <w:szCs w:val="18"/>
              </w:rPr>
            </w:pPr>
          </w:p>
        </w:tc>
        <w:tc>
          <w:tcPr>
            <w:tcW w:w="426" w:type="dxa"/>
          </w:tcPr>
          <w:p>
            <w:pPr>
              <w:pStyle w:val="57"/>
              <w:ind w:firstLine="0" w:firstLineChars="0"/>
              <w:rPr>
                <w:rFonts w:hAnsi="宋体"/>
                <w:sz w:val="18"/>
                <w:szCs w:val="18"/>
              </w:rPr>
            </w:pPr>
          </w:p>
        </w:tc>
        <w:tc>
          <w:tcPr>
            <w:tcW w:w="532" w:type="dxa"/>
          </w:tcPr>
          <w:p>
            <w:pPr>
              <w:pStyle w:val="57"/>
              <w:ind w:firstLine="0" w:firstLineChars="0"/>
              <w:rPr>
                <w:rFonts w:hAnsi="宋体"/>
                <w:sz w:val="18"/>
                <w:szCs w:val="18"/>
              </w:rPr>
            </w:pPr>
          </w:p>
        </w:tc>
        <w:tc>
          <w:tcPr>
            <w:tcW w:w="738"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993" w:type="dxa"/>
          </w:tcPr>
          <w:p>
            <w:pPr>
              <w:pStyle w:val="57"/>
              <w:ind w:firstLine="0" w:firstLineChars="0"/>
              <w:rPr>
                <w:rFonts w:hAnsi="宋体"/>
                <w:sz w:val="18"/>
                <w:szCs w:val="18"/>
              </w:rPr>
            </w:pPr>
          </w:p>
        </w:tc>
        <w:tc>
          <w:tcPr>
            <w:tcW w:w="708" w:type="dxa"/>
          </w:tcPr>
          <w:p>
            <w:pPr>
              <w:pStyle w:val="57"/>
              <w:ind w:firstLine="0" w:firstLineChars="0"/>
              <w:rPr>
                <w:rFonts w:hAnsi="宋体"/>
                <w:sz w:val="18"/>
                <w:szCs w:val="18"/>
              </w:rPr>
            </w:pPr>
          </w:p>
        </w:tc>
        <w:tc>
          <w:tcPr>
            <w:tcW w:w="709"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567" w:type="dxa"/>
          </w:tcPr>
          <w:p>
            <w:pPr>
              <w:pStyle w:val="57"/>
              <w:ind w:firstLine="0" w:firstLineChars="0"/>
              <w:rPr>
                <w:rFonts w:hAnsi="宋体"/>
                <w:sz w:val="18"/>
                <w:szCs w:val="18"/>
              </w:rPr>
            </w:pPr>
          </w:p>
        </w:tc>
        <w:tc>
          <w:tcPr>
            <w:tcW w:w="1134" w:type="dxa"/>
          </w:tcPr>
          <w:p>
            <w:pPr>
              <w:pStyle w:val="57"/>
              <w:ind w:firstLine="0" w:firstLineChars="0"/>
              <w:rPr>
                <w:rFonts w:hAnsi="宋体"/>
                <w:sz w:val="18"/>
                <w:szCs w:val="18"/>
              </w:rPr>
            </w:pPr>
          </w:p>
        </w:tc>
      </w:tr>
    </w:tbl>
    <w:p>
      <w:pPr>
        <w:pStyle w:val="57"/>
        <w:ind w:firstLine="0" w:firstLineChars="0"/>
      </w:pPr>
    </w:p>
    <w:p>
      <w:pPr>
        <w:pStyle w:val="57"/>
        <w:ind w:firstLine="420"/>
        <w:sectPr>
          <w:headerReference r:id="rId29" w:type="default"/>
          <w:footerReference r:id="rId31" w:type="default"/>
          <w:headerReference r:id="rId30" w:type="even"/>
          <w:footerReference r:id="rId32" w:type="even"/>
          <w:pgSz w:w="11906" w:h="16838"/>
          <w:pgMar w:top="1928" w:right="1134" w:bottom="1134" w:left="1134" w:header="1418" w:footer="1134" w:gutter="284"/>
          <w:cols w:space="425" w:num="1"/>
          <w:formProt w:val="0"/>
          <w:docGrid w:type="lines" w:linePitch="312" w:charSpace="0"/>
        </w:sectPr>
      </w:pPr>
    </w:p>
    <w:p>
      <w:pPr>
        <w:pStyle w:val="199"/>
        <w:rPr>
          <w:vanish w:val="0"/>
        </w:rPr>
      </w:pPr>
    </w:p>
    <w:p>
      <w:pPr>
        <w:pStyle w:val="200"/>
        <w:rPr>
          <w:vanish w:val="0"/>
        </w:rPr>
      </w:pPr>
    </w:p>
    <w:p>
      <w:pPr>
        <w:pStyle w:val="77"/>
        <w:spacing w:after="156"/>
      </w:pPr>
      <w:r>
        <w:br w:type="textWrapping"/>
      </w:r>
      <w:r>
        <w:rPr>
          <w:rFonts w:hint="eastAsia"/>
        </w:rPr>
        <w:t>（资料性）</w:t>
      </w:r>
      <w:r>
        <w:br w:type="textWrapping"/>
      </w:r>
      <w:r>
        <w:rPr>
          <w:rFonts w:hint="eastAsia"/>
        </w:rPr>
        <w:t>临终关怀服务表</w:t>
      </w:r>
    </w:p>
    <w:p>
      <w:pPr>
        <w:pStyle w:val="57"/>
        <w:ind w:firstLine="420"/>
      </w:pPr>
      <w:r>
        <w:rPr>
          <w:rFonts w:hint="eastAsia"/>
        </w:rPr>
        <w:t>临终关怀服务表见</w:t>
      </w:r>
      <w:r>
        <w:t>D</w:t>
      </w:r>
      <w:r>
        <w:rPr>
          <w:rFonts w:hint="eastAsia"/>
        </w:rPr>
        <w:t>.1。</w:t>
      </w:r>
    </w:p>
    <w:p>
      <w:pPr>
        <w:pStyle w:val="78"/>
        <w:numPr>
          <w:ilvl w:val="0"/>
          <w:numId w:val="0"/>
        </w:numPr>
        <w:spacing w:before="156" w:after="156"/>
      </w:pPr>
      <w:r>
        <w:rPr>
          <w:rFonts w:hint="eastAsia"/>
        </w:rPr>
        <w:t>表D.1 临终关怀服务表</w:t>
      </w:r>
    </w:p>
    <w:tbl>
      <w:tblPr>
        <w:tblStyle w:val="28"/>
        <w:tblW w:w="8930" w:type="dxa"/>
        <w:tblInd w:w="13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335"/>
        <w:gridCol w:w="1335"/>
        <w:gridCol w:w="1335"/>
        <w:gridCol w:w="1335"/>
        <w:gridCol w:w="1335"/>
        <w:gridCol w:w="10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c>
          <w:tcPr>
            <w:tcW w:w="1197" w:type="dxa"/>
            <w:tcBorders>
              <w:top w:val="single" w:color="auto" w:sz="8" w:space="0"/>
              <w:bottom w:val="single" w:color="auto" w:sz="8" w:space="0"/>
              <w:right w:val="single" w:color="auto" w:sz="4" w:space="0"/>
            </w:tcBorders>
          </w:tcPr>
          <w:p>
            <w:pPr>
              <w:rPr>
                <w:rFonts w:ascii="宋体" w:hAnsi="宋体"/>
                <w:sz w:val="18"/>
                <w:szCs w:val="18"/>
              </w:rPr>
            </w:pPr>
            <w:r>
              <w:rPr>
                <w:rFonts w:hint="eastAsia" w:ascii="宋体" w:hAnsi="宋体"/>
                <w:sz w:val="18"/>
                <w:szCs w:val="18"/>
              </w:rPr>
              <w:t>日期</w:t>
            </w:r>
          </w:p>
        </w:tc>
        <w:tc>
          <w:tcPr>
            <w:tcW w:w="1335" w:type="dxa"/>
            <w:tcBorders>
              <w:top w:val="single" w:color="auto" w:sz="8" w:space="0"/>
              <w:left w:val="single" w:color="auto" w:sz="4" w:space="0"/>
              <w:bottom w:val="single" w:color="auto" w:sz="8" w:space="0"/>
              <w:right w:val="single" w:color="auto" w:sz="4" w:space="0"/>
            </w:tcBorders>
          </w:tcPr>
          <w:p>
            <w:pPr>
              <w:rPr>
                <w:rFonts w:ascii="宋体" w:hAnsi="宋体"/>
                <w:sz w:val="18"/>
                <w:szCs w:val="18"/>
              </w:rPr>
            </w:pPr>
            <w:r>
              <w:rPr>
                <w:rFonts w:hint="eastAsia" w:ascii="宋体" w:hAnsi="宋体"/>
                <w:sz w:val="18"/>
                <w:szCs w:val="18"/>
              </w:rPr>
              <w:t>房间号</w:t>
            </w:r>
          </w:p>
        </w:tc>
        <w:tc>
          <w:tcPr>
            <w:tcW w:w="1335" w:type="dxa"/>
            <w:tcBorders>
              <w:top w:val="single" w:color="auto" w:sz="8" w:space="0"/>
              <w:left w:val="single" w:color="auto" w:sz="4" w:space="0"/>
              <w:bottom w:val="single" w:color="auto" w:sz="8" w:space="0"/>
              <w:right w:val="single" w:color="auto" w:sz="4" w:space="0"/>
            </w:tcBorders>
          </w:tcPr>
          <w:p>
            <w:pPr>
              <w:rPr>
                <w:rFonts w:ascii="宋体" w:hAnsi="宋体"/>
                <w:sz w:val="18"/>
                <w:szCs w:val="18"/>
              </w:rPr>
            </w:pPr>
            <w:r>
              <w:rPr>
                <w:rFonts w:hint="eastAsia" w:ascii="宋体" w:hAnsi="宋体"/>
                <w:sz w:val="18"/>
                <w:szCs w:val="18"/>
              </w:rPr>
              <w:t>老年人姓名</w:t>
            </w:r>
          </w:p>
        </w:tc>
        <w:tc>
          <w:tcPr>
            <w:tcW w:w="1335" w:type="dxa"/>
            <w:tcBorders>
              <w:top w:val="single" w:color="auto" w:sz="8" w:space="0"/>
              <w:left w:val="single" w:color="auto" w:sz="4" w:space="0"/>
              <w:bottom w:val="single" w:color="auto" w:sz="8" w:space="0"/>
              <w:right w:val="single" w:color="auto" w:sz="4" w:space="0"/>
            </w:tcBorders>
          </w:tcPr>
          <w:p>
            <w:pPr>
              <w:rPr>
                <w:rFonts w:ascii="宋体" w:hAnsi="宋体"/>
                <w:sz w:val="18"/>
                <w:szCs w:val="18"/>
              </w:rPr>
            </w:pPr>
            <w:r>
              <w:rPr>
                <w:rFonts w:hint="eastAsia" w:ascii="宋体" w:hAnsi="宋体"/>
                <w:sz w:val="18"/>
                <w:szCs w:val="18"/>
              </w:rPr>
              <w:t>患者需求</w:t>
            </w:r>
          </w:p>
        </w:tc>
        <w:tc>
          <w:tcPr>
            <w:tcW w:w="1335" w:type="dxa"/>
            <w:tcBorders>
              <w:top w:val="single" w:color="auto" w:sz="8" w:space="0"/>
              <w:left w:val="single" w:color="auto" w:sz="4" w:space="0"/>
              <w:bottom w:val="single" w:color="auto" w:sz="8" w:space="0"/>
              <w:right w:val="single" w:color="auto" w:sz="4" w:space="0"/>
            </w:tcBorders>
          </w:tcPr>
          <w:p>
            <w:pPr>
              <w:rPr>
                <w:rFonts w:ascii="宋体" w:hAnsi="宋体"/>
                <w:sz w:val="18"/>
                <w:szCs w:val="18"/>
              </w:rPr>
            </w:pPr>
            <w:r>
              <w:rPr>
                <w:rFonts w:hint="eastAsia" w:ascii="宋体" w:hAnsi="宋体"/>
                <w:sz w:val="18"/>
                <w:szCs w:val="18"/>
              </w:rPr>
              <w:t>服务内容</w:t>
            </w:r>
          </w:p>
        </w:tc>
        <w:tc>
          <w:tcPr>
            <w:tcW w:w="1335" w:type="dxa"/>
            <w:tcBorders>
              <w:top w:val="single" w:color="auto" w:sz="8" w:space="0"/>
              <w:left w:val="single" w:color="auto" w:sz="4" w:space="0"/>
              <w:bottom w:val="single" w:color="auto" w:sz="8" w:space="0"/>
              <w:right w:val="single" w:color="auto" w:sz="4" w:space="0"/>
            </w:tcBorders>
          </w:tcPr>
          <w:p>
            <w:pPr>
              <w:rPr>
                <w:rFonts w:ascii="宋体" w:hAnsi="宋体"/>
                <w:sz w:val="18"/>
                <w:szCs w:val="18"/>
              </w:rPr>
            </w:pPr>
            <w:r>
              <w:rPr>
                <w:rFonts w:hint="eastAsia" w:ascii="宋体" w:hAnsi="宋体"/>
                <w:sz w:val="18"/>
                <w:szCs w:val="18"/>
              </w:rPr>
              <w:t>与家属沟通</w:t>
            </w:r>
          </w:p>
        </w:tc>
        <w:tc>
          <w:tcPr>
            <w:tcW w:w="1058" w:type="dxa"/>
            <w:tcBorders>
              <w:top w:val="single" w:color="auto" w:sz="8" w:space="0"/>
              <w:left w:val="single" w:color="auto" w:sz="4" w:space="0"/>
              <w:bottom w:val="single" w:color="auto" w:sz="8" w:space="0"/>
            </w:tcBorders>
          </w:tcPr>
          <w:p>
            <w:pPr>
              <w:rPr>
                <w:rFonts w:ascii="宋体" w:hAnsi="宋体"/>
                <w:sz w:val="18"/>
                <w:szCs w:val="18"/>
              </w:rPr>
            </w:pPr>
            <w:r>
              <w:rPr>
                <w:rFonts w:hint="eastAsia" w:ascii="宋体" w:hAnsi="宋体"/>
                <w:sz w:val="18"/>
                <w:szCs w:val="18"/>
              </w:rPr>
              <w:t>执行人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Borders>
              <w:top w:val="single" w:color="auto" w:sz="8" w:space="0"/>
            </w:tcBorders>
          </w:tcPr>
          <w:p>
            <w:pPr>
              <w:pStyle w:val="57"/>
              <w:ind w:firstLine="0" w:firstLineChars="0"/>
              <w:rPr>
                <w:rFonts w:hAnsi="宋体"/>
                <w:sz w:val="18"/>
                <w:szCs w:val="18"/>
              </w:rPr>
            </w:pPr>
          </w:p>
        </w:tc>
        <w:tc>
          <w:tcPr>
            <w:tcW w:w="1335" w:type="dxa"/>
            <w:tcBorders>
              <w:top w:val="single" w:color="auto" w:sz="8" w:space="0"/>
            </w:tcBorders>
          </w:tcPr>
          <w:p>
            <w:pPr>
              <w:pStyle w:val="57"/>
              <w:ind w:firstLine="0" w:firstLineChars="0"/>
              <w:rPr>
                <w:rFonts w:hAnsi="宋体"/>
                <w:sz w:val="18"/>
                <w:szCs w:val="18"/>
              </w:rPr>
            </w:pPr>
          </w:p>
        </w:tc>
        <w:tc>
          <w:tcPr>
            <w:tcW w:w="1335" w:type="dxa"/>
            <w:tcBorders>
              <w:top w:val="single" w:color="auto" w:sz="8" w:space="0"/>
            </w:tcBorders>
          </w:tcPr>
          <w:p>
            <w:pPr>
              <w:pStyle w:val="57"/>
              <w:ind w:firstLine="0" w:firstLineChars="0"/>
              <w:rPr>
                <w:rFonts w:hAnsi="宋体"/>
                <w:sz w:val="18"/>
                <w:szCs w:val="18"/>
              </w:rPr>
            </w:pPr>
          </w:p>
        </w:tc>
        <w:tc>
          <w:tcPr>
            <w:tcW w:w="1335" w:type="dxa"/>
            <w:tcBorders>
              <w:top w:val="single" w:color="auto" w:sz="8" w:space="0"/>
            </w:tcBorders>
          </w:tcPr>
          <w:p>
            <w:pPr>
              <w:pStyle w:val="57"/>
              <w:ind w:firstLine="0" w:firstLineChars="0"/>
              <w:rPr>
                <w:rFonts w:hAnsi="宋体"/>
                <w:sz w:val="18"/>
                <w:szCs w:val="18"/>
              </w:rPr>
            </w:pPr>
          </w:p>
        </w:tc>
        <w:tc>
          <w:tcPr>
            <w:tcW w:w="1335" w:type="dxa"/>
            <w:tcBorders>
              <w:top w:val="single" w:color="auto" w:sz="8" w:space="0"/>
            </w:tcBorders>
          </w:tcPr>
          <w:p>
            <w:pPr>
              <w:pStyle w:val="57"/>
              <w:ind w:firstLine="0" w:firstLineChars="0"/>
              <w:rPr>
                <w:rFonts w:hAnsi="宋体"/>
                <w:sz w:val="18"/>
                <w:szCs w:val="18"/>
              </w:rPr>
            </w:pPr>
          </w:p>
        </w:tc>
        <w:tc>
          <w:tcPr>
            <w:tcW w:w="1335" w:type="dxa"/>
            <w:tcBorders>
              <w:top w:val="single" w:color="auto" w:sz="8" w:space="0"/>
            </w:tcBorders>
          </w:tcPr>
          <w:p>
            <w:pPr>
              <w:pStyle w:val="57"/>
              <w:ind w:firstLine="0" w:firstLineChars="0"/>
              <w:rPr>
                <w:rFonts w:hAnsi="宋体"/>
                <w:sz w:val="18"/>
                <w:szCs w:val="18"/>
              </w:rPr>
            </w:pPr>
          </w:p>
        </w:tc>
        <w:tc>
          <w:tcPr>
            <w:tcW w:w="1058" w:type="dxa"/>
            <w:tcBorders>
              <w:top w:val="single" w:color="auto" w:sz="8" w:space="0"/>
            </w:tcBorders>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058"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058"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058"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058"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058" w:type="dxa"/>
          </w:tcPr>
          <w:p>
            <w:pPr>
              <w:pStyle w:val="57"/>
              <w:ind w:firstLine="0" w:firstLineChars="0"/>
              <w:rPr>
                <w:rFonts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197"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335" w:type="dxa"/>
          </w:tcPr>
          <w:p>
            <w:pPr>
              <w:pStyle w:val="57"/>
              <w:ind w:firstLine="0" w:firstLineChars="0"/>
              <w:rPr>
                <w:rFonts w:hAnsi="宋体"/>
                <w:sz w:val="18"/>
                <w:szCs w:val="18"/>
              </w:rPr>
            </w:pPr>
          </w:p>
        </w:tc>
        <w:tc>
          <w:tcPr>
            <w:tcW w:w="1058" w:type="dxa"/>
          </w:tcPr>
          <w:p>
            <w:pPr>
              <w:pStyle w:val="57"/>
              <w:ind w:firstLine="0" w:firstLineChars="0"/>
              <w:rPr>
                <w:rFonts w:hAnsi="宋体"/>
                <w:sz w:val="18"/>
                <w:szCs w:val="18"/>
              </w:rPr>
            </w:pPr>
          </w:p>
        </w:tc>
      </w:tr>
    </w:tbl>
    <w:p>
      <w:pPr>
        <w:pStyle w:val="57"/>
        <w:ind w:firstLine="2940" w:firstLineChars="1400"/>
      </w:pPr>
    </w:p>
    <w:p>
      <w:pPr>
        <w:pStyle w:val="57"/>
        <w:ind w:firstLine="420"/>
      </w:pPr>
    </w:p>
    <w:p>
      <w:pPr>
        <w:pStyle w:val="57"/>
        <w:ind w:firstLine="420"/>
        <w:sectPr>
          <w:headerReference r:id="rId33" w:type="default"/>
          <w:footerReference r:id="rId35" w:type="default"/>
          <w:headerReference r:id="rId34" w:type="even"/>
          <w:footerReference r:id="rId36" w:type="even"/>
          <w:pgSz w:w="11906" w:h="16838"/>
          <w:pgMar w:top="1928" w:right="1134" w:bottom="1134" w:left="1134" w:header="1418" w:footer="1134" w:gutter="284"/>
          <w:cols w:space="425" w:num="1"/>
          <w:formProt w:val="0"/>
          <w:docGrid w:type="lines" w:linePitch="312" w:charSpace="0"/>
        </w:sectPr>
      </w:pPr>
    </w:p>
    <w:p>
      <w:pPr>
        <w:pStyle w:val="199"/>
        <w:rPr>
          <w:vanish w:val="0"/>
        </w:rPr>
      </w:pPr>
    </w:p>
    <w:p>
      <w:pPr>
        <w:pStyle w:val="200"/>
        <w:rPr>
          <w:vanish w:val="0"/>
        </w:rPr>
      </w:pPr>
    </w:p>
    <w:p>
      <w:pPr>
        <w:pStyle w:val="77"/>
        <w:spacing w:after="156"/>
      </w:pPr>
      <w:r>
        <w:br w:type="textWrapping"/>
      </w:r>
      <w:r>
        <w:rPr>
          <w:rFonts w:hint="eastAsia"/>
        </w:rPr>
        <w:t>（资料性）</w:t>
      </w:r>
      <w:r>
        <w:br w:type="textWrapping"/>
      </w:r>
      <w:r>
        <w:rPr>
          <w:rFonts w:hint="eastAsia"/>
        </w:rPr>
        <w:t>哀伤辅导服务</w:t>
      </w:r>
      <w:r>
        <w:t>及个案</w:t>
      </w:r>
      <w:r>
        <w:rPr>
          <w:rFonts w:hint="eastAsia"/>
        </w:rPr>
        <w:t>记录表</w:t>
      </w:r>
    </w:p>
    <w:p>
      <w:pPr>
        <w:pStyle w:val="57"/>
        <w:ind w:firstLine="420"/>
      </w:pPr>
      <w:r>
        <w:rPr>
          <w:rFonts w:hint="eastAsia"/>
        </w:rPr>
        <w:t>哀伤辅导服务及个案记录表见</w:t>
      </w:r>
      <w:r>
        <w:t>E</w:t>
      </w:r>
      <w:r>
        <w:rPr>
          <w:rFonts w:hint="eastAsia"/>
        </w:rPr>
        <w:t>.1。</w:t>
      </w:r>
    </w:p>
    <w:p>
      <w:pPr>
        <w:pStyle w:val="78"/>
        <w:numPr>
          <w:ilvl w:val="0"/>
          <w:numId w:val="0"/>
        </w:numPr>
        <w:spacing w:before="156" w:after="156"/>
      </w:pPr>
      <w:r>
        <w:rPr>
          <w:rFonts w:hint="eastAsia"/>
        </w:rPr>
        <w:t>表E.1 哀伤辅导服务及个案记录表</w:t>
      </w:r>
    </w:p>
    <w:tbl>
      <w:tblPr>
        <w:tblStyle w:val="28"/>
        <w:tblW w:w="927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4360"/>
        <w:gridCol w:w="30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825" w:type="dxa"/>
            <w:tcBorders>
              <w:top w:val="single" w:color="auto" w:sz="8" w:space="0"/>
              <w:left w:val="single" w:color="auto" w:sz="8" w:space="0"/>
              <w:bottom w:val="single" w:color="auto" w:sz="8" w:space="0"/>
              <w:right w:val="single" w:color="auto" w:sz="4" w:space="0"/>
            </w:tcBorders>
          </w:tcPr>
          <w:p>
            <w:pPr>
              <w:pStyle w:val="57"/>
              <w:ind w:firstLine="0" w:firstLineChars="0"/>
              <w:rPr>
                <w:sz w:val="18"/>
                <w:szCs w:val="18"/>
              </w:rPr>
            </w:pPr>
            <w:r>
              <w:rPr>
                <w:rFonts w:hint="eastAsia"/>
                <w:sz w:val="18"/>
                <w:szCs w:val="18"/>
              </w:rPr>
              <w:t>长者姓名</w:t>
            </w:r>
          </w:p>
        </w:tc>
        <w:tc>
          <w:tcPr>
            <w:tcW w:w="4360" w:type="dxa"/>
            <w:tcBorders>
              <w:top w:val="single" w:color="auto" w:sz="8" w:space="0"/>
              <w:left w:val="single" w:color="auto" w:sz="4" w:space="0"/>
              <w:bottom w:val="single" w:color="auto" w:sz="8" w:space="0"/>
              <w:right w:val="single" w:color="auto" w:sz="4" w:space="0"/>
            </w:tcBorders>
          </w:tcPr>
          <w:p>
            <w:pPr>
              <w:pStyle w:val="57"/>
              <w:ind w:firstLine="0" w:firstLineChars="0"/>
              <w:rPr>
                <w:sz w:val="18"/>
                <w:szCs w:val="18"/>
              </w:rPr>
            </w:pPr>
            <w:r>
              <w:rPr>
                <w:rFonts w:hint="eastAsia"/>
                <w:sz w:val="18"/>
                <w:szCs w:val="18"/>
              </w:rPr>
              <w:t>家属姓名</w:t>
            </w:r>
          </w:p>
        </w:tc>
        <w:tc>
          <w:tcPr>
            <w:tcW w:w="3093" w:type="dxa"/>
            <w:tcBorders>
              <w:top w:val="single" w:color="auto" w:sz="8" w:space="0"/>
              <w:left w:val="single" w:color="auto" w:sz="4" w:space="0"/>
              <w:bottom w:val="single" w:color="auto" w:sz="8" w:space="0"/>
              <w:right w:val="single" w:color="auto" w:sz="8" w:space="0"/>
            </w:tcBorders>
          </w:tcPr>
          <w:p>
            <w:pPr>
              <w:pStyle w:val="57"/>
              <w:ind w:firstLine="0" w:firstLineChars="0"/>
              <w:rPr>
                <w:sz w:val="18"/>
                <w:szCs w:val="18"/>
              </w:rPr>
            </w:pPr>
            <w:r>
              <w:rPr>
                <w:rFonts w:hint="eastAsia"/>
                <w:sz w:val="18"/>
                <w:szCs w:val="18"/>
              </w:rPr>
              <w:t>服务</w:t>
            </w:r>
            <w:r>
              <w:rPr>
                <w:sz w:val="18"/>
                <w:szCs w:val="18"/>
              </w:rPr>
              <w:t>起始</w:t>
            </w:r>
            <w:r>
              <w:rPr>
                <w:rFonts w:hint="eastAsia"/>
                <w:sz w:val="18"/>
                <w:szCs w:val="18"/>
              </w:rPr>
              <w:t>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108" w:hRule="atLeast"/>
        </w:trPr>
        <w:tc>
          <w:tcPr>
            <w:tcW w:w="1825" w:type="dxa"/>
            <w:tcBorders>
              <w:top w:val="single" w:color="auto" w:sz="8" w:space="0"/>
            </w:tcBorders>
          </w:tcPr>
          <w:p>
            <w:pPr>
              <w:pStyle w:val="57"/>
              <w:ind w:firstLine="0" w:firstLineChars="0"/>
              <w:rPr>
                <w:sz w:val="18"/>
                <w:szCs w:val="18"/>
              </w:rPr>
            </w:pPr>
            <w:r>
              <w:rPr>
                <w:rFonts w:hint="eastAsia"/>
                <w:sz w:val="18"/>
                <w:szCs w:val="18"/>
              </w:rPr>
              <w:t>时间：</w:t>
            </w:r>
          </w:p>
        </w:tc>
        <w:tc>
          <w:tcPr>
            <w:tcW w:w="4360" w:type="dxa"/>
            <w:tcBorders>
              <w:top w:val="single" w:color="auto" w:sz="8" w:space="0"/>
            </w:tcBorders>
          </w:tcPr>
          <w:p>
            <w:pPr>
              <w:pStyle w:val="57"/>
              <w:ind w:firstLine="0" w:firstLineChars="0"/>
              <w:rPr>
                <w:sz w:val="18"/>
                <w:szCs w:val="18"/>
              </w:rPr>
            </w:pPr>
            <w:r>
              <w:rPr>
                <w:rFonts w:hint="eastAsia"/>
                <w:sz w:val="18"/>
                <w:szCs w:val="18"/>
              </w:rPr>
              <w:t>哀伤辅导</w:t>
            </w:r>
            <w:r>
              <w:rPr>
                <w:sz w:val="18"/>
                <w:szCs w:val="18"/>
              </w:rPr>
              <w:t>内容：</w:t>
            </w:r>
          </w:p>
        </w:tc>
        <w:tc>
          <w:tcPr>
            <w:tcW w:w="3093" w:type="dxa"/>
            <w:tcBorders>
              <w:top w:val="single" w:color="auto" w:sz="8" w:space="0"/>
            </w:tcBorders>
          </w:tcPr>
          <w:p>
            <w:pPr>
              <w:pStyle w:val="57"/>
              <w:ind w:firstLine="0" w:firstLineChars="0"/>
              <w:rPr>
                <w:sz w:val="18"/>
                <w:szCs w:val="18"/>
              </w:rPr>
            </w:pPr>
            <w:r>
              <w:rPr>
                <w:rFonts w:hint="eastAsia"/>
                <w:sz w:val="18"/>
                <w:szCs w:val="18"/>
              </w:rPr>
              <w:t>服务人员：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108" w:hRule="atLeast"/>
        </w:trPr>
        <w:tc>
          <w:tcPr>
            <w:tcW w:w="1825" w:type="dxa"/>
          </w:tcPr>
          <w:p>
            <w:pPr>
              <w:pStyle w:val="57"/>
              <w:ind w:firstLine="0" w:firstLineChars="0"/>
              <w:rPr>
                <w:sz w:val="18"/>
                <w:szCs w:val="18"/>
              </w:rPr>
            </w:pPr>
            <w:r>
              <w:rPr>
                <w:rFonts w:hint="eastAsia"/>
                <w:sz w:val="18"/>
                <w:szCs w:val="18"/>
              </w:rPr>
              <w:t>日期</w:t>
            </w:r>
            <w:r>
              <w:rPr>
                <w:sz w:val="18"/>
                <w:szCs w:val="18"/>
              </w:rPr>
              <w:t>：</w:t>
            </w:r>
          </w:p>
        </w:tc>
        <w:tc>
          <w:tcPr>
            <w:tcW w:w="4360" w:type="dxa"/>
          </w:tcPr>
          <w:p>
            <w:pPr>
              <w:pStyle w:val="57"/>
              <w:ind w:firstLine="0" w:firstLineChars="0"/>
              <w:rPr>
                <w:sz w:val="18"/>
                <w:szCs w:val="18"/>
              </w:rPr>
            </w:pPr>
          </w:p>
        </w:tc>
        <w:tc>
          <w:tcPr>
            <w:tcW w:w="3093" w:type="dxa"/>
          </w:tcPr>
          <w:p>
            <w:pPr>
              <w:pStyle w:val="57"/>
              <w:ind w:firstLine="0" w:firstLineChars="0"/>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825" w:type="dxa"/>
          </w:tcPr>
          <w:p>
            <w:pPr>
              <w:pStyle w:val="57"/>
              <w:ind w:firstLine="0" w:firstLineChars="0"/>
              <w:rPr>
                <w:sz w:val="18"/>
                <w:szCs w:val="18"/>
              </w:rPr>
            </w:pPr>
            <w:r>
              <w:rPr>
                <w:rFonts w:hint="eastAsia"/>
                <w:sz w:val="18"/>
                <w:szCs w:val="18"/>
              </w:rPr>
              <w:t>日期</w:t>
            </w:r>
            <w:r>
              <w:rPr>
                <w:sz w:val="18"/>
                <w:szCs w:val="18"/>
              </w:rPr>
              <w:t>：</w:t>
            </w:r>
          </w:p>
        </w:tc>
        <w:tc>
          <w:tcPr>
            <w:tcW w:w="4360" w:type="dxa"/>
          </w:tcPr>
          <w:p>
            <w:pPr>
              <w:pStyle w:val="57"/>
              <w:ind w:firstLine="0" w:firstLineChars="0"/>
              <w:rPr>
                <w:sz w:val="18"/>
                <w:szCs w:val="18"/>
              </w:rPr>
            </w:pPr>
            <w:r>
              <w:rPr>
                <w:rFonts w:hint="eastAsia"/>
                <w:sz w:val="18"/>
                <w:szCs w:val="18"/>
              </w:rPr>
              <w:t>个案</w:t>
            </w:r>
            <w:r>
              <w:rPr>
                <w:sz w:val="18"/>
                <w:szCs w:val="18"/>
              </w:rPr>
              <w:t>记录：</w:t>
            </w:r>
          </w:p>
        </w:tc>
        <w:tc>
          <w:tcPr>
            <w:tcW w:w="3093" w:type="dxa"/>
          </w:tcPr>
          <w:p>
            <w:pPr>
              <w:pStyle w:val="57"/>
              <w:ind w:firstLine="0" w:firstLineChars="0"/>
              <w:rPr>
                <w:sz w:val="18"/>
                <w:szCs w:val="18"/>
              </w:rPr>
            </w:pPr>
            <w:r>
              <w:rPr>
                <w:rFonts w:hint="eastAsia"/>
                <w:sz w:val="18"/>
                <w:szCs w:val="18"/>
              </w:rPr>
              <w:t>服务</w:t>
            </w:r>
            <w:r>
              <w:rPr>
                <w:sz w:val="18"/>
                <w:szCs w:val="18"/>
              </w:rPr>
              <w:t>人员：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308" w:hRule="atLeast"/>
        </w:trPr>
        <w:tc>
          <w:tcPr>
            <w:tcW w:w="1825" w:type="dxa"/>
          </w:tcPr>
          <w:p>
            <w:pPr>
              <w:pStyle w:val="57"/>
              <w:ind w:firstLine="0" w:firstLineChars="0"/>
              <w:rPr>
                <w:sz w:val="18"/>
                <w:szCs w:val="18"/>
              </w:rPr>
            </w:pPr>
          </w:p>
        </w:tc>
        <w:tc>
          <w:tcPr>
            <w:tcW w:w="4360" w:type="dxa"/>
          </w:tcPr>
          <w:p>
            <w:pPr>
              <w:pStyle w:val="57"/>
              <w:ind w:firstLine="0" w:firstLineChars="0"/>
              <w:rPr>
                <w:sz w:val="18"/>
                <w:szCs w:val="18"/>
              </w:rPr>
            </w:pPr>
          </w:p>
        </w:tc>
        <w:tc>
          <w:tcPr>
            <w:tcW w:w="3093" w:type="dxa"/>
          </w:tcPr>
          <w:p>
            <w:pPr>
              <w:pStyle w:val="57"/>
              <w:ind w:firstLine="0" w:firstLineChars="0"/>
              <w:rPr>
                <w:sz w:val="18"/>
                <w:szCs w:val="18"/>
              </w:rPr>
            </w:pPr>
          </w:p>
        </w:tc>
      </w:tr>
      <w:bookmarkEnd w:id="257"/>
    </w:tbl>
    <w:p>
      <w:pPr>
        <w:pStyle w:val="57"/>
        <w:ind w:firstLine="0" w:firstLineChars="0"/>
        <w:jc w:val="center"/>
      </w:pPr>
      <w:bookmarkStart w:id="258" w:name="BookMark8"/>
    </w:p>
    <w:p>
      <w:pPr>
        <w:pStyle w:val="57"/>
        <w:ind w:firstLine="0" w:firstLineChars="0"/>
        <w:jc w:val="center"/>
      </w:pPr>
    </w:p>
    <w:p>
      <w:pPr>
        <w:pStyle w:val="77"/>
        <w:spacing w:after="156"/>
      </w:pPr>
      <w:r>
        <w:br w:type="textWrapping"/>
      </w:r>
      <w:r>
        <w:rPr>
          <w:rFonts w:hint="eastAsia"/>
        </w:rPr>
        <w:t>（资料性）</w:t>
      </w:r>
      <w:r>
        <w:br w:type="textWrapping"/>
      </w:r>
      <w:r>
        <w:rPr>
          <w:rFonts w:hint="eastAsia"/>
        </w:rPr>
        <w:t>后事指导服务记录表</w:t>
      </w:r>
    </w:p>
    <w:p>
      <w:pPr>
        <w:pStyle w:val="57"/>
        <w:ind w:firstLine="420"/>
      </w:pPr>
      <w:r>
        <w:rPr>
          <w:rFonts w:hint="eastAsia"/>
        </w:rPr>
        <w:t>后事指导服务记录表见F</w:t>
      </w:r>
      <w:r>
        <w:t>.1</w:t>
      </w:r>
      <w:r>
        <w:rPr>
          <w:rFonts w:hint="eastAsia"/>
        </w:rPr>
        <w:t>。</w:t>
      </w:r>
    </w:p>
    <w:p>
      <w:pPr>
        <w:pStyle w:val="78"/>
        <w:numPr>
          <w:ilvl w:val="0"/>
          <w:numId w:val="0"/>
        </w:numPr>
        <w:spacing w:before="156" w:after="156"/>
      </w:pPr>
      <w:r>
        <w:t>表</w:t>
      </w:r>
      <w:r>
        <w:rPr>
          <w:rFonts w:hint="eastAsia"/>
        </w:rPr>
        <w:t xml:space="preserve">F.1 </w:t>
      </w:r>
      <w:r>
        <w:t>后事指导服务记录表</w:t>
      </w:r>
    </w:p>
    <w:tbl>
      <w:tblPr>
        <w:tblStyle w:val="27"/>
        <w:tblW w:w="9356"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477"/>
        <w:gridCol w:w="1918"/>
        <w:gridCol w:w="1842"/>
        <w:gridCol w:w="1701"/>
        <w:gridCol w:w="14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605"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通知家属时间：</w:t>
            </w:r>
          </w:p>
        </w:tc>
        <w:tc>
          <w:tcPr>
            <w:tcW w:w="3760" w:type="dxa"/>
            <w:gridSpan w:val="2"/>
            <w:noWrap/>
            <w:tcMar>
              <w:top w:w="15" w:type="dxa"/>
              <w:left w:w="15" w:type="dxa"/>
              <w:bottom w:w="0" w:type="dxa"/>
              <w:right w:w="15" w:type="dxa"/>
            </w:tcMar>
            <w:vAlign w:val="center"/>
          </w:tcPr>
          <w:p>
            <w:pPr>
              <w:jc w:val="center"/>
              <w:rPr>
                <w:rFonts w:ascii="宋体" w:hAnsi="宋体"/>
                <w:color w:val="000000"/>
                <w:sz w:val="18"/>
                <w:szCs w:val="18"/>
              </w:rPr>
            </w:pPr>
          </w:p>
        </w:tc>
        <w:tc>
          <w:tcPr>
            <w:tcW w:w="3119" w:type="dxa"/>
            <w:gridSpan w:val="2"/>
            <w:noWrap/>
            <w:tcMar>
              <w:top w:w="15" w:type="dxa"/>
              <w:left w:w="15" w:type="dxa"/>
              <w:bottom w:w="0" w:type="dxa"/>
              <w:right w:w="15" w:type="dxa"/>
            </w:tcMar>
            <w:vAlign w:val="center"/>
          </w:tcPr>
          <w:p>
            <w:pPr>
              <w:ind w:firstLine="180" w:firstLineChars="100"/>
              <w:jc w:val="left"/>
              <w:rPr>
                <w:rFonts w:ascii="宋体" w:hAnsi="宋体"/>
                <w:color w:val="000000"/>
                <w:sz w:val="18"/>
                <w:szCs w:val="18"/>
              </w:rPr>
            </w:pPr>
            <w:r>
              <w:rPr>
                <w:rFonts w:hint="eastAsia" w:ascii="宋体" w:hAnsi="宋体"/>
                <w:color w:val="000000"/>
                <w:sz w:val="18"/>
                <w:szCs w:val="18"/>
              </w:rPr>
              <w:t>通知人：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00"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被告知家属电话号码：</w:t>
            </w:r>
          </w:p>
        </w:tc>
        <w:tc>
          <w:tcPr>
            <w:tcW w:w="6879" w:type="dxa"/>
            <w:gridSpan w:val="4"/>
            <w:noWrap/>
            <w:tcMar>
              <w:top w:w="15" w:type="dxa"/>
              <w:left w:w="15" w:type="dxa"/>
              <w:bottom w:w="0" w:type="dxa"/>
              <w:right w:w="15" w:type="dxa"/>
            </w:tcMar>
            <w:vAlign w:val="center"/>
          </w:tcPr>
          <w:p>
            <w:pPr>
              <w:jc w:val="center"/>
              <w:rPr>
                <w:rFonts w:ascii="宋体" w:hAnsi="宋体"/>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010"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沟通内容纪要：</w:t>
            </w:r>
          </w:p>
        </w:tc>
        <w:tc>
          <w:tcPr>
            <w:tcW w:w="6879" w:type="dxa"/>
            <w:gridSpan w:val="4"/>
            <w:noWrap/>
            <w:tcMar>
              <w:top w:w="15" w:type="dxa"/>
              <w:left w:w="15" w:type="dxa"/>
              <w:bottom w:w="0" w:type="dxa"/>
              <w:right w:w="15" w:type="dxa"/>
            </w:tcMar>
            <w:vAlign w:val="center"/>
          </w:tcPr>
          <w:p>
            <w:pPr>
              <w:rPr>
                <w:rFonts w:ascii="宋体" w:hAnsi="宋体"/>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00"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家属到达时间：</w:t>
            </w:r>
          </w:p>
        </w:tc>
        <w:tc>
          <w:tcPr>
            <w:tcW w:w="6879" w:type="dxa"/>
            <w:gridSpan w:val="4"/>
            <w:noWrap/>
            <w:tcMar>
              <w:top w:w="15" w:type="dxa"/>
              <w:left w:w="15" w:type="dxa"/>
              <w:bottom w:w="0" w:type="dxa"/>
              <w:right w:w="15" w:type="dxa"/>
            </w:tcMar>
            <w:vAlign w:val="center"/>
          </w:tcPr>
          <w:p>
            <w:pPr>
              <w:jc w:val="center"/>
              <w:rPr>
                <w:rFonts w:ascii="宋体" w:hAnsi="宋体"/>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622"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通知医院时间及号码：</w:t>
            </w:r>
          </w:p>
        </w:tc>
        <w:tc>
          <w:tcPr>
            <w:tcW w:w="3760" w:type="dxa"/>
            <w:gridSpan w:val="2"/>
            <w:noWrap/>
            <w:tcMar>
              <w:top w:w="15" w:type="dxa"/>
              <w:left w:w="15" w:type="dxa"/>
              <w:bottom w:w="0" w:type="dxa"/>
              <w:right w:w="15" w:type="dxa"/>
            </w:tcMar>
          </w:tcPr>
          <w:p>
            <w:pPr>
              <w:jc w:val="left"/>
              <w:rPr>
                <w:rFonts w:ascii="宋体" w:hAnsi="宋体"/>
                <w:color w:val="000000"/>
                <w:sz w:val="18"/>
                <w:szCs w:val="18"/>
              </w:rPr>
            </w:pPr>
          </w:p>
        </w:tc>
        <w:tc>
          <w:tcPr>
            <w:tcW w:w="3119" w:type="dxa"/>
            <w:gridSpan w:val="2"/>
            <w:noWrap/>
            <w:tcMar>
              <w:top w:w="15" w:type="dxa"/>
              <w:left w:w="15" w:type="dxa"/>
              <w:bottom w:w="0" w:type="dxa"/>
              <w:right w:w="15" w:type="dxa"/>
            </w:tcMar>
            <w:vAlign w:val="center"/>
          </w:tcPr>
          <w:p>
            <w:pPr>
              <w:ind w:firstLine="180" w:firstLineChars="100"/>
              <w:rPr>
                <w:rFonts w:ascii="宋体" w:hAnsi="宋体"/>
                <w:color w:val="000000"/>
                <w:sz w:val="18"/>
                <w:szCs w:val="18"/>
              </w:rPr>
            </w:pPr>
            <w:r>
              <w:rPr>
                <w:rFonts w:hint="eastAsia" w:ascii="宋体" w:hAnsi="宋体"/>
                <w:color w:val="000000"/>
                <w:sz w:val="18"/>
                <w:szCs w:val="18"/>
              </w:rPr>
              <w:t>通知人：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50"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医生到达时间：</w:t>
            </w:r>
          </w:p>
        </w:tc>
        <w:tc>
          <w:tcPr>
            <w:tcW w:w="1918" w:type="dxa"/>
            <w:noWrap/>
            <w:tcMar>
              <w:top w:w="15" w:type="dxa"/>
              <w:left w:w="15" w:type="dxa"/>
              <w:bottom w:w="0" w:type="dxa"/>
              <w:right w:w="15" w:type="dxa"/>
            </w:tcMar>
            <w:vAlign w:val="center"/>
          </w:tcPr>
          <w:p>
            <w:pPr>
              <w:jc w:val="center"/>
              <w:rPr>
                <w:rFonts w:ascii="宋体" w:hAnsi="宋体"/>
                <w:color w:val="000000"/>
                <w:sz w:val="18"/>
                <w:szCs w:val="18"/>
              </w:rPr>
            </w:pPr>
          </w:p>
        </w:tc>
        <w:tc>
          <w:tcPr>
            <w:tcW w:w="1842" w:type="dxa"/>
            <w:noWrap/>
            <w:tcMar>
              <w:top w:w="15" w:type="dxa"/>
              <w:left w:w="15" w:type="dxa"/>
              <w:bottom w:w="0" w:type="dxa"/>
              <w:right w:w="15" w:type="dxa"/>
            </w:tcMar>
            <w:vAlign w:val="center"/>
          </w:tcPr>
          <w:p>
            <w:pPr>
              <w:jc w:val="center"/>
              <w:rPr>
                <w:rFonts w:ascii="宋体" w:hAnsi="宋体"/>
                <w:color w:val="000000"/>
                <w:sz w:val="18"/>
                <w:szCs w:val="18"/>
              </w:rPr>
            </w:pPr>
            <w:r>
              <w:rPr>
                <w:rFonts w:hint="eastAsia" w:ascii="宋体" w:hAnsi="宋体"/>
                <w:color w:val="000000"/>
                <w:sz w:val="18"/>
                <w:szCs w:val="18"/>
              </w:rPr>
              <w:t>医生宣布死亡</w:t>
            </w:r>
          </w:p>
          <w:p>
            <w:pPr>
              <w:jc w:val="center"/>
              <w:rPr>
                <w:rFonts w:ascii="宋体" w:hAnsi="宋体"/>
                <w:color w:val="000000"/>
                <w:sz w:val="18"/>
                <w:szCs w:val="18"/>
              </w:rPr>
            </w:pPr>
            <w:r>
              <w:rPr>
                <w:rFonts w:hint="eastAsia" w:ascii="宋体" w:hAnsi="宋体"/>
                <w:color w:val="000000"/>
                <w:sz w:val="18"/>
                <w:szCs w:val="18"/>
              </w:rPr>
              <w:t>时间：</w:t>
            </w:r>
          </w:p>
        </w:tc>
        <w:tc>
          <w:tcPr>
            <w:tcW w:w="3119" w:type="dxa"/>
            <w:gridSpan w:val="2"/>
            <w:noWrap/>
            <w:tcMar>
              <w:top w:w="15" w:type="dxa"/>
              <w:left w:w="15" w:type="dxa"/>
              <w:bottom w:w="0" w:type="dxa"/>
              <w:right w:w="15" w:type="dxa"/>
            </w:tcMar>
            <w:vAlign w:val="center"/>
          </w:tcPr>
          <w:p>
            <w:pPr>
              <w:jc w:val="center"/>
              <w:rPr>
                <w:rFonts w:ascii="宋体" w:hAnsi="宋体"/>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690" w:hRule="atLeast"/>
        </w:trPr>
        <w:tc>
          <w:tcPr>
            <w:tcW w:w="2477" w:type="dxa"/>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r>
              <w:rPr>
                <w:rFonts w:hint="eastAsia" w:ascii="宋体" w:hAnsi="宋体"/>
                <w:color w:val="000000"/>
                <w:kern w:val="0"/>
                <w:sz w:val="18"/>
                <w:szCs w:val="18"/>
              </w:rPr>
              <w:t>协助家属联系殡葬</w:t>
            </w:r>
          </w:p>
          <w:p>
            <w:pPr>
              <w:widowControl/>
              <w:jc w:val="center"/>
              <w:textAlignment w:val="center"/>
              <w:rPr>
                <w:rFonts w:ascii="宋体" w:hAnsi="宋体"/>
                <w:color w:val="000000"/>
                <w:sz w:val="18"/>
                <w:szCs w:val="18"/>
              </w:rPr>
            </w:pPr>
            <w:r>
              <w:rPr>
                <w:rFonts w:hint="eastAsia" w:ascii="宋体" w:hAnsi="宋体"/>
                <w:color w:val="000000"/>
                <w:kern w:val="0"/>
                <w:sz w:val="18"/>
                <w:szCs w:val="18"/>
              </w:rPr>
              <w:t>事宜：</w:t>
            </w:r>
          </w:p>
        </w:tc>
        <w:tc>
          <w:tcPr>
            <w:tcW w:w="6879" w:type="dxa"/>
            <w:gridSpan w:val="4"/>
            <w:noWrap/>
            <w:tcMar>
              <w:top w:w="15" w:type="dxa"/>
              <w:left w:w="15" w:type="dxa"/>
              <w:bottom w:w="0" w:type="dxa"/>
              <w:right w:w="15" w:type="dxa"/>
            </w:tcMar>
            <w:vAlign w:val="center"/>
          </w:tcPr>
          <w:p>
            <w:pPr>
              <w:jc w:val="center"/>
              <w:rPr>
                <w:rFonts w:ascii="宋体" w:hAnsi="宋体"/>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380" w:hRule="atLeast"/>
        </w:trPr>
        <w:tc>
          <w:tcPr>
            <w:tcW w:w="2477" w:type="dxa"/>
            <w:vMerge w:val="restart"/>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r>
              <w:rPr>
                <w:rFonts w:hint="eastAsia" w:ascii="宋体" w:hAnsi="宋体"/>
                <w:color w:val="000000"/>
                <w:kern w:val="0"/>
                <w:sz w:val="18"/>
                <w:szCs w:val="18"/>
              </w:rPr>
              <w:t>遗体料理内容：</w:t>
            </w:r>
          </w:p>
          <w:p>
            <w:pPr>
              <w:widowControl/>
              <w:jc w:val="center"/>
              <w:textAlignment w:val="center"/>
              <w:rPr>
                <w:rFonts w:ascii="宋体" w:hAnsi="宋体"/>
                <w:color w:val="000000"/>
                <w:sz w:val="18"/>
                <w:szCs w:val="18"/>
              </w:rPr>
            </w:pPr>
            <w:r>
              <w:rPr>
                <w:rFonts w:hint="eastAsia" w:ascii="宋体" w:hAnsi="宋体"/>
                <w:color w:val="000000"/>
                <w:kern w:val="0"/>
                <w:sz w:val="18"/>
                <w:szCs w:val="18"/>
              </w:rPr>
              <w:t>（在对应项打√）</w:t>
            </w:r>
          </w:p>
        </w:tc>
        <w:tc>
          <w:tcPr>
            <w:tcW w:w="1918" w:type="dxa"/>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r>
              <w:rPr>
                <w:rFonts w:hint="eastAsia" w:ascii="宋体" w:hAnsi="宋体"/>
                <w:color w:val="000000"/>
                <w:kern w:val="0"/>
                <w:sz w:val="18"/>
                <w:szCs w:val="18"/>
              </w:rPr>
              <w:t>撤去身上治疗</w:t>
            </w:r>
          </w:p>
          <w:p>
            <w:pPr>
              <w:widowControl/>
              <w:jc w:val="center"/>
              <w:textAlignment w:val="center"/>
              <w:rPr>
                <w:rFonts w:ascii="宋体" w:hAnsi="宋体"/>
                <w:color w:val="000000"/>
                <w:sz w:val="18"/>
                <w:szCs w:val="18"/>
              </w:rPr>
            </w:pPr>
            <w:r>
              <w:rPr>
                <w:rFonts w:hint="eastAsia" w:ascii="宋体" w:hAnsi="宋体"/>
                <w:color w:val="000000"/>
                <w:kern w:val="0"/>
                <w:sz w:val="18"/>
                <w:szCs w:val="18"/>
              </w:rPr>
              <w:t>用物、导管</w:t>
            </w:r>
          </w:p>
        </w:tc>
        <w:tc>
          <w:tcPr>
            <w:tcW w:w="1842"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排空排泄物</w:t>
            </w:r>
          </w:p>
        </w:tc>
        <w:tc>
          <w:tcPr>
            <w:tcW w:w="1701" w:type="dxa"/>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r>
              <w:rPr>
                <w:rFonts w:hint="eastAsia" w:ascii="宋体" w:hAnsi="宋体"/>
                <w:color w:val="000000"/>
                <w:kern w:val="0"/>
                <w:sz w:val="18"/>
                <w:szCs w:val="18"/>
              </w:rPr>
              <w:t>全身热水清洁</w:t>
            </w:r>
          </w:p>
          <w:p>
            <w:pPr>
              <w:widowControl/>
              <w:jc w:val="center"/>
              <w:textAlignment w:val="center"/>
              <w:rPr>
                <w:rFonts w:ascii="宋体" w:hAnsi="宋体"/>
                <w:color w:val="000000"/>
                <w:sz w:val="18"/>
                <w:szCs w:val="18"/>
              </w:rPr>
            </w:pPr>
            <w:r>
              <w:rPr>
                <w:rFonts w:hint="eastAsia" w:ascii="宋体" w:hAnsi="宋体"/>
                <w:color w:val="000000"/>
                <w:kern w:val="0"/>
                <w:sz w:val="18"/>
                <w:szCs w:val="18"/>
              </w:rPr>
              <w:t>并酒精消毒</w:t>
            </w:r>
          </w:p>
        </w:tc>
        <w:tc>
          <w:tcPr>
            <w:tcW w:w="1418"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伤口更换辅料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300" w:hRule="atLeast"/>
        </w:trPr>
        <w:tc>
          <w:tcPr>
            <w:tcW w:w="2477" w:type="dxa"/>
            <w:vMerge w:val="continue"/>
            <w:vAlign w:val="center"/>
          </w:tcPr>
          <w:p>
            <w:pPr>
              <w:widowControl/>
              <w:jc w:val="left"/>
              <w:rPr>
                <w:rFonts w:ascii="宋体" w:hAnsi="宋体"/>
                <w:color w:val="000000"/>
                <w:sz w:val="18"/>
                <w:szCs w:val="18"/>
              </w:rPr>
            </w:pPr>
          </w:p>
        </w:tc>
        <w:tc>
          <w:tcPr>
            <w:tcW w:w="1918"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用棉球塞好耳、鼻、口、肛门、阴道等孔道</w:t>
            </w:r>
          </w:p>
        </w:tc>
        <w:tc>
          <w:tcPr>
            <w:tcW w:w="1842" w:type="dxa"/>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r>
              <w:rPr>
                <w:rFonts w:hint="eastAsia" w:ascii="宋体" w:hAnsi="宋体"/>
                <w:color w:val="000000"/>
                <w:kern w:val="0"/>
                <w:sz w:val="18"/>
                <w:szCs w:val="18"/>
              </w:rPr>
              <w:t xml:space="preserve">  梳头更衣、</w:t>
            </w:r>
          </w:p>
          <w:p>
            <w:pPr>
              <w:widowControl/>
              <w:jc w:val="center"/>
              <w:textAlignment w:val="center"/>
              <w:rPr>
                <w:rFonts w:ascii="宋体" w:hAnsi="宋体"/>
                <w:color w:val="000000"/>
                <w:sz w:val="18"/>
                <w:szCs w:val="18"/>
              </w:rPr>
            </w:pPr>
            <w:r>
              <w:rPr>
                <w:rFonts w:hint="eastAsia" w:ascii="宋体" w:hAnsi="宋体"/>
                <w:color w:val="000000"/>
                <w:kern w:val="0"/>
                <w:sz w:val="18"/>
                <w:szCs w:val="18"/>
              </w:rPr>
              <w:t>遗容整理</w:t>
            </w:r>
          </w:p>
        </w:tc>
        <w:tc>
          <w:tcPr>
            <w:tcW w:w="1701" w:type="dxa"/>
            <w:tcMar>
              <w:top w:w="15" w:type="dxa"/>
              <w:left w:w="15" w:type="dxa"/>
              <w:bottom w:w="0" w:type="dxa"/>
              <w:right w:w="15" w:type="dxa"/>
            </w:tcMar>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协助家属搬运遗体、整理遗物</w:t>
            </w:r>
          </w:p>
        </w:tc>
        <w:tc>
          <w:tcPr>
            <w:tcW w:w="1418" w:type="dxa"/>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r>
              <w:rPr>
                <w:rFonts w:hint="eastAsia" w:ascii="宋体" w:hAnsi="宋体"/>
                <w:color w:val="000000"/>
                <w:kern w:val="0"/>
                <w:sz w:val="18"/>
                <w:szCs w:val="18"/>
              </w:rPr>
              <w:t>房间及物品</w:t>
            </w:r>
          </w:p>
          <w:p>
            <w:pPr>
              <w:widowControl/>
              <w:jc w:val="center"/>
              <w:textAlignment w:val="center"/>
              <w:rPr>
                <w:rFonts w:ascii="宋体" w:hAnsi="宋体"/>
                <w:color w:val="000000"/>
                <w:sz w:val="18"/>
                <w:szCs w:val="18"/>
              </w:rPr>
            </w:pPr>
            <w:r>
              <w:rPr>
                <w:rFonts w:hint="eastAsia" w:ascii="宋体" w:hAnsi="宋体"/>
                <w:color w:val="000000"/>
                <w:kern w:val="0"/>
                <w:sz w:val="18"/>
                <w:szCs w:val="18"/>
              </w:rPr>
              <w:t>消毒处理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961" w:hRule="atLeast"/>
        </w:trPr>
        <w:tc>
          <w:tcPr>
            <w:tcW w:w="2477" w:type="dxa"/>
            <w:tcMar>
              <w:top w:w="15" w:type="dxa"/>
              <w:left w:w="15" w:type="dxa"/>
              <w:bottom w:w="0" w:type="dxa"/>
              <w:right w:w="15" w:type="dxa"/>
            </w:tcMar>
            <w:vAlign w:val="center"/>
          </w:tcPr>
          <w:p>
            <w:pPr>
              <w:jc w:val="center"/>
              <w:rPr>
                <w:rFonts w:ascii="宋体" w:hAnsi="宋体"/>
                <w:color w:val="000000"/>
                <w:sz w:val="18"/>
                <w:szCs w:val="18"/>
              </w:rPr>
            </w:pPr>
            <w:r>
              <w:rPr>
                <w:rFonts w:hint="eastAsia" w:ascii="宋体" w:hAnsi="宋体"/>
                <w:color w:val="000000"/>
                <w:sz w:val="18"/>
                <w:szCs w:val="18"/>
              </w:rPr>
              <w:t>离开时间：</w:t>
            </w:r>
          </w:p>
        </w:tc>
        <w:tc>
          <w:tcPr>
            <w:tcW w:w="6879" w:type="dxa"/>
            <w:gridSpan w:val="4"/>
            <w:tcMar>
              <w:top w:w="15" w:type="dxa"/>
              <w:left w:w="15" w:type="dxa"/>
              <w:bottom w:w="0" w:type="dxa"/>
              <w:right w:w="15" w:type="dxa"/>
            </w:tcMar>
            <w:vAlign w:val="center"/>
          </w:tcPr>
          <w:p>
            <w:pPr>
              <w:widowControl/>
              <w:textAlignment w:val="center"/>
              <w:rPr>
                <w:rFonts w:ascii="宋体" w:hAnsi="宋体"/>
                <w:color w:val="000000"/>
                <w:kern w:val="0"/>
                <w:sz w:val="18"/>
                <w:szCs w:val="18"/>
              </w:rPr>
            </w:pPr>
          </w:p>
          <w:p>
            <w:pPr>
              <w:widowControl/>
              <w:textAlignment w:val="center"/>
              <w:rPr>
                <w:rFonts w:ascii="宋体" w:hAnsi="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087" w:hRule="atLeast"/>
        </w:trPr>
        <w:tc>
          <w:tcPr>
            <w:tcW w:w="2477" w:type="dxa"/>
            <w:tcMar>
              <w:top w:w="15" w:type="dxa"/>
              <w:left w:w="15" w:type="dxa"/>
              <w:bottom w:w="0" w:type="dxa"/>
              <w:right w:w="15" w:type="dxa"/>
            </w:tcMar>
            <w:vAlign w:val="center"/>
          </w:tcPr>
          <w:p>
            <w:pPr>
              <w:jc w:val="center"/>
              <w:rPr>
                <w:rFonts w:ascii="宋体" w:hAnsi="宋体"/>
                <w:color w:val="000000"/>
                <w:sz w:val="18"/>
                <w:szCs w:val="18"/>
              </w:rPr>
            </w:pPr>
            <w:r>
              <w:rPr>
                <w:rFonts w:hint="eastAsia" w:ascii="宋体" w:hAnsi="宋体"/>
                <w:color w:val="000000"/>
                <w:kern w:val="0"/>
                <w:sz w:val="18"/>
                <w:szCs w:val="18"/>
              </w:rPr>
              <w:t>其他后事指导</w:t>
            </w:r>
          </w:p>
        </w:tc>
        <w:tc>
          <w:tcPr>
            <w:tcW w:w="6879" w:type="dxa"/>
            <w:gridSpan w:val="4"/>
            <w:tcMar>
              <w:top w:w="15" w:type="dxa"/>
              <w:left w:w="15" w:type="dxa"/>
              <w:bottom w:w="0" w:type="dxa"/>
              <w:right w:w="15" w:type="dxa"/>
            </w:tcMar>
            <w:vAlign w:val="center"/>
          </w:tcPr>
          <w:p>
            <w:pPr>
              <w:widowControl/>
              <w:jc w:val="center"/>
              <w:textAlignment w:val="center"/>
              <w:rPr>
                <w:rFonts w:ascii="宋体" w:hAnsi="宋体"/>
                <w:color w:val="000000"/>
                <w:kern w:val="0"/>
                <w:sz w:val="18"/>
                <w:szCs w:val="18"/>
              </w:rPr>
            </w:pPr>
          </w:p>
        </w:tc>
      </w:tr>
    </w:tbl>
    <w:p>
      <w:pPr>
        <w:pStyle w:val="57"/>
        <w:ind w:firstLine="0" w:firstLineChars="0"/>
        <w:jc w:val="center"/>
      </w:pPr>
    </w:p>
    <w:p>
      <w:pPr>
        <w:pStyle w:val="57"/>
        <w:ind w:firstLine="0" w:firstLineChars="0"/>
        <w:jc w:val="center"/>
      </w:pPr>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3"/>
                    <a:stretch>
                      <a:fillRect/>
                    </a:stretch>
                  </pic:blipFill>
                  <pic:spPr>
                    <a:xfrm>
                      <a:off x="0" y="0"/>
                      <a:ext cx="1485900" cy="317500"/>
                    </a:xfrm>
                    <a:prstGeom prst="rect">
                      <a:avLst/>
                    </a:prstGeom>
                  </pic:spPr>
                </pic:pic>
              </a:graphicData>
            </a:graphic>
          </wp:inline>
        </w:drawing>
      </w:r>
      <w:bookmarkEnd w:id="258"/>
    </w:p>
    <w:sectPr>
      <w:headerReference r:id="rId37" w:type="default"/>
      <w:footerReference r:id="rId39" w:type="default"/>
      <w:headerReference r:id="rId38" w:type="even"/>
      <w:footerReference r:id="rId40" w:type="even"/>
      <w:pgSz w:w="11906" w:h="16838"/>
      <w:pgMar w:top="1928"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7</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8</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9</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2</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10</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11</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5</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 PAGE   \* MERGEFORMAT \* MERGEFORMAT </w:instrText>
    </w:r>
    <w:r>
      <w:fldChar w:fldCharType="separate"/>
    </w:r>
    <w: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398—2024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6523/T 398—2024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dit="forms" w:enforcement="1" w:cryptProviderType="rsaFull" w:cryptAlgorithmClass="hash" w:cryptAlgorithmType="typeAny" w:cryptAlgorithmSid="4" w:cryptSpinCount="100000" w:hash="xNHpaSAS/53x4NM4/nGTSgquVcc=" w:salt="js1lnRKuss/dqvumJEYOlQ=="/>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F44"/>
    <w:rsid w:val="0000040A"/>
    <w:rsid w:val="00000A94"/>
    <w:rsid w:val="00001972"/>
    <w:rsid w:val="00001D9A"/>
    <w:rsid w:val="00001F42"/>
    <w:rsid w:val="00007B3A"/>
    <w:rsid w:val="000107E0"/>
    <w:rsid w:val="00011FDE"/>
    <w:rsid w:val="0001258E"/>
    <w:rsid w:val="00012FFD"/>
    <w:rsid w:val="00014162"/>
    <w:rsid w:val="00014340"/>
    <w:rsid w:val="00016A9C"/>
    <w:rsid w:val="00020E6A"/>
    <w:rsid w:val="00022184"/>
    <w:rsid w:val="00022762"/>
    <w:rsid w:val="000238E0"/>
    <w:rsid w:val="000249DB"/>
    <w:rsid w:val="0002595E"/>
    <w:rsid w:val="000303C3"/>
    <w:rsid w:val="000331D3"/>
    <w:rsid w:val="000346A5"/>
    <w:rsid w:val="000359C3"/>
    <w:rsid w:val="00035A7D"/>
    <w:rsid w:val="0003648F"/>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5C8"/>
    <w:rsid w:val="00067F1E"/>
    <w:rsid w:val="00071CC0"/>
    <w:rsid w:val="00072442"/>
    <w:rsid w:val="00073C8C"/>
    <w:rsid w:val="00077B64"/>
    <w:rsid w:val="00080A1C"/>
    <w:rsid w:val="00082317"/>
    <w:rsid w:val="00083D2C"/>
    <w:rsid w:val="0008492F"/>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6A0A"/>
    <w:rsid w:val="000C7666"/>
    <w:rsid w:val="000D0A9C"/>
    <w:rsid w:val="000D1795"/>
    <w:rsid w:val="000D329A"/>
    <w:rsid w:val="000D4B9C"/>
    <w:rsid w:val="000D4EB6"/>
    <w:rsid w:val="000D753B"/>
    <w:rsid w:val="000E0F26"/>
    <w:rsid w:val="000E4C9E"/>
    <w:rsid w:val="000E6FD7"/>
    <w:rsid w:val="000F06E1"/>
    <w:rsid w:val="000F0E3C"/>
    <w:rsid w:val="000F19D5"/>
    <w:rsid w:val="000F4AEA"/>
    <w:rsid w:val="000F633F"/>
    <w:rsid w:val="000F67E9"/>
    <w:rsid w:val="00104926"/>
    <w:rsid w:val="00113B1E"/>
    <w:rsid w:val="0011711C"/>
    <w:rsid w:val="0012059C"/>
    <w:rsid w:val="00122F87"/>
    <w:rsid w:val="00124E4F"/>
    <w:rsid w:val="001260B7"/>
    <w:rsid w:val="001265CB"/>
    <w:rsid w:val="00130D58"/>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4E48"/>
    <w:rsid w:val="00156134"/>
    <w:rsid w:val="00156B25"/>
    <w:rsid w:val="00156E1A"/>
    <w:rsid w:val="00157894"/>
    <w:rsid w:val="00157B55"/>
    <w:rsid w:val="001642FA"/>
    <w:rsid w:val="001649EB"/>
    <w:rsid w:val="00164BAF"/>
    <w:rsid w:val="00164FA8"/>
    <w:rsid w:val="00165065"/>
    <w:rsid w:val="00165434"/>
    <w:rsid w:val="0016580B"/>
    <w:rsid w:val="00165F49"/>
    <w:rsid w:val="0016671B"/>
    <w:rsid w:val="00166B88"/>
    <w:rsid w:val="0016770A"/>
    <w:rsid w:val="00170804"/>
    <w:rsid w:val="001708E9"/>
    <w:rsid w:val="0017340B"/>
    <w:rsid w:val="00173FB1"/>
    <w:rsid w:val="00176A49"/>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349A"/>
    <w:rsid w:val="001C42F7"/>
    <w:rsid w:val="001C49E5"/>
    <w:rsid w:val="001C680C"/>
    <w:rsid w:val="001C7BB8"/>
    <w:rsid w:val="001C7FEA"/>
    <w:rsid w:val="001D0499"/>
    <w:rsid w:val="001D0BBE"/>
    <w:rsid w:val="001D0ED4"/>
    <w:rsid w:val="001D212F"/>
    <w:rsid w:val="001D29D7"/>
    <w:rsid w:val="001D2DE7"/>
    <w:rsid w:val="001D411C"/>
    <w:rsid w:val="001E1B6A"/>
    <w:rsid w:val="001E2484"/>
    <w:rsid w:val="001E2FD3"/>
    <w:rsid w:val="001E3CC4"/>
    <w:rsid w:val="001E4882"/>
    <w:rsid w:val="001E73AB"/>
    <w:rsid w:val="001F092D"/>
    <w:rsid w:val="001F143A"/>
    <w:rsid w:val="001F1605"/>
    <w:rsid w:val="001F2508"/>
    <w:rsid w:val="001F4816"/>
    <w:rsid w:val="001F4EE9"/>
    <w:rsid w:val="001F69B4"/>
    <w:rsid w:val="001F77C7"/>
    <w:rsid w:val="00200183"/>
    <w:rsid w:val="00200333"/>
    <w:rsid w:val="0020079B"/>
    <w:rsid w:val="0020107D"/>
    <w:rsid w:val="00202AA4"/>
    <w:rsid w:val="002031F7"/>
    <w:rsid w:val="002040E6"/>
    <w:rsid w:val="0020487E"/>
    <w:rsid w:val="002050CC"/>
    <w:rsid w:val="0020527B"/>
    <w:rsid w:val="00205F2C"/>
    <w:rsid w:val="00210B15"/>
    <w:rsid w:val="002142EA"/>
    <w:rsid w:val="002204BB"/>
    <w:rsid w:val="00221467"/>
    <w:rsid w:val="00221B79"/>
    <w:rsid w:val="00221C6B"/>
    <w:rsid w:val="0022239A"/>
    <w:rsid w:val="002230F2"/>
    <w:rsid w:val="002253A1"/>
    <w:rsid w:val="00225CF8"/>
    <w:rsid w:val="0022794E"/>
    <w:rsid w:val="00232E97"/>
    <w:rsid w:val="00233D64"/>
    <w:rsid w:val="0023482A"/>
    <w:rsid w:val="002359CB"/>
    <w:rsid w:val="00243540"/>
    <w:rsid w:val="0024497B"/>
    <w:rsid w:val="0024515B"/>
    <w:rsid w:val="00246021"/>
    <w:rsid w:val="0024666E"/>
    <w:rsid w:val="00247F52"/>
    <w:rsid w:val="00250B25"/>
    <w:rsid w:val="00250BBE"/>
    <w:rsid w:val="002515C2"/>
    <w:rsid w:val="0025194F"/>
    <w:rsid w:val="0025561E"/>
    <w:rsid w:val="0026148A"/>
    <w:rsid w:val="002622A3"/>
    <w:rsid w:val="00262696"/>
    <w:rsid w:val="00263D25"/>
    <w:rsid w:val="002643C3"/>
    <w:rsid w:val="00264A0C"/>
    <w:rsid w:val="00266EEB"/>
    <w:rsid w:val="002670EE"/>
    <w:rsid w:val="00267EF4"/>
    <w:rsid w:val="00270CB8"/>
    <w:rsid w:val="00272B08"/>
    <w:rsid w:val="002771AC"/>
    <w:rsid w:val="00281BB8"/>
    <w:rsid w:val="00281E9E"/>
    <w:rsid w:val="00282405"/>
    <w:rsid w:val="00285170"/>
    <w:rsid w:val="00285361"/>
    <w:rsid w:val="00285EC3"/>
    <w:rsid w:val="00287503"/>
    <w:rsid w:val="00292D60"/>
    <w:rsid w:val="00293B30"/>
    <w:rsid w:val="00294D34"/>
    <w:rsid w:val="00294E3B"/>
    <w:rsid w:val="00296193"/>
    <w:rsid w:val="00296C66"/>
    <w:rsid w:val="00296EBE"/>
    <w:rsid w:val="002974E3"/>
    <w:rsid w:val="002A084B"/>
    <w:rsid w:val="002A1260"/>
    <w:rsid w:val="002A1589"/>
    <w:rsid w:val="002A1608"/>
    <w:rsid w:val="002A1E72"/>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5CA5"/>
    <w:rsid w:val="002E6326"/>
    <w:rsid w:val="002F30E0"/>
    <w:rsid w:val="002F35E4"/>
    <w:rsid w:val="002F3730"/>
    <w:rsid w:val="002F38E1"/>
    <w:rsid w:val="002F7AF6"/>
    <w:rsid w:val="00300E63"/>
    <w:rsid w:val="00302F5F"/>
    <w:rsid w:val="0030441D"/>
    <w:rsid w:val="00305A32"/>
    <w:rsid w:val="00306063"/>
    <w:rsid w:val="003064AD"/>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47FF"/>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3A34"/>
    <w:rsid w:val="003A4077"/>
    <w:rsid w:val="003B09AD"/>
    <w:rsid w:val="003B1F18"/>
    <w:rsid w:val="003B5BF0"/>
    <w:rsid w:val="003B60BF"/>
    <w:rsid w:val="003B6BE3"/>
    <w:rsid w:val="003C010C"/>
    <w:rsid w:val="003C0A6C"/>
    <w:rsid w:val="003C14F8"/>
    <w:rsid w:val="003C5A43"/>
    <w:rsid w:val="003D0519"/>
    <w:rsid w:val="003D0FF6"/>
    <w:rsid w:val="003D262C"/>
    <w:rsid w:val="003D3F4B"/>
    <w:rsid w:val="003D5533"/>
    <w:rsid w:val="003D6D61"/>
    <w:rsid w:val="003D79C6"/>
    <w:rsid w:val="003E091D"/>
    <w:rsid w:val="003E1C53"/>
    <w:rsid w:val="003E1F76"/>
    <w:rsid w:val="003E2A69"/>
    <w:rsid w:val="003E2D49"/>
    <w:rsid w:val="003E2FD4"/>
    <w:rsid w:val="003E49F6"/>
    <w:rsid w:val="003E60EA"/>
    <w:rsid w:val="003E660F"/>
    <w:rsid w:val="003F0841"/>
    <w:rsid w:val="003F23D3"/>
    <w:rsid w:val="003F3F08"/>
    <w:rsid w:val="003F49F1"/>
    <w:rsid w:val="003F6272"/>
    <w:rsid w:val="00400E72"/>
    <w:rsid w:val="00401400"/>
    <w:rsid w:val="00404869"/>
    <w:rsid w:val="00405884"/>
    <w:rsid w:val="00407D39"/>
    <w:rsid w:val="0041477A"/>
    <w:rsid w:val="00415FB9"/>
    <w:rsid w:val="004167A3"/>
    <w:rsid w:val="00417E6D"/>
    <w:rsid w:val="00432954"/>
    <w:rsid w:val="00432DAA"/>
    <w:rsid w:val="00434305"/>
    <w:rsid w:val="00435DF7"/>
    <w:rsid w:val="0044083F"/>
    <w:rsid w:val="00441AE7"/>
    <w:rsid w:val="00445574"/>
    <w:rsid w:val="004467FB"/>
    <w:rsid w:val="00452D6B"/>
    <w:rsid w:val="00454484"/>
    <w:rsid w:val="0045517B"/>
    <w:rsid w:val="00462974"/>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56DD"/>
    <w:rsid w:val="004A12DF"/>
    <w:rsid w:val="004A17E6"/>
    <w:rsid w:val="004A1BA8"/>
    <w:rsid w:val="004A4B57"/>
    <w:rsid w:val="004A63FA"/>
    <w:rsid w:val="004A684C"/>
    <w:rsid w:val="004B0272"/>
    <w:rsid w:val="004B2701"/>
    <w:rsid w:val="004B2E1B"/>
    <w:rsid w:val="004B3AA8"/>
    <w:rsid w:val="004B3E93"/>
    <w:rsid w:val="004C1FBC"/>
    <w:rsid w:val="004C3F1D"/>
    <w:rsid w:val="004C458D"/>
    <w:rsid w:val="004C6DE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0D21"/>
    <w:rsid w:val="00501139"/>
    <w:rsid w:val="0050363E"/>
    <w:rsid w:val="005039BC"/>
    <w:rsid w:val="005043BB"/>
    <w:rsid w:val="00504A3D"/>
    <w:rsid w:val="00505767"/>
    <w:rsid w:val="005073F0"/>
    <w:rsid w:val="00510A7B"/>
    <w:rsid w:val="00512F6E"/>
    <w:rsid w:val="00513038"/>
    <w:rsid w:val="00514096"/>
    <w:rsid w:val="00514174"/>
    <w:rsid w:val="00516088"/>
    <w:rsid w:val="00516B0B"/>
    <w:rsid w:val="00517346"/>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2C57"/>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3033"/>
    <w:rsid w:val="005A4A1B"/>
    <w:rsid w:val="005A7830"/>
    <w:rsid w:val="005A7FCE"/>
    <w:rsid w:val="005B0F3F"/>
    <w:rsid w:val="005B3C4E"/>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7C59"/>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1241"/>
    <w:rsid w:val="006A25E5"/>
    <w:rsid w:val="006A2B46"/>
    <w:rsid w:val="006A336D"/>
    <w:rsid w:val="006A37B9"/>
    <w:rsid w:val="006B2672"/>
    <w:rsid w:val="006B54BF"/>
    <w:rsid w:val="006B5DB6"/>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D75A1"/>
    <w:rsid w:val="006E23EA"/>
    <w:rsid w:val="006F03A8"/>
    <w:rsid w:val="006F2ACA"/>
    <w:rsid w:val="006F2ADC"/>
    <w:rsid w:val="006F2BFE"/>
    <w:rsid w:val="006F31E9"/>
    <w:rsid w:val="006F5646"/>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1822"/>
    <w:rsid w:val="00742C35"/>
    <w:rsid w:val="007432CA"/>
    <w:rsid w:val="007439EB"/>
    <w:rsid w:val="00743CB4"/>
    <w:rsid w:val="00743F0A"/>
    <w:rsid w:val="007444E8"/>
    <w:rsid w:val="0074548E"/>
    <w:rsid w:val="00745773"/>
    <w:rsid w:val="00746800"/>
    <w:rsid w:val="007501A8"/>
    <w:rsid w:val="00750C72"/>
    <w:rsid w:val="00750D61"/>
    <w:rsid w:val="00750EE1"/>
    <w:rsid w:val="00752B4D"/>
    <w:rsid w:val="00753BD0"/>
    <w:rsid w:val="00755402"/>
    <w:rsid w:val="00756B26"/>
    <w:rsid w:val="00756EDF"/>
    <w:rsid w:val="007600E3"/>
    <w:rsid w:val="00765C43"/>
    <w:rsid w:val="00765EFB"/>
    <w:rsid w:val="007671CA"/>
    <w:rsid w:val="00767C61"/>
    <w:rsid w:val="0077008A"/>
    <w:rsid w:val="00770B13"/>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676"/>
    <w:rsid w:val="007A7FFA"/>
    <w:rsid w:val="007B04EB"/>
    <w:rsid w:val="007B0D4F"/>
    <w:rsid w:val="007B37F0"/>
    <w:rsid w:val="007B5A3D"/>
    <w:rsid w:val="007B5B95"/>
    <w:rsid w:val="007B68EA"/>
    <w:rsid w:val="007B7453"/>
    <w:rsid w:val="007C16FD"/>
    <w:rsid w:val="007C1E8B"/>
    <w:rsid w:val="007C2D89"/>
    <w:rsid w:val="007C4593"/>
    <w:rsid w:val="007C5309"/>
    <w:rsid w:val="007C6069"/>
    <w:rsid w:val="007D06C4"/>
    <w:rsid w:val="007D1352"/>
    <w:rsid w:val="007D2508"/>
    <w:rsid w:val="007D346A"/>
    <w:rsid w:val="007D6518"/>
    <w:rsid w:val="007D76BD"/>
    <w:rsid w:val="007E0BF1"/>
    <w:rsid w:val="007E222D"/>
    <w:rsid w:val="007F0ED8"/>
    <w:rsid w:val="007F0F63"/>
    <w:rsid w:val="007F541F"/>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277BA"/>
    <w:rsid w:val="00830621"/>
    <w:rsid w:val="0083348C"/>
    <w:rsid w:val="008373D3"/>
    <w:rsid w:val="00840617"/>
    <w:rsid w:val="00840F84"/>
    <w:rsid w:val="00842A47"/>
    <w:rsid w:val="00843C13"/>
    <w:rsid w:val="008454F8"/>
    <w:rsid w:val="00850818"/>
    <w:rsid w:val="0085173A"/>
    <w:rsid w:val="00852D1C"/>
    <w:rsid w:val="00856316"/>
    <w:rsid w:val="008603CE"/>
    <w:rsid w:val="008620FC"/>
    <w:rsid w:val="008627A5"/>
    <w:rsid w:val="00863E05"/>
    <w:rsid w:val="00865ACA"/>
    <w:rsid w:val="00865D28"/>
    <w:rsid w:val="00865F85"/>
    <w:rsid w:val="00867C10"/>
    <w:rsid w:val="00870439"/>
    <w:rsid w:val="00870DA1"/>
    <w:rsid w:val="00877F05"/>
    <w:rsid w:val="00883F93"/>
    <w:rsid w:val="00884DB3"/>
    <w:rsid w:val="00885A9D"/>
    <w:rsid w:val="0088642E"/>
    <w:rsid w:val="008864F6"/>
    <w:rsid w:val="0089049D"/>
    <w:rsid w:val="008928C9"/>
    <w:rsid w:val="008930CB"/>
    <w:rsid w:val="008938DC"/>
    <w:rsid w:val="00893FD1"/>
    <w:rsid w:val="00894836"/>
    <w:rsid w:val="00895172"/>
    <w:rsid w:val="00895680"/>
    <w:rsid w:val="00896DFF"/>
    <w:rsid w:val="0089762C"/>
    <w:rsid w:val="008A1893"/>
    <w:rsid w:val="008A3215"/>
    <w:rsid w:val="008A40B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2B03"/>
    <w:rsid w:val="008F4C29"/>
    <w:rsid w:val="008F5BEF"/>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39AA"/>
    <w:rsid w:val="00945180"/>
    <w:rsid w:val="00945428"/>
    <w:rsid w:val="0094607B"/>
    <w:rsid w:val="00953604"/>
    <w:rsid w:val="0095496B"/>
    <w:rsid w:val="00955691"/>
    <w:rsid w:val="009610DC"/>
    <w:rsid w:val="00961380"/>
    <w:rsid w:val="00961490"/>
    <w:rsid w:val="0096381A"/>
    <w:rsid w:val="009656A9"/>
    <w:rsid w:val="00965E04"/>
    <w:rsid w:val="009674AD"/>
    <w:rsid w:val="00970CDC"/>
    <w:rsid w:val="00977010"/>
    <w:rsid w:val="00977D02"/>
    <w:rsid w:val="009809BB"/>
    <w:rsid w:val="0098364B"/>
    <w:rsid w:val="009836FA"/>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56E"/>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7F44"/>
    <w:rsid w:val="00A0096C"/>
    <w:rsid w:val="00A01757"/>
    <w:rsid w:val="00A0232A"/>
    <w:rsid w:val="00A028C0"/>
    <w:rsid w:val="00A02BAE"/>
    <w:rsid w:val="00A04BE6"/>
    <w:rsid w:val="00A06A6B"/>
    <w:rsid w:val="00A07E47"/>
    <w:rsid w:val="00A129D0"/>
    <w:rsid w:val="00A12C33"/>
    <w:rsid w:val="00A138BA"/>
    <w:rsid w:val="00A14C8E"/>
    <w:rsid w:val="00A153D9"/>
    <w:rsid w:val="00A15D0D"/>
    <w:rsid w:val="00A15F09"/>
    <w:rsid w:val="00A169B6"/>
    <w:rsid w:val="00A2271D"/>
    <w:rsid w:val="00A237D5"/>
    <w:rsid w:val="00A30EFC"/>
    <w:rsid w:val="00A31984"/>
    <w:rsid w:val="00A32A72"/>
    <w:rsid w:val="00A32D73"/>
    <w:rsid w:val="00A3367B"/>
    <w:rsid w:val="00A3597D"/>
    <w:rsid w:val="00A36DD1"/>
    <w:rsid w:val="00A4006C"/>
    <w:rsid w:val="00A40091"/>
    <w:rsid w:val="00A4030F"/>
    <w:rsid w:val="00A41C79"/>
    <w:rsid w:val="00A41CB5"/>
    <w:rsid w:val="00A42CDF"/>
    <w:rsid w:val="00A44333"/>
    <w:rsid w:val="00A4452E"/>
    <w:rsid w:val="00A4472C"/>
    <w:rsid w:val="00A44E69"/>
    <w:rsid w:val="00A4661E"/>
    <w:rsid w:val="00A55BD6"/>
    <w:rsid w:val="00A55D50"/>
    <w:rsid w:val="00A57142"/>
    <w:rsid w:val="00A648CD"/>
    <w:rsid w:val="00A6537A"/>
    <w:rsid w:val="00A67866"/>
    <w:rsid w:val="00A70B07"/>
    <w:rsid w:val="00A723F8"/>
    <w:rsid w:val="00A77CCB"/>
    <w:rsid w:val="00A834AF"/>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514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4B26"/>
    <w:rsid w:val="00AF5398"/>
    <w:rsid w:val="00B049AF"/>
    <w:rsid w:val="00B07242"/>
    <w:rsid w:val="00B10534"/>
    <w:rsid w:val="00B113DB"/>
    <w:rsid w:val="00B11D8A"/>
    <w:rsid w:val="00B12981"/>
    <w:rsid w:val="00B147DD"/>
    <w:rsid w:val="00B1523A"/>
    <w:rsid w:val="00B156FD"/>
    <w:rsid w:val="00B17EE7"/>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5752"/>
    <w:rsid w:val="00B66567"/>
    <w:rsid w:val="00B66F52"/>
    <w:rsid w:val="00B66FE5"/>
    <w:rsid w:val="00B72880"/>
    <w:rsid w:val="00B74717"/>
    <w:rsid w:val="00B758BF"/>
    <w:rsid w:val="00B77EC8"/>
    <w:rsid w:val="00B827A6"/>
    <w:rsid w:val="00B831CE"/>
    <w:rsid w:val="00B86677"/>
    <w:rsid w:val="00B86DF2"/>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0901"/>
    <w:rsid w:val="00BD19D6"/>
    <w:rsid w:val="00BD52D7"/>
    <w:rsid w:val="00BD5AD2"/>
    <w:rsid w:val="00BE22F3"/>
    <w:rsid w:val="00BE5B52"/>
    <w:rsid w:val="00BE7B8D"/>
    <w:rsid w:val="00BF0993"/>
    <w:rsid w:val="00BF10A9"/>
    <w:rsid w:val="00BF1703"/>
    <w:rsid w:val="00BF231C"/>
    <w:rsid w:val="00BF4F45"/>
    <w:rsid w:val="00BF51E5"/>
    <w:rsid w:val="00BF6C83"/>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C1D"/>
    <w:rsid w:val="00C84E33"/>
    <w:rsid w:val="00C86D6F"/>
    <w:rsid w:val="00C903DA"/>
    <w:rsid w:val="00C905FC"/>
    <w:rsid w:val="00C92D03"/>
    <w:rsid w:val="00C9319C"/>
    <w:rsid w:val="00C9435D"/>
    <w:rsid w:val="00C94DF2"/>
    <w:rsid w:val="00C96741"/>
    <w:rsid w:val="00CA2D1B"/>
    <w:rsid w:val="00CA375D"/>
    <w:rsid w:val="00CA662A"/>
    <w:rsid w:val="00CA7498"/>
    <w:rsid w:val="00CA7AFD"/>
    <w:rsid w:val="00CA7C3C"/>
    <w:rsid w:val="00CA7F73"/>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308F"/>
    <w:rsid w:val="00CF686F"/>
    <w:rsid w:val="00CF699A"/>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6C93"/>
    <w:rsid w:val="00D27582"/>
    <w:rsid w:val="00D27EC4"/>
    <w:rsid w:val="00D32719"/>
    <w:rsid w:val="00D33333"/>
    <w:rsid w:val="00D33457"/>
    <w:rsid w:val="00D34454"/>
    <w:rsid w:val="00D352A2"/>
    <w:rsid w:val="00D3660F"/>
    <w:rsid w:val="00D4162B"/>
    <w:rsid w:val="00D4514F"/>
    <w:rsid w:val="00D451E2"/>
    <w:rsid w:val="00D45E89"/>
    <w:rsid w:val="00D45E8D"/>
    <w:rsid w:val="00D466AE"/>
    <w:rsid w:val="00D4734F"/>
    <w:rsid w:val="00D51BF3"/>
    <w:rsid w:val="00D64E89"/>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583"/>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5CDA"/>
    <w:rsid w:val="00DD6BCC"/>
    <w:rsid w:val="00DE0A4B"/>
    <w:rsid w:val="00DE2410"/>
    <w:rsid w:val="00DE2939"/>
    <w:rsid w:val="00DE6E81"/>
    <w:rsid w:val="00DE703F"/>
    <w:rsid w:val="00DE7595"/>
    <w:rsid w:val="00DF1961"/>
    <w:rsid w:val="00DF44DE"/>
    <w:rsid w:val="00DF5F11"/>
    <w:rsid w:val="00E01138"/>
    <w:rsid w:val="00E02964"/>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3073"/>
    <w:rsid w:val="00E34A98"/>
    <w:rsid w:val="00E35D1E"/>
    <w:rsid w:val="00E364F9"/>
    <w:rsid w:val="00E365FA"/>
    <w:rsid w:val="00E36789"/>
    <w:rsid w:val="00E4177F"/>
    <w:rsid w:val="00E44A83"/>
    <w:rsid w:val="00E502C1"/>
    <w:rsid w:val="00E502DD"/>
    <w:rsid w:val="00E50D3A"/>
    <w:rsid w:val="00E51387"/>
    <w:rsid w:val="00E51E68"/>
    <w:rsid w:val="00E51EC3"/>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C7E"/>
    <w:rsid w:val="00F157A9"/>
    <w:rsid w:val="00F25BB6"/>
    <w:rsid w:val="00F26B7E"/>
    <w:rsid w:val="00F27A3B"/>
    <w:rsid w:val="00F33817"/>
    <w:rsid w:val="00F420D5"/>
    <w:rsid w:val="00F43AA3"/>
    <w:rsid w:val="00F451EA"/>
    <w:rsid w:val="00F45447"/>
    <w:rsid w:val="00F456C6"/>
    <w:rsid w:val="00F4577B"/>
    <w:rsid w:val="00F46496"/>
    <w:rsid w:val="00F474D0"/>
    <w:rsid w:val="00F50179"/>
    <w:rsid w:val="00F515EE"/>
    <w:rsid w:val="00F53B71"/>
    <w:rsid w:val="00F56511"/>
    <w:rsid w:val="00F6194E"/>
    <w:rsid w:val="00F619F2"/>
    <w:rsid w:val="00F623AC"/>
    <w:rsid w:val="00F6412A"/>
    <w:rsid w:val="00F65893"/>
    <w:rsid w:val="00F66A4A"/>
    <w:rsid w:val="00F67102"/>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397A"/>
    <w:rsid w:val="00FA4DAC"/>
    <w:rsid w:val="00FA5D58"/>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3B05"/>
    <w:rsid w:val="00FD59EB"/>
    <w:rsid w:val="00FD7299"/>
    <w:rsid w:val="00FD7BC5"/>
    <w:rsid w:val="00FE0006"/>
    <w:rsid w:val="00FE04C5"/>
    <w:rsid w:val="00FE1FBE"/>
    <w:rsid w:val="00FE3901"/>
    <w:rsid w:val="00FE39D3"/>
    <w:rsid w:val="00FE4BCE"/>
    <w:rsid w:val="00FE54AE"/>
    <w:rsid w:val="00FE576A"/>
    <w:rsid w:val="00FE7E79"/>
    <w:rsid w:val="00FF148E"/>
    <w:rsid w:val="00FF3E7D"/>
    <w:rsid w:val="00FF5B99"/>
    <w:rsid w:val="00FF66AC"/>
    <w:rsid w:val="00FF730C"/>
    <w:rsid w:val="00FF73F4"/>
    <w:rsid w:val="00FF7CE4"/>
    <w:rsid w:val="00FF7E39"/>
    <w:rsid w:val="5A620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uiPriority w:val="99"/>
    <w:tblPr>
      <w:tblLayout w:type="fixed"/>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7"/>
    <w:uiPriority w:val="0"/>
    <w:pPr>
      <w:spacing w:after="120"/>
    </w:pPr>
  </w:style>
  <w:style w:type="paragraph" w:styleId="14">
    <w:name w:val="toc 5"/>
    <w:basedOn w:val="1"/>
    <w:next w:val="1"/>
    <w:unhideWhenUsed/>
    <w:uiPriority w:val="39"/>
    <w:pPr>
      <w:ind w:left="839"/>
    </w:pPr>
    <w:rPr>
      <w:rFonts w:ascii="宋体"/>
    </w:rPr>
  </w:style>
  <w:style w:type="paragraph" w:styleId="15">
    <w:name w:val="toc 3"/>
    <w:basedOn w:val="1"/>
    <w:next w:val="1"/>
    <w:unhideWhenUsed/>
    <w:uiPriority w:val="39"/>
    <w:pPr>
      <w:spacing w:line="300" w:lineRule="exact"/>
      <w:ind w:left="420"/>
    </w:pPr>
    <w:rPr>
      <w:rFonts w:ascii="宋体"/>
    </w:rPr>
  </w:style>
  <w:style w:type="paragraph" w:styleId="16">
    <w:name w:val="Balloon Text"/>
    <w:basedOn w:val="1"/>
    <w:link w:val="46"/>
    <w:semiHidden/>
    <w:unhideWhenUsed/>
    <w:uiPriority w:val="99"/>
    <w:rPr>
      <w:sz w:val="18"/>
      <w:szCs w:val="18"/>
    </w:rPr>
  </w:style>
  <w:style w:type="paragraph" w:styleId="17">
    <w:name w:val="footer"/>
    <w:basedOn w:val="1"/>
    <w:link w:val="45"/>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uiPriority w:val="99"/>
    <w:pPr>
      <w:tabs>
        <w:tab w:val="center" w:pos="4153"/>
        <w:tab w:val="right" w:pos="8306"/>
      </w:tabs>
      <w:adjustRightInd/>
      <w:snapToGrid w:val="0"/>
      <w:jc w:val="center"/>
    </w:pPr>
    <w:rPr>
      <w:sz w:val="18"/>
      <w:szCs w:val="18"/>
    </w:rPr>
  </w:style>
  <w:style w:type="paragraph" w:styleId="19">
    <w:name w:val="toc 1"/>
    <w:basedOn w:val="1"/>
    <w:next w:val="1"/>
    <w:unhideWhenUsed/>
    <w:uiPriority w:val="39"/>
    <w:rPr>
      <w:rFonts w:ascii="宋体"/>
    </w:rPr>
  </w:style>
  <w:style w:type="paragraph" w:styleId="20">
    <w:name w:val="toc 4"/>
    <w:basedOn w:val="1"/>
    <w:next w:val="1"/>
    <w:unhideWhenUsed/>
    <w:uiPriority w:val="39"/>
    <w:pPr>
      <w:tabs>
        <w:tab w:val="right" w:leader="dot" w:pos="9344"/>
      </w:tabs>
      <w:spacing w:line="300" w:lineRule="exact"/>
      <w:ind w:left="629"/>
    </w:pPr>
    <w:rPr>
      <w:rFonts w:ascii="宋体"/>
    </w:rPr>
  </w:style>
  <w:style w:type="paragraph" w:styleId="21">
    <w:name w:val="footnote text"/>
    <w:basedOn w:val="1"/>
    <w:next w:val="1"/>
    <w:link w:val="100"/>
    <w:semiHidden/>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unhideWhenUsed/>
    <w:uiPriority w:val="39"/>
    <w:pPr>
      <w:tabs>
        <w:tab w:val="right" w:leader="dot" w:pos="9344"/>
      </w:tabs>
      <w:spacing w:line="300" w:lineRule="exact"/>
      <w:ind w:left="210"/>
    </w:pPr>
    <w:rPr>
      <w:rFonts w:ascii="宋体"/>
    </w:rPr>
  </w:style>
  <w:style w:type="paragraph" w:styleId="25">
    <w:name w:val="Normal (Web)"/>
    <w:basedOn w:val="1"/>
    <w:semiHidden/>
    <w:unhideWhenUsed/>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0">
    <w:name w:val="Strong"/>
    <w:qFormat/>
    <w:uiPriority w:val="22"/>
    <w:rPr>
      <w:b/>
      <w:bCs/>
    </w:rPr>
  </w:style>
  <w:style w:type="character" w:styleId="31">
    <w:name w:val="page number"/>
    <w:uiPriority w:val="0"/>
    <w:rPr>
      <w:rFonts w:ascii="宋体" w:hAnsi="Times New Roman" w:eastAsia="宋体"/>
      <w:sz w:val="18"/>
    </w:rPr>
  </w:style>
  <w:style w:type="character" w:styleId="32">
    <w:name w:val="Emphasis"/>
    <w:qFormat/>
    <w:uiPriority w:val="20"/>
    <w:rPr>
      <w:i/>
      <w:iCs/>
    </w:rPr>
  </w:style>
  <w:style w:type="character" w:styleId="33">
    <w:name w:val="Hyperlink"/>
    <w:uiPriority w:val="99"/>
    <w:rPr>
      <w:rFonts w:ascii="宋体" w:hAnsi="Times New Roman" w:eastAsia="宋体"/>
      <w:color w:val="auto"/>
      <w:spacing w:val="0"/>
      <w:w w:val="100"/>
      <w:position w:val="0"/>
      <w:sz w:val="21"/>
      <w:u w:val="none"/>
      <w:vertAlign w:val="baseline"/>
    </w:rPr>
  </w:style>
  <w:style w:type="character" w:styleId="34">
    <w:name w:val="footnote reference"/>
    <w:semiHidden/>
    <w:uiPriority w:val="0"/>
    <w:rPr>
      <w:rFonts w:ascii="宋体" w:hAnsi="宋体" w:eastAsia="宋体" w:cs="Times New Roman"/>
      <w:spacing w:val="0"/>
      <w:sz w:val="18"/>
      <w:vertAlign w:val="superscript"/>
    </w:rPr>
  </w:style>
  <w:style w:type="character" w:customStyle="1" w:styleId="35">
    <w:name w:val="标题 1 Char"/>
    <w:link w:val="2"/>
    <w:uiPriority w:val="0"/>
    <w:rPr>
      <w:b/>
      <w:bCs/>
      <w:kern w:val="44"/>
      <w:sz w:val="44"/>
      <w:szCs w:val="44"/>
    </w:rPr>
  </w:style>
  <w:style w:type="character" w:customStyle="1" w:styleId="36">
    <w:name w:val="标题 2 Char"/>
    <w:link w:val="3"/>
    <w:uiPriority w:val="0"/>
    <w:rPr>
      <w:rFonts w:ascii="Arial" w:hAnsi="Arial" w:eastAsia="黑体"/>
      <w:b/>
      <w:bCs/>
      <w:kern w:val="2"/>
      <w:sz w:val="32"/>
      <w:szCs w:val="32"/>
    </w:rPr>
  </w:style>
  <w:style w:type="character" w:customStyle="1" w:styleId="37">
    <w:name w:val="标题 3 Char"/>
    <w:link w:val="4"/>
    <w:uiPriority w:val="0"/>
    <w:rPr>
      <w:b/>
      <w:bCs/>
      <w:kern w:val="2"/>
      <w:sz w:val="32"/>
      <w:szCs w:val="32"/>
    </w:rPr>
  </w:style>
  <w:style w:type="character" w:customStyle="1" w:styleId="38">
    <w:name w:val="标题 4 Char"/>
    <w:link w:val="5"/>
    <w:uiPriority w:val="0"/>
    <w:rPr>
      <w:rFonts w:ascii="Arial" w:hAnsi="Arial" w:eastAsia="黑体"/>
      <w:b/>
      <w:bCs/>
      <w:kern w:val="2"/>
      <w:sz w:val="28"/>
      <w:szCs w:val="28"/>
    </w:rPr>
  </w:style>
  <w:style w:type="character" w:customStyle="1" w:styleId="39">
    <w:name w:val="标题 5 Char"/>
    <w:link w:val="6"/>
    <w:uiPriority w:val="0"/>
    <w:rPr>
      <w:b/>
      <w:bCs/>
      <w:kern w:val="2"/>
      <w:sz w:val="28"/>
      <w:szCs w:val="28"/>
    </w:rPr>
  </w:style>
  <w:style w:type="character" w:customStyle="1" w:styleId="40">
    <w:name w:val="标题 6 Char"/>
    <w:link w:val="7"/>
    <w:uiPriority w:val="0"/>
    <w:rPr>
      <w:rFonts w:ascii="Arial" w:hAnsi="Arial" w:eastAsia="黑体"/>
      <w:b/>
      <w:bCs/>
      <w:kern w:val="2"/>
      <w:sz w:val="24"/>
      <w:szCs w:val="24"/>
    </w:rPr>
  </w:style>
  <w:style w:type="character" w:customStyle="1" w:styleId="41">
    <w:name w:val="标题 7 Char"/>
    <w:link w:val="8"/>
    <w:uiPriority w:val="0"/>
    <w:rPr>
      <w:b/>
      <w:bCs/>
      <w:kern w:val="2"/>
      <w:sz w:val="24"/>
      <w:szCs w:val="24"/>
    </w:rPr>
  </w:style>
  <w:style w:type="character" w:customStyle="1" w:styleId="42">
    <w:name w:val="标题 8 Char"/>
    <w:link w:val="9"/>
    <w:uiPriority w:val="0"/>
    <w:rPr>
      <w:rFonts w:ascii="Arial" w:hAnsi="Arial" w:eastAsia="黑体"/>
      <w:kern w:val="2"/>
      <w:sz w:val="24"/>
      <w:szCs w:val="24"/>
    </w:rPr>
  </w:style>
  <w:style w:type="character" w:customStyle="1" w:styleId="43">
    <w:name w:val="标题 9 Char"/>
    <w:link w:val="10"/>
    <w:uiPriority w:val="0"/>
    <w:rPr>
      <w:rFonts w:ascii="Arial" w:hAnsi="Arial" w:eastAsia="黑体"/>
      <w:kern w:val="2"/>
      <w:sz w:val="21"/>
      <w:szCs w:val="21"/>
    </w:rPr>
  </w:style>
  <w:style w:type="character" w:customStyle="1" w:styleId="44">
    <w:name w:val="页眉 Char"/>
    <w:link w:val="18"/>
    <w:uiPriority w:val="99"/>
    <w:rPr>
      <w:kern w:val="2"/>
      <w:sz w:val="18"/>
      <w:szCs w:val="18"/>
    </w:rPr>
  </w:style>
  <w:style w:type="character" w:customStyle="1" w:styleId="45">
    <w:name w:val="页脚 Char"/>
    <w:link w:val="17"/>
    <w:uiPriority w:val="99"/>
    <w:rPr>
      <w:rFonts w:ascii="宋体"/>
      <w:kern w:val="2"/>
      <w:sz w:val="18"/>
      <w:szCs w:val="18"/>
    </w:rPr>
  </w:style>
  <w:style w:type="character" w:customStyle="1" w:styleId="46">
    <w:name w:val="批注框文本 Char"/>
    <w:link w:val="16"/>
    <w:semiHidden/>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uiPriority w:val="29"/>
    <w:rPr>
      <w:i/>
      <w:iCs/>
      <w:color w:val="000000"/>
      <w:kern w:val="2"/>
      <w:sz w:val="21"/>
      <w:szCs w:val="21"/>
    </w:rPr>
  </w:style>
  <w:style w:type="character" w:customStyle="1" w:styleId="49">
    <w:name w:val="标题 Char"/>
    <w:link w:val="26"/>
    <w:uiPriority w:val="0"/>
    <w:rPr>
      <w:rFonts w:ascii="Arial" w:hAnsi="Arial" w:cs="Arial"/>
      <w:b/>
      <w:bCs/>
      <w:kern w:val="2"/>
      <w:sz w:val="32"/>
      <w:szCs w:val="32"/>
    </w:rPr>
  </w:style>
  <w:style w:type="paragraph" w:customStyle="1" w:styleId="50">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uiPriority w:val="0"/>
    <w:pPr>
      <w:ind w:left="198"/>
    </w:pPr>
    <w:rPr>
      <w:rFonts w:ascii="宋体" w:hAnsi="Times New Roman" w:eastAsia="宋体" w:cs="Times New Roman"/>
      <w:sz w:val="18"/>
      <w:lang w:val="en-US" w:eastAsia="zh-CN" w:bidi="ar-SA"/>
    </w:rPr>
  </w:style>
  <w:style w:type="paragraph" w:customStyle="1" w:styleId="53">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4">
    <w:name w:val="标准书眉一"/>
    <w:uiPriority w:val="0"/>
    <w:pPr>
      <w:jc w:val="both"/>
    </w:pPr>
    <w:rPr>
      <w:rFonts w:ascii="Times New Roman" w:hAnsi="Times New Roman" w:eastAsia="宋体" w:cs="Times New Roman"/>
      <w:lang w:val="en-US" w:eastAsia="zh-CN" w:bidi="ar-SA"/>
    </w:rPr>
  </w:style>
  <w:style w:type="paragraph" w:customStyle="1" w:styleId="55">
    <w:name w:val="标准文件_ICS"/>
    <w:basedOn w:val="1"/>
    <w:uiPriority w:val="0"/>
    <w:pPr>
      <w:spacing w:line="0" w:lineRule="atLeast"/>
    </w:pPr>
    <w:rPr>
      <w:rFonts w:ascii="黑体" w:hAnsi="宋体" w:eastAsia="黑体"/>
    </w:rPr>
  </w:style>
  <w:style w:type="paragraph" w:customStyle="1" w:styleId="56">
    <w:name w:val="标准文件_标准正文"/>
    <w:basedOn w:val="1"/>
    <w:next w:val="57"/>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uiPriority w:val="0"/>
    <w:pPr>
      <w:adjustRightInd/>
      <w:snapToGrid/>
      <w:ind w:firstLine="0" w:firstLineChars="0"/>
    </w:pPr>
    <w:rPr>
      <w:rFonts w:ascii="宋体" w:hAnsi="宋体"/>
      <w:kern w:val="2"/>
    </w:rPr>
  </w:style>
  <w:style w:type="paragraph" w:customStyle="1" w:styleId="59">
    <w:name w:val="标准文件_标准部门"/>
    <w:basedOn w:val="1"/>
    <w:uiPriority w:val="0"/>
    <w:pPr>
      <w:jc w:val="center"/>
    </w:pPr>
    <w:rPr>
      <w:rFonts w:ascii="黑体" w:eastAsia="黑体"/>
      <w:kern w:val="0"/>
      <w:sz w:val="44"/>
    </w:rPr>
  </w:style>
  <w:style w:type="paragraph" w:customStyle="1" w:styleId="60">
    <w:name w:val="标准文件_标准代替"/>
    <w:basedOn w:val="1"/>
    <w:next w:val="1"/>
    <w:uiPriority w:val="0"/>
    <w:pPr>
      <w:spacing w:line="310" w:lineRule="exact"/>
      <w:jc w:val="right"/>
    </w:pPr>
    <w:rPr>
      <w:rFonts w:ascii="宋体" w:hAnsi="宋体"/>
      <w:kern w:val="0"/>
    </w:rPr>
  </w:style>
  <w:style w:type="paragraph" w:customStyle="1" w:styleId="61">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uiPriority w:val="0"/>
    <w:pPr>
      <w:jc w:val="left"/>
    </w:pPr>
  </w:style>
  <w:style w:type="paragraph" w:customStyle="1" w:styleId="64">
    <w:name w:val="标准文件_参考文献标题"/>
    <w:basedOn w:val="1"/>
    <w:next w:val="1"/>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uiPriority w:val="0"/>
    <w:rPr>
      <w:rFonts w:ascii="黑体" w:eastAsia="黑体"/>
      <w:spacing w:val="0"/>
      <w:w w:val="100"/>
      <w:position w:val="3"/>
      <w:sz w:val="28"/>
    </w:rPr>
  </w:style>
  <w:style w:type="paragraph" w:customStyle="1" w:styleId="68">
    <w:name w:val="标准文件_方框数字列项"/>
    <w:basedOn w:val="57"/>
    <w:uiPriority w:val="0"/>
    <w:pPr>
      <w:numPr>
        <w:ilvl w:val="0"/>
        <w:numId w:val="3"/>
      </w:numPr>
      <w:ind w:firstLine="0" w:firstLineChars="0"/>
    </w:pPr>
  </w:style>
  <w:style w:type="paragraph" w:customStyle="1" w:styleId="69">
    <w:name w:val="标准文件_封面标准编号"/>
    <w:basedOn w:val="1"/>
    <w:next w:val="60"/>
    <w:uiPriority w:val="0"/>
    <w:pPr>
      <w:spacing w:line="310" w:lineRule="exact"/>
      <w:jc w:val="right"/>
    </w:pPr>
    <w:rPr>
      <w:rFonts w:ascii="黑体" w:eastAsia="黑体"/>
      <w:kern w:val="0"/>
      <w:sz w:val="28"/>
    </w:rPr>
  </w:style>
  <w:style w:type="paragraph" w:customStyle="1" w:styleId="70">
    <w:name w:val="标准文件_封面标准分类号"/>
    <w:basedOn w:val="1"/>
    <w:uiPriority w:val="0"/>
    <w:rPr>
      <w:rFonts w:ascii="黑体" w:eastAsia="黑体"/>
      <w:b/>
      <w:kern w:val="0"/>
      <w:sz w:val="28"/>
    </w:rPr>
  </w:style>
  <w:style w:type="paragraph" w:customStyle="1" w:styleId="71">
    <w:name w:val="标准文件_封面标准名称"/>
    <w:basedOn w:val="1"/>
    <w:uiPriority w:val="0"/>
    <w:pPr>
      <w:spacing w:line="240" w:lineRule="auto"/>
      <w:jc w:val="center"/>
    </w:pPr>
    <w:rPr>
      <w:rFonts w:ascii="黑体" w:eastAsia="黑体"/>
      <w:kern w:val="0"/>
      <w:sz w:val="52"/>
    </w:rPr>
  </w:style>
  <w:style w:type="paragraph" w:customStyle="1" w:styleId="72">
    <w:name w:val="标准文件_封面标准英文名称"/>
    <w:basedOn w:val="1"/>
    <w:uiPriority w:val="0"/>
    <w:pPr>
      <w:spacing w:line="240" w:lineRule="auto"/>
      <w:jc w:val="center"/>
    </w:pPr>
    <w:rPr>
      <w:rFonts w:ascii="黑体" w:eastAsia="黑体"/>
      <w:b/>
      <w:sz w:val="28"/>
    </w:rPr>
  </w:style>
  <w:style w:type="paragraph" w:customStyle="1" w:styleId="73">
    <w:name w:val="标准文件_封面发布日期"/>
    <w:basedOn w:val="1"/>
    <w:uiPriority w:val="0"/>
    <w:pPr>
      <w:spacing w:line="310" w:lineRule="exact"/>
    </w:pPr>
    <w:rPr>
      <w:rFonts w:ascii="黑体" w:eastAsia="黑体"/>
      <w:kern w:val="0"/>
      <w:sz w:val="28"/>
    </w:rPr>
  </w:style>
  <w:style w:type="paragraph" w:customStyle="1" w:styleId="74">
    <w:name w:val="标准文件_封面密级"/>
    <w:basedOn w:val="1"/>
    <w:uiPriority w:val="0"/>
    <w:rPr>
      <w:rFonts w:eastAsia="黑体"/>
      <w:sz w:val="32"/>
    </w:rPr>
  </w:style>
  <w:style w:type="paragraph" w:customStyle="1" w:styleId="75">
    <w:name w:val="标准文件_封面实施日期"/>
    <w:basedOn w:val="1"/>
    <w:uiPriority w:val="0"/>
    <w:pPr>
      <w:spacing w:line="310" w:lineRule="exact"/>
      <w:jc w:val="right"/>
    </w:pPr>
    <w:rPr>
      <w:rFonts w:ascii="黑体" w:eastAsia="黑体"/>
      <w:sz w:val="28"/>
    </w:rPr>
  </w:style>
  <w:style w:type="paragraph" w:customStyle="1" w:styleId="76">
    <w:name w:val="标准文件_封面抬头"/>
    <w:basedOn w:val="57"/>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3"/>
    <w:uiPriority w:val="0"/>
    <w:rPr>
      <w:kern w:val="2"/>
      <w:sz w:val="21"/>
      <w:szCs w:val="21"/>
    </w:rPr>
  </w:style>
  <w:style w:type="paragraph" w:customStyle="1" w:styleId="88">
    <w:name w:val="标准文件_附录章标题"/>
    <w:next w:val="57"/>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uiPriority w:val="0"/>
    <w:pPr>
      <w:ind w:left="488" w:leftChars="200" w:hanging="289" w:hangingChars="290"/>
    </w:pPr>
  </w:style>
  <w:style w:type="paragraph" w:customStyle="1" w:styleId="90">
    <w:name w:val="标准文件_前言、引言标题"/>
    <w:next w:val="1"/>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uiPriority w:val="0"/>
    <w:pPr>
      <w:spacing w:line="460" w:lineRule="exact"/>
      <w:ind w:left="0" w:firstLine="0"/>
    </w:pPr>
  </w:style>
  <w:style w:type="paragraph" w:customStyle="1" w:styleId="92">
    <w:name w:val="标准文件_目录标题"/>
    <w:basedOn w:val="1"/>
    <w:uiPriority w:val="0"/>
    <w:pPr>
      <w:spacing w:before="480" w:after="150" w:afterLines="150" w:line="240" w:lineRule="auto"/>
      <w:jc w:val="center"/>
    </w:pPr>
    <w:rPr>
      <w:rFonts w:ascii="黑体" w:eastAsia="黑体"/>
      <w:sz w:val="32"/>
    </w:rPr>
  </w:style>
  <w:style w:type="paragraph" w:customStyle="1" w:styleId="93">
    <w:name w:val="标准文件_破折号列项"/>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uiPriority w:val="0"/>
    <w:pPr>
      <w:numPr>
        <w:numId w:val="10"/>
      </w:numPr>
    </w:pPr>
  </w:style>
  <w:style w:type="paragraph" w:customStyle="1" w:styleId="95">
    <w:name w:val="标准文件_三级条标题"/>
    <w:basedOn w:val="66"/>
    <w:next w:val="57"/>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uiPriority w:val="0"/>
    <w:pPr>
      <w:adjustRightInd/>
      <w:spacing w:line="240" w:lineRule="auto"/>
      <w:ind w:firstLine="200" w:firstLineChars="200"/>
    </w:pPr>
    <w:rPr>
      <w:sz w:val="18"/>
      <w:szCs w:val="24"/>
    </w:rPr>
  </w:style>
  <w:style w:type="paragraph" w:customStyle="1" w:styleId="98">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1"/>
    <w:semiHidden/>
    <w:uiPriority w:val="0"/>
    <w:rPr>
      <w:rFonts w:ascii="宋体"/>
      <w:kern w:val="2"/>
      <w:sz w:val="18"/>
      <w:szCs w:val="18"/>
    </w:rPr>
  </w:style>
  <w:style w:type="paragraph" w:customStyle="1" w:styleId="101">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uiPriority w:val="0"/>
    <w:pPr>
      <w:numPr>
        <w:ilvl w:val="0"/>
        <w:numId w:val="12"/>
      </w:numPr>
      <w:spacing w:line="240" w:lineRule="auto"/>
      <w:jc w:val="left"/>
    </w:pPr>
    <w:rPr>
      <w:rFonts w:ascii="宋体" w:hAnsi="宋体"/>
      <w:sz w:val="18"/>
    </w:rPr>
  </w:style>
  <w:style w:type="character" w:customStyle="1" w:styleId="103">
    <w:name w:val="标准文件_图表脚注内容"/>
    <w:uiPriority w:val="0"/>
    <w:rPr>
      <w:rFonts w:ascii="宋体" w:hAnsi="宋体" w:eastAsia="宋体" w:cs="Times New Roman"/>
      <w:spacing w:val="0"/>
      <w:sz w:val="18"/>
      <w:vertAlign w:val="superscript"/>
    </w:rPr>
  </w:style>
  <w:style w:type="paragraph" w:customStyle="1" w:styleId="104">
    <w:name w:val="标准文件_五级条标题"/>
    <w:next w:val="57"/>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uiPriority w:val="0"/>
    <w:pPr>
      <w:numPr>
        <w:ilvl w:val="2"/>
      </w:numPr>
      <w:spacing w:before="50" w:beforeLines="50" w:after="50" w:afterLines="50"/>
      <w:outlineLvl w:val="1"/>
    </w:pPr>
  </w:style>
  <w:style w:type="paragraph" w:customStyle="1" w:styleId="107">
    <w:name w:val="标准文件_一致程度"/>
    <w:basedOn w:val="1"/>
    <w:uiPriority w:val="0"/>
    <w:pPr>
      <w:spacing w:line="440" w:lineRule="exact"/>
      <w:jc w:val="center"/>
    </w:pPr>
    <w:rPr>
      <w:sz w:val="28"/>
    </w:rPr>
  </w:style>
  <w:style w:type="paragraph" w:customStyle="1" w:styleId="108">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uiPriority w:val="0"/>
    <w:pPr>
      <w:numPr>
        <w:ilvl w:val="3"/>
        <w:numId w:val="20"/>
      </w:numPr>
      <w:adjustRightInd/>
      <w:spacing w:line="240" w:lineRule="auto"/>
    </w:pPr>
    <w:rPr>
      <w:rFonts w:ascii="宋体" w:hAnsi="宋体"/>
      <w:szCs w:val="24"/>
    </w:rPr>
  </w:style>
  <w:style w:type="paragraph" w:customStyle="1" w:styleId="120">
    <w:name w:val="发布部门"/>
    <w:next w:val="57"/>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uiPriority w:val="0"/>
    <w:pPr>
      <w:outlineLvl w:val="4"/>
    </w:pPr>
  </w:style>
  <w:style w:type="paragraph" w:customStyle="1" w:styleId="131">
    <w:name w:val="附录四级无标题条"/>
    <w:basedOn w:val="130"/>
    <w:next w:val="57"/>
    <w:uiPriority w:val="0"/>
    <w:pPr>
      <w:outlineLvl w:val="5"/>
    </w:pPr>
  </w:style>
  <w:style w:type="paragraph" w:customStyle="1" w:styleId="132">
    <w:name w:val="附录图"/>
    <w:next w:val="57"/>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uiPriority w:val="0"/>
    <w:pPr>
      <w:outlineLvl w:val="6"/>
    </w:pPr>
  </w:style>
  <w:style w:type="paragraph" w:customStyle="1" w:styleId="135">
    <w:name w:val="附录性质"/>
    <w:basedOn w:val="1"/>
    <w:uiPriority w:val="0"/>
    <w:pPr>
      <w:widowControl/>
      <w:adjustRightInd/>
      <w:jc w:val="center"/>
    </w:pPr>
    <w:rPr>
      <w:rFonts w:ascii="黑体" w:eastAsia="黑体"/>
    </w:rPr>
  </w:style>
  <w:style w:type="paragraph" w:customStyle="1" w:styleId="136">
    <w:name w:val="附录一级无标题条"/>
    <w:basedOn w:val="88"/>
    <w:next w:val="57"/>
    <w:uiPriority w:val="0"/>
    <w:pPr>
      <w:autoSpaceDN w:val="0"/>
      <w:outlineLvl w:val="2"/>
    </w:pPr>
    <w:rPr>
      <w:rFonts w:ascii="宋体" w:hAnsi="宋体" w:eastAsia="宋体"/>
    </w:rPr>
  </w:style>
  <w:style w:type="character" w:customStyle="1" w:styleId="137">
    <w:name w:val="个人答复风格"/>
    <w:uiPriority w:val="0"/>
    <w:rPr>
      <w:rFonts w:ascii="Arial" w:hAnsi="Arial" w:eastAsia="宋体" w:cs="Arial"/>
      <w:color w:val="auto"/>
      <w:spacing w:val="0"/>
      <w:sz w:val="20"/>
    </w:rPr>
  </w:style>
  <w:style w:type="character" w:customStyle="1" w:styleId="138">
    <w:name w:val="个人撰写风格"/>
    <w:uiPriority w:val="0"/>
    <w:rPr>
      <w:rFonts w:ascii="Arial" w:hAnsi="Arial" w:eastAsia="宋体" w:cs="Arial"/>
      <w:color w:val="auto"/>
      <w:spacing w:val="0"/>
      <w:sz w:val="20"/>
    </w:rPr>
  </w:style>
  <w:style w:type="paragraph" w:customStyle="1" w:styleId="139">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uiPriority w:val="0"/>
    <w:pPr>
      <w:tabs>
        <w:tab w:val="left" w:pos="840"/>
      </w:tabs>
    </w:pPr>
  </w:style>
  <w:style w:type="paragraph" w:customStyle="1" w:styleId="142">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uiPriority w:val="0"/>
    <w:pPr>
      <w:adjustRightInd/>
      <w:spacing w:line="240" w:lineRule="auto"/>
      <w:jc w:val="left"/>
    </w:pPr>
    <w:rPr>
      <w:bCs/>
      <w:iCs/>
    </w:rPr>
  </w:style>
  <w:style w:type="paragraph" w:customStyle="1" w:styleId="144">
    <w:name w:val="目录 31"/>
    <w:basedOn w:val="1"/>
    <w:next w:val="1"/>
    <w:semiHidden/>
    <w:uiPriority w:val="0"/>
    <w:pPr>
      <w:spacing w:line="240" w:lineRule="auto"/>
    </w:pPr>
    <w:rPr>
      <w:rFonts w:ascii="宋体" w:hAnsi="宋体"/>
      <w:iCs/>
    </w:rPr>
  </w:style>
  <w:style w:type="paragraph" w:customStyle="1" w:styleId="145">
    <w:name w:val="目录 41"/>
    <w:basedOn w:val="1"/>
    <w:next w:val="1"/>
    <w:semiHidden/>
    <w:uiPriority w:val="0"/>
    <w:pPr>
      <w:adjustRightInd/>
      <w:spacing w:line="240" w:lineRule="auto"/>
      <w:jc w:val="left"/>
    </w:pPr>
  </w:style>
  <w:style w:type="paragraph" w:customStyle="1" w:styleId="146">
    <w:name w:val="目录 51"/>
    <w:basedOn w:val="1"/>
    <w:next w:val="1"/>
    <w:semiHidden/>
    <w:uiPriority w:val="0"/>
    <w:pPr>
      <w:spacing w:line="240" w:lineRule="auto"/>
    </w:pPr>
    <w:rPr>
      <w:rFonts w:ascii="宋体" w:hAnsi="宋体"/>
    </w:rPr>
  </w:style>
  <w:style w:type="paragraph" w:customStyle="1" w:styleId="147">
    <w:name w:val="目录 61"/>
    <w:basedOn w:val="1"/>
    <w:next w:val="1"/>
    <w:semiHidden/>
    <w:uiPriority w:val="0"/>
    <w:pPr>
      <w:adjustRightInd/>
      <w:spacing w:line="240" w:lineRule="auto"/>
      <w:jc w:val="left"/>
    </w:pPr>
  </w:style>
  <w:style w:type="paragraph" w:customStyle="1" w:styleId="148">
    <w:name w:val="目录 71"/>
    <w:basedOn w:val="147"/>
    <w:semiHidden/>
    <w:uiPriority w:val="0"/>
    <w:pPr>
      <w:ind w:left="1260"/>
    </w:pPr>
  </w:style>
  <w:style w:type="paragraph" w:customStyle="1" w:styleId="149">
    <w:name w:val="目录 81"/>
    <w:basedOn w:val="148"/>
    <w:semiHidden/>
    <w:uiPriority w:val="0"/>
    <w:pPr>
      <w:ind w:left="1470"/>
    </w:pPr>
  </w:style>
  <w:style w:type="paragraph" w:customStyle="1" w:styleId="150">
    <w:name w:val="目录 91"/>
    <w:basedOn w:val="149"/>
    <w:semiHidden/>
    <w:uiPriority w:val="0"/>
    <w:pPr>
      <w:ind w:left="1680"/>
    </w:pPr>
  </w:style>
  <w:style w:type="paragraph" w:customStyle="1" w:styleId="151">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uiPriority w:val="0"/>
    <w:pPr>
      <w:framePr/>
      <w:spacing w:line="0" w:lineRule="atLeast"/>
    </w:pPr>
    <w:rPr>
      <w:rFonts w:ascii="黑体" w:eastAsia="黑体"/>
      <w:b w:val="0"/>
    </w:rPr>
  </w:style>
  <w:style w:type="paragraph" w:customStyle="1" w:styleId="153">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uiPriority w:val="0"/>
    <w:pPr>
      <w:numPr>
        <w:ilvl w:val="4"/>
        <w:numId w:val="20"/>
      </w:numPr>
      <w:adjustRightInd/>
      <w:spacing w:line="240" w:lineRule="auto"/>
    </w:pPr>
    <w:rPr>
      <w:rFonts w:ascii="宋体" w:hAnsi="宋体"/>
      <w:szCs w:val="24"/>
    </w:rPr>
  </w:style>
  <w:style w:type="paragraph" w:customStyle="1" w:styleId="155">
    <w:name w:val="实施日期"/>
    <w:basedOn w:val="121"/>
    <w:uiPriority w:val="0"/>
    <w:pPr>
      <w:framePr w:hSpace="0" w:xAlign="right"/>
      <w:jc w:val="right"/>
    </w:pPr>
  </w:style>
  <w:style w:type="paragraph" w:customStyle="1" w:styleId="156">
    <w:name w:val="四级无标题条"/>
    <w:basedOn w:val="1"/>
    <w:uiPriority w:val="0"/>
    <w:pPr>
      <w:numPr>
        <w:ilvl w:val="5"/>
        <w:numId w:val="20"/>
      </w:numPr>
      <w:adjustRightInd/>
      <w:spacing w:line="240" w:lineRule="auto"/>
    </w:pPr>
    <w:rPr>
      <w:rFonts w:ascii="宋体" w:hAnsi="宋体"/>
      <w:szCs w:val="24"/>
    </w:rPr>
  </w:style>
  <w:style w:type="paragraph" w:customStyle="1" w:styleId="157">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uiPriority w:val="0"/>
    <w:pPr>
      <w:jc w:val="both"/>
    </w:pPr>
    <w:rPr>
      <w:rFonts w:ascii="宋体" w:hAnsi="宋体" w:eastAsia="宋体" w:cs="Times New Roman"/>
      <w:sz w:val="21"/>
      <w:lang w:val="en-US" w:eastAsia="zh-CN" w:bidi="ar-SA"/>
    </w:rPr>
  </w:style>
  <w:style w:type="paragraph" w:customStyle="1" w:styleId="159">
    <w:name w:val="五级无标题条"/>
    <w:basedOn w:val="1"/>
    <w:uiPriority w:val="0"/>
    <w:pPr>
      <w:numPr>
        <w:ilvl w:val="6"/>
        <w:numId w:val="20"/>
      </w:numPr>
      <w:adjustRightInd/>
    </w:pPr>
    <w:rPr>
      <w:szCs w:val="24"/>
    </w:rPr>
  </w:style>
  <w:style w:type="paragraph" w:customStyle="1" w:styleId="160">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1">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uiPriority w:val="0"/>
    <w:rPr>
      <w:rFonts w:ascii="宋体" w:hAnsi="Times New Roman" w:eastAsia="宋体" w:cs="Times New Roman"/>
      <w:sz w:val="21"/>
      <w:lang w:val="en-US" w:eastAsia="zh-CN" w:bidi="ar-SA"/>
    </w:rPr>
  </w:style>
  <w:style w:type="paragraph" w:customStyle="1" w:styleId="173">
    <w:name w:val="标准文件_三级项"/>
    <w:basedOn w:val="1"/>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uiPriority w:val="0"/>
    <w:pPr>
      <w:framePr w:w="3997" w:h="471" w:hRule="exact" w:hSpace="0" w:vSpace="181" w:vAnchor="page" w:hAnchor="page" w:x="1419" w:y="14097"/>
    </w:pPr>
  </w:style>
  <w:style w:type="paragraph" w:customStyle="1" w:styleId="195">
    <w:name w:val="其他实施日期"/>
    <w:basedOn w:val="155"/>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uiPriority w:val="0"/>
    <w:rPr>
      <w:rFonts w:ascii="黑体" w:eastAsia="黑体"/>
      <w:spacing w:val="85"/>
      <w:w w:val="100"/>
      <w:position w:val="3"/>
      <w:sz w:val="28"/>
      <w:szCs w:val="28"/>
    </w:rPr>
  </w:style>
  <w:style w:type="paragraph" w:customStyle="1" w:styleId="231">
    <w:name w:val="正文1"/>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8" Type="http://schemas.openxmlformats.org/officeDocument/2006/relationships/glossaryDocument" Target="glossary/document.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1.jpeg"/><Relationship Id="rId42" Type="http://schemas.openxmlformats.org/officeDocument/2006/relationships/image" Target="media/image1.tiff"/><Relationship Id="rId41" Type="http://schemas.openxmlformats.org/officeDocument/2006/relationships/theme" Target="theme/theme1.xml"/><Relationship Id="rId40" Type="http://schemas.openxmlformats.org/officeDocument/2006/relationships/footer" Target="footer19.xml"/><Relationship Id="rId4" Type="http://schemas.openxmlformats.org/officeDocument/2006/relationships/header" Target="header2.xml"/><Relationship Id="rId39" Type="http://schemas.openxmlformats.org/officeDocument/2006/relationships/footer" Target="footer18.xml"/><Relationship Id="rId38" Type="http://schemas.openxmlformats.org/officeDocument/2006/relationships/header" Target="header19.xml"/><Relationship Id="rId37" Type="http://schemas.openxmlformats.org/officeDocument/2006/relationships/header" Target="header18.xml"/><Relationship Id="rId36" Type="http://schemas.openxmlformats.org/officeDocument/2006/relationships/footer" Target="footer17.xml"/><Relationship Id="rId35" Type="http://schemas.openxmlformats.org/officeDocument/2006/relationships/footer" Target="footer16.xml"/><Relationship Id="rId34" Type="http://schemas.openxmlformats.org/officeDocument/2006/relationships/header" Target="header17.xml"/><Relationship Id="rId33" Type="http://schemas.openxmlformats.org/officeDocument/2006/relationships/header" Target="header16.xml"/><Relationship Id="rId32" Type="http://schemas.openxmlformats.org/officeDocument/2006/relationships/footer" Target="footer15.xml"/><Relationship Id="rId31" Type="http://schemas.openxmlformats.org/officeDocument/2006/relationships/footer" Target="footer14.xml"/><Relationship Id="rId30" Type="http://schemas.openxmlformats.org/officeDocument/2006/relationships/header" Target="header15.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footer" Target="footer13.xml"/><Relationship Id="rId27" Type="http://schemas.openxmlformats.org/officeDocument/2006/relationships/footer" Target="footer12.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1EB530DA7554DD6AFF6652387D39900"/>
        <w:style w:val=""/>
        <w:category>
          <w:name w:val="常规"/>
          <w:gallery w:val="placeholder"/>
        </w:category>
        <w:types>
          <w:type w:val="bbPlcHdr"/>
        </w:types>
        <w:behaviors>
          <w:behavior w:val="content"/>
        </w:behaviors>
        <w:description w:val=""/>
        <w:guid w:val="{B40CBBE1-1A21-44F9-9100-62051ED204DA}"/>
      </w:docPartPr>
      <w:docPartBody>
        <w:p>
          <w:pPr>
            <w:pStyle w:val="5"/>
          </w:pPr>
          <w:r>
            <w:rPr>
              <w:rStyle w:val="4"/>
              <w:rFonts w:hint="eastAsia"/>
            </w:rPr>
            <w:t>单击或点击此处输入文字。</w:t>
          </w:r>
        </w:p>
      </w:docPartBody>
    </w:docPart>
    <w:docPart>
      <w:docPartPr>
        <w:name w:val="58E8109647A0414AA20CCB38C622C59F"/>
        <w:style w:val=""/>
        <w:category>
          <w:name w:val="常规"/>
          <w:gallery w:val="placeholder"/>
        </w:category>
        <w:types>
          <w:type w:val="bbPlcHdr"/>
        </w:types>
        <w:behaviors>
          <w:behavior w:val="content"/>
        </w:behaviors>
        <w:description w:val=""/>
        <w:guid w:val="{64F5A868-9DAC-4ACF-8A7C-2B708E0D7C7A}"/>
      </w:docPartPr>
      <w:docPartBody>
        <w:p>
          <w:pPr>
            <w:pStyle w:val="6"/>
          </w:pPr>
          <w:r>
            <w:rPr>
              <w:rStyle w:val="4"/>
              <w:rFonts w:hint="eastAsia"/>
            </w:rPr>
            <w:t>选择一项。</w:t>
          </w:r>
        </w:p>
      </w:docPartBody>
    </w:docPart>
    <w:docPart>
      <w:docPartPr>
        <w:name w:val="9DFB91161907402881E980E14E87FE29"/>
        <w:style w:val=""/>
        <w:category>
          <w:name w:val="常规"/>
          <w:gallery w:val="placeholder"/>
        </w:category>
        <w:types>
          <w:type w:val="bbPlcHdr"/>
        </w:types>
        <w:behaviors>
          <w:behavior w:val="content"/>
        </w:behaviors>
        <w:description w:val=""/>
        <w:guid w:val="{569C6BA2-9DCC-4020-B1D6-53856E23E295}"/>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2E"/>
    <w:rsid w:val="00054390"/>
    <w:rsid w:val="000E47BC"/>
    <w:rsid w:val="00373E30"/>
    <w:rsid w:val="003D4D07"/>
    <w:rsid w:val="004547A9"/>
    <w:rsid w:val="005A3295"/>
    <w:rsid w:val="006546B2"/>
    <w:rsid w:val="009E392E"/>
    <w:rsid w:val="00A37019"/>
    <w:rsid w:val="00D24E78"/>
    <w:rsid w:val="00D85399"/>
    <w:rsid w:val="00FC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A1EB530DA7554DD6AFF6652387D3990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8E8109647A0414AA20CCB38C622C59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9DFB91161907402881E980E14E87FE29"/>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77A1BC-7E83-4C78-9FB6-6DCDFFE7FB4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16</Pages>
  <Words>2820</Words>
  <Characters>3188</Characters>
  <Lines>455</Lines>
  <Paragraphs>286</Paragraphs>
  <TotalTime>0</TotalTime>
  <ScaleCrop>false</ScaleCrop>
  <LinksUpToDate>false</LinksUpToDate>
  <CharactersWithSpaces>5722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2024-07-26T09:22:00Z</dcterms:created>
  <dc:creator>USER</dc:creator>
  <dc:description>&lt;config cover="true" show_menu="true" version="1.0.0" doctype="SDKXY"&gt;_x000d_
&lt;/config&gt;</dc:description>
  <cp:lastModifiedBy>Administrator</cp:lastModifiedBy>
  <cp:lastPrinted>2020-08-30T10:00:00Z</cp:lastPrinted>
  <dcterms:modified xsi:type="dcterms:W3CDTF">2025-03-04T10:47:42Z</dcterms:modified>
  <dc:title>地方标准</dc:title>
  <cp:revision>330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2052-11.8.2.8555</vt:lpwstr>
  </property>
</Properties>
</file>