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90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附件1</w:t>
      </w:r>
    </w:p>
    <w:p>
      <w:pPr>
        <w:spacing w:line="560" w:lineRule="exact"/>
        <w:ind w:right="90"/>
        <w:jc w:val="center"/>
        <w:textAlignment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自治州门诊特殊慢性病鉴定医院名单</w:t>
      </w:r>
    </w:p>
    <w:bookmarkEnd w:id="0"/>
    <w:p>
      <w:pPr>
        <w:spacing w:line="560" w:lineRule="exact"/>
        <w:ind w:right="90"/>
        <w:textAlignment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right="90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　　1.昌吉州人民医院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2.昌吉州中医医院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3.玛纳斯县人民医院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4.呼图壁县人民医院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5.昌吉市人民医院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6.新疆医科大学一附院昌吉分院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7.阜康市人民医院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8.吉木萨尔县人民医院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9.奇台县人民医院</w:t>
      </w:r>
    </w:p>
    <w:p>
      <w:pPr>
        <w:spacing w:line="560" w:lineRule="exact"/>
        <w:ind w:right="90" w:firstLine="585"/>
        <w:textAlignment w:val="center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10.木垒县人民医院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F0676"/>
    <w:rsid w:val="612F067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i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2018-04-20T08:34:00Z</dcterms:created>
  <dc:creator>Siete0624</dc:creator>
  <cp:lastModifiedBy>Siete0624</cp:lastModifiedBy>
  <dcterms:modified xsi:type="dcterms:W3CDTF">2018-04-20T08:35:01Z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