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600" w:lineRule="exact"/>
        <w:jc w:val="center"/>
        <w:rPr>
          <w:rFonts w:ascii="方正小标宋简体" w:eastAsia="方正小标宋简体"/>
          <w:sz w:val="44"/>
          <w:szCs w:val="44"/>
        </w:rPr>
      </w:pPr>
      <w:r>
        <w:rPr>
          <w:rFonts w:hint="eastAsia" w:ascii="方正小标宋简体" w:eastAsia="方正小标宋简体"/>
          <w:sz w:val="44"/>
          <w:szCs w:val="44"/>
        </w:rPr>
        <w:t>企业信用报告查询业务办事指南</w:t>
      </w:r>
    </w:p>
    <w:p>
      <w:pPr>
        <w:spacing w:line="600" w:lineRule="exact"/>
        <w:rPr>
          <w:rFonts w:ascii="仿宋_gb2312" w:eastAsia="仿宋_gb2312"/>
          <w:sz w:val="32"/>
          <w:szCs w:val="32"/>
        </w:rPr>
      </w:pPr>
    </w:p>
    <w:p>
      <w:pPr>
        <w:spacing w:line="600" w:lineRule="exact"/>
        <w:ind w:firstLine="640" w:firstLineChars="200"/>
        <w:rPr>
          <w:rFonts w:ascii="黑体" w:eastAsia="黑体"/>
          <w:sz w:val="32"/>
          <w:szCs w:val="32"/>
        </w:rPr>
      </w:pPr>
      <w:r>
        <w:rPr>
          <w:rFonts w:hint="eastAsia" w:ascii="黑体" w:eastAsia="黑体"/>
          <w:sz w:val="32"/>
          <w:szCs w:val="32"/>
        </w:rPr>
        <w:t>一、事项类别</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非行政许可。</w:t>
      </w:r>
    </w:p>
    <w:p>
      <w:pPr>
        <w:spacing w:line="600" w:lineRule="exact"/>
        <w:ind w:firstLine="640" w:firstLineChars="200"/>
        <w:rPr>
          <w:rFonts w:ascii="黑体" w:eastAsia="黑体"/>
          <w:sz w:val="32"/>
          <w:szCs w:val="32"/>
        </w:rPr>
      </w:pPr>
      <w:r>
        <w:rPr>
          <w:rFonts w:hint="eastAsia" w:ascii="黑体" w:eastAsia="黑体"/>
          <w:sz w:val="32"/>
          <w:szCs w:val="32"/>
        </w:rPr>
        <w:t>二、办理依据</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《金融信用信息基础数据库新疆查询前置系统业务操作规程》（新银征信分中心〔2023〕9号）。</w:t>
      </w:r>
    </w:p>
    <w:p>
      <w:pPr>
        <w:numPr>
          <w:ilvl w:val="0"/>
          <w:numId w:val="1"/>
        </w:numPr>
        <w:spacing w:line="600" w:lineRule="exact"/>
        <w:ind w:firstLine="640" w:firstLineChars="200"/>
        <w:rPr>
          <w:rFonts w:hint="eastAsia" w:ascii="黑体" w:eastAsia="黑体"/>
          <w:sz w:val="32"/>
          <w:szCs w:val="32"/>
        </w:rPr>
      </w:pPr>
      <w:r>
        <w:rPr>
          <w:rFonts w:hint="eastAsia" w:ascii="黑体" w:eastAsia="黑体"/>
          <w:sz w:val="32"/>
          <w:szCs w:val="32"/>
          <w:lang w:val="en-US" w:eastAsia="zh-CN"/>
        </w:rPr>
        <w:t>企业征信查询渠道</w:t>
      </w:r>
    </w:p>
    <w:p>
      <w:pPr>
        <w:numPr>
          <w:numId w:val="0"/>
        </w:numPr>
        <w:spacing w:line="60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(一）</w:t>
      </w:r>
      <w:r>
        <w:rPr>
          <w:rFonts w:hint="eastAsia" w:ascii="仿宋_gb2312" w:eastAsia="仿宋_gb2312"/>
          <w:sz w:val="32"/>
          <w:szCs w:val="32"/>
          <w:lang w:eastAsia="zh-CN"/>
        </w:rPr>
        <w:t>线上查询</w:t>
      </w:r>
    </w:p>
    <w:p>
      <w:pPr>
        <w:numPr>
          <w:numId w:val="0"/>
        </w:numPr>
        <w:spacing w:line="600" w:lineRule="exact"/>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1.手机银行app（中国工商银行、中国农业银行、中国建设银行、交通银行、中国邮政储蓄银行、中信银行、中国民生银行、中国光大银行、华夏银行、招商银行、广发银行、浦发银行、平安银行）</w:t>
      </w:r>
    </w:p>
    <w:p>
      <w:pPr>
        <w:numPr>
          <w:numId w:val="0"/>
        </w:numPr>
        <w:spacing w:line="600" w:lineRule="exact"/>
        <w:ind w:leftChars="0"/>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2.网上银行（中国工商银行、中国农业银行、中国银行、中国建设银行、交通银行、中信银行、中国光大银行、中国民生银行、招商银行、广发银行、浦发银行、渤海银行、华夏银行、平安银行、北京银行）</w:t>
      </w:r>
    </w:p>
    <w:p>
      <w:pPr>
        <w:numPr>
          <w:ilvl w:val="0"/>
          <w:numId w:val="2"/>
        </w:numPr>
        <w:spacing w:line="60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线下查询</w:t>
      </w:r>
    </w:p>
    <w:p>
      <w:pPr>
        <w:numPr>
          <w:numId w:val="0"/>
        </w:numPr>
        <w:spacing w:line="600" w:lineRule="exact"/>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1.智慧柜员机查询：中国建设银行、中国邮政储蓄银行全国所有服务网点的智慧柜员机均可查询企业征信报告，本行和非本行客户均可查询。中国工商银行服务网点智慧柜员机向本行客户提供查询。</w:t>
      </w:r>
    </w:p>
    <w:p>
      <w:pPr>
        <w:numPr>
          <w:numId w:val="0"/>
        </w:numPr>
        <w:spacing w:line="600" w:lineRule="exact"/>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2.自助查询机查询：中国人民银行昌吉州分行、部分商业银行服务网点提供信用报告自助查询机查询。(可通过“信用小帮手”微信小程序查询附近查询机布放网点）</w:t>
      </w:r>
    </w:p>
    <w:p>
      <w:pPr>
        <w:numPr>
          <w:numId w:val="0"/>
        </w:numPr>
        <w:spacing w:line="600" w:lineRule="exact"/>
        <w:rPr>
          <w:rFonts w:ascii="仿宋_gb2312" w:hAnsi="仿宋_gb2312" w:eastAsia="仿宋_gb2312" w:cs="仿宋_gb2312"/>
          <w:sz w:val="32"/>
          <w:szCs w:val="32"/>
        </w:rPr>
      </w:pPr>
      <w:r>
        <w:rPr>
          <w:rFonts w:hint="eastAsia" w:ascii="仿宋_gb2312" w:eastAsia="仿宋_gb2312"/>
          <w:sz w:val="32"/>
          <w:szCs w:val="32"/>
          <w:lang w:val="en-US" w:eastAsia="zh-CN"/>
        </w:rPr>
        <w:t xml:space="preserve">     </w:t>
      </w:r>
      <w:r>
        <w:rPr>
          <w:rFonts w:hint="eastAsia" w:ascii="仿宋_gb2312" w:eastAsia="仿宋_gb2312"/>
          <w:color w:val="auto"/>
          <w:sz w:val="32"/>
          <w:szCs w:val="32"/>
          <w:lang w:val="en-US" w:eastAsia="zh-CN"/>
        </w:rPr>
        <w:t>3.人工柜台查询：</w:t>
      </w:r>
      <w:r>
        <w:rPr>
          <w:rFonts w:hint="eastAsia" w:ascii="仿宋_gb2312" w:hAnsi="仿宋_gb2312" w:eastAsia="仿宋_gb2312" w:cs="仿宋_gb2312"/>
          <w:color w:val="auto"/>
          <w:sz w:val="32"/>
          <w:szCs w:val="32"/>
        </w:rPr>
        <w:t>中国人民银行</w:t>
      </w:r>
      <w:r>
        <w:rPr>
          <w:rFonts w:hint="eastAsia" w:ascii="仿宋_gb2312" w:hAnsi="仿宋_gb2312" w:eastAsia="仿宋_gb2312" w:cs="仿宋_gb2312"/>
          <w:color w:val="auto"/>
          <w:sz w:val="32"/>
          <w:szCs w:val="32"/>
          <w:lang w:eastAsia="zh-CN"/>
        </w:rPr>
        <w:t>昌吉州分</w:t>
      </w:r>
      <w:r>
        <w:rPr>
          <w:rFonts w:hint="eastAsia" w:ascii="仿宋_gb2312" w:hAnsi="仿宋_gb2312" w:eastAsia="仿宋_gb2312" w:cs="仿宋_gb2312"/>
          <w:color w:val="auto"/>
          <w:sz w:val="32"/>
          <w:szCs w:val="32"/>
        </w:rPr>
        <w:t>行征信管理科</w:t>
      </w:r>
      <w:r>
        <w:rPr>
          <w:rFonts w:hint="eastAsia" w:ascii="仿宋_gb2312" w:hAnsi="仿宋_gb2312" w:eastAsia="仿宋_gb2312" w:cs="仿宋_gb2312"/>
          <w:color w:val="auto"/>
          <w:sz w:val="32"/>
          <w:szCs w:val="32"/>
          <w:lang w:eastAsia="zh-CN"/>
        </w:rPr>
        <w:t>一楼大厅征信窗口查询</w:t>
      </w:r>
      <w:r>
        <w:rPr>
          <w:rFonts w:hint="eastAsia" w:ascii="仿宋_gb2312" w:hAnsi="仿宋_gb2312" w:eastAsia="仿宋_gb2312" w:cs="仿宋_gb2312"/>
          <w:sz w:val="32"/>
          <w:szCs w:val="32"/>
          <w:lang w:eastAsia="zh-CN"/>
        </w:rPr>
        <w:t>。</w:t>
      </w:r>
    </w:p>
    <w:p>
      <w:pPr>
        <w:spacing w:line="600" w:lineRule="exact"/>
        <w:ind w:firstLine="640" w:firstLineChars="200"/>
        <w:rPr>
          <w:rFonts w:ascii="黑体" w:eastAsia="黑体"/>
          <w:sz w:val="32"/>
          <w:szCs w:val="32"/>
        </w:rPr>
      </w:pPr>
      <w:r>
        <w:rPr>
          <w:rFonts w:hint="eastAsia" w:ascii="黑体" w:eastAsia="黑体"/>
          <w:sz w:val="32"/>
          <w:szCs w:val="32"/>
        </w:rPr>
        <w:t>四、柜台查询基本流程</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（一）企业法人代表查询信用报告</w:t>
      </w:r>
    </w:p>
    <w:p>
      <w:pPr>
        <w:spacing w:line="60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rPr>
        <w:t>1.向柜台工作人员出示本人有效身份证件原件</w:t>
      </w:r>
      <w:r>
        <w:rPr>
          <w:rFonts w:hint="eastAsia" w:ascii="仿宋_gb2312" w:eastAsia="仿宋_gb2312"/>
          <w:sz w:val="32"/>
          <w:szCs w:val="32"/>
          <w:lang w:eastAsia="zh-CN"/>
        </w:rPr>
        <w:t>及营业执照原件。</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2.在企业征信信用报告查询申请表签字确认。</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3.工作人员打印企业信用报告提交给客户。</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（二）委托经办人查询信用报告</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1.向柜台工作人员出示经办人有效身份证件原件</w:t>
      </w:r>
      <w:r>
        <w:rPr>
          <w:rFonts w:hint="eastAsia" w:ascii="仿宋_gb2312" w:eastAsia="仿宋_gb2312"/>
          <w:sz w:val="32"/>
          <w:szCs w:val="32"/>
          <w:lang w:eastAsia="zh-CN"/>
        </w:rPr>
        <w:t>、营业执照原件</w:t>
      </w:r>
      <w:r>
        <w:rPr>
          <w:rFonts w:hint="eastAsia" w:ascii="仿宋_gb2312" w:eastAsia="仿宋_gb2312"/>
          <w:sz w:val="32"/>
          <w:szCs w:val="32"/>
        </w:rPr>
        <w:t>及《企业法定代表人授权委托书》。</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2.在企业征信信用报告查询申请表签字确认。</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3.工作人员打印企业信用报告提交给客户。</w:t>
      </w:r>
    </w:p>
    <w:p>
      <w:pPr>
        <w:spacing w:line="600" w:lineRule="exact"/>
        <w:ind w:firstLine="640" w:firstLineChars="200"/>
        <w:rPr>
          <w:rFonts w:ascii="黑体" w:eastAsia="黑体"/>
          <w:sz w:val="32"/>
          <w:szCs w:val="32"/>
        </w:rPr>
      </w:pPr>
      <w:r>
        <w:rPr>
          <w:rFonts w:hint="eastAsia" w:ascii="黑体" w:eastAsia="黑体"/>
          <w:sz w:val="32"/>
          <w:szCs w:val="32"/>
        </w:rPr>
        <w:t>五、申请材料</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（一）企业法人代表查询信用报告提供法人代表有效身份证件原件、企业的</w:t>
      </w:r>
      <w:r>
        <w:rPr>
          <w:rFonts w:hint="eastAsia" w:ascii="仿宋_gb2312" w:eastAsia="仿宋_gb2312"/>
          <w:sz w:val="32"/>
          <w:szCs w:val="32"/>
          <w:lang w:eastAsia="zh-CN"/>
        </w:rPr>
        <w:t>营业执照</w:t>
      </w:r>
      <w:r>
        <w:rPr>
          <w:rFonts w:hint="eastAsia" w:ascii="仿宋_gb2312" w:eastAsia="仿宋_gb2312"/>
          <w:sz w:val="32"/>
          <w:szCs w:val="32"/>
        </w:rPr>
        <w:t>原件供查验，同时填写《企业信用报告查询申请表》。</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（二）企业法定代表人委托经办人代理查询企业信用报告的，应提供经办人有效身份证件原件、企业的</w:t>
      </w:r>
      <w:r>
        <w:rPr>
          <w:rFonts w:hint="eastAsia" w:ascii="仿宋_gb2312" w:eastAsia="仿宋_gb2312"/>
          <w:sz w:val="32"/>
          <w:szCs w:val="32"/>
          <w:lang w:eastAsia="zh-CN"/>
        </w:rPr>
        <w:t>营业执照</w:t>
      </w:r>
      <w:r>
        <w:rPr>
          <w:rFonts w:hint="eastAsia" w:ascii="仿宋_gb2312" w:eastAsia="仿宋_gb2312"/>
          <w:sz w:val="32"/>
          <w:szCs w:val="32"/>
        </w:rPr>
        <w:t>原件</w:t>
      </w:r>
      <w:r>
        <w:rPr>
          <w:rFonts w:hint="eastAsia" w:ascii="仿宋_gb2312" w:eastAsia="仿宋_gb2312"/>
          <w:sz w:val="32"/>
          <w:szCs w:val="32"/>
          <w:lang w:eastAsia="zh-CN"/>
        </w:rPr>
        <w:t>、</w:t>
      </w:r>
      <w:r>
        <w:rPr>
          <w:rFonts w:hint="eastAsia" w:ascii="仿宋_gb2312" w:eastAsia="仿宋_gb2312"/>
          <w:sz w:val="32"/>
          <w:szCs w:val="32"/>
        </w:rPr>
        <w:t>《企业法定代表人授权委托书》原件。</w:t>
      </w:r>
    </w:p>
    <w:p>
      <w:pPr>
        <w:spacing w:line="60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有效身份证件包括：身份证、</w:t>
      </w:r>
      <w:r>
        <w:rPr>
          <w:rFonts w:hint="eastAsia" w:ascii="仿宋_gb2312" w:eastAsia="仿宋_gb2312"/>
          <w:color w:val="auto"/>
          <w:sz w:val="32"/>
          <w:szCs w:val="32"/>
          <w:lang w:eastAsia="zh-CN"/>
        </w:rPr>
        <w:t>临时身份证、户口簿、</w:t>
      </w:r>
      <w:r>
        <w:rPr>
          <w:rFonts w:hint="eastAsia" w:ascii="仿宋_gb2312" w:eastAsia="仿宋_gb2312"/>
          <w:color w:val="auto"/>
          <w:sz w:val="32"/>
          <w:szCs w:val="32"/>
        </w:rPr>
        <w:t>军</w:t>
      </w:r>
      <w:r>
        <w:rPr>
          <w:rFonts w:hint="eastAsia" w:ascii="仿宋_gb2312" w:eastAsia="仿宋_gb2312"/>
          <w:color w:val="auto"/>
          <w:sz w:val="32"/>
          <w:szCs w:val="32"/>
          <w:lang w:eastAsia="zh-CN"/>
        </w:rPr>
        <w:t>人身份</w:t>
      </w:r>
      <w:r>
        <w:rPr>
          <w:rFonts w:hint="eastAsia" w:ascii="仿宋_gb2312" w:eastAsia="仿宋_gb2312"/>
          <w:color w:val="auto"/>
          <w:sz w:val="32"/>
          <w:szCs w:val="32"/>
        </w:rPr>
        <w:t>证、</w:t>
      </w:r>
      <w:r>
        <w:rPr>
          <w:rFonts w:hint="eastAsia" w:ascii="仿宋_gb2312" w:eastAsia="仿宋_gb2312"/>
          <w:color w:val="auto"/>
          <w:sz w:val="32"/>
          <w:szCs w:val="32"/>
          <w:lang w:eastAsia="zh-CN"/>
        </w:rPr>
        <w:t>警官证</w:t>
      </w:r>
      <w:r>
        <w:rPr>
          <w:rFonts w:hint="eastAsia" w:ascii="仿宋_gb2312" w:eastAsia="仿宋_gb2312"/>
          <w:color w:val="auto"/>
          <w:sz w:val="32"/>
          <w:szCs w:val="32"/>
        </w:rPr>
        <w:t>、护照、</w:t>
      </w:r>
      <w:r>
        <w:rPr>
          <w:rFonts w:hint="eastAsia" w:ascii="仿宋_gb2312" w:eastAsia="仿宋_gb2312"/>
          <w:color w:val="auto"/>
          <w:sz w:val="32"/>
          <w:szCs w:val="32"/>
          <w:lang w:eastAsia="zh-CN"/>
        </w:rPr>
        <w:t>香港身份证、澳门身份证、台湾身份证、</w:t>
      </w:r>
      <w:r>
        <w:rPr>
          <w:rFonts w:hint="eastAsia" w:ascii="仿宋_gb2312" w:eastAsia="仿宋_gb2312"/>
          <w:color w:val="auto"/>
          <w:sz w:val="32"/>
          <w:szCs w:val="32"/>
        </w:rPr>
        <w:t>港澳居民来往内地通行证、台湾同胞来往内地通行证、外国人居留证等。</w:t>
      </w:r>
    </w:p>
    <w:p>
      <w:pPr>
        <w:spacing w:line="600" w:lineRule="exact"/>
        <w:ind w:firstLine="640" w:firstLineChars="200"/>
        <w:rPr>
          <w:rFonts w:ascii="黑体" w:eastAsia="黑体"/>
          <w:sz w:val="32"/>
          <w:szCs w:val="32"/>
        </w:rPr>
      </w:pPr>
      <w:r>
        <w:rPr>
          <w:rFonts w:hint="eastAsia" w:ascii="黑体" w:eastAsia="黑体"/>
          <w:sz w:val="32"/>
          <w:szCs w:val="32"/>
        </w:rPr>
        <w:t>六、示范文本</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（一）企业信用报告查询申请表</w:t>
      </w:r>
      <w:r>
        <w:rPr>
          <w:rFonts w:hint="eastAsia" w:ascii="仿宋_gb2312" w:eastAsia="仿宋_gb2312"/>
          <w:sz w:val="32"/>
          <w:szCs w:val="32"/>
          <w:lang w:val="en-US" w:eastAsia="zh-CN"/>
        </w:rPr>
        <w:t>（附件1）</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（二）企业法定代表人授权委托书</w:t>
      </w:r>
      <w:bookmarkStart w:id="0" w:name="_GoBack"/>
      <w:bookmarkEnd w:id="0"/>
      <w:r>
        <w:rPr>
          <w:rFonts w:hint="eastAsia" w:ascii="仿宋_gb2312" w:eastAsia="仿宋_gb2312"/>
          <w:sz w:val="32"/>
          <w:szCs w:val="32"/>
          <w:lang w:eastAsia="zh-CN"/>
        </w:rPr>
        <w:t>（</w:t>
      </w:r>
      <w:r>
        <w:rPr>
          <w:rFonts w:hint="eastAsia" w:ascii="仿宋_gb2312" w:eastAsia="仿宋_gb2312"/>
          <w:sz w:val="32"/>
          <w:szCs w:val="32"/>
          <w:lang w:val="en-US" w:eastAsia="zh-CN"/>
        </w:rPr>
        <w:t>附件2）</w:t>
      </w:r>
    </w:p>
    <w:p>
      <w:pPr>
        <w:spacing w:line="600" w:lineRule="exact"/>
        <w:ind w:firstLine="640" w:firstLineChars="200"/>
        <w:rPr>
          <w:rFonts w:ascii="黑体" w:eastAsia="黑体"/>
          <w:sz w:val="32"/>
          <w:szCs w:val="32"/>
        </w:rPr>
      </w:pPr>
      <w:r>
        <w:rPr>
          <w:rFonts w:hint="eastAsia" w:ascii="黑体" w:eastAsia="黑体"/>
          <w:sz w:val="32"/>
          <w:szCs w:val="32"/>
        </w:rPr>
        <w:t>七、收费标准及依据</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不收费。</w:t>
      </w:r>
    </w:p>
    <w:p>
      <w:pPr>
        <w:spacing w:line="600" w:lineRule="exact"/>
        <w:ind w:firstLine="640" w:firstLineChars="200"/>
        <w:rPr>
          <w:rFonts w:ascii="黑体" w:eastAsia="黑体"/>
          <w:sz w:val="32"/>
          <w:szCs w:val="32"/>
        </w:rPr>
      </w:pPr>
      <w:r>
        <w:rPr>
          <w:rFonts w:hint="eastAsia" w:ascii="黑体" w:eastAsia="黑体"/>
          <w:sz w:val="32"/>
          <w:szCs w:val="32"/>
        </w:rPr>
        <w:t>八、办理时限</w:t>
      </w:r>
    </w:p>
    <w:p>
      <w:pPr>
        <w:adjustRightInd w:val="0"/>
        <w:snapToGrid w:val="0"/>
        <w:spacing w:line="600" w:lineRule="exact"/>
        <w:ind w:firstLine="627" w:firstLineChars="196"/>
        <w:rPr>
          <w:rFonts w:ascii="仿宋_gb2312" w:eastAsia="仿宋_gb2312"/>
          <w:sz w:val="32"/>
          <w:szCs w:val="32"/>
        </w:rPr>
      </w:pPr>
      <w:r>
        <w:rPr>
          <w:rFonts w:hint="eastAsia" w:ascii="仿宋_gb2312" w:eastAsia="仿宋_gb2312"/>
          <w:sz w:val="32"/>
          <w:szCs w:val="32"/>
        </w:rPr>
        <w:t>对于符合规定的，在查询后现场交付打印的</w:t>
      </w:r>
      <w:r>
        <w:rPr>
          <w:rFonts w:hint="eastAsia" w:ascii="仿宋_gb2312" w:eastAsia="仿宋_gb2312"/>
          <w:sz w:val="32"/>
          <w:szCs w:val="32"/>
          <w:lang w:eastAsia="zh-CN"/>
        </w:rPr>
        <w:t>企业</w:t>
      </w:r>
      <w:r>
        <w:rPr>
          <w:rFonts w:hint="eastAsia" w:ascii="仿宋_gb2312" w:eastAsia="仿宋_gb2312"/>
          <w:sz w:val="32"/>
          <w:szCs w:val="32"/>
        </w:rPr>
        <w:t>信用报告。对于不符合规定的，查询点不予查询，并告知企业不予查询的原因。</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九、咨询电话</w:t>
      </w:r>
    </w:p>
    <w:p>
      <w:pPr>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0994-2523163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2514755</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十、办公时间</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国家法定工作日：</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夏季  上午</w:t>
      </w:r>
      <w:r>
        <w:rPr>
          <w:rFonts w:hint="eastAsia" w:ascii="仿宋_gb2312" w:hAnsi="仿宋_gb2312" w:eastAsia="仿宋_gb2312" w:cs="仿宋_gb2312"/>
          <w:sz w:val="32"/>
          <w:szCs w:val="32"/>
          <w:lang w:val="en-US" w:eastAsia="zh-CN"/>
        </w:rPr>
        <w:t>10:00</w:t>
      </w:r>
      <w:r>
        <w:rPr>
          <w:rFonts w:hint="eastAsia" w:ascii="仿宋_gb2312" w:hAnsi="仿宋_gb2312" w:eastAsia="仿宋_gb2312" w:cs="仿宋_gb2312"/>
          <w:sz w:val="32"/>
          <w:szCs w:val="32"/>
        </w:rPr>
        <w:t>-13:30，下午16:00-</w:t>
      </w:r>
      <w:r>
        <w:rPr>
          <w:rFonts w:hint="eastAsia" w:ascii="仿宋_gb2312" w:hAnsi="仿宋_gb2312" w:eastAsia="仿宋_gb2312" w:cs="仿宋_gb2312"/>
          <w:sz w:val="32"/>
          <w:szCs w:val="32"/>
          <w:lang w:val="en-US" w:eastAsia="zh-CN"/>
        </w:rPr>
        <w:t>19:30</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冬季  上午</w:t>
      </w:r>
      <w:r>
        <w:rPr>
          <w:rFonts w:hint="eastAsia" w:ascii="仿宋_gb2312" w:hAnsi="仿宋_gb2312" w:eastAsia="仿宋_gb2312" w:cs="仿宋_gb2312"/>
          <w:sz w:val="32"/>
          <w:szCs w:val="32"/>
          <w:lang w:val="en-US" w:eastAsia="zh-CN"/>
        </w:rPr>
        <w:t>10:00</w:t>
      </w:r>
      <w:r>
        <w:rPr>
          <w:rFonts w:hint="eastAsia" w:ascii="仿宋_gb2312" w:hAnsi="仿宋_gb2312" w:eastAsia="仿宋_gb2312" w:cs="仿宋_gb2312"/>
          <w:sz w:val="32"/>
          <w:szCs w:val="32"/>
        </w:rPr>
        <w:t>-13:30，下午15:30-19:</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0</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十一、办公地址</w:t>
      </w:r>
    </w:p>
    <w:p>
      <w:pPr>
        <w:spacing w:line="60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昌吉市北京南路</w:t>
      </w:r>
      <w:r>
        <w:rPr>
          <w:rFonts w:hint="eastAsia" w:ascii="仿宋_gb2312" w:hAnsi="仿宋_gb2312" w:eastAsia="仿宋_gb2312" w:cs="仿宋_gb2312"/>
          <w:color w:val="auto"/>
          <w:sz w:val="32"/>
          <w:szCs w:val="32"/>
          <w:lang w:val="en-US" w:eastAsia="zh-CN"/>
        </w:rPr>
        <w:t>17</w:t>
      </w:r>
      <w:r>
        <w:rPr>
          <w:rFonts w:hint="eastAsia" w:ascii="仿宋_gb2312" w:hAnsi="仿宋_gb2312" w:eastAsia="仿宋_gb2312" w:cs="仿宋_gb2312"/>
          <w:color w:val="auto"/>
          <w:sz w:val="32"/>
          <w:szCs w:val="32"/>
        </w:rPr>
        <w:t>号中国人民银行</w:t>
      </w:r>
      <w:r>
        <w:rPr>
          <w:rFonts w:hint="eastAsia" w:ascii="仿宋_gb2312" w:hAnsi="仿宋_gb2312" w:eastAsia="仿宋_gb2312" w:cs="仿宋_gb2312"/>
          <w:color w:val="auto"/>
          <w:sz w:val="32"/>
          <w:szCs w:val="32"/>
          <w:lang w:eastAsia="zh-CN"/>
        </w:rPr>
        <w:t>昌吉州分行</w:t>
      </w:r>
      <w:r>
        <w:rPr>
          <w:rFonts w:hint="eastAsia" w:ascii="仿宋_gb2312" w:hAnsi="仿宋_gb2312" w:eastAsia="仿宋_gb2312" w:cs="仿宋_gb2312"/>
          <w:color w:val="auto"/>
          <w:sz w:val="32"/>
          <w:szCs w:val="32"/>
        </w:rPr>
        <w:t>一楼服务大厅。</w:t>
      </w:r>
    </w:p>
    <w:p>
      <w:pPr>
        <w:spacing w:line="600" w:lineRule="exact"/>
        <w:ind w:firstLine="640" w:firstLineChars="200"/>
        <w:rPr>
          <w:rFonts w:ascii="仿宋_gb2312" w:eastAsia="仿宋_gb2312"/>
          <w:color w:val="auto"/>
          <w:sz w:val="32"/>
          <w:szCs w:val="32"/>
        </w:rPr>
      </w:pPr>
    </w:p>
    <w:p>
      <w:pPr>
        <w:spacing w:line="600" w:lineRule="exact"/>
        <w:ind w:firstLine="640" w:firstLineChars="200"/>
        <w:rPr>
          <w:rFonts w:ascii="仿宋_gb2312" w:eastAsia="仿宋_gb2312"/>
          <w:sz w:val="32"/>
          <w:szCs w:val="32"/>
        </w:rPr>
      </w:pPr>
      <w:r>
        <w:rPr>
          <w:rFonts w:hint="eastAsia" w:ascii="仿宋_gb2312" w:eastAsia="仿宋_gb2312"/>
          <w:sz w:val="32"/>
          <w:szCs w:val="32"/>
        </w:rPr>
        <w:t>附件</w:t>
      </w:r>
      <w:r>
        <w:rPr>
          <w:rFonts w:hint="eastAsia" w:ascii="仿宋_gb2312" w:eastAsia="仿宋_gb2312"/>
          <w:sz w:val="32"/>
          <w:szCs w:val="32"/>
          <w:lang w:val="en-US" w:eastAsia="zh-CN"/>
        </w:rPr>
        <w:t>1</w:t>
      </w:r>
      <w:r>
        <w:rPr>
          <w:rFonts w:hint="eastAsia" w:ascii="仿宋_gb2312" w:eastAsia="仿宋_gb2312"/>
          <w:sz w:val="32"/>
          <w:szCs w:val="32"/>
        </w:rPr>
        <w:t>：</w:t>
      </w:r>
      <w:r>
        <w:rPr>
          <w:rFonts w:hint="eastAsia"/>
        </w:rPr>
        <w:t xml:space="preserve"> </w:t>
      </w:r>
      <w:r>
        <w:rPr>
          <w:rFonts w:hint="eastAsia" w:ascii="仿宋_gb2312" w:eastAsia="仿宋_gb2312"/>
          <w:sz w:val="32"/>
          <w:szCs w:val="32"/>
        </w:rPr>
        <w:t>企业信用报告查询申请表</w:t>
      </w:r>
    </w:p>
    <w:p>
      <w:pPr>
        <w:spacing w:line="600" w:lineRule="exact"/>
        <w:ind w:firstLine="640" w:firstLineChars="200"/>
        <w:rPr>
          <w:rFonts w:ascii="仿宋_gb2312" w:eastAsia="仿宋_gb2312"/>
          <w:sz w:val="32"/>
          <w:szCs w:val="32"/>
        </w:rPr>
      </w:pPr>
      <w:r>
        <w:rPr>
          <w:rFonts w:hint="eastAsia" w:ascii="仿宋_gb2312" w:eastAsia="仿宋_gb2312"/>
          <w:sz w:val="32"/>
          <w:szCs w:val="32"/>
          <w:lang w:eastAsia="zh-CN"/>
        </w:rPr>
        <w:t>附件</w:t>
      </w:r>
      <w:r>
        <w:rPr>
          <w:rFonts w:ascii="仿宋_gb2312" w:eastAsia="仿宋_gb2312"/>
          <w:sz w:val="32"/>
          <w:szCs w:val="32"/>
        </w:rPr>
        <w:t>2</w:t>
      </w:r>
      <w:r>
        <w:rPr>
          <w:rFonts w:hint="eastAsia" w:ascii="仿宋_gb2312" w:eastAsia="仿宋_gb2312"/>
          <w:sz w:val="32"/>
          <w:szCs w:val="32"/>
          <w:lang w:eastAsia="zh-CN"/>
        </w:rPr>
        <w:t>：</w:t>
      </w:r>
      <w:r>
        <w:rPr>
          <w:rFonts w:hint="eastAsia" w:ascii="仿宋_gb2312" w:eastAsia="仿宋_gb2312"/>
          <w:sz w:val="32"/>
          <w:szCs w:val="32"/>
        </w:rPr>
        <w:t>企业法定代表人授权委托书</w:t>
      </w:r>
    </w:p>
    <w:p>
      <w:pPr>
        <w:spacing w:line="600" w:lineRule="exact"/>
      </w:pPr>
    </w:p>
    <w:sectPr>
      <w:footerReference r:id="rId4" w:type="default"/>
      <w:pgSz w:w="11906" w:h="16838"/>
      <w:pgMar w:top="1440" w:right="1800" w:bottom="1440" w:left="1800" w:header="851" w:footer="992" w:gutter="0"/>
      <w:cols w:space="720" w:num="1"/>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Calibri">
    <w:panose1 w:val="020F0502020204030204"/>
    <w:charset w:val="00"/>
    <w:family w:val="auto"/>
    <w:pitch w:val="default"/>
    <w:sig w:usb0="E00002FF" w:usb1="4000ACFF" w:usb2="00000001" w:usb3="00000000" w:csb0="2000019F" w:csb1="00000000"/>
  </w:font>
  <w:font w:name="方正小标宋简体">
    <w:altName w:val="微软雅黑"/>
    <w:panose1 w:val="03000509000000000000"/>
    <w:charset w:val="86"/>
    <w:family w:val="auto"/>
    <w:pitch w:val="default"/>
    <w:sig w:usb0="00000001" w:usb1="080E0000" w:usb2="00000010" w:usb3="00000000" w:csb0="00040000" w:csb1="00000000"/>
  </w:font>
  <w:font w:name="仿宋_gb2312">
    <w:altName w:val="仿宋"/>
    <w:panose1 w:val="00000000000000000000"/>
    <w:charset w:val="01"/>
    <w:family w:val="auto"/>
    <w:pitch w:val="default"/>
    <w:sig w:usb0="00000000" w:usb1="00000000" w:usb2="00000000" w:usb3="00000000" w:csb0="00040001" w:csb1="00000000"/>
  </w:font>
  <w:font w:name="Cambria">
    <w:panose1 w:val="02040503050406030204"/>
    <w:charset w:val="00"/>
    <w:family w:val="auto"/>
    <w:pitch w:val="default"/>
    <w:sig w:usb0="E00002FF" w:usb1="400004FF" w:usb2="00000000" w:usb3="00000000" w:csb0="2000019F" w:csb1="00000000"/>
  </w:font>
  <w:font w:name="仿宋">
    <w:panose1 w:val="02010609060101010101"/>
    <w:charset w:val="86"/>
    <w:family w:val="auto"/>
    <w:pitch w:val="default"/>
    <w:sig w:usb0="800002BF" w:usb1="38CF7CFA" w:usb2="00000016" w:usb3="00000000" w:csb0="00040001" w:csb1="00000000"/>
  </w:font>
  <w:font w:name="Î¢ÈíÑÅºÚ">
    <w:altName w:val="宋体"/>
    <w:panose1 w:val="00000000000000000000"/>
    <w:charset w:val="86"/>
    <w:family w:val="auto"/>
    <w:pitch w:val="default"/>
    <w:sig w:usb0="00000000" w:usb1="00000000" w:usb2="00000000" w:usb3="00000000" w:csb0="00040000" w:csb1="00000000"/>
  </w:font>
  <w:font w:name="Microsoft YaHei UI">
    <w:altName w:val="宋体"/>
    <w:panose1 w:val="020B0503020204020204"/>
    <w:charset w:val="86"/>
    <w:family w:val="auto"/>
    <w:pitch w:val="default"/>
    <w:sig w:usb0="80000287" w:usb1="28CF3C52" w:usb2="00000016" w:usb3="00000000" w:csb0="0004001F" w:csb1="00000000"/>
  </w:font>
  <w:font w:name="·ÂËÎ_GB2312">
    <w:altName w:val="宋体"/>
    <w:panose1 w:val="00000000000000000000"/>
    <w:charset w:val="86"/>
    <w:family w:val="auto"/>
    <w:pitch w:val="default"/>
    <w:sig w:usb0="00000000" w:usb1="00000000" w:usb2="00000000" w:usb3="00000000" w:csb0="00040000" w:csb1="00000000"/>
  </w:font>
  <w:font w:name="ËÎÌå">
    <w:altName w:val="宋体"/>
    <w:panose1 w:val="00000000000000000000"/>
    <w:charset w:val="86"/>
    <w:family w:val="auto"/>
    <w:pitch w:val="default"/>
    <w:sig w:usb0="00000000" w:usb1="00000000" w:usb2="00000000" w:usb3="00000000" w:csb0="00040000" w:csb1="00000000"/>
  </w:font>
  <w:font w:name="·½ÕýÐ¡±êËÎ¼òÌå">
    <w:altName w:val="宋体"/>
    <w:panose1 w:val="00000000000000000000"/>
    <w:charset w:val="86"/>
    <w:family w:val="auto"/>
    <w:pitch w:val="default"/>
    <w:sig w:usb0="00000000" w:usb1="00000000" w:usb2="00000000" w:usb3="00000000" w:csb0="00040000" w:csb1="00000000"/>
  </w:font>
  <w:font w:name="»ªÎÄ¿¬Ìå">
    <w:altName w:val="宋体"/>
    <w:panose1 w:val="00000000000000000000"/>
    <w:charset w:val="86"/>
    <w:family w:val="auto"/>
    <w:pitch w:val="default"/>
    <w:sig w:usb0="00000000" w:usb1="00000000" w:usb2="00000000" w:usb3="00000000" w:csb0="00040000" w:csb1="00000000"/>
  </w:font>
  <w:font w:name="»ªÎÄÖÐËÎ">
    <w:altName w:val="宋体"/>
    <w:panose1 w:val="00000000000000000000"/>
    <w:charset w:val="86"/>
    <w:family w:val="auto"/>
    <w:pitch w:val="default"/>
    <w:sig w:usb0="00000000" w:usb1="00000000" w:usb2="00000000" w:usb3="00000000" w:csb0="00040000" w:csb1="00000000"/>
  </w:font>
  <w:font w:name="¿¬Ìå_GB2312">
    <w:altName w:val="宋体"/>
    <w:panose1 w:val="00000000000000000000"/>
    <w:charset w:val="86"/>
    <w:family w:val="auto"/>
    <w:pitch w:val="default"/>
    <w:sig w:usb0="00000000" w:usb1="00000000" w:usb2="00000000" w:usb3="00000000" w:csb0="00040000" w:csb1="00000000"/>
  </w:font>
  <w:font w:name="¿¬Ìå">
    <w:altName w:val="宋体"/>
    <w:panose1 w:val="00000000000000000000"/>
    <w:charset w:val="86"/>
    <w:family w:val="auto"/>
    <w:pitch w:val="default"/>
    <w:sig w:usb0="00000000" w:usb1="00000000" w:usb2="00000000" w:usb3="00000000" w:csb0="00040000" w:csb1="00000000"/>
  </w:font>
  <w:font w:name="ºÚÌå">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2"/>
    </w:pPr>
    <w:r>
      <w:rPr>
        <w:rFonts w:ascii="Calibri" w:hAnsi="Calibri" w:eastAsia="宋体" w:cs="黑体"/>
        <w:kern w:val="2"/>
        <w:sz w:val="18"/>
        <w:szCs w:val="18"/>
        <w:lang w:val="en-US" w:eastAsia="zh-CN" w:bidi="ar-SA"/>
      </w:rPr>
      <w:pict>
        <v:shape id="文本框1" o:spid="_x0000_s1025" type="#_x0000_t202" style="position:absolute;left:0;margin-top:0pt;height:144pt;width:144pt;mso-position-horizontal:center;mso-position-horizontal-relative:margin;mso-wrap-style:none;rotation:0f;z-index:251658240;"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388603378">
    <w:nsid w:val="52C467F2"/>
    <w:multiLevelType w:val="singleLevel"/>
    <w:tmpl w:val="52C467F2"/>
    <w:lvl w:ilvl="0" w:tentative="1">
      <w:start w:val="3"/>
      <w:numFmt w:val="chineseCounting"/>
      <w:suff w:val="nothing"/>
      <w:lvlText w:val="%1、"/>
      <w:lvlJc w:val="left"/>
    </w:lvl>
  </w:abstractNum>
  <w:abstractNum w:abstractNumId="1388614340">
    <w:nsid w:val="52C492C4"/>
    <w:multiLevelType w:val="singleLevel"/>
    <w:tmpl w:val="52C492C4"/>
    <w:lvl w:ilvl="0" w:tentative="1">
      <w:start w:val="2"/>
      <w:numFmt w:val="chineseCounting"/>
      <w:suff w:val="nothing"/>
      <w:lvlText w:val="(%1）"/>
      <w:lvlJc w:val="left"/>
    </w:lvl>
  </w:abstractNum>
  <w:num w:numId="1">
    <w:abstractNumId w:val="1388603378"/>
  </w:num>
  <w:num w:numId="2">
    <w:abstractNumId w:val="13886143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name="header"/>
    <w:lsdException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0" w:name="annotation subject"/>
    <w:lsdException w:uiPriority="0" w:name="Balloon Text"/>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semiHidden/>
    <w:unhideWhenUsed/>
    <w:uiPriority w:val="1"/>
  </w:style>
  <w:style w:type="paragraph" w:styleId="2">
    <w:name w:val="footer"/>
    <w:basedOn w:val="1"/>
    <w:link w:val="6"/>
    <w:semiHidden/>
    <w:unhideWhenUsed/>
    <w:uiPriority w:val="99"/>
    <w:pPr>
      <w:tabs>
        <w:tab w:val="center" w:pos="4153"/>
        <w:tab w:val="right" w:pos="8306"/>
      </w:tabs>
      <w:snapToGrid w:val="0"/>
      <w:jc w:val="left"/>
    </w:pPr>
    <w:rPr>
      <w:sz w:val="18"/>
      <w:szCs w:val="18"/>
    </w:rPr>
  </w:style>
  <w:style w:type="paragraph" w:styleId="3">
    <w:name w:val="header"/>
    <w:basedOn w:val="1"/>
    <w:link w:val="5"/>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
    <w:name w:val="页眉 Char Char"/>
    <w:basedOn w:val="4"/>
    <w:link w:val="3"/>
    <w:uiPriority w:val="99"/>
    <w:rPr>
      <w:sz w:val="18"/>
      <w:szCs w:val="18"/>
    </w:rPr>
  </w:style>
  <w:style w:type="character" w:customStyle="1" w:styleId="6">
    <w:name w:val="页脚 Char Char"/>
    <w:basedOn w:val="4"/>
    <w:link w:val="2"/>
    <w:uiPriority w:val="99"/>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footer" Target="footer1.xml"/><Relationship Id="rId5" Type="http://schemas.openxmlformats.org/officeDocument/2006/relationships/theme" Target="theme/theme1.xml"/><Relationship Id="rId6" Type="http://schemas.openxmlformats.org/officeDocument/2006/relationships/customXml" Target="../customXml/item1.xml"/><Relationship Id="rId7"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the PBC</Company>
  <Pages>3</Pages>
  <Words>135</Words>
  <Characters>770</Characters>
  <Lines>6</Lines>
  <Paragraphs>1</Paragraphs>
  <ScaleCrop>false</ScaleCrop>
  <LinksUpToDate>false</LinksUpToDate>
  <CharactersWithSpaces>0</CharactersWithSpaces>
  <Application>WPS Office 专业版_9.1.0.4337_{F1E327BC-269C-435d-A152-05C5408002CA}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2018-04-27T09:09:00Z</dcterms:created>
  <dc:creator>未定义</dc:creator>
  <cp:lastModifiedBy>单小玲/征信科/昌吉/PBC</cp:lastModifiedBy>
  <dcterms:modified xsi:type="dcterms:W3CDTF">2025-06-12T10:07:49Z</dcterms:modified>
  <dc:title>企业信用报告查询业务办事指南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2052-9.1.0.4337</vt:lpwstr>
  </property>
</Properties>
</file>