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本人信用报告查询业务办事指南</w:t>
      </w:r>
    </w:p>
    <w:p>
      <w:pPr>
        <w:spacing w:line="600" w:lineRule="exact"/>
        <w:rPr>
          <w:rFonts w:ascii="仿宋_gb2312" w:eastAsia="仿宋_gb2312"/>
          <w:sz w:val="32"/>
          <w:szCs w:val="32"/>
        </w:rPr>
      </w:pPr>
    </w:p>
    <w:p>
      <w:pPr>
        <w:spacing w:line="600" w:lineRule="exact"/>
        <w:ind w:firstLine="640" w:firstLineChars="200"/>
        <w:rPr>
          <w:rFonts w:ascii="黑体" w:eastAsia="黑体"/>
          <w:sz w:val="32"/>
          <w:szCs w:val="32"/>
        </w:rPr>
      </w:pPr>
      <w:r>
        <w:rPr>
          <w:rFonts w:hint="eastAsia" w:ascii="黑体" w:eastAsia="黑体"/>
          <w:sz w:val="32"/>
          <w:szCs w:val="32"/>
        </w:rPr>
        <w:t>一、事项类别</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非行政许可。</w:t>
      </w:r>
    </w:p>
    <w:p>
      <w:pPr>
        <w:spacing w:line="600" w:lineRule="exact"/>
        <w:ind w:firstLine="640" w:firstLineChars="200"/>
        <w:rPr>
          <w:rFonts w:ascii="黑体" w:eastAsia="黑体"/>
          <w:sz w:val="32"/>
          <w:szCs w:val="32"/>
        </w:rPr>
      </w:pPr>
      <w:r>
        <w:rPr>
          <w:rFonts w:hint="eastAsia" w:ascii="黑体" w:eastAsia="黑体"/>
          <w:sz w:val="32"/>
          <w:szCs w:val="32"/>
        </w:rPr>
        <w:t>二、办理依据</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《金融信用信息基础数据库新疆查询前置系统业务操作规程》（新银征信分中心〔2023〕9号）。</w:t>
      </w:r>
    </w:p>
    <w:p>
      <w:pPr>
        <w:numPr>
          <w:ilvl w:val="0"/>
          <w:numId w:val="1"/>
        </w:numPr>
        <w:spacing w:line="600" w:lineRule="exact"/>
        <w:ind w:firstLine="640" w:firstLineChars="200"/>
        <w:rPr>
          <w:rFonts w:hint="eastAsia" w:ascii="黑体" w:eastAsia="黑体"/>
          <w:sz w:val="32"/>
          <w:szCs w:val="32"/>
        </w:rPr>
      </w:pPr>
      <w:r>
        <w:rPr>
          <w:rFonts w:hint="eastAsia" w:ascii="黑体" w:eastAsia="黑体"/>
          <w:sz w:val="32"/>
          <w:szCs w:val="32"/>
          <w:lang w:val="en-US" w:eastAsia="zh-CN"/>
        </w:rPr>
        <w:t>个人征信查询渠道</w:t>
      </w:r>
    </w:p>
    <w:p>
      <w:pPr>
        <w:numPr>
          <w:numId w:val="0"/>
        </w:num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(一）</w:t>
      </w:r>
      <w:r>
        <w:rPr>
          <w:rFonts w:hint="eastAsia" w:ascii="仿宋_gb2312" w:eastAsia="仿宋_gb2312"/>
          <w:sz w:val="32"/>
          <w:szCs w:val="32"/>
          <w:lang w:eastAsia="zh-CN"/>
        </w:rPr>
        <w:t>线上查询</w:t>
      </w:r>
    </w:p>
    <w:p>
      <w:pPr>
        <w:numPr>
          <w:numId w:val="0"/>
        </w:numPr>
        <w:spacing w:line="600" w:lineRule="exact"/>
        <w:ind w:leftChars="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1.中国人民银行征信中心网站(http://www.pbccrc.org.cn),点击“核心业务”项目下“互联网个人信用信息服务平台”入口查询。</w:t>
      </w:r>
    </w:p>
    <w:p>
      <w:pPr>
        <w:numPr>
          <w:numId w:val="0"/>
        </w:numPr>
        <w:spacing w:line="600" w:lineRule="exact"/>
        <w:ind w:leftChars="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手机银行app（中国工商银行、中国农业银行、中国银行、中国建设银行、交通银行、中国邮政储蓄银行、中信银行、中国民生银行、中国光大银行、华夏银行、招商银行、广发银行、浦发银行、兴业银行、平安银行、银联/云闪付）</w:t>
      </w:r>
    </w:p>
    <w:p>
      <w:pPr>
        <w:numPr>
          <w:numId w:val="0"/>
        </w:numPr>
        <w:spacing w:line="600" w:lineRule="exact"/>
        <w:ind w:leftChars="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3.网上银行（中国工商银行、中国银行、中国建设银行、中国邮政储蓄银行、中信银行、中国民生银行、招商银行、广发银行、浦发银行）</w:t>
      </w:r>
    </w:p>
    <w:p>
      <w:pPr>
        <w:numPr>
          <w:ilvl w:val="0"/>
          <w:numId w:val="2"/>
        </w:num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线下查询</w:t>
      </w:r>
    </w:p>
    <w:p>
      <w:pPr>
        <w:numPr>
          <w:numId w:val="0"/>
        </w:numPr>
        <w:spacing w:line="60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1.智慧柜员机查询：中国建设银行、中国邮政储蓄银行全国所有服务网点的智慧柜员机均可查询个人征信报告，本行和非本行客户均可查询。中国工商银行服务网点智慧柜员机向本行客户提供查询。</w:t>
      </w:r>
    </w:p>
    <w:p>
      <w:pPr>
        <w:numPr>
          <w:numId w:val="0"/>
        </w:numPr>
        <w:spacing w:line="60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2.自助查询机查询：中国人民银行昌吉州分行、部分商业银行服务网点提供信用报告自助查询机查询。(可通过“信用小帮手”微信小程序查询附近查询机布放网点）</w:t>
      </w:r>
    </w:p>
    <w:p>
      <w:pPr>
        <w:numPr>
          <w:numId w:val="0"/>
        </w:numPr>
        <w:spacing w:line="600" w:lineRule="exact"/>
        <w:rPr>
          <w:rFonts w:ascii="仿宋_gb2312" w:hAnsi="仿宋_gb2312" w:eastAsia="仿宋_gb2312" w:cs="仿宋_gb2312"/>
          <w:sz w:val="32"/>
          <w:szCs w:val="32"/>
        </w:rPr>
      </w:pPr>
      <w:r>
        <w:rPr>
          <w:rFonts w:hint="eastAsia" w:ascii="仿宋_gb2312" w:eastAsia="仿宋_gb2312"/>
          <w:sz w:val="32"/>
          <w:szCs w:val="32"/>
          <w:lang w:val="en-US" w:eastAsia="zh-CN"/>
        </w:rPr>
        <w:t xml:space="preserve">     </w:t>
      </w:r>
      <w:r>
        <w:rPr>
          <w:rFonts w:hint="eastAsia" w:ascii="仿宋_gb2312" w:eastAsia="仿宋_gb2312"/>
          <w:color w:val="auto"/>
          <w:sz w:val="32"/>
          <w:szCs w:val="32"/>
          <w:lang w:val="en-US" w:eastAsia="zh-CN"/>
        </w:rPr>
        <w:t>3.人工柜台查询：</w:t>
      </w:r>
      <w:r>
        <w:rPr>
          <w:rFonts w:hint="eastAsia" w:ascii="仿宋_gb2312" w:hAnsi="仿宋_gb2312" w:eastAsia="仿宋_gb2312" w:cs="仿宋_gb2312"/>
          <w:color w:val="auto"/>
          <w:sz w:val="32"/>
          <w:szCs w:val="32"/>
        </w:rPr>
        <w:t>中国人民银行</w:t>
      </w:r>
      <w:r>
        <w:rPr>
          <w:rFonts w:hint="eastAsia" w:ascii="仿宋_gb2312" w:hAnsi="仿宋_gb2312" w:eastAsia="仿宋_gb2312" w:cs="仿宋_gb2312"/>
          <w:color w:val="auto"/>
          <w:sz w:val="32"/>
          <w:szCs w:val="32"/>
          <w:lang w:eastAsia="zh-CN"/>
        </w:rPr>
        <w:t>昌吉州分</w:t>
      </w:r>
      <w:r>
        <w:rPr>
          <w:rFonts w:hint="eastAsia" w:ascii="仿宋_gb2312" w:hAnsi="仿宋_gb2312" w:eastAsia="仿宋_gb2312" w:cs="仿宋_gb2312"/>
          <w:color w:val="auto"/>
          <w:sz w:val="32"/>
          <w:szCs w:val="32"/>
        </w:rPr>
        <w:t>行征信管理科</w:t>
      </w:r>
      <w:r>
        <w:rPr>
          <w:rFonts w:hint="eastAsia" w:ascii="仿宋_gb2312" w:hAnsi="仿宋_gb2312" w:eastAsia="仿宋_gb2312" w:cs="仿宋_gb2312"/>
          <w:color w:val="auto"/>
          <w:sz w:val="32"/>
          <w:szCs w:val="32"/>
          <w:lang w:eastAsia="zh-CN"/>
        </w:rPr>
        <w:t>一楼大厅征信窗口查询</w:t>
      </w:r>
      <w:r>
        <w:rPr>
          <w:rFonts w:hint="eastAsia" w:ascii="仿宋_gb2312" w:hAnsi="仿宋_gb2312" w:eastAsia="仿宋_gb2312" w:cs="仿宋_gb2312"/>
          <w:sz w:val="32"/>
          <w:szCs w:val="32"/>
          <w:lang w:eastAsia="zh-CN"/>
        </w:rPr>
        <w:t>。</w:t>
      </w:r>
    </w:p>
    <w:p>
      <w:pPr>
        <w:spacing w:line="600" w:lineRule="exact"/>
        <w:ind w:firstLine="640" w:firstLineChars="200"/>
        <w:rPr>
          <w:rFonts w:ascii="黑体" w:eastAsia="黑体"/>
          <w:sz w:val="32"/>
          <w:szCs w:val="32"/>
        </w:rPr>
      </w:pPr>
      <w:r>
        <w:rPr>
          <w:rFonts w:hint="eastAsia" w:ascii="黑体" w:eastAsia="黑体"/>
          <w:sz w:val="32"/>
          <w:szCs w:val="32"/>
        </w:rPr>
        <w:t>四、</w:t>
      </w:r>
      <w:r>
        <w:rPr>
          <w:rFonts w:hint="eastAsia" w:ascii="黑体" w:hAnsi="黑体" w:eastAsia="黑体" w:cs="黑体"/>
          <w:sz w:val="32"/>
          <w:szCs w:val="32"/>
          <w:lang w:val="en-US" w:eastAsia="zh-CN"/>
        </w:rPr>
        <w:t>柜台查询</w:t>
      </w:r>
      <w:r>
        <w:rPr>
          <w:rFonts w:hint="eastAsia" w:ascii="黑体" w:eastAsia="黑体"/>
          <w:sz w:val="32"/>
          <w:szCs w:val="32"/>
        </w:rPr>
        <w:t>基本流程</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(一)本人查询信用报告</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1.向柜台工作人员出示本人有效身份证件原件。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2.在</w:t>
      </w:r>
      <w:r>
        <w:rPr>
          <w:rFonts w:hint="eastAsia" w:ascii="仿宋_gb2312" w:eastAsia="仿宋_gb2312"/>
          <w:sz w:val="32"/>
          <w:szCs w:val="32"/>
          <w:lang w:eastAsia="zh-CN"/>
        </w:rPr>
        <w:t>电子手写板</w:t>
      </w:r>
      <w:r>
        <w:rPr>
          <w:rFonts w:hint="eastAsia" w:ascii="仿宋_gb2312" w:eastAsia="仿宋_gb2312"/>
          <w:sz w:val="32"/>
          <w:szCs w:val="32"/>
        </w:rPr>
        <w:t>签字确认。</w:t>
      </w:r>
    </w:p>
    <w:p>
      <w:pPr>
        <w:spacing w:line="60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3.拍摄现场照片并进行人脸识别，人脸识别分数较低的要提交审核，审核通过进行查询。</w:t>
      </w:r>
    </w:p>
    <w:p>
      <w:pPr>
        <w:spacing w:line="60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.工作人员打印个人信用报告提交给客户。</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(二)委托他人查询信用报告</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1.向柜台工作人员出示本人、被代理人有效身份证件原件及授权委托公证证明原件。</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2.在</w:t>
      </w:r>
      <w:r>
        <w:rPr>
          <w:rFonts w:hint="eastAsia" w:ascii="仿宋_gb2312" w:eastAsia="仿宋_gb2312"/>
          <w:sz w:val="32"/>
          <w:szCs w:val="32"/>
          <w:lang w:eastAsia="zh-CN"/>
        </w:rPr>
        <w:t>电子手写板</w:t>
      </w:r>
      <w:r>
        <w:rPr>
          <w:rFonts w:hint="eastAsia" w:ascii="仿宋_gb2312" w:eastAsia="仿宋_gb2312"/>
          <w:sz w:val="32"/>
          <w:szCs w:val="32"/>
        </w:rPr>
        <w:t>签字确认。</w:t>
      </w:r>
    </w:p>
    <w:p>
      <w:pPr>
        <w:spacing w:line="60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3.拍摄代理人现场照片。</w:t>
      </w:r>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.工作人员打印个人信用报告提交给客户。</w:t>
      </w:r>
    </w:p>
    <w:p>
      <w:pPr>
        <w:spacing w:line="600" w:lineRule="exact"/>
        <w:ind w:firstLine="640" w:firstLineChars="200"/>
        <w:rPr>
          <w:rFonts w:ascii="黑体" w:eastAsia="黑体"/>
          <w:color w:val="auto"/>
          <w:sz w:val="32"/>
          <w:szCs w:val="32"/>
        </w:rPr>
      </w:pPr>
      <w:r>
        <w:rPr>
          <w:rFonts w:hint="eastAsia" w:ascii="黑体" w:eastAsia="黑体"/>
          <w:color w:val="auto"/>
          <w:sz w:val="32"/>
          <w:szCs w:val="32"/>
        </w:rPr>
        <w:t>五、申请材料</w:t>
      </w:r>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(一)本人查询信用报告提供本人有效身份证件原件。</w:t>
      </w:r>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(二)委托他人查询信用报告提供委托人和代理人的有效身份证原件、授权委托公证证明原件。</w:t>
      </w:r>
    </w:p>
    <w:p>
      <w:pPr>
        <w:spacing w:line="60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有效身份证件包括：身份证、</w:t>
      </w:r>
      <w:r>
        <w:rPr>
          <w:rFonts w:hint="eastAsia" w:ascii="仿宋_gb2312" w:eastAsia="仿宋_gb2312"/>
          <w:color w:val="auto"/>
          <w:sz w:val="32"/>
          <w:szCs w:val="32"/>
          <w:lang w:eastAsia="zh-CN"/>
        </w:rPr>
        <w:t>临时身份证、户口簿、</w:t>
      </w:r>
      <w:r>
        <w:rPr>
          <w:rFonts w:hint="eastAsia" w:ascii="仿宋_gb2312" w:eastAsia="仿宋_gb2312"/>
          <w:color w:val="auto"/>
          <w:sz w:val="32"/>
          <w:szCs w:val="32"/>
        </w:rPr>
        <w:t>军</w:t>
      </w:r>
      <w:r>
        <w:rPr>
          <w:rFonts w:hint="eastAsia" w:ascii="仿宋_gb2312" w:eastAsia="仿宋_gb2312"/>
          <w:color w:val="auto"/>
          <w:sz w:val="32"/>
          <w:szCs w:val="32"/>
          <w:lang w:eastAsia="zh-CN"/>
        </w:rPr>
        <w:t>人身份</w:t>
      </w:r>
      <w:r>
        <w:rPr>
          <w:rFonts w:hint="eastAsia" w:ascii="仿宋_gb2312" w:eastAsia="仿宋_gb2312"/>
          <w:color w:val="auto"/>
          <w:sz w:val="32"/>
          <w:szCs w:val="32"/>
        </w:rPr>
        <w:t>证、</w:t>
      </w:r>
      <w:r>
        <w:rPr>
          <w:rFonts w:hint="eastAsia" w:ascii="仿宋_gb2312" w:eastAsia="仿宋_gb2312"/>
          <w:color w:val="auto"/>
          <w:sz w:val="32"/>
          <w:szCs w:val="32"/>
          <w:lang w:eastAsia="zh-CN"/>
        </w:rPr>
        <w:t>警官证</w:t>
      </w:r>
      <w:r>
        <w:rPr>
          <w:rFonts w:hint="eastAsia" w:ascii="仿宋_gb2312" w:eastAsia="仿宋_gb2312"/>
          <w:color w:val="auto"/>
          <w:sz w:val="32"/>
          <w:szCs w:val="32"/>
        </w:rPr>
        <w:t>、护照、</w:t>
      </w:r>
      <w:r>
        <w:rPr>
          <w:rFonts w:hint="eastAsia" w:ascii="仿宋_gb2312" w:eastAsia="仿宋_gb2312"/>
          <w:color w:val="auto"/>
          <w:sz w:val="32"/>
          <w:szCs w:val="32"/>
          <w:lang w:eastAsia="zh-CN"/>
        </w:rPr>
        <w:t>香港身份证、澳门身份证、台湾身份证、</w:t>
      </w:r>
      <w:r>
        <w:rPr>
          <w:rFonts w:hint="eastAsia" w:ascii="仿宋_gb2312" w:eastAsia="仿宋_gb2312"/>
          <w:color w:val="auto"/>
          <w:sz w:val="32"/>
          <w:szCs w:val="32"/>
        </w:rPr>
        <w:t>港澳居民来往内地通行证、台湾同胞来往内地通行证、外国人居留证等。</w:t>
      </w:r>
    </w:p>
    <w:p>
      <w:pPr>
        <w:spacing w:line="600" w:lineRule="exact"/>
        <w:ind w:firstLine="640" w:firstLineChars="200"/>
        <w:rPr>
          <w:rFonts w:ascii="黑体" w:eastAsia="黑体"/>
          <w:sz w:val="32"/>
          <w:szCs w:val="32"/>
        </w:rPr>
      </w:pPr>
      <w:r>
        <w:rPr>
          <w:rFonts w:hint="eastAsia" w:ascii="黑体" w:eastAsia="黑体"/>
          <w:sz w:val="32"/>
          <w:szCs w:val="32"/>
        </w:rPr>
        <w:t>六、示范文本</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身份证</w:t>
      </w:r>
      <w:r>
        <w:rPr>
          <w:rFonts w:hint="eastAsia" w:ascii="仿宋_gb2312" w:eastAsia="仿宋_gb2312"/>
          <w:sz w:val="32"/>
          <w:szCs w:val="32"/>
          <w:lang w:eastAsia="zh-CN"/>
        </w:rPr>
        <w:t>原件</w:t>
      </w:r>
    </w:p>
    <w:p>
      <w:pPr>
        <w:spacing w:line="600" w:lineRule="exact"/>
        <w:ind w:firstLine="640" w:firstLineChars="200"/>
        <w:rPr>
          <w:rFonts w:ascii="黑体" w:eastAsia="黑体"/>
          <w:sz w:val="32"/>
          <w:szCs w:val="32"/>
        </w:rPr>
      </w:pPr>
      <w:r>
        <w:rPr>
          <w:rFonts w:hint="eastAsia" w:ascii="黑体" w:eastAsia="黑体"/>
          <w:sz w:val="32"/>
          <w:szCs w:val="32"/>
        </w:rPr>
        <w:t>七、收费标准及依据</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(一)收费标准</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个人每年查询本人信用报告第3次及以上的，每次收取</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元。此次收费是对个人查询本人信用报告的唯一收费，除</w:t>
      </w:r>
      <w:r>
        <w:rPr>
          <w:rFonts w:hint="eastAsia" w:ascii="仿宋_gb2312" w:eastAsia="仿宋_gb2312"/>
          <w:sz w:val="32"/>
          <w:szCs w:val="32"/>
        </w:rPr>
        <w:t>此之外，不另行收取纸张费、打印费等其他费用。收费标准全国统一。</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(二)收费依据</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依据《征信业管理条例》第31条，金融信用信息基础数据库运行机构可以按照补偿成本的原则收取查询服务费用，收费标准由国务院价格主管部门规定</w:t>
      </w:r>
      <w:r>
        <w:rPr>
          <w:rFonts w:hint="eastAsia" w:ascii="仿宋_gb2312" w:eastAsia="仿宋_gb2312"/>
          <w:color w:val="auto"/>
          <w:sz w:val="32"/>
          <w:szCs w:val="32"/>
        </w:rPr>
        <w:t>。本次收费标准按照《关于进一步降低征信服务收费标准的通知》（发改价格〔2025〕668号）</w:t>
      </w:r>
      <w:r>
        <w:rPr>
          <w:rFonts w:hint="eastAsia" w:ascii="仿宋_gb2312" w:eastAsia="仿宋_gb2312"/>
          <w:sz w:val="32"/>
          <w:szCs w:val="32"/>
        </w:rPr>
        <w:t>执行。</w:t>
      </w:r>
    </w:p>
    <w:p>
      <w:pPr>
        <w:spacing w:line="600" w:lineRule="exact"/>
        <w:ind w:firstLine="640" w:firstLineChars="200"/>
        <w:rPr>
          <w:rFonts w:ascii="黑体" w:eastAsia="黑体"/>
          <w:sz w:val="32"/>
          <w:szCs w:val="32"/>
        </w:rPr>
      </w:pPr>
      <w:r>
        <w:rPr>
          <w:rFonts w:hint="eastAsia" w:ascii="黑体" w:eastAsia="黑体"/>
          <w:sz w:val="32"/>
          <w:szCs w:val="32"/>
        </w:rPr>
        <w:t>八、办理时限</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对于符合查询相关规定的，在查询后现场交付打印的个人信用报告。对于不符合规定的，不得查询，并告知不予查询的原因。</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九、咨询电话</w:t>
      </w:r>
    </w:p>
    <w:p>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0994-2523163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2514755</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十、办公时间</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国家法定工作日：</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夏季  上午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0-13:30，下午16:00-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冬季  上午</w:t>
      </w:r>
      <w:r>
        <w:rPr>
          <w:rFonts w:hint="eastAsia" w:ascii="仿宋_gb2312" w:hAnsi="仿宋_gb2312" w:eastAsia="仿宋_gb2312" w:cs="仿宋_gb2312"/>
          <w:sz w:val="32"/>
          <w:szCs w:val="32"/>
          <w:lang w:val="en-US" w:eastAsia="zh-CN"/>
        </w:rPr>
        <w:t>10:00</w:t>
      </w:r>
      <w:r>
        <w:rPr>
          <w:rFonts w:hint="eastAsia" w:ascii="仿宋_gb2312" w:hAnsi="仿宋_gb2312" w:eastAsia="仿宋_gb2312" w:cs="仿宋_gb2312"/>
          <w:sz w:val="32"/>
          <w:szCs w:val="32"/>
        </w:rPr>
        <w:t>-13:30，下午15:30-19:</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w:t>
      </w:r>
    </w:p>
    <w:p>
      <w:pPr>
        <w:spacing w:line="600" w:lineRule="exact"/>
        <w:ind w:firstLine="640" w:firstLineChars="200"/>
        <w:rPr>
          <w:rFonts w:ascii="黑体" w:hAnsi="黑体" w:eastAsia="黑体"/>
          <w:color w:val="auto"/>
          <w:sz w:val="32"/>
          <w:szCs w:val="32"/>
        </w:rPr>
      </w:pPr>
      <w:r>
        <w:rPr>
          <w:rFonts w:hint="eastAsia" w:ascii="黑体" w:hAnsi="黑体" w:eastAsia="黑体"/>
          <w:sz w:val="32"/>
          <w:szCs w:val="32"/>
        </w:rPr>
        <w:t>十一、办公地址</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昌吉市北京南路</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rPr>
        <w:t>号中国人民银行</w:t>
      </w:r>
      <w:r>
        <w:rPr>
          <w:rFonts w:hint="eastAsia" w:ascii="仿宋_gb2312" w:hAnsi="仿宋_gb2312" w:eastAsia="仿宋_gb2312" w:cs="仿宋_gb2312"/>
          <w:color w:val="auto"/>
          <w:sz w:val="32"/>
          <w:szCs w:val="32"/>
          <w:lang w:eastAsia="zh-CN"/>
        </w:rPr>
        <w:t>昌吉州分行</w:t>
      </w:r>
      <w:r>
        <w:rPr>
          <w:rFonts w:hint="eastAsia" w:ascii="仿宋_gb2312" w:hAnsi="仿宋_gb2312" w:eastAsia="仿宋_gb2312" w:cs="仿宋_gb2312"/>
          <w:color w:val="auto"/>
          <w:sz w:val="32"/>
          <w:szCs w:val="32"/>
        </w:rPr>
        <w:t>一</w:t>
      </w:r>
      <w:r>
        <w:rPr>
          <w:rFonts w:hint="eastAsia" w:ascii="仿宋_gb2312" w:hAnsi="仿宋_gb2312" w:eastAsia="仿宋_gb2312" w:cs="仿宋_gb2312"/>
          <w:sz w:val="32"/>
          <w:szCs w:val="32"/>
        </w:rPr>
        <w:t>楼服务大厅。</w:t>
      </w:r>
      <w:bookmarkStart w:id="0" w:name="_GoBack"/>
      <w:bookmarkEnd w:id="0"/>
    </w:p>
    <w:p>
      <w:pPr>
        <w:spacing w:line="600" w:lineRule="exact"/>
        <w:ind w:firstLine="640" w:firstLineChars="200"/>
        <w:rPr>
          <w:rFonts w:ascii="仿宋_gb2312" w:eastAsia="仿宋_gb2312"/>
          <w:sz w:val="32"/>
          <w:szCs w:val="32"/>
        </w:rPr>
      </w:pPr>
    </w:p>
    <w:sectPr>
      <w:footerReference r:id="rId4"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00002FF" w:usb1="4000ACFF" w:usb2="00000001" w:usb3="00000000" w:csb0="2000019F" w:csb1="00000000"/>
  </w:font>
  <w:font w:name="方正小标宋简体">
    <w:altName w:val="微软雅黑"/>
    <w:panose1 w:val="03000509000000000000"/>
    <w:charset w:val="86"/>
    <w:family w:val="auto"/>
    <w:pitch w:val="default"/>
    <w:sig w:usb0="00000001" w:usb1="080E0000" w:usb2="00000010" w:usb3="00000000" w:csb0="00040000" w:csb1="00000000"/>
  </w:font>
  <w:font w:name="仿宋_gb2312">
    <w:altName w:val="仿宋"/>
    <w:panose1 w:val="00000000000000000000"/>
    <w:charset w:val="01"/>
    <w:family w:val="auto"/>
    <w:pitch w:val="default"/>
    <w:sig w:usb0="00000000" w:usb1="00000000" w:usb2="00000000" w:usb3="00000000" w:csb0="00040001"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Î¢ÈíÑÅºÚ">
    <w:altName w:val="宋体"/>
    <w:panose1 w:val="00000000000000000000"/>
    <w:charset w:val="86"/>
    <w:family w:val="auto"/>
    <w:pitch w:val="default"/>
    <w:sig w:usb0="00000000" w:usb1="00000000" w:usb2="00000000" w:usb3="00000000" w:csb0="00040000" w:csb1="00000000"/>
  </w:font>
  <w:font w:name="Microsoft YaHei UI">
    <w:altName w:val="宋体"/>
    <w:panose1 w:val="020B0503020204020204"/>
    <w:charset w:val="86"/>
    <w:family w:val="auto"/>
    <w:pitch w:val="default"/>
    <w:sig w:usb0="80000287" w:usb1="28CF3C52" w:usb2="00000016" w:usb3="00000000" w:csb0="0004001F" w:csb1="00000000"/>
  </w:font>
  <w:font w:name="·ÂËÎ_GB2312">
    <w:altName w:val="宋体"/>
    <w:panose1 w:val="00000000000000000000"/>
    <w:charset w:val="86"/>
    <w:family w:val="auto"/>
    <w:pitch w:val="default"/>
    <w:sig w:usb0="00000000" w:usb1="00000000" w:usb2="00000000" w:usb3="00000000" w:csb0="00040000" w:csb1="00000000"/>
  </w:font>
  <w:font w:name="ËÎÌå">
    <w:altName w:val="宋体"/>
    <w:panose1 w:val="00000000000000000000"/>
    <w:charset w:val="86"/>
    <w:family w:val="auto"/>
    <w:pitch w:val="default"/>
    <w:sig w:usb0="00000000" w:usb1="00000000" w:usb2="00000000" w:usb3="00000000" w:csb0="00040000" w:csb1="00000000"/>
  </w:font>
  <w:font w:name="·½ÕýÐ¡±êËÎ¼òÌå">
    <w:altName w:val="宋体"/>
    <w:panose1 w:val="00000000000000000000"/>
    <w:charset w:val="86"/>
    <w:family w:val="auto"/>
    <w:pitch w:val="default"/>
    <w:sig w:usb0="00000000" w:usb1="00000000" w:usb2="00000000" w:usb3="00000000" w:csb0="00040000" w:csb1="00000000"/>
  </w:font>
  <w:font w:name="»ªÎÄ¿¬Ìå">
    <w:altName w:val="宋体"/>
    <w:panose1 w:val="00000000000000000000"/>
    <w:charset w:val="86"/>
    <w:family w:val="auto"/>
    <w:pitch w:val="default"/>
    <w:sig w:usb0="00000000" w:usb1="00000000" w:usb2="00000000" w:usb3="00000000" w:csb0="00040000" w:csb1="00000000"/>
  </w:font>
  <w:font w:name="»ªÎÄÖÐËÎ">
    <w:altName w:val="宋体"/>
    <w:panose1 w:val="00000000000000000000"/>
    <w:charset w:val="86"/>
    <w:family w:val="auto"/>
    <w:pitch w:val="default"/>
    <w:sig w:usb0="00000000" w:usb1="00000000" w:usb2="00000000" w:usb3="00000000" w:csb0="00040000" w:csb1="00000000"/>
  </w:font>
  <w:font w:name="¿¬Ìå_GB2312">
    <w:altName w:val="宋体"/>
    <w:panose1 w:val="00000000000000000000"/>
    <w:charset w:val="86"/>
    <w:family w:val="auto"/>
    <w:pitch w:val="default"/>
    <w:sig w:usb0="00000000" w:usb1="00000000" w:usb2="00000000" w:usb3="00000000" w:csb0="00040000" w:csb1="00000000"/>
  </w:font>
  <w:font w:name="¿¬Ìå">
    <w:altName w:val="宋体"/>
    <w:panose1 w:val="00000000000000000000"/>
    <w:charset w:val="86"/>
    <w:family w:val="auto"/>
    <w:pitch w:val="default"/>
    <w:sig w:usb0="00000000" w:usb1="00000000" w:usb2="00000000" w:usb3="00000000" w:csb0="00040000" w:csb1="00000000"/>
  </w:font>
  <w:font w:name="ºÚÌå">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2"/>
    </w:pPr>
    <w:r>
      <w:rPr>
        <w:rFonts w:ascii="Calibri" w:hAnsi="Calibri" w:eastAsia="宋体" w:cs="黑体"/>
        <w:kern w:val="2"/>
        <w:sz w:val="18"/>
        <w:szCs w:val="18"/>
        <w:lang w:val="en-US" w:eastAsia="zh-CN" w:bidi="ar-SA"/>
      </w:rPr>
      <w:pict>
        <v:shape id="文本框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3</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388614340">
    <w:nsid w:val="52C492C4"/>
    <w:multiLevelType w:val="singleLevel"/>
    <w:tmpl w:val="52C492C4"/>
    <w:lvl w:ilvl="0" w:tentative="1">
      <w:start w:val="2"/>
      <w:numFmt w:val="chineseCounting"/>
      <w:suff w:val="nothing"/>
      <w:lvlText w:val="(%1）"/>
      <w:lvlJc w:val="left"/>
    </w:lvl>
  </w:abstractNum>
  <w:abstractNum w:abstractNumId="1388603378">
    <w:nsid w:val="52C467F2"/>
    <w:multiLevelType w:val="singleLevel"/>
    <w:tmpl w:val="52C467F2"/>
    <w:lvl w:ilvl="0" w:tentative="1">
      <w:start w:val="3"/>
      <w:numFmt w:val="chineseCounting"/>
      <w:suff w:val="nothing"/>
      <w:lvlText w:val="%1、"/>
      <w:lvlJc w:val="left"/>
    </w:lvl>
  </w:abstractNum>
  <w:num w:numId="1">
    <w:abstractNumId w:val="1388603378"/>
  </w:num>
  <w:num w:numId="2">
    <w:abstractNumId w:val="13886143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unhideWhenUsed/>
    <w:uiPriority w:val="1"/>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5">
    <w:name w:val="列出段落1"/>
    <w:basedOn w:val="1"/>
    <w:qFormat/>
    <w:uiPriority w:val="34"/>
    <w:pPr>
      <w:ind w:firstLine="420" w:firstLineChars="200"/>
    </w:pPr>
  </w:style>
  <w:style w:type="character" w:customStyle="1" w:styleId="6">
    <w:name w:val="页眉 Char Char"/>
    <w:basedOn w:val="4"/>
    <w:link w:val="3"/>
    <w:uiPriority w:val="99"/>
    <w:rPr>
      <w:sz w:val="18"/>
      <w:szCs w:val="18"/>
    </w:rPr>
  </w:style>
  <w:style w:type="character" w:customStyle="1" w:styleId="7">
    <w:name w:val="页脚 Char Char"/>
    <w:basedOn w:val="4"/>
    <w:link w:val="2"/>
    <w:uiPriority w:val="99"/>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中国石油大学</Company>
  <Pages>3</Pages>
  <Words>163</Words>
  <Characters>930</Characters>
  <Lines>7</Lines>
  <Paragraphs>2</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2018-04-27T08:47:00Z</dcterms:created>
  <dc:creator>kej_hc</dc:creator>
  <cp:lastModifiedBy>单小玲/征信科/昌吉/PBC</cp:lastModifiedBy>
  <dcterms:modified xsi:type="dcterms:W3CDTF">2025-06-12T09:58:10Z</dcterms:modified>
  <dc:title>本人信用报告查询业务办事指南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