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3F95D">
      <w:pPr>
        <w:adjustRightInd w:val="0"/>
        <w:snapToGrid w:val="0"/>
        <w:jc w:val="center"/>
        <w:outlineLvl w:val="0"/>
        <w:rPr>
          <w:rFonts w:hint="default" w:ascii="Times New Roman" w:hAnsi="Times New Roman" w:eastAsia="方正小标宋_GBK" w:cs="Times New Roman"/>
          <w:bCs/>
          <w:color w:val="auto"/>
          <w:sz w:val="72"/>
          <w:szCs w:val="72"/>
        </w:rPr>
      </w:pPr>
    </w:p>
    <w:p w14:paraId="4A9BF1CE">
      <w:pPr>
        <w:adjustRightInd w:val="0"/>
        <w:snapToGrid w:val="0"/>
        <w:jc w:val="center"/>
        <w:outlineLvl w:val="0"/>
        <w:rPr>
          <w:rFonts w:hint="default" w:ascii="Times New Roman" w:hAnsi="Times New Roman" w:eastAsia="方正小标宋_GBK" w:cs="Times New Roman"/>
          <w:bCs/>
          <w:color w:val="auto"/>
          <w:sz w:val="72"/>
          <w:szCs w:val="72"/>
        </w:rPr>
      </w:pPr>
    </w:p>
    <w:p w14:paraId="1AEFA631">
      <w:pPr>
        <w:adjustRightInd w:val="0"/>
        <w:snapToGrid w:val="0"/>
        <w:jc w:val="center"/>
        <w:outlineLvl w:val="0"/>
        <w:rPr>
          <w:rFonts w:hint="default" w:ascii="Times New Roman" w:hAnsi="Times New Roman" w:eastAsia="方正小标宋_GBK" w:cs="Times New Roman"/>
          <w:bCs/>
          <w:color w:val="auto"/>
          <w:sz w:val="72"/>
          <w:szCs w:val="72"/>
        </w:rPr>
      </w:pPr>
      <w:bookmarkStart w:id="0" w:name="_Toc24086"/>
      <w:r>
        <w:rPr>
          <w:rFonts w:hint="default" w:ascii="Times New Roman" w:hAnsi="Times New Roman" w:eastAsia="方正小标宋_GBK" w:cs="Times New Roman"/>
          <w:bCs/>
          <w:color w:val="auto"/>
          <w:sz w:val="72"/>
          <w:szCs w:val="72"/>
        </w:rPr>
        <w:t>建设项目环境影响报告表</w:t>
      </w:r>
      <w:bookmarkEnd w:id="0"/>
    </w:p>
    <w:p w14:paraId="76C7577A">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auto"/>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（生态影响类）</w:t>
      </w:r>
    </w:p>
    <w:p w14:paraId="6135C710">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auto"/>
        <w:rPr>
          <w:rFonts w:hint="default" w:ascii="Times New Roman" w:hAnsi="Times New Roman" w:eastAsia="楷体_GB2312" w:cs="Times New Roman"/>
          <w:bCs/>
          <w:color w:val="auto"/>
          <w:sz w:val="32"/>
          <w:szCs w:val="32"/>
        </w:rPr>
      </w:pPr>
      <w:bookmarkStart w:id="1" w:name="_Hlk57883728"/>
      <w:r>
        <w:rPr>
          <w:rFonts w:hint="default" w:ascii="Times New Roman" w:hAnsi="Times New Roman" w:eastAsia="楷体_GB2312" w:cs="Times New Roman"/>
          <w:bCs/>
          <w:color w:val="auto"/>
          <w:sz w:val="32"/>
          <w:szCs w:val="32"/>
        </w:rPr>
        <w:t>（</w:t>
      </w:r>
      <w:r>
        <w:rPr>
          <w:rFonts w:hint="eastAsia" w:eastAsia="楷体_GB2312" w:cs="Times New Roman"/>
          <w:bCs/>
          <w:color w:val="auto"/>
          <w:sz w:val="32"/>
          <w:szCs w:val="32"/>
          <w:lang w:val="en-US" w:eastAsia="zh-CN"/>
        </w:rPr>
        <w:t>公示</w:t>
      </w:r>
      <w:bookmarkStart w:id="105" w:name="_GoBack"/>
      <w:bookmarkEnd w:id="105"/>
      <w:r>
        <w:rPr>
          <w:rFonts w:hint="default" w:ascii="Times New Roman" w:hAnsi="Times New Roman" w:eastAsia="楷体_GB2312" w:cs="Times New Roman"/>
          <w:bCs/>
          <w:color w:val="auto"/>
          <w:sz w:val="32"/>
          <w:szCs w:val="32"/>
          <w:lang w:val="en-US" w:eastAsia="zh-CN"/>
        </w:rPr>
        <w:t>稿</w:t>
      </w:r>
      <w:r>
        <w:rPr>
          <w:rFonts w:hint="default" w:ascii="Times New Roman" w:hAnsi="Times New Roman" w:eastAsia="楷体_GB2312" w:cs="Times New Roman"/>
          <w:bCs/>
          <w:color w:val="auto"/>
          <w:sz w:val="32"/>
          <w:szCs w:val="32"/>
        </w:rPr>
        <w:t>）</w:t>
      </w:r>
    </w:p>
    <w:p w14:paraId="5FF25F3A">
      <w:pPr>
        <w:keepNext w:val="0"/>
        <w:keepLines w:val="0"/>
        <w:pageBreakBefore w:val="0"/>
        <w:widowControl w:val="0"/>
        <w:kinsoku/>
        <w:wordWrap/>
        <w:overflowPunct/>
        <w:topLinePunct w:val="0"/>
        <w:autoSpaceDE/>
        <w:autoSpaceDN/>
        <w:bidi w:val="0"/>
        <w:ind w:firstLine="0"/>
        <w:jc w:val="center"/>
        <w:textAlignment w:val="auto"/>
        <w:rPr>
          <w:rFonts w:hint="default" w:ascii="Times New Roman" w:hAnsi="Times New Roman" w:eastAsia="仿宋" w:cs="Times New Roman"/>
          <w:color w:val="auto"/>
          <w:sz w:val="44"/>
          <w:szCs w:val="44"/>
        </w:rPr>
      </w:pPr>
    </w:p>
    <w:p w14:paraId="6DA22364">
      <w:pPr>
        <w:ind w:firstLine="1040"/>
        <w:rPr>
          <w:rFonts w:hint="default" w:ascii="Times New Roman" w:hAnsi="Times New Roman" w:eastAsia="仿宋" w:cs="Times New Roman"/>
          <w:color w:val="auto"/>
          <w:sz w:val="44"/>
          <w:szCs w:val="44"/>
        </w:rPr>
      </w:pPr>
    </w:p>
    <w:p w14:paraId="2F6C4077">
      <w:pPr>
        <w:ind w:firstLine="1040"/>
        <w:rPr>
          <w:rFonts w:hint="default" w:ascii="Times New Roman" w:hAnsi="Times New Roman" w:eastAsia="仿宋" w:cs="Times New Roman"/>
          <w:color w:val="auto"/>
          <w:sz w:val="44"/>
          <w:szCs w:val="44"/>
        </w:rPr>
      </w:pPr>
    </w:p>
    <w:bookmarkEnd w:id="1"/>
    <w:p w14:paraId="66F1E0FB">
      <w:pPr>
        <w:keepNext w:val="0"/>
        <w:keepLines w:val="0"/>
        <w:pageBreakBefore w:val="0"/>
        <w:widowControl w:val="0"/>
        <w:kinsoku/>
        <w:wordWrap/>
        <w:overflowPunct/>
        <w:topLinePunct w:val="0"/>
        <w:autoSpaceDE/>
        <w:autoSpaceDN/>
        <w:bidi w:val="0"/>
        <w:adjustRightInd w:val="0"/>
        <w:snapToGrid w:val="0"/>
        <w:spacing w:line="800" w:lineRule="exact"/>
        <w:ind w:firstLine="640" w:firstLineChars="200"/>
        <w:textAlignment w:val="auto"/>
        <w:rPr>
          <w:rFonts w:hint="default" w:ascii="Times New Roman" w:hAnsi="Times New Roman" w:eastAsia="仿宋_GB2312" w:cs="Times New Roman"/>
          <w:b w:val="0"/>
          <w:bCs w:val="0"/>
          <w:color w:val="auto"/>
          <w:sz w:val="32"/>
          <w:szCs w:val="32"/>
          <w:u w:val="single"/>
        </w:rPr>
      </w:pPr>
      <w:r>
        <w:rPr>
          <w:rFonts w:hint="default" w:ascii="Times New Roman" w:hAnsi="Times New Roman" w:eastAsia="仿宋_GB2312" w:cs="Times New Roman"/>
          <w:b w:val="0"/>
          <w:bCs w:val="0"/>
          <w:color w:val="auto"/>
          <w:sz w:val="32"/>
          <w:szCs w:val="32"/>
        </w:rPr>
        <w:t>项目名称：</w:t>
      </w:r>
      <w:r>
        <w:rPr>
          <w:rFonts w:hint="default" w:ascii="Times New Roman" w:hAnsi="Times New Roman" w:eastAsia="仿宋_GB2312" w:cs="Times New Roman"/>
          <w:b w:val="0"/>
          <w:bCs w:val="0"/>
          <w:color w:val="auto"/>
          <w:sz w:val="32"/>
          <w:szCs w:val="32"/>
          <w:u w:val="single"/>
          <w:lang w:val="en-US" w:eastAsia="zh-CN"/>
        </w:rPr>
        <w:t xml:space="preserve">         </w:t>
      </w:r>
      <w:r>
        <w:rPr>
          <w:rFonts w:hint="eastAsia" w:eastAsia="仿宋_GB2312" w:cs="Times New Roman"/>
          <w:b w:val="0"/>
          <w:bCs w:val="0"/>
          <w:color w:val="auto"/>
          <w:sz w:val="32"/>
          <w:szCs w:val="32"/>
          <w:u w:val="single"/>
          <w:lang w:val="en-US" w:eastAsia="zh-CN"/>
        </w:rPr>
        <w:t>纳东1</w:t>
      </w:r>
      <w:r>
        <w:rPr>
          <w:rFonts w:hint="default" w:ascii="Times New Roman" w:hAnsi="Times New Roman" w:eastAsia="仿宋_GB2312" w:cs="Times New Roman"/>
          <w:b w:val="0"/>
          <w:bCs w:val="0"/>
          <w:color w:val="auto"/>
          <w:sz w:val="32"/>
          <w:szCs w:val="32"/>
          <w:u w:val="single"/>
        </w:rPr>
        <w:t xml:space="preserve">井勘探钻探项目         </w:t>
      </w:r>
    </w:p>
    <w:p w14:paraId="6850EF86">
      <w:pPr>
        <w:keepNext w:val="0"/>
        <w:keepLines w:val="0"/>
        <w:pageBreakBefore w:val="0"/>
        <w:widowControl w:val="0"/>
        <w:kinsoku/>
        <w:wordWrap/>
        <w:overflowPunct/>
        <w:topLinePunct w:val="0"/>
        <w:autoSpaceDE/>
        <w:autoSpaceDN/>
        <w:bidi w:val="0"/>
        <w:adjustRightInd w:val="0"/>
        <w:snapToGrid w:val="0"/>
        <w:spacing w:line="800" w:lineRule="exact"/>
        <w:ind w:left="1870" w:leftChars="266" w:hanging="1232" w:hangingChars="400"/>
        <w:textAlignment w:val="auto"/>
        <w:rPr>
          <w:rFonts w:hint="default" w:ascii="Times New Roman" w:hAnsi="Times New Roman" w:eastAsia="仿宋_GB2312" w:cs="Times New Roman"/>
          <w:b w:val="0"/>
          <w:bCs w:val="0"/>
          <w:color w:val="auto"/>
          <w:spacing w:val="-6"/>
          <w:sz w:val="32"/>
          <w:szCs w:val="32"/>
          <w:u w:val="single"/>
        </w:rPr>
      </w:pPr>
      <w:r>
        <w:rPr>
          <w:rFonts w:hint="default" w:ascii="Times New Roman" w:hAnsi="Times New Roman" w:eastAsia="仿宋_GB2312" w:cs="Times New Roman"/>
          <w:b w:val="0"/>
          <w:bCs w:val="0"/>
          <w:color w:val="auto"/>
          <w:spacing w:val="-6"/>
          <w:sz w:val="32"/>
          <w:szCs w:val="32"/>
        </w:rPr>
        <w:t>建设单位（盖章）：</w:t>
      </w:r>
      <w:r>
        <w:rPr>
          <w:rFonts w:hint="default" w:ascii="Times New Roman" w:hAnsi="Times New Roman" w:eastAsia="仿宋_GB2312" w:cs="Times New Roman"/>
          <w:b w:val="0"/>
          <w:bCs w:val="0"/>
          <w:color w:val="auto"/>
          <w:spacing w:val="-6"/>
          <w:sz w:val="32"/>
          <w:szCs w:val="32"/>
          <w:u w:val="single"/>
        </w:rPr>
        <w:t>中国石油新疆油田分公司勘探事业部</w:t>
      </w:r>
    </w:p>
    <w:p w14:paraId="0401C891">
      <w:pPr>
        <w:keepNext w:val="0"/>
        <w:keepLines w:val="0"/>
        <w:pageBreakBefore w:val="0"/>
        <w:widowControl w:val="0"/>
        <w:kinsoku/>
        <w:wordWrap/>
        <w:overflowPunct/>
        <w:topLinePunct w:val="0"/>
        <w:autoSpaceDE/>
        <w:autoSpaceDN/>
        <w:bidi w:val="0"/>
        <w:adjustRightInd w:val="0"/>
        <w:snapToGrid w:val="0"/>
        <w:spacing w:line="800" w:lineRule="exact"/>
        <w:ind w:firstLine="640" w:firstLineChars="200"/>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b w:val="0"/>
          <w:bCs w:val="0"/>
          <w:color w:val="auto"/>
          <w:sz w:val="32"/>
          <w:szCs w:val="32"/>
        </w:rPr>
        <w:t>编制日期：</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2</w:t>
      </w:r>
      <w:r>
        <w:rPr>
          <w:rFonts w:hint="default" w:ascii="Times New Roman" w:hAnsi="Times New Roman" w:eastAsia="仿宋_GB2312" w:cs="Times New Roman"/>
          <w:color w:val="auto"/>
          <w:sz w:val="32"/>
          <w:szCs w:val="32"/>
          <w:u w:val="single"/>
        </w:rPr>
        <w:t>025年</w:t>
      </w:r>
      <w:r>
        <w:rPr>
          <w:rFonts w:hint="eastAsia" w:eastAsia="仿宋_GB2312" w:cs="Times New Roman"/>
          <w:color w:val="auto"/>
          <w:sz w:val="32"/>
          <w:szCs w:val="32"/>
          <w:u w:val="single"/>
          <w:lang w:val="en-US" w:eastAsia="zh-CN"/>
        </w:rPr>
        <w:t>9</w:t>
      </w:r>
      <w:r>
        <w:rPr>
          <w:rFonts w:hint="default" w:ascii="Times New Roman" w:hAnsi="Times New Roman" w:eastAsia="仿宋_GB2312" w:cs="Times New Roman"/>
          <w:color w:val="auto"/>
          <w:sz w:val="32"/>
          <w:szCs w:val="32"/>
          <w:u w:val="single"/>
        </w:rPr>
        <w:t xml:space="preserve">月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 xml:space="preserve">  </w:t>
      </w:r>
    </w:p>
    <w:p w14:paraId="537810D5">
      <w:pPr>
        <w:keepNext w:val="0"/>
        <w:keepLines w:val="0"/>
        <w:pageBreakBefore w:val="0"/>
        <w:widowControl w:val="0"/>
        <w:kinsoku/>
        <w:wordWrap/>
        <w:overflowPunct/>
        <w:topLinePunct w:val="0"/>
        <w:autoSpaceDE/>
        <w:autoSpaceDN/>
        <w:bidi w:val="0"/>
        <w:adjustRightInd w:val="0"/>
        <w:snapToGrid w:val="0"/>
        <w:spacing w:line="480" w:lineRule="auto"/>
        <w:ind w:firstLine="1040"/>
        <w:textAlignment w:val="auto"/>
        <w:rPr>
          <w:rFonts w:hint="default" w:ascii="Times New Roman" w:hAnsi="Times New Roman" w:eastAsia="仿宋_GB2312" w:cs="Times New Roman"/>
          <w:color w:val="auto"/>
          <w:sz w:val="36"/>
          <w:szCs w:val="36"/>
          <w:u w:val="single"/>
        </w:rPr>
      </w:pPr>
    </w:p>
    <w:p w14:paraId="74CEE3F6">
      <w:pPr>
        <w:adjustRightInd w:val="0"/>
        <w:snapToGrid w:val="0"/>
        <w:spacing w:line="288" w:lineRule="auto"/>
        <w:ind w:firstLine="1040"/>
        <w:rPr>
          <w:rFonts w:hint="default" w:ascii="Times New Roman" w:hAnsi="Times New Roman" w:eastAsia="仿宋_GB2312" w:cs="Times New Roman"/>
          <w:color w:val="auto"/>
          <w:sz w:val="36"/>
          <w:szCs w:val="36"/>
        </w:rPr>
      </w:pPr>
    </w:p>
    <w:p w14:paraId="400C5A57">
      <w:pPr>
        <w:adjustRightInd w:val="0"/>
        <w:snapToGrid w:val="0"/>
        <w:spacing w:line="288" w:lineRule="auto"/>
        <w:ind w:firstLine="1040"/>
        <w:rPr>
          <w:rFonts w:hint="default" w:ascii="Times New Roman" w:hAnsi="Times New Roman" w:eastAsia="仿宋_GB2312" w:cs="Times New Roman"/>
          <w:color w:val="auto"/>
          <w:sz w:val="36"/>
          <w:szCs w:val="36"/>
        </w:rPr>
      </w:pPr>
    </w:p>
    <w:p w14:paraId="6AF43A1A">
      <w:pPr>
        <w:adjustRightInd w:val="0"/>
        <w:spacing w:line="288" w:lineRule="auto"/>
        <w:jc w:val="center"/>
        <w:rPr>
          <w:rFonts w:hint="default" w:ascii="Times New Roman" w:hAnsi="Times New Roman" w:eastAsia="楷体_GB2312" w:cs="Times New Roman"/>
          <w:color w:val="auto"/>
          <w:sz w:val="36"/>
          <w:szCs w:val="36"/>
        </w:rPr>
      </w:pPr>
    </w:p>
    <w:p w14:paraId="1EE16C42">
      <w:pPr>
        <w:jc w:val="center"/>
        <w:rPr>
          <w:rFonts w:hint="default" w:ascii="Times New Roman" w:hAnsi="Times New Roman" w:eastAsia="楷体_GB2312" w:cs="Times New Roman"/>
          <w:color w:val="auto"/>
          <w:sz w:val="36"/>
          <w:szCs w:val="36"/>
        </w:rPr>
      </w:pPr>
      <w:r>
        <w:rPr>
          <w:rFonts w:hint="default" w:ascii="Times New Roman" w:hAnsi="Times New Roman" w:eastAsia="楷体_GB2312" w:cs="Times New Roman"/>
          <w:color w:val="auto"/>
          <w:sz w:val="36"/>
          <w:szCs w:val="36"/>
        </w:rPr>
        <w:t>中华人民共和国生态环境部制</w:t>
      </w:r>
    </w:p>
    <w:p w14:paraId="77C0E642">
      <w:pPr>
        <w:rPr>
          <w:rFonts w:hint="default" w:ascii="Times New Roman" w:hAnsi="Times New Roman" w:eastAsia="楷体_GB2312" w:cs="Times New Roman"/>
          <w:color w:val="auto"/>
          <w:sz w:val="36"/>
          <w:szCs w:val="36"/>
        </w:rPr>
      </w:pPr>
    </w:p>
    <w:p w14:paraId="20013106">
      <w:pPr>
        <w:rPr>
          <w:rFonts w:hint="default" w:ascii="Times New Roman" w:hAnsi="Times New Roman" w:eastAsia="楷体_GB2312" w:cs="Times New Roman"/>
          <w:color w:val="auto"/>
          <w:sz w:val="36"/>
          <w:szCs w:val="36"/>
        </w:rPr>
      </w:pPr>
    </w:p>
    <w:p w14:paraId="625F019C">
      <w:pPr>
        <w:rPr>
          <w:rFonts w:hint="default" w:ascii="Times New Roman" w:hAnsi="Times New Roman" w:eastAsia="楷体_GB2312" w:cs="Times New Roman"/>
          <w:color w:val="auto"/>
          <w:sz w:val="36"/>
          <w:szCs w:val="36"/>
        </w:rPr>
      </w:pPr>
    </w:p>
    <w:p w14:paraId="7E17E5C3">
      <w:pPr>
        <w:pStyle w:val="18"/>
        <w:rPr>
          <w:rFonts w:hint="default" w:ascii="Times New Roman" w:hAnsi="Times New Roman" w:cs="Times New Roman"/>
          <w:color w:val="auto"/>
        </w:rPr>
      </w:pPr>
    </w:p>
    <w:sdt>
      <w:sdtPr>
        <w:rPr>
          <w:rFonts w:hint="default" w:ascii="Times New Roman" w:hAnsi="Times New Roman" w:eastAsia="宋体" w:cs="Times New Roman"/>
          <w:color w:val="auto"/>
          <w:kern w:val="2"/>
          <w:sz w:val="21"/>
          <w:szCs w:val="24"/>
          <w:lang w:val="en-US" w:eastAsia="zh-CN" w:bidi="ar-SA"/>
        </w:rPr>
        <w:id w:val="147463948"/>
        <w15:color w:val="DBDBDB"/>
        <w:docPartObj>
          <w:docPartGallery w:val="Table of Contents"/>
          <w:docPartUnique/>
        </w:docPartObj>
      </w:sdtPr>
      <w:sdtEndPr>
        <w:rPr>
          <w:rFonts w:hint="default" w:ascii="Times New Roman" w:hAnsi="Times New Roman" w:eastAsia="宋体" w:cs="Times New Roman"/>
          <w:color w:val="auto"/>
          <w:kern w:val="2"/>
          <w:sz w:val="28"/>
          <w:szCs w:val="28"/>
          <w:lang w:val="en-US" w:eastAsia="zh-CN" w:bidi="ar-SA"/>
        </w:rPr>
      </w:sdtEndPr>
      <w:sdtContent>
        <w:p w14:paraId="135B4FB8">
          <w:pPr>
            <w:spacing w:before="0" w:beforeLines="0" w:after="0" w:afterLines="0" w:line="240" w:lineRule="auto"/>
            <w:ind w:left="0" w:leftChars="0" w:right="0" w:rightChars="0" w:firstLine="0" w:firstLineChars="0"/>
            <w:jc w:val="center"/>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目</w:t>
          </w:r>
          <w:r>
            <w:rPr>
              <w:rFonts w:hint="default" w:ascii="Times New Roman" w:hAnsi="Times New Roman" w:eastAsia="宋体" w:cs="Times New Roman"/>
              <w:b/>
              <w:bCs/>
              <w:color w:val="auto"/>
              <w:sz w:val="32"/>
              <w:szCs w:val="32"/>
              <w:lang w:val="en-US" w:eastAsia="zh-CN"/>
            </w:rPr>
            <w:t xml:space="preserve">  </w:t>
          </w:r>
          <w:r>
            <w:rPr>
              <w:rFonts w:hint="default" w:ascii="Times New Roman" w:hAnsi="Times New Roman" w:eastAsia="宋体" w:cs="Times New Roman"/>
              <w:b/>
              <w:bCs/>
              <w:color w:val="auto"/>
              <w:sz w:val="32"/>
              <w:szCs w:val="32"/>
            </w:rPr>
            <w:t>录</w:t>
          </w:r>
        </w:p>
        <w:p w14:paraId="3E612CEC">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TOC \o "1-3" \h \u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_Toc20485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rPr>
            <w:t>一、建设项目基本情况</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_Toc20485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1</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7A11F77C">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_Toc27387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rPr>
            <w:t>二、建设内容</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_Toc27387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15</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6C7D5E84">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_Toc1728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rPr>
            <w:t>三、生态环境现状、保护目标及评价标准</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_Toc1728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27</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602A214D">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_Toc28843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highlight w:val="none"/>
            </w:rPr>
            <w:t>四、生态环境影响分析</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_Toc28843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33</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78CA0BA5">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_Toc12711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rPr>
            <w:t>五、主要生态环境保护措施</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_Toc12711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50</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635288AD">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_Toc3878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rPr>
            <w:t>六、生态环境保护措施监督检查清单</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_Toc3878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69</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618EAFF1">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HYPERLINK \l _Toc18654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bCs/>
              <w:color w:val="auto"/>
              <w:sz w:val="28"/>
              <w:szCs w:val="28"/>
            </w:rPr>
            <w:t>七、结论</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_Toc18654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71</w:t>
          </w:r>
          <w:r>
            <w:rPr>
              <w:rFonts w:hint="default" w:ascii="Times New Roman" w:hAnsi="Times New Roman" w:eastAsia="宋体" w:cs="Times New Roman"/>
              <w:color w:val="auto"/>
              <w:sz w:val="28"/>
              <w:szCs w:val="28"/>
            </w:rPr>
            <w:fldChar w:fldCharType="end"/>
          </w:r>
          <w:r>
            <w:rPr>
              <w:rFonts w:hint="default" w:ascii="Times New Roman" w:hAnsi="Times New Roman" w:eastAsia="宋体" w:cs="Times New Roman"/>
              <w:color w:val="auto"/>
              <w:sz w:val="28"/>
              <w:szCs w:val="28"/>
            </w:rPr>
            <w:fldChar w:fldCharType="end"/>
          </w:r>
        </w:p>
        <w:p w14:paraId="75E95322">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8"/>
              <w:szCs w:val="28"/>
            </w:rPr>
          </w:pPr>
        </w:p>
        <w:p w14:paraId="271AD95A">
          <w:pPr>
            <w:pStyle w:val="1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sz w:val="28"/>
              <w:szCs w:val="28"/>
            </w:rPr>
            <w:fldChar w:fldCharType="end"/>
          </w:r>
        </w:p>
      </w:sdtContent>
    </w:sdt>
    <w:p w14:paraId="0F3AF801">
      <w:pPr>
        <w:rPr>
          <w:rFonts w:hint="default" w:ascii="Times New Roman" w:hAnsi="Times New Roman" w:eastAsia="宋体" w:cs="Times New Roman"/>
          <w:color w:val="auto"/>
          <w:sz w:val="28"/>
          <w:szCs w:val="28"/>
        </w:rPr>
      </w:pPr>
    </w:p>
    <w:p w14:paraId="0E58B6B0">
      <w:pPr>
        <w:rPr>
          <w:rFonts w:hint="default" w:ascii="Times New Roman" w:hAnsi="Times New Roman" w:cs="Times New Roman"/>
          <w:color w:val="auto"/>
        </w:rPr>
      </w:pPr>
    </w:p>
    <w:p w14:paraId="6431DCAD">
      <w:pPr>
        <w:pStyle w:val="18"/>
        <w:rPr>
          <w:rFonts w:hint="default" w:ascii="Times New Roman" w:hAnsi="Times New Roman" w:cs="Times New Roman"/>
          <w:color w:val="auto"/>
        </w:rPr>
      </w:pPr>
    </w:p>
    <w:p w14:paraId="73110986">
      <w:pPr>
        <w:pStyle w:val="19"/>
        <w:rPr>
          <w:rFonts w:hint="default" w:ascii="Times New Roman" w:hAnsi="Times New Roman" w:cs="Times New Roman"/>
          <w:color w:val="auto"/>
        </w:rPr>
      </w:pPr>
    </w:p>
    <w:p w14:paraId="42C71211">
      <w:pPr>
        <w:rPr>
          <w:rFonts w:hint="default" w:ascii="Times New Roman" w:hAnsi="Times New Roman" w:cs="Times New Roman"/>
          <w:color w:val="auto"/>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A0CDF4E">
      <w:pPr>
        <w:pStyle w:val="2"/>
        <w:rPr>
          <w:rFonts w:hint="default" w:ascii="Times New Roman" w:hAnsi="Times New Roman" w:eastAsia="黑体" w:cs="Times New Roman"/>
          <w:b w:val="0"/>
          <w:bCs/>
          <w:color w:val="auto"/>
          <w:sz w:val="30"/>
          <w:szCs w:val="30"/>
        </w:rPr>
      </w:pPr>
      <w:bookmarkStart w:id="2" w:name="_Toc20485"/>
      <w:r>
        <w:rPr>
          <w:rFonts w:hint="default" w:ascii="Times New Roman" w:hAnsi="Times New Roman" w:eastAsia="黑体" w:cs="Times New Roman"/>
          <w:b w:val="0"/>
          <w:bCs/>
          <w:color w:val="auto"/>
          <w:sz w:val="30"/>
          <w:szCs w:val="30"/>
        </w:rPr>
        <w:t>一、建设项目基本情况</w:t>
      </w:r>
      <w:bookmarkEnd w:id="2"/>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417"/>
        <w:gridCol w:w="2450"/>
        <w:gridCol w:w="1377"/>
        <w:gridCol w:w="2715"/>
      </w:tblGrid>
      <w:tr w14:paraId="27C3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0ADF97F8">
            <w:pPr>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建设项目名称</w:t>
            </w:r>
          </w:p>
        </w:tc>
        <w:tc>
          <w:tcPr>
            <w:tcW w:w="6542" w:type="dxa"/>
            <w:gridSpan w:val="3"/>
            <w:vAlign w:val="center"/>
          </w:tcPr>
          <w:p w14:paraId="3ED5B666">
            <w:pPr>
              <w:snapToGrid w:val="0"/>
              <w:spacing w:line="400" w:lineRule="exact"/>
              <w:jc w:val="center"/>
              <w:rPr>
                <w:rFonts w:hint="default" w:ascii="Times New Roman" w:hAnsi="Times New Roman" w:cs="Times New Roman"/>
                <w:color w:val="auto"/>
              </w:rPr>
            </w:pPr>
            <w:r>
              <w:rPr>
                <w:rFonts w:hint="eastAsia" w:cs="Times New Roman"/>
                <w:color w:val="auto"/>
                <w:lang w:val="en-US" w:eastAsia="zh-CN"/>
              </w:rPr>
              <w:t>纳东</w:t>
            </w:r>
            <w:r>
              <w:rPr>
                <w:rFonts w:hint="default" w:ascii="Times New Roman" w:hAnsi="Times New Roman" w:cs="Times New Roman"/>
                <w:color w:val="auto"/>
                <w:lang w:val="en-US" w:eastAsia="zh-CN"/>
              </w:rPr>
              <w:t>1</w:t>
            </w:r>
            <w:r>
              <w:rPr>
                <w:rFonts w:hint="default" w:ascii="Times New Roman" w:hAnsi="Times New Roman" w:cs="Times New Roman"/>
                <w:color w:val="auto"/>
              </w:rPr>
              <w:t>井勘探钻探项目</w:t>
            </w:r>
          </w:p>
        </w:tc>
      </w:tr>
      <w:tr w14:paraId="351A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05DA42AE">
            <w:pPr>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项目代码</w:t>
            </w:r>
          </w:p>
        </w:tc>
        <w:tc>
          <w:tcPr>
            <w:tcW w:w="6542" w:type="dxa"/>
            <w:gridSpan w:val="3"/>
            <w:vAlign w:val="center"/>
          </w:tcPr>
          <w:p w14:paraId="11937BCE">
            <w:pPr>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无</w:t>
            </w:r>
          </w:p>
        </w:tc>
      </w:tr>
      <w:tr w14:paraId="0FEF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4E6977E2">
            <w:pPr>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spacing w:val="-11"/>
              </w:rPr>
              <w:t>建设单位联系人</w:t>
            </w:r>
          </w:p>
        </w:tc>
        <w:tc>
          <w:tcPr>
            <w:tcW w:w="2450" w:type="dxa"/>
            <w:vAlign w:val="center"/>
          </w:tcPr>
          <w:p w14:paraId="3F28EA06">
            <w:pPr>
              <w:snapToGrid w:val="0"/>
              <w:spacing w:line="400" w:lineRule="exact"/>
              <w:jc w:val="center"/>
              <w:rPr>
                <w:rFonts w:hint="default" w:ascii="Times New Roman" w:hAnsi="Times New Roman" w:cs="Times New Roman"/>
                <w:bCs/>
                <w:color w:val="auto"/>
                <w:spacing w:val="-11"/>
              </w:rPr>
            </w:pPr>
          </w:p>
        </w:tc>
        <w:tc>
          <w:tcPr>
            <w:tcW w:w="1377" w:type="dxa"/>
            <w:vAlign w:val="center"/>
          </w:tcPr>
          <w:p w14:paraId="1FA6C89D">
            <w:pPr>
              <w:snapToGrid w:val="0"/>
              <w:spacing w:line="400" w:lineRule="exact"/>
              <w:jc w:val="center"/>
              <w:rPr>
                <w:rFonts w:hint="default" w:ascii="Times New Roman" w:hAnsi="Times New Roman" w:cs="Times New Roman"/>
                <w:bCs/>
                <w:color w:val="auto"/>
                <w:spacing w:val="-11"/>
              </w:rPr>
            </w:pPr>
            <w:r>
              <w:rPr>
                <w:rFonts w:hint="default" w:ascii="Times New Roman" w:hAnsi="Times New Roman" w:cs="Times New Roman"/>
                <w:bCs/>
                <w:color w:val="auto"/>
                <w:spacing w:val="-11"/>
              </w:rPr>
              <w:t>联系方式</w:t>
            </w:r>
          </w:p>
        </w:tc>
        <w:tc>
          <w:tcPr>
            <w:tcW w:w="2715" w:type="dxa"/>
            <w:vAlign w:val="center"/>
          </w:tcPr>
          <w:p w14:paraId="5C6B001B">
            <w:pPr>
              <w:snapToGrid w:val="0"/>
              <w:spacing w:line="400" w:lineRule="exact"/>
              <w:jc w:val="center"/>
              <w:rPr>
                <w:rFonts w:hint="default" w:ascii="Times New Roman" w:hAnsi="Times New Roman" w:cs="Times New Roman"/>
                <w:bCs/>
                <w:color w:val="auto"/>
                <w:spacing w:val="-11"/>
              </w:rPr>
            </w:pPr>
          </w:p>
        </w:tc>
      </w:tr>
      <w:tr w14:paraId="28C6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980" w:type="dxa"/>
            <w:gridSpan w:val="2"/>
            <w:vAlign w:val="center"/>
          </w:tcPr>
          <w:p w14:paraId="045D7F8C">
            <w:pPr>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建设地点</w:t>
            </w:r>
          </w:p>
        </w:tc>
        <w:tc>
          <w:tcPr>
            <w:tcW w:w="6542" w:type="dxa"/>
            <w:gridSpan w:val="3"/>
            <w:vAlign w:val="center"/>
          </w:tcPr>
          <w:p w14:paraId="11F2C041">
            <w:pPr>
              <w:snapToGrid w:val="0"/>
              <w:spacing w:line="400" w:lineRule="exact"/>
              <w:jc w:val="center"/>
              <w:rPr>
                <w:rFonts w:hint="default" w:ascii="Times New Roman" w:hAnsi="Times New Roman" w:eastAsia="宋体" w:cs="Times New Roman"/>
                <w:color w:val="auto"/>
                <w:lang w:val="en-US" w:eastAsia="zh-CN"/>
              </w:rPr>
            </w:pPr>
            <w:r>
              <w:rPr>
                <w:rFonts w:hint="eastAsia" w:ascii="宋体" w:hAnsi="宋体" w:cs="宋体"/>
                <w:color w:val="auto"/>
              </w:rPr>
              <w:t>新疆维吾尔自治区昌吉回族自治州玛纳斯县</w:t>
            </w:r>
          </w:p>
        </w:tc>
      </w:tr>
      <w:tr w14:paraId="7043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587B1853">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地理坐标</w:t>
            </w:r>
          </w:p>
        </w:tc>
        <w:tc>
          <w:tcPr>
            <w:tcW w:w="6542" w:type="dxa"/>
            <w:gridSpan w:val="3"/>
            <w:vAlign w:val="center"/>
          </w:tcPr>
          <w:p w14:paraId="784AFFC6">
            <w:pPr>
              <w:adjustRightInd w:val="0"/>
              <w:snapToGrid w:val="0"/>
              <w:spacing w:line="400" w:lineRule="exact"/>
              <w:rPr>
                <w:rFonts w:hint="default" w:ascii="Times New Roman" w:hAnsi="Times New Roman" w:cs="Times New Roman"/>
                <w:color w:val="auto"/>
                <w:spacing w:val="-17"/>
                <w:sz w:val="24"/>
              </w:rPr>
            </w:pPr>
          </w:p>
        </w:tc>
      </w:tr>
      <w:tr w14:paraId="78D6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61D23693">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建设项目</w:t>
            </w:r>
          </w:p>
          <w:p w14:paraId="5884A0CF">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行业类别</w:t>
            </w:r>
          </w:p>
        </w:tc>
        <w:tc>
          <w:tcPr>
            <w:tcW w:w="2450" w:type="dxa"/>
            <w:vAlign w:val="center"/>
          </w:tcPr>
          <w:p w14:paraId="731A0541">
            <w:pPr>
              <w:adjustRightInd w:val="0"/>
              <w:snapToGrid w:val="0"/>
              <w:spacing w:line="400" w:lineRule="exact"/>
              <w:ind w:left="-27" w:leftChars="-80" w:right="-134" w:rightChars="-56" w:hanging="165" w:hangingChars="69"/>
              <w:jc w:val="center"/>
              <w:rPr>
                <w:rFonts w:hint="default" w:ascii="Times New Roman" w:hAnsi="Times New Roman" w:cs="Times New Roman"/>
                <w:color w:val="auto"/>
              </w:rPr>
            </w:pPr>
            <w:r>
              <w:rPr>
                <w:rFonts w:hint="default" w:ascii="Times New Roman" w:hAnsi="Times New Roman" w:cs="Times New Roman"/>
                <w:color w:val="auto"/>
              </w:rPr>
              <w:t>四十六、专业技术服务</w:t>
            </w:r>
          </w:p>
          <w:p w14:paraId="48488992">
            <w:pPr>
              <w:adjustRightInd w:val="0"/>
              <w:snapToGrid w:val="0"/>
              <w:spacing w:line="400" w:lineRule="exact"/>
              <w:ind w:right="-134" w:rightChars="-56"/>
              <w:rPr>
                <w:rFonts w:hint="default" w:ascii="Times New Roman" w:hAnsi="Times New Roman" w:cs="Times New Roman"/>
                <w:color w:val="auto"/>
              </w:rPr>
            </w:pPr>
            <w:r>
              <w:rPr>
                <w:rFonts w:hint="default" w:ascii="Times New Roman" w:hAnsi="Times New Roman" w:cs="Times New Roman"/>
                <w:color w:val="auto"/>
              </w:rPr>
              <w:t>业99陆地矿产资源地质勘查（含油气资源勘探）</w:t>
            </w:r>
          </w:p>
        </w:tc>
        <w:tc>
          <w:tcPr>
            <w:tcW w:w="1377" w:type="dxa"/>
            <w:vAlign w:val="center"/>
          </w:tcPr>
          <w:p w14:paraId="21D282BA">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用地面积（m</w:t>
            </w:r>
            <w:r>
              <w:rPr>
                <w:rFonts w:hint="default" w:ascii="Times New Roman" w:hAnsi="Times New Roman" w:cs="Times New Roman"/>
                <w:color w:val="auto"/>
                <w:vertAlign w:val="superscript"/>
              </w:rPr>
              <w:t>2</w:t>
            </w:r>
            <w:r>
              <w:rPr>
                <w:rFonts w:hint="default" w:ascii="Times New Roman" w:hAnsi="Times New Roman" w:cs="Times New Roman"/>
                <w:color w:val="auto"/>
              </w:rPr>
              <w:t>）/长度（km）</w:t>
            </w:r>
          </w:p>
        </w:tc>
        <w:tc>
          <w:tcPr>
            <w:tcW w:w="2715" w:type="dxa"/>
            <w:vAlign w:val="center"/>
          </w:tcPr>
          <w:p w14:paraId="23EDE77F">
            <w:pPr>
              <w:adjustRightInd w:val="0"/>
              <w:snapToGrid w:val="0"/>
              <w:spacing w:line="400" w:lineRule="exact"/>
              <w:jc w:val="center"/>
              <w:rPr>
                <w:rFonts w:hint="default" w:ascii="Times New Roman" w:hAnsi="Times New Roman" w:cs="Times New Roman"/>
                <w:color w:val="auto"/>
                <w:highlight w:val="yellow"/>
              </w:rPr>
            </w:pPr>
            <w:r>
              <w:rPr>
                <w:rFonts w:hint="eastAsia" w:cs="Times New Roman"/>
                <w:color w:val="auto"/>
                <w:lang w:val="en-US" w:eastAsia="zh-CN"/>
              </w:rPr>
              <w:t>22345</w:t>
            </w:r>
            <w:r>
              <w:rPr>
                <w:rFonts w:hint="default" w:ascii="Times New Roman" w:hAnsi="Times New Roman" w:cs="Times New Roman"/>
                <w:color w:val="auto"/>
              </w:rPr>
              <w:t>（临时用地）</w:t>
            </w:r>
          </w:p>
        </w:tc>
      </w:tr>
      <w:tr w14:paraId="3DED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62F86AB3">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建设性质</w:t>
            </w:r>
          </w:p>
        </w:tc>
        <w:tc>
          <w:tcPr>
            <w:tcW w:w="2450" w:type="dxa"/>
            <w:vAlign w:val="center"/>
          </w:tcPr>
          <w:p w14:paraId="6F22348F">
            <w:pPr>
              <w:adjustRightInd w:val="0"/>
              <w:snapToGrid w:val="0"/>
              <w:spacing w:line="400" w:lineRule="exact"/>
              <w:jc w:val="left"/>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新建（迁建）</w:t>
            </w:r>
          </w:p>
          <w:p w14:paraId="0E47427F">
            <w:pPr>
              <w:adjustRightInd w:val="0"/>
              <w:snapToGrid w:val="0"/>
              <w:spacing w:line="400" w:lineRule="exact"/>
              <w:jc w:val="left"/>
              <w:rPr>
                <w:rFonts w:hint="default" w:ascii="Times New Roman" w:hAnsi="Times New Roman" w:cs="Times New Roman"/>
                <w:color w:val="auto"/>
              </w:rPr>
            </w:pPr>
            <w:r>
              <w:rPr>
                <w:rFonts w:hint="default" w:ascii="Times New Roman" w:hAnsi="Times New Roman" w:cs="Times New Roman"/>
                <w:color w:val="auto"/>
              </w:rPr>
              <w:t>□改建</w:t>
            </w:r>
          </w:p>
          <w:p w14:paraId="5ECEAF04">
            <w:pPr>
              <w:adjustRightInd w:val="0"/>
              <w:snapToGrid w:val="0"/>
              <w:spacing w:line="400" w:lineRule="exact"/>
              <w:jc w:val="left"/>
              <w:rPr>
                <w:rFonts w:hint="default" w:ascii="Times New Roman" w:hAnsi="Times New Roman" w:cs="Times New Roman"/>
                <w:color w:val="auto"/>
              </w:rPr>
            </w:pPr>
            <w:r>
              <w:rPr>
                <w:rFonts w:hint="default" w:ascii="Times New Roman" w:hAnsi="Times New Roman" w:cs="Times New Roman"/>
                <w:color w:val="auto"/>
              </w:rPr>
              <w:t>□扩建</w:t>
            </w:r>
          </w:p>
          <w:p w14:paraId="3A1D2517">
            <w:pPr>
              <w:adjustRightInd w:val="0"/>
              <w:snapToGrid w:val="0"/>
              <w:spacing w:line="400" w:lineRule="exact"/>
              <w:jc w:val="left"/>
              <w:rPr>
                <w:rFonts w:hint="default" w:ascii="Times New Roman" w:hAnsi="Times New Roman" w:cs="Times New Roman"/>
                <w:color w:val="auto"/>
              </w:rPr>
            </w:pPr>
            <w:r>
              <w:rPr>
                <w:rFonts w:hint="default" w:ascii="Times New Roman" w:hAnsi="Times New Roman" w:cs="Times New Roman"/>
                <w:color w:val="auto"/>
              </w:rPr>
              <w:t>□技术改造</w:t>
            </w:r>
          </w:p>
        </w:tc>
        <w:tc>
          <w:tcPr>
            <w:tcW w:w="1377" w:type="dxa"/>
            <w:vAlign w:val="center"/>
          </w:tcPr>
          <w:p w14:paraId="0B24A7C5">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建设项目</w:t>
            </w:r>
          </w:p>
          <w:p w14:paraId="1844DDD3">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申报情形</w:t>
            </w:r>
          </w:p>
        </w:tc>
        <w:tc>
          <w:tcPr>
            <w:tcW w:w="2715" w:type="dxa"/>
            <w:vAlign w:val="center"/>
          </w:tcPr>
          <w:p w14:paraId="24FEB667">
            <w:pPr>
              <w:adjustRightInd w:val="0"/>
              <w:snapToGrid w:val="0"/>
              <w:spacing w:line="400" w:lineRule="exact"/>
              <w:jc w:val="left"/>
              <w:rPr>
                <w:rFonts w:hint="default" w:ascii="Times New Roman" w:hAnsi="Times New Roman" w:cs="Times New Roman"/>
                <w:color w:val="auto"/>
              </w:rPr>
            </w:pPr>
            <w:r>
              <w:rPr>
                <w:rFonts w:hint="default" w:ascii="Times New Roman" w:hAnsi="Times New Roman" w:cs="Times New Roman"/>
                <w:color w:val="auto"/>
                <w:spacing w:val="-11"/>
              </w:rPr>
              <w:sym w:font="Wingdings 2" w:char="0052"/>
            </w:r>
            <w:r>
              <w:rPr>
                <w:rFonts w:hint="default" w:ascii="Times New Roman" w:hAnsi="Times New Roman" w:cs="Times New Roman"/>
                <w:color w:val="auto"/>
              </w:rPr>
              <w:t>首次申报项目</w:t>
            </w:r>
          </w:p>
          <w:p w14:paraId="5AA86396">
            <w:pPr>
              <w:adjustRightInd w:val="0"/>
              <w:snapToGrid w:val="0"/>
              <w:spacing w:line="400" w:lineRule="exact"/>
              <w:jc w:val="left"/>
              <w:rPr>
                <w:rFonts w:hint="default" w:ascii="Times New Roman" w:hAnsi="Times New Roman" w:cs="Times New Roman"/>
                <w:color w:val="auto"/>
                <w:spacing w:val="-23"/>
              </w:rPr>
            </w:pPr>
            <w:r>
              <w:rPr>
                <w:rFonts w:hint="default" w:ascii="Times New Roman" w:hAnsi="Times New Roman" w:cs="Times New Roman"/>
                <w:color w:val="auto"/>
                <w:spacing w:val="-23"/>
              </w:rPr>
              <w:t>□不予批准后再次申报项目</w:t>
            </w:r>
          </w:p>
          <w:p w14:paraId="090146FD">
            <w:pPr>
              <w:adjustRightInd w:val="0"/>
              <w:snapToGrid w:val="0"/>
              <w:spacing w:line="400" w:lineRule="exact"/>
              <w:jc w:val="left"/>
              <w:rPr>
                <w:rFonts w:hint="default" w:ascii="Times New Roman" w:hAnsi="Times New Roman" w:cs="Times New Roman"/>
                <w:color w:val="auto"/>
                <w:spacing w:val="-6"/>
              </w:rPr>
            </w:pPr>
            <w:r>
              <w:rPr>
                <w:rFonts w:hint="default" w:ascii="Times New Roman" w:hAnsi="Times New Roman" w:cs="Times New Roman"/>
                <w:color w:val="auto"/>
                <w:spacing w:val="-6"/>
              </w:rPr>
              <w:t>□超五年重新审核项目</w:t>
            </w:r>
          </w:p>
          <w:p w14:paraId="110D150E">
            <w:pPr>
              <w:adjustRightInd w:val="0"/>
              <w:snapToGrid w:val="0"/>
              <w:spacing w:line="400" w:lineRule="exact"/>
              <w:rPr>
                <w:rFonts w:hint="default" w:ascii="Times New Roman" w:hAnsi="Times New Roman" w:cs="Times New Roman"/>
                <w:color w:val="auto"/>
              </w:rPr>
            </w:pPr>
            <w:r>
              <w:rPr>
                <w:rFonts w:hint="default" w:ascii="Times New Roman" w:hAnsi="Times New Roman" w:cs="Times New Roman"/>
                <w:color w:val="auto"/>
                <w:spacing w:val="-23"/>
              </w:rPr>
              <w:t>□</w:t>
            </w:r>
            <w:r>
              <w:rPr>
                <w:rFonts w:hint="default" w:ascii="Times New Roman" w:hAnsi="Times New Roman" w:cs="Times New Roman"/>
                <w:color w:val="auto"/>
                <w:spacing w:val="-11"/>
              </w:rPr>
              <w:t>重大变动重新报批项目</w:t>
            </w:r>
          </w:p>
        </w:tc>
      </w:tr>
      <w:tr w14:paraId="433D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59D2F080">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项目审批（核准/备案）部门</w:t>
            </w:r>
          </w:p>
        </w:tc>
        <w:tc>
          <w:tcPr>
            <w:tcW w:w="2450" w:type="dxa"/>
            <w:vAlign w:val="center"/>
          </w:tcPr>
          <w:p w14:paraId="0C6136B2">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无</w:t>
            </w:r>
          </w:p>
        </w:tc>
        <w:tc>
          <w:tcPr>
            <w:tcW w:w="1377" w:type="dxa"/>
            <w:vAlign w:val="center"/>
          </w:tcPr>
          <w:p w14:paraId="087BF620">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项目审批（核准/备案）文号</w:t>
            </w:r>
          </w:p>
        </w:tc>
        <w:tc>
          <w:tcPr>
            <w:tcW w:w="2715" w:type="dxa"/>
            <w:vAlign w:val="center"/>
          </w:tcPr>
          <w:p w14:paraId="169DEA97">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无</w:t>
            </w:r>
          </w:p>
        </w:tc>
      </w:tr>
      <w:tr w14:paraId="7F3C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980" w:type="dxa"/>
            <w:gridSpan w:val="2"/>
            <w:vAlign w:val="center"/>
          </w:tcPr>
          <w:p w14:paraId="25EBCC9C">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总投资</w:t>
            </w:r>
          </w:p>
          <w:p w14:paraId="6215419B">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（万元）</w:t>
            </w:r>
          </w:p>
        </w:tc>
        <w:tc>
          <w:tcPr>
            <w:tcW w:w="2450" w:type="dxa"/>
            <w:vAlign w:val="center"/>
          </w:tcPr>
          <w:p w14:paraId="6482B557">
            <w:pPr>
              <w:adjustRightInd w:val="0"/>
              <w:snapToGrid w:val="0"/>
              <w:spacing w:line="400" w:lineRule="exact"/>
              <w:jc w:val="center"/>
              <w:rPr>
                <w:rFonts w:hint="default" w:ascii="Times New Roman" w:hAnsi="Times New Roman" w:cs="Times New Roman"/>
                <w:color w:val="auto"/>
                <w:lang w:val="en-US"/>
              </w:rPr>
            </w:pPr>
            <w:r>
              <w:rPr>
                <w:rFonts w:hint="eastAsia" w:cs="Times New Roman"/>
                <w:color w:val="auto"/>
                <w:lang w:val="en-US" w:eastAsia="zh-CN"/>
              </w:rPr>
              <w:t>8500</w:t>
            </w:r>
          </w:p>
        </w:tc>
        <w:tc>
          <w:tcPr>
            <w:tcW w:w="1377" w:type="dxa"/>
            <w:vAlign w:val="center"/>
          </w:tcPr>
          <w:p w14:paraId="0573C93D">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环保投资</w:t>
            </w:r>
          </w:p>
          <w:p w14:paraId="45FBDB96">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（万元）</w:t>
            </w:r>
          </w:p>
        </w:tc>
        <w:tc>
          <w:tcPr>
            <w:tcW w:w="2715" w:type="dxa"/>
            <w:vAlign w:val="center"/>
          </w:tcPr>
          <w:p w14:paraId="6A23ECB2">
            <w:pPr>
              <w:adjustRightInd w:val="0"/>
              <w:snapToGrid w:val="0"/>
              <w:spacing w:line="400" w:lineRule="exact"/>
              <w:jc w:val="center"/>
              <w:rPr>
                <w:rFonts w:hint="default" w:ascii="Times New Roman" w:hAnsi="Times New Roman" w:eastAsia="宋体" w:cs="Times New Roman"/>
                <w:color w:val="auto"/>
                <w:lang w:val="en-US" w:eastAsia="zh-CN"/>
              </w:rPr>
            </w:pPr>
            <w:r>
              <w:rPr>
                <w:rFonts w:hint="eastAsia" w:cs="Times New Roman"/>
                <w:color w:val="auto"/>
                <w:lang w:val="en-US" w:eastAsia="zh-CN"/>
              </w:rPr>
              <w:t>340</w:t>
            </w:r>
          </w:p>
        </w:tc>
      </w:tr>
      <w:tr w14:paraId="28EC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48A47FF2">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环保投资占比（%）</w:t>
            </w:r>
          </w:p>
        </w:tc>
        <w:tc>
          <w:tcPr>
            <w:tcW w:w="2450" w:type="dxa"/>
            <w:vAlign w:val="center"/>
          </w:tcPr>
          <w:p w14:paraId="69CD3DC1">
            <w:pPr>
              <w:adjustRightInd w:val="0"/>
              <w:snapToGrid w:val="0"/>
              <w:spacing w:line="400" w:lineRule="exact"/>
              <w:jc w:val="center"/>
              <w:rPr>
                <w:rFonts w:hint="default" w:ascii="Times New Roman" w:hAnsi="Times New Roman" w:eastAsia="宋体" w:cs="Times New Roman"/>
                <w:color w:val="auto"/>
                <w:lang w:val="en-US" w:eastAsia="zh-CN"/>
              </w:rPr>
            </w:pPr>
            <w:r>
              <w:rPr>
                <w:rFonts w:hint="eastAsia" w:cs="Times New Roman"/>
                <w:color w:val="auto"/>
                <w:lang w:val="en-US" w:eastAsia="zh-CN"/>
              </w:rPr>
              <w:t>4.0</w:t>
            </w:r>
          </w:p>
        </w:tc>
        <w:tc>
          <w:tcPr>
            <w:tcW w:w="1377" w:type="dxa"/>
            <w:vAlign w:val="center"/>
          </w:tcPr>
          <w:p w14:paraId="01C702F6">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施工工期</w:t>
            </w:r>
          </w:p>
        </w:tc>
        <w:tc>
          <w:tcPr>
            <w:tcW w:w="2715" w:type="dxa"/>
            <w:vAlign w:val="center"/>
          </w:tcPr>
          <w:p w14:paraId="6D23C5D8">
            <w:pPr>
              <w:adjustRightInd w:val="0"/>
              <w:snapToGrid w:val="0"/>
              <w:spacing w:line="400" w:lineRule="exact"/>
              <w:jc w:val="center"/>
              <w:rPr>
                <w:rFonts w:hint="default" w:ascii="Times New Roman" w:hAnsi="Times New Roman" w:cs="Times New Roman"/>
                <w:color w:val="auto"/>
                <w:spacing w:val="-8"/>
              </w:rPr>
            </w:pPr>
            <w:r>
              <w:rPr>
                <w:rFonts w:hint="default" w:ascii="Times New Roman" w:hAnsi="Times New Roman" w:cs="Times New Roman"/>
                <w:color w:val="auto"/>
                <w:spacing w:val="-8"/>
              </w:rPr>
              <w:t>钻井期</w:t>
            </w:r>
            <w:r>
              <w:rPr>
                <w:rFonts w:hint="eastAsia" w:cs="Times New Roman"/>
                <w:color w:val="auto"/>
                <w:spacing w:val="-8"/>
                <w:lang w:val="en-US" w:eastAsia="zh-CN"/>
              </w:rPr>
              <w:t>258</w:t>
            </w:r>
            <w:r>
              <w:rPr>
                <w:rFonts w:hint="default" w:ascii="Times New Roman" w:hAnsi="Times New Roman" w:cs="Times New Roman"/>
                <w:color w:val="auto"/>
                <w:spacing w:val="-8"/>
              </w:rPr>
              <w:t>天</w:t>
            </w:r>
          </w:p>
          <w:p w14:paraId="4AC955C8">
            <w:pPr>
              <w:adjustRightInd w:val="0"/>
              <w:snapToGrid w:val="0"/>
              <w:spacing w:line="400" w:lineRule="exact"/>
              <w:jc w:val="center"/>
              <w:rPr>
                <w:rFonts w:hint="default" w:ascii="Times New Roman" w:hAnsi="Times New Roman" w:cs="Times New Roman"/>
                <w:color w:val="auto"/>
                <w:spacing w:val="-4"/>
              </w:rPr>
            </w:pPr>
            <w:r>
              <w:rPr>
                <w:rFonts w:hint="default" w:ascii="Times New Roman" w:hAnsi="Times New Roman" w:cs="Times New Roman"/>
                <w:color w:val="auto"/>
                <w:spacing w:val="-8"/>
              </w:rPr>
              <w:t>试油期</w:t>
            </w:r>
            <w:r>
              <w:rPr>
                <w:rFonts w:hint="eastAsia" w:cs="Times New Roman"/>
                <w:color w:val="auto"/>
                <w:spacing w:val="-8"/>
                <w:lang w:val="en-US" w:eastAsia="zh-CN"/>
              </w:rPr>
              <w:t>240</w:t>
            </w:r>
            <w:r>
              <w:rPr>
                <w:rFonts w:hint="default" w:ascii="Times New Roman" w:hAnsi="Times New Roman" w:cs="Times New Roman"/>
                <w:color w:val="auto"/>
                <w:spacing w:val="-8"/>
              </w:rPr>
              <w:t>天</w:t>
            </w:r>
          </w:p>
        </w:tc>
      </w:tr>
      <w:tr w14:paraId="6253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0" w:type="dxa"/>
            <w:gridSpan w:val="2"/>
            <w:vAlign w:val="center"/>
          </w:tcPr>
          <w:p w14:paraId="1D724383">
            <w:pPr>
              <w:adjustRightInd w:val="0"/>
              <w:snapToGrid w:val="0"/>
              <w:spacing w:line="400" w:lineRule="exact"/>
              <w:jc w:val="center"/>
              <w:rPr>
                <w:rFonts w:hint="default" w:ascii="Times New Roman" w:hAnsi="Times New Roman" w:cs="Times New Roman"/>
                <w:color w:val="auto"/>
              </w:rPr>
            </w:pPr>
            <w:r>
              <w:rPr>
                <w:rFonts w:hint="default" w:ascii="Times New Roman" w:hAnsi="Times New Roman" w:cs="Times New Roman"/>
                <w:color w:val="auto"/>
              </w:rPr>
              <w:t>是否开工建设</w:t>
            </w:r>
          </w:p>
        </w:tc>
        <w:tc>
          <w:tcPr>
            <w:tcW w:w="6542" w:type="dxa"/>
            <w:gridSpan w:val="3"/>
            <w:vAlign w:val="center"/>
          </w:tcPr>
          <w:p w14:paraId="4394A7B8">
            <w:pPr>
              <w:adjustRightInd w:val="0"/>
              <w:snapToGrid w:val="0"/>
              <w:spacing w:line="400" w:lineRule="exact"/>
              <w:ind w:firstLine="105"/>
              <w:jc w:val="left"/>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否</w:t>
            </w:r>
          </w:p>
          <w:p w14:paraId="38F32159">
            <w:pPr>
              <w:adjustRightInd w:val="0"/>
              <w:snapToGrid w:val="0"/>
              <w:spacing w:line="400" w:lineRule="exact"/>
              <w:ind w:firstLine="92"/>
              <w:jc w:val="left"/>
              <w:rPr>
                <w:rFonts w:hint="default" w:ascii="Times New Roman" w:hAnsi="Times New Roman" w:cs="Times New Roman"/>
                <w:color w:val="auto"/>
              </w:rPr>
            </w:pPr>
            <w:r>
              <w:rPr>
                <w:rFonts w:hint="default" w:ascii="Times New Roman" w:hAnsi="Times New Roman" w:cs="Times New Roman"/>
                <w:color w:val="auto"/>
              </w:rPr>
              <w:t>□是：</w:t>
            </w:r>
            <w:r>
              <w:rPr>
                <w:rFonts w:hint="default" w:ascii="Times New Roman" w:hAnsi="Times New Roman" w:cs="Times New Roman"/>
                <w:color w:val="auto"/>
                <w:u w:val="single"/>
              </w:rPr>
              <w:t xml:space="preserve">                             </w:t>
            </w:r>
          </w:p>
        </w:tc>
      </w:tr>
      <w:tr w14:paraId="1F47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980" w:type="dxa"/>
            <w:gridSpan w:val="2"/>
            <w:vAlign w:val="center"/>
          </w:tcPr>
          <w:p w14:paraId="2D3AB42C">
            <w:pPr>
              <w:autoSpaceDE w:val="0"/>
              <w:autoSpaceDN w:val="0"/>
              <w:adjustRightInd w:val="0"/>
              <w:snapToGrid w:val="0"/>
              <w:spacing w:line="300" w:lineRule="exact"/>
              <w:jc w:val="center"/>
              <w:rPr>
                <w:rFonts w:hint="default" w:ascii="Times New Roman" w:hAnsi="Times New Roman" w:cs="Times New Roman"/>
                <w:color w:val="auto"/>
                <w:kern w:val="0"/>
              </w:rPr>
            </w:pPr>
            <w:r>
              <w:rPr>
                <w:rFonts w:hint="default" w:ascii="Times New Roman" w:hAnsi="Times New Roman" w:cs="Times New Roman"/>
                <w:color w:val="auto"/>
                <w:kern w:val="0"/>
              </w:rPr>
              <w:t>专项评价</w:t>
            </w:r>
          </w:p>
          <w:p w14:paraId="401ED42D">
            <w:pPr>
              <w:autoSpaceDE w:val="0"/>
              <w:autoSpaceDN w:val="0"/>
              <w:adjustRightInd w:val="0"/>
              <w:snapToGrid w:val="0"/>
              <w:spacing w:line="300" w:lineRule="exact"/>
              <w:jc w:val="center"/>
              <w:rPr>
                <w:rFonts w:hint="default" w:ascii="Times New Roman" w:hAnsi="Times New Roman" w:cs="Times New Roman"/>
                <w:color w:val="auto"/>
              </w:rPr>
            </w:pPr>
            <w:r>
              <w:rPr>
                <w:rFonts w:hint="default" w:ascii="Times New Roman" w:hAnsi="Times New Roman" w:cs="Times New Roman"/>
                <w:color w:val="auto"/>
                <w:kern w:val="0"/>
              </w:rPr>
              <w:t>设置情况</w:t>
            </w:r>
          </w:p>
        </w:tc>
        <w:tc>
          <w:tcPr>
            <w:tcW w:w="6542" w:type="dxa"/>
            <w:gridSpan w:val="3"/>
            <w:vAlign w:val="center"/>
          </w:tcPr>
          <w:p w14:paraId="79BE942B">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无</w:t>
            </w:r>
          </w:p>
        </w:tc>
      </w:tr>
      <w:tr w14:paraId="683B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980" w:type="dxa"/>
            <w:gridSpan w:val="2"/>
            <w:vAlign w:val="center"/>
          </w:tcPr>
          <w:p w14:paraId="062E5C57">
            <w:pPr>
              <w:autoSpaceDE w:val="0"/>
              <w:autoSpaceDN w:val="0"/>
              <w:adjustRightInd w:val="0"/>
              <w:snapToGrid w:val="0"/>
              <w:spacing w:line="300" w:lineRule="exact"/>
              <w:jc w:val="center"/>
              <w:rPr>
                <w:rFonts w:hint="default" w:ascii="Times New Roman" w:hAnsi="Times New Roman" w:cs="Times New Roman"/>
                <w:color w:val="auto"/>
              </w:rPr>
            </w:pPr>
            <w:r>
              <w:rPr>
                <w:rFonts w:hint="default" w:ascii="Times New Roman" w:hAnsi="Times New Roman" w:cs="Times New Roman"/>
                <w:color w:val="auto"/>
              </w:rPr>
              <w:t>规划情况</w:t>
            </w:r>
          </w:p>
        </w:tc>
        <w:tc>
          <w:tcPr>
            <w:tcW w:w="6542" w:type="dxa"/>
            <w:gridSpan w:val="3"/>
            <w:shd w:val="clear" w:color="auto" w:fill="auto"/>
            <w:vAlign w:val="center"/>
          </w:tcPr>
          <w:p w14:paraId="526F5CB9">
            <w:pPr>
              <w:pStyle w:val="116"/>
              <w:keepNext w:val="0"/>
              <w:keepLines w:val="0"/>
              <w:pageBreakBefore w:val="0"/>
              <w:widowControl w:val="0"/>
              <w:kinsoku/>
              <w:wordWrap/>
              <w:overflowPunct/>
              <w:topLinePunct w:val="0"/>
              <w:autoSpaceDE/>
              <w:autoSpaceDN/>
              <w:bidi w:val="0"/>
              <w:adjustRightInd/>
              <w:spacing w:line="240" w:lineRule="auto"/>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规划名称：《新疆维吾尔自治区矿产资源总体规划</w:t>
            </w:r>
            <w:r>
              <w:rPr>
                <w:rFonts w:hint="eastAsia" w:ascii="Times New Roman" w:hAnsi="Times New Roman" w:cs="Times New Roman"/>
                <w:color w:val="auto"/>
                <w:lang w:eastAsia="zh-CN"/>
              </w:rPr>
              <w:t>（</w:t>
            </w:r>
            <w:r>
              <w:rPr>
                <w:rFonts w:hint="default" w:ascii="Times New Roman" w:hAnsi="Times New Roman" w:eastAsia="宋体" w:cs="Times New Roman"/>
                <w:color w:val="auto"/>
              </w:rPr>
              <w:t>2021</w:t>
            </w:r>
            <w:r>
              <w:rPr>
                <w:rFonts w:hint="eastAsia" w:ascii="Times New Roman" w:hAnsi="Times New Roman" w:cs="Times New Roman"/>
                <w:color w:val="auto"/>
                <w:lang w:eastAsia="zh-CN"/>
              </w:rPr>
              <w:t>—</w:t>
            </w:r>
            <w:r>
              <w:rPr>
                <w:rFonts w:hint="default" w:ascii="Times New Roman" w:hAnsi="Times New Roman" w:eastAsia="宋体" w:cs="Times New Roman"/>
                <w:color w:val="auto"/>
              </w:rPr>
              <w:t>2025年</w:t>
            </w:r>
            <w:r>
              <w:rPr>
                <w:rFonts w:hint="eastAsia" w:ascii="Times New Roman" w:hAnsi="Times New Roman" w:cs="Times New Roman"/>
                <w:color w:val="auto"/>
                <w:lang w:eastAsia="zh-CN"/>
              </w:rPr>
              <w:t>）</w:t>
            </w:r>
            <w:r>
              <w:rPr>
                <w:rFonts w:hint="default" w:ascii="Times New Roman" w:hAnsi="Times New Roman" w:eastAsia="宋体" w:cs="Times New Roman"/>
                <w:color w:val="auto"/>
              </w:rPr>
              <w:t>》</w:t>
            </w:r>
          </w:p>
          <w:p w14:paraId="22FEA45A">
            <w:pPr>
              <w:pStyle w:val="116"/>
              <w:keepNext w:val="0"/>
              <w:keepLines w:val="0"/>
              <w:pageBreakBefore w:val="0"/>
              <w:widowControl w:val="0"/>
              <w:kinsoku/>
              <w:wordWrap/>
              <w:overflowPunct/>
              <w:topLinePunct w:val="0"/>
              <w:autoSpaceDE/>
              <w:autoSpaceDN/>
              <w:bidi w:val="0"/>
              <w:adjustRightInd/>
              <w:spacing w:line="240" w:lineRule="auto"/>
              <w:jc w:val="both"/>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审批机关：自然资源部</w:t>
            </w:r>
            <w:r>
              <w:rPr>
                <w:rFonts w:hint="default" w:ascii="Times New Roman" w:hAnsi="Times New Roman" w:eastAsia="宋体" w:cs="Times New Roman"/>
                <w:color w:val="auto"/>
                <w:lang w:eastAsia="zh-CN"/>
              </w:rPr>
              <w:t>；</w:t>
            </w:r>
          </w:p>
          <w:p w14:paraId="35B606D9">
            <w:pPr>
              <w:pStyle w:val="116"/>
              <w:keepNext w:val="0"/>
              <w:keepLines w:val="0"/>
              <w:pageBreakBefore w:val="0"/>
              <w:widowControl w:val="0"/>
              <w:kinsoku/>
              <w:wordWrap/>
              <w:overflowPunct/>
              <w:topLinePunct w:val="0"/>
              <w:autoSpaceDE/>
              <w:autoSpaceDN/>
              <w:bidi w:val="0"/>
              <w:adjustRightInd/>
              <w:spacing w:line="24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rPr>
              <w:t>审批文号：自然资函</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2022</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1092号。</w:t>
            </w:r>
          </w:p>
        </w:tc>
      </w:tr>
      <w:tr w14:paraId="10F7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980" w:type="dxa"/>
            <w:gridSpan w:val="2"/>
            <w:vAlign w:val="center"/>
          </w:tcPr>
          <w:p w14:paraId="599EC97A">
            <w:pPr>
              <w:autoSpaceDE w:val="0"/>
              <w:autoSpaceDN w:val="0"/>
              <w:adjustRightInd w:val="0"/>
              <w:snapToGrid w:val="0"/>
              <w:spacing w:line="300" w:lineRule="exact"/>
              <w:jc w:val="center"/>
              <w:rPr>
                <w:rFonts w:hint="default" w:ascii="Times New Roman" w:hAnsi="Times New Roman" w:cs="Times New Roman"/>
                <w:color w:val="auto"/>
              </w:rPr>
            </w:pPr>
            <w:r>
              <w:rPr>
                <w:rFonts w:hint="default" w:ascii="Times New Roman" w:hAnsi="Times New Roman" w:cs="Times New Roman"/>
                <w:color w:val="auto"/>
              </w:rPr>
              <w:t>规划环境影响</w:t>
            </w:r>
          </w:p>
          <w:p w14:paraId="3BA43266">
            <w:pPr>
              <w:autoSpaceDE w:val="0"/>
              <w:autoSpaceDN w:val="0"/>
              <w:adjustRightInd w:val="0"/>
              <w:snapToGrid w:val="0"/>
              <w:spacing w:line="300" w:lineRule="exact"/>
              <w:jc w:val="center"/>
              <w:rPr>
                <w:rFonts w:hint="default" w:ascii="Times New Roman" w:hAnsi="Times New Roman" w:cs="Times New Roman"/>
                <w:color w:val="auto"/>
              </w:rPr>
            </w:pPr>
            <w:r>
              <w:rPr>
                <w:rFonts w:hint="default" w:ascii="Times New Roman" w:hAnsi="Times New Roman" w:cs="Times New Roman"/>
                <w:color w:val="auto"/>
              </w:rPr>
              <w:t>评价情况</w:t>
            </w:r>
          </w:p>
        </w:tc>
        <w:tc>
          <w:tcPr>
            <w:tcW w:w="6542" w:type="dxa"/>
            <w:gridSpan w:val="3"/>
            <w:shd w:val="clear" w:color="auto" w:fill="auto"/>
            <w:vAlign w:val="center"/>
          </w:tcPr>
          <w:p w14:paraId="7609EE09">
            <w:pPr>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文件名称：《新疆维吾尔自治区矿产资源总体规划</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2021</w:t>
            </w:r>
            <w:r>
              <w:rPr>
                <w:rFonts w:hint="eastAsia" w:cs="Times New Roman"/>
                <w:color w:val="auto"/>
                <w:lang w:val="en-US" w:eastAsia="zh-CN"/>
              </w:rPr>
              <w:t>—</w:t>
            </w:r>
            <w:r>
              <w:rPr>
                <w:rFonts w:hint="default" w:ascii="Times New Roman" w:hAnsi="Times New Roman" w:eastAsia="宋体" w:cs="Times New Roman"/>
                <w:color w:val="auto"/>
                <w:lang w:val="en-US" w:eastAsia="zh-CN"/>
              </w:rPr>
              <w:t>2025年</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环境影响报告书》；</w:t>
            </w:r>
          </w:p>
          <w:p w14:paraId="6E47BAC5">
            <w:pPr>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审查机关：</w:t>
            </w:r>
            <w:r>
              <w:rPr>
                <w:rFonts w:hint="default" w:ascii="Times New Roman" w:hAnsi="Times New Roman" w:eastAsia="宋体" w:cs="Times New Roman"/>
                <w:color w:val="auto"/>
                <w:lang w:val="en-US" w:eastAsia="zh-CN"/>
              </w:rPr>
              <w:t>生态环境部</w:t>
            </w:r>
            <w:r>
              <w:rPr>
                <w:rFonts w:hint="default" w:ascii="Times New Roman" w:hAnsi="Times New Roman" w:eastAsia="宋体" w:cs="Times New Roman"/>
                <w:color w:val="auto"/>
              </w:rPr>
              <w:t>；</w:t>
            </w:r>
          </w:p>
          <w:p w14:paraId="00D1200B">
            <w:pPr>
              <w:pStyle w:val="116"/>
              <w:keepNext w:val="0"/>
              <w:keepLines w:val="0"/>
              <w:pageBreakBefore w:val="0"/>
              <w:widowControl w:val="0"/>
              <w:kinsoku/>
              <w:wordWrap/>
              <w:overflowPunct/>
              <w:topLinePunct w:val="0"/>
              <w:autoSpaceDE/>
              <w:autoSpaceDN/>
              <w:bidi w:val="0"/>
              <w:adjustRightInd/>
              <w:spacing w:line="24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rPr>
              <w:t>审查文件名称及文号：</w:t>
            </w:r>
            <w:r>
              <w:rPr>
                <w:rFonts w:hint="default" w:ascii="Times New Roman" w:hAnsi="Times New Roman" w:eastAsia="宋体" w:cs="Times New Roman"/>
                <w:color w:val="auto"/>
                <w:lang w:val="en-US" w:eastAsia="zh-CN"/>
              </w:rPr>
              <w:t>关于《新疆维吾尔自治区矿产资源总体规划（2021</w:t>
            </w:r>
            <w:r>
              <w:rPr>
                <w:rFonts w:hint="eastAsia" w:ascii="Times New Roman" w:hAnsi="Times New Roman" w:cs="Times New Roman"/>
                <w:color w:val="auto"/>
                <w:lang w:val="en-US" w:eastAsia="zh-CN"/>
              </w:rPr>
              <w:t>—</w:t>
            </w:r>
            <w:r>
              <w:rPr>
                <w:rFonts w:hint="default" w:ascii="Times New Roman" w:hAnsi="Times New Roman" w:eastAsia="宋体" w:cs="Times New Roman"/>
                <w:color w:val="auto"/>
                <w:lang w:val="en-US" w:eastAsia="zh-CN"/>
              </w:rPr>
              <w:t>2025年）环境影响报告书》的审查意见，环审〔2022〕</w:t>
            </w:r>
            <w:r>
              <w:rPr>
                <w:rFonts w:hint="eastAsia" w:ascii="Times New Roman" w:hAnsi="Times New Roman" w:cs="Times New Roman"/>
                <w:color w:val="auto"/>
                <w:lang w:val="en-US" w:eastAsia="zh-CN"/>
              </w:rPr>
              <w:t>124</w:t>
            </w:r>
            <w:r>
              <w:rPr>
                <w:rFonts w:hint="default" w:ascii="Times New Roman" w:hAnsi="Times New Roman" w:eastAsia="宋体" w:cs="Times New Roman"/>
                <w:color w:val="auto"/>
                <w:lang w:val="en-US" w:eastAsia="zh-CN"/>
              </w:rPr>
              <w:t>号。</w:t>
            </w:r>
          </w:p>
        </w:tc>
      </w:tr>
      <w:tr w14:paraId="5943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980" w:type="dxa"/>
            <w:gridSpan w:val="2"/>
            <w:vAlign w:val="center"/>
          </w:tcPr>
          <w:p w14:paraId="13E545AC">
            <w:pPr>
              <w:autoSpaceDE w:val="0"/>
              <w:autoSpaceDN w:val="0"/>
              <w:adjustRightInd w:val="0"/>
              <w:snapToGrid w:val="0"/>
              <w:spacing w:line="300" w:lineRule="exact"/>
              <w:jc w:val="center"/>
              <w:rPr>
                <w:rFonts w:hint="default" w:ascii="Times New Roman" w:hAnsi="Times New Roman" w:cs="Times New Roman"/>
                <w:color w:val="auto"/>
              </w:rPr>
            </w:pPr>
            <w:r>
              <w:rPr>
                <w:rFonts w:hint="default" w:ascii="Times New Roman" w:hAnsi="Times New Roman" w:cs="Times New Roman"/>
                <w:color w:val="auto"/>
                <w:kern w:val="0"/>
              </w:rPr>
              <w:t>规划及</w:t>
            </w:r>
            <w:r>
              <w:rPr>
                <w:rFonts w:hint="default" w:ascii="Times New Roman" w:hAnsi="Times New Roman" w:cs="Times New Roman"/>
                <w:color w:val="auto"/>
              </w:rPr>
              <w:t>规划环境影响评价</w:t>
            </w:r>
            <w:r>
              <w:rPr>
                <w:rFonts w:hint="default" w:ascii="Times New Roman" w:hAnsi="Times New Roman" w:cs="Times New Roman"/>
                <w:color w:val="auto"/>
                <w:kern w:val="0"/>
              </w:rPr>
              <w:t>符合性分析</w:t>
            </w:r>
          </w:p>
        </w:tc>
        <w:tc>
          <w:tcPr>
            <w:tcW w:w="6542" w:type="dxa"/>
            <w:gridSpan w:val="3"/>
            <w:vAlign w:val="center"/>
          </w:tcPr>
          <w:p w14:paraId="6B3AA37D">
            <w:pPr>
              <w:pStyle w:val="110"/>
              <w:keepNext w:val="0"/>
              <w:keepLines w:val="0"/>
              <w:pageBreakBefore w:val="0"/>
              <w:widowControl w:val="0"/>
              <w:kinsoku/>
              <w:wordWrap/>
              <w:overflowPunct/>
              <w:topLinePunct w:val="0"/>
              <w:bidi w:val="0"/>
              <w:snapToGrid w:val="0"/>
              <w:spacing w:before="0" w:after="0" w:line="500" w:lineRule="exact"/>
              <w:ind w:firstLine="482" w:firstLineChars="200"/>
              <w:jc w:val="both"/>
              <w:textAlignment w:val="auto"/>
              <w:rPr>
                <w:rFonts w:hint="eastAsia"/>
                <w:b/>
                <w:color w:val="auto"/>
                <w:sz w:val="24"/>
                <w:lang w:val="en-US" w:eastAsia="en-US"/>
              </w:rPr>
            </w:pPr>
            <w:r>
              <w:rPr>
                <w:rFonts w:hint="eastAsia"/>
                <w:b/>
                <w:color w:val="auto"/>
                <w:sz w:val="24"/>
                <w:lang w:val="en-US" w:eastAsia="en-US"/>
              </w:rPr>
              <w:t>与《</w:t>
            </w:r>
            <w:bookmarkStart w:id="3" w:name="OLE_LINK2"/>
            <w:r>
              <w:rPr>
                <w:rFonts w:hint="eastAsia"/>
                <w:b/>
                <w:color w:val="auto"/>
                <w:sz w:val="24"/>
                <w:lang w:val="en-US" w:eastAsia="en-US"/>
              </w:rPr>
              <w:t>新疆维吾尔自治区</w:t>
            </w:r>
            <w:bookmarkEnd w:id="3"/>
            <w:r>
              <w:rPr>
                <w:rFonts w:hint="eastAsia"/>
                <w:b/>
                <w:color w:val="auto"/>
                <w:sz w:val="24"/>
                <w:lang w:val="en-US" w:eastAsia="en-US"/>
              </w:rPr>
              <w:t>矿产资源总体规划》（2021-2025）符合性分析</w:t>
            </w:r>
          </w:p>
          <w:p w14:paraId="16C8DA8A">
            <w:pPr>
              <w:pStyle w:val="111"/>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color w:val="auto"/>
                <w:lang w:val="en-US" w:eastAsia="en-US"/>
              </w:rPr>
            </w:pPr>
            <w:r>
              <w:rPr>
                <w:rFonts w:hint="eastAsia"/>
                <w:color w:val="auto"/>
                <w:lang w:val="en-US" w:eastAsia="en-US"/>
              </w:rPr>
              <w:t>《规划》依据新疆维吾尔自治区矿产资源分布特点及勘查开发利用现状，按照“深化北疆东疆，加快南疆勘查开发”的总体思路，划分为环准噶尔、环塔里木、阿尔泰、东准噶尔、西准噶尔、东天山、西天山、西南天山、西昆仑、东昆仑－阿尔金十个勘查开发区，将</w:t>
            </w:r>
            <w:bookmarkStart w:id="4" w:name="OLE_LINK3"/>
            <w:r>
              <w:rPr>
                <w:rFonts w:hint="eastAsia"/>
                <w:color w:val="auto"/>
                <w:lang w:val="en-US" w:eastAsia="en-US"/>
              </w:rPr>
              <w:t>石油、天然气</w:t>
            </w:r>
            <w:bookmarkEnd w:id="4"/>
            <w:r>
              <w:rPr>
                <w:rFonts w:hint="eastAsia"/>
                <w:color w:val="auto"/>
                <w:lang w:val="en-US" w:eastAsia="en-US"/>
              </w:rPr>
              <w:t>列为重点勘查开采矿种。其中，环准噶尔能源资源勘查开发区主要包括阿勒泰地区南部、昌吉回族自治州、塔城地区东部山前及沙漠腹地。</w:t>
            </w:r>
          </w:p>
          <w:p w14:paraId="5B986443">
            <w:pPr>
              <w:pStyle w:val="111"/>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color w:val="auto"/>
                <w:lang w:val="en-US" w:eastAsia="en-US"/>
              </w:rPr>
            </w:pPr>
            <w:r>
              <w:rPr>
                <w:rFonts w:hint="eastAsia"/>
                <w:color w:val="auto"/>
                <w:lang w:val="en-US" w:eastAsia="en-US"/>
              </w:rPr>
              <w:t>本项目位于</w:t>
            </w:r>
            <w:r>
              <w:rPr>
                <w:rFonts w:hint="eastAsia"/>
                <w:color w:val="auto"/>
                <w:lang w:val="en-US" w:eastAsia="zh-CN"/>
              </w:rPr>
              <w:t>昌吉回族自治州玛纳斯县，属于环</w:t>
            </w:r>
            <w:r>
              <w:rPr>
                <w:rFonts w:hint="eastAsia"/>
                <w:color w:val="auto"/>
                <w:lang w:val="en-US" w:eastAsia="en-US"/>
              </w:rPr>
              <w:t>准噶尔能源矿产勘查开发区</w:t>
            </w:r>
            <w:r>
              <w:rPr>
                <w:rFonts w:hint="eastAsia"/>
                <w:color w:val="auto"/>
                <w:lang w:val="en-US" w:eastAsia="zh-CN"/>
              </w:rPr>
              <w:t>、</w:t>
            </w:r>
            <w:r>
              <w:rPr>
                <w:rFonts w:hint="eastAsia"/>
                <w:color w:val="auto"/>
                <w:lang w:val="en-US" w:eastAsia="en-US"/>
              </w:rPr>
              <w:t>陆地石油、天然气勘查</w:t>
            </w:r>
            <w:r>
              <w:rPr>
                <w:rFonts w:hint="eastAsia"/>
                <w:color w:val="auto"/>
                <w:lang w:val="en-US" w:eastAsia="zh-CN"/>
              </w:rPr>
              <w:t>行业</w:t>
            </w:r>
            <w:r>
              <w:rPr>
                <w:rFonts w:hint="eastAsia"/>
                <w:color w:val="auto"/>
                <w:lang w:val="en-US" w:eastAsia="en-US"/>
              </w:rPr>
              <w:t>，</w:t>
            </w:r>
            <w:r>
              <w:rPr>
                <w:rFonts w:hint="eastAsia"/>
                <w:color w:val="auto"/>
                <w:lang w:val="en-US" w:eastAsia="zh-CN"/>
              </w:rPr>
              <w:t>项目部署1口勘探井，目的是获取地层油气藏参数，为后期油气开发提供基础数据，因此本项目建设</w:t>
            </w:r>
            <w:r>
              <w:rPr>
                <w:rFonts w:hint="eastAsia"/>
                <w:color w:val="auto"/>
                <w:lang w:val="en-US" w:eastAsia="en-US"/>
              </w:rPr>
              <w:t>符合规划要求。</w:t>
            </w:r>
          </w:p>
          <w:p w14:paraId="1B5656C9">
            <w:pPr>
              <w:pStyle w:val="110"/>
              <w:keepNext w:val="0"/>
              <w:keepLines w:val="0"/>
              <w:pageBreakBefore w:val="0"/>
              <w:widowControl w:val="0"/>
              <w:kinsoku/>
              <w:wordWrap/>
              <w:overflowPunct/>
              <w:topLinePunct w:val="0"/>
              <w:bidi w:val="0"/>
              <w:snapToGrid w:val="0"/>
              <w:spacing w:before="0" w:after="0" w:line="500" w:lineRule="exact"/>
              <w:ind w:firstLine="482" w:firstLineChars="200"/>
              <w:jc w:val="both"/>
              <w:textAlignment w:val="auto"/>
              <w:rPr>
                <w:rFonts w:hint="eastAsia"/>
                <w:color w:val="auto"/>
                <w:lang w:val="en-US" w:eastAsia="en-US"/>
              </w:rPr>
            </w:pPr>
            <w:r>
              <w:rPr>
                <w:rFonts w:hint="eastAsia"/>
                <w:color w:val="auto"/>
                <w:lang w:val="en-US" w:eastAsia="en-US"/>
              </w:rPr>
              <w:t>与《新疆维</w:t>
            </w:r>
            <w:bookmarkStart w:id="5" w:name="OLE_LINK4"/>
            <w:r>
              <w:rPr>
                <w:rFonts w:hint="eastAsia"/>
                <w:color w:val="auto"/>
                <w:lang w:val="en-US" w:eastAsia="en-US"/>
              </w:rPr>
              <w:t>吾尔自治区矿产资源总体规</w:t>
            </w:r>
            <w:bookmarkEnd w:id="5"/>
            <w:r>
              <w:rPr>
                <w:rFonts w:hint="eastAsia"/>
                <w:color w:val="auto"/>
                <w:lang w:val="en-US" w:eastAsia="en-US"/>
              </w:rPr>
              <w:t>划（2021</w:t>
            </w:r>
            <w:r>
              <w:rPr>
                <w:rFonts w:hint="eastAsia"/>
                <w:color w:val="auto"/>
                <w:lang w:val="en-US" w:eastAsia="zh-CN"/>
              </w:rPr>
              <w:t>—</w:t>
            </w:r>
            <w:r>
              <w:rPr>
                <w:rFonts w:hint="eastAsia"/>
                <w:color w:val="auto"/>
                <w:lang w:val="en-US" w:eastAsia="en-US"/>
              </w:rPr>
              <w:t>2025年）环境影响报告书》符合性分析</w:t>
            </w:r>
          </w:p>
          <w:p w14:paraId="6AE228C1">
            <w:pPr>
              <w:pStyle w:val="111"/>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kern w:val="2"/>
                <w:sz w:val="24"/>
                <w:szCs w:val="24"/>
                <w:lang w:val="en-US" w:eastAsia="en-US" w:bidi="ar-SA"/>
              </w:rPr>
              <w:t>规划环评提出</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en-US" w:bidi="ar-SA"/>
              </w:rPr>
              <w:t>合理控制矿产资源开发规模与强度，优先避让生态敏感区（如自然保护区、水源地等），不得占用禁止开发区域。实施污染物达标排放，落实“三同时”制度（污染防治设施与主体工程同时设计、施工、投产）。加强废水、固废、废气治理，推广清洁生产技术。对开发活动造成的生态破坏采取有效恢复措施，减少土地沙化与水土流失。</w:t>
            </w:r>
          </w:p>
          <w:p w14:paraId="57863AA1">
            <w:pPr>
              <w:keepNext w:val="0"/>
              <w:keepLines w:val="0"/>
              <w:pageBreakBefore w:val="0"/>
              <w:widowControl w:val="0"/>
              <w:kinsoku/>
              <w:wordWrap/>
              <w:overflowPunct/>
              <w:topLinePunct w:val="0"/>
              <w:bidi w:val="0"/>
              <w:adjustRightInd w:val="0"/>
              <w:snapToGrid w:val="0"/>
              <w:spacing w:line="500" w:lineRule="exact"/>
              <w:ind w:firstLine="480" w:firstLineChars="200"/>
              <w:jc w:val="both"/>
              <w:textAlignment w:val="auto"/>
              <w:rPr>
                <w:rFonts w:hint="eastAsia" w:ascii="Times New Roman" w:hAnsi="Times New Roman" w:eastAsia="宋体" w:cs="Times New Roman"/>
                <w:color w:val="auto"/>
                <w:lang w:val="en-US" w:eastAsia="zh-CN"/>
              </w:rPr>
            </w:pPr>
            <w:r>
              <w:rPr>
                <w:rFonts w:hint="eastAsia" w:ascii="宋体" w:hAnsi="宋体" w:cs="宋体"/>
                <w:color w:val="auto"/>
                <w:kern w:val="2"/>
                <w:sz w:val="24"/>
                <w:szCs w:val="24"/>
                <w:lang w:val="en-US" w:eastAsia="zh-CN" w:bidi="ar-SA"/>
              </w:rPr>
              <w:t>本</w:t>
            </w:r>
            <w:r>
              <w:rPr>
                <w:rFonts w:hint="eastAsia" w:ascii="宋体" w:hAnsi="宋体" w:eastAsia="宋体" w:cs="宋体"/>
                <w:color w:val="auto"/>
                <w:kern w:val="2"/>
                <w:sz w:val="24"/>
                <w:szCs w:val="24"/>
                <w:lang w:val="en-US" w:eastAsia="en-US" w:bidi="ar-SA"/>
              </w:rPr>
              <w:t>项目占地范围内不涉及自然保护区、饮用水源保护区、风景名胜区、森林公园及其他需要特别保护的环境敏感区</w:t>
            </w:r>
            <w:r>
              <w:rPr>
                <w:rFonts w:hint="eastAsia" w:ascii="宋体" w:hAnsi="宋体" w:cs="宋体"/>
                <w:color w:val="auto"/>
                <w:kern w:val="2"/>
                <w:sz w:val="24"/>
                <w:szCs w:val="24"/>
                <w:lang w:val="en-US" w:eastAsia="zh-CN" w:bidi="ar-SA"/>
              </w:rPr>
              <w:t>和禁止开发区域</w:t>
            </w:r>
            <w:r>
              <w:rPr>
                <w:rFonts w:hint="eastAsia" w:ascii="宋体" w:hAnsi="宋体" w:eastAsia="宋体" w:cs="宋体"/>
                <w:color w:val="auto"/>
                <w:kern w:val="2"/>
                <w:sz w:val="24"/>
                <w:szCs w:val="24"/>
                <w:lang w:val="en-US" w:eastAsia="en-US" w:bidi="ar-SA"/>
              </w:rPr>
              <w:t>；</w:t>
            </w:r>
            <w:r>
              <w:rPr>
                <w:rFonts w:hint="eastAsia" w:ascii="宋体" w:hAnsi="宋体" w:cs="宋体"/>
                <w:color w:val="auto"/>
                <w:kern w:val="2"/>
                <w:sz w:val="24"/>
                <w:szCs w:val="24"/>
                <w:lang w:val="en-US" w:eastAsia="zh-CN" w:bidi="ar-SA"/>
              </w:rPr>
              <w:t>本次环评对项目</w:t>
            </w:r>
            <w:r>
              <w:rPr>
                <w:rFonts w:hint="eastAsia" w:ascii="宋体" w:hAnsi="宋体" w:eastAsia="宋体" w:cs="宋体"/>
                <w:color w:val="auto"/>
                <w:kern w:val="2"/>
                <w:sz w:val="24"/>
                <w:szCs w:val="24"/>
                <w:lang w:val="en-US" w:eastAsia="en-US" w:bidi="ar-SA"/>
              </w:rPr>
              <w:t>“三废”、噪声及生态影响均提出了相应的治理或减缓措施，</w:t>
            </w:r>
            <w:r>
              <w:rPr>
                <w:rFonts w:hint="eastAsia" w:ascii="宋体" w:hAnsi="宋体" w:cs="宋体"/>
                <w:color w:val="auto"/>
                <w:kern w:val="2"/>
                <w:sz w:val="24"/>
                <w:szCs w:val="24"/>
                <w:lang w:val="en-US" w:eastAsia="zh-CN" w:bidi="ar-SA"/>
              </w:rPr>
              <w:t>采取措施后污染物可达标排放或得到妥善处置</w:t>
            </w:r>
            <w:r>
              <w:rPr>
                <w:rFonts w:hint="eastAsia" w:ascii="宋体" w:hAnsi="宋体" w:eastAsia="宋体" w:cs="宋体"/>
                <w:color w:val="auto"/>
                <w:kern w:val="2"/>
                <w:sz w:val="24"/>
                <w:szCs w:val="24"/>
                <w:lang w:val="en-US" w:eastAsia="en-US" w:bidi="ar-SA"/>
              </w:rPr>
              <w:t>。符合规划环评相关要求。</w:t>
            </w:r>
          </w:p>
        </w:tc>
      </w:tr>
      <w:tr w14:paraId="4DC7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563" w:type="dxa"/>
            <w:vAlign w:val="center"/>
          </w:tcPr>
          <w:p w14:paraId="65437255">
            <w:pPr>
              <w:autoSpaceDE w:val="0"/>
              <w:autoSpaceDN w:val="0"/>
              <w:adjustRightInd w:val="0"/>
              <w:snapToGrid w:val="0"/>
              <w:spacing w:line="300" w:lineRule="exact"/>
              <w:jc w:val="center"/>
              <w:rPr>
                <w:rFonts w:hint="default" w:ascii="Times New Roman" w:hAnsi="Times New Roman" w:cs="Times New Roman"/>
                <w:color w:val="auto"/>
                <w:kern w:val="0"/>
              </w:rPr>
            </w:pPr>
            <w:bookmarkStart w:id="6" w:name="_Hlk56690880"/>
            <w:r>
              <w:rPr>
                <w:rFonts w:hint="default" w:ascii="Times New Roman" w:hAnsi="Times New Roman" w:cs="Times New Roman"/>
                <w:color w:val="auto"/>
              </w:rPr>
              <w:t>其他符合性分析</w:t>
            </w:r>
            <w:bookmarkEnd w:id="6"/>
          </w:p>
        </w:tc>
        <w:tc>
          <w:tcPr>
            <w:tcW w:w="7959" w:type="dxa"/>
            <w:gridSpan w:val="4"/>
            <w:vAlign w:val="center"/>
          </w:tcPr>
          <w:p w14:paraId="649E1080">
            <w:pPr>
              <w:pStyle w:val="110"/>
              <w:keepNext w:val="0"/>
              <w:keepLines w:val="0"/>
              <w:pageBreakBefore w:val="0"/>
              <w:numPr>
                <w:ilvl w:val="0"/>
                <w:numId w:val="0"/>
              </w:numPr>
              <w:kinsoku/>
              <w:wordWrap/>
              <w:overflowPunct/>
              <w:topLinePunct w:val="0"/>
              <w:bidi w:val="0"/>
              <w:snapToGrid w:val="0"/>
              <w:spacing w:before="0" w:after="0" w:line="500" w:lineRule="exact"/>
              <w:ind w:left="0" w:leftChars="0" w:firstLine="482" w:firstLineChars="200"/>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color w:val="auto"/>
                <w:kern w:val="2"/>
                <w:sz w:val="24"/>
                <w:szCs w:val="24"/>
                <w:lang w:val="en-US" w:eastAsia="zh-CN" w:bidi="ar-SA"/>
              </w:rPr>
              <w:t>1.</w:t>
            </w:r>
            <w:r>
              <w:rPr>
                <w:rFonts w:hint="default" w:ascii="Times New Roman" w:hAnsi="Times New Roman" w:cs="Times New Roman"/>
                <w:color w:val="auto"/>
                <w:lang w:val="en-US" w:eastAsia="zh-CN"/>
              </w:rPr>
              <w:t>产业政策</w:t>
            </w:r>
          </w:p>
          <w:p w14:paraId="55DBA324">
            <w:pPr>
              <w:pStyle w:val="111"/>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本项目</w:t>
            </w:r>
            <w:r>
              <w:rPr>
                <w:rFonts w:hint="eastAsia" w:cs="Times New Roman"/>
                <w:color w:val="auto"/>
                <w:lang w:eastAsia="zh-CN"/>
              </w:rPr>
              <w:t>在</w:t>
            </w:r>
            <w:r>
              <w:rPr>
                <w:rFonts w:hint="eastAsia"/>
                <w:color w:val="auto"/>
                <w:lang w:val="en-US" w:eastAsia="zh-CN"/>
              </w:rPr>
              <w:t>环</w:t>
            </w:r>
            <w:r>
              <w:rPr>
                <w:rFonts w:hint="eastAsia"/>
                <w:color w:val="auto"/>
                <w:lang w:val="en-US" w:eastAsia="en-US"/>
              </w:rPr>
              <w:t>准噶尔能源矿产勘查开发</w:t>
            </w:r>
            <w:r>
              <w:rPr>
                <w:rFonts w:hint="eastAsia"/>
                <w:color w:val="auto"/>
                <w:lang w:val="en-US" w:eastAsia="zh-CN"/>
              </w:rPr>
              <w:t>区范围内部署1口勘探井，目的是获取地层油气藏参数，为后期油气开发提供基础数据，</w:t>
            </w:r>
            <w:r>
              <w:rPr>
                <w:rFonts w:hint="default" w:ascii="Times New Roman" w:hAnsi="Times New Roman" w:cs="Times New Roman"/>
                <w:color w:val="auto"/>
              </w:rPr>
              <w:t>属于</w:t>
            </w:r>
            <w:bookmarkStart w:id="7" w:name="OLE_LINK69"/>
            <w:r>
              <w:rPr>
                <w:rFonts w:hint="default" w:ascii="Times New Roman" w:hAnsi="Times New Roman" w:cs="Times New Roman"/>
                <w:color w:val="auto"/>
              </w:rPr>
              <w:t>《产业结构调整指导目录（2024年本）》</w:t>
            </w:r>
            <w:bookmarkEnd w:id="7"/>
            <w:r>
              <w:rPr>
                <w:rFonts w:hint="default" w:ascii="Times New Roman" w:hAnsi="Times New Roman" w:cs="Times New Roman"/>
                <w:color w:val="auto"/>
              </w:rPr>
              <w:t>中的鼓励类——七、石油天然气——1、常规石油、天然气勘探与开采，页岩气、页岩油、致密油（气）、油砂、天然气水合物等非常规资源勘探开发，符合国家产业政策。</w:t>
            </w:r>
          </w:p>
          <w:p w14:paraId="3626E152">
            <w:pPr>
              <w:pStyle w:val="110"/>
              <w:keepNext w:val="0"/>
              <w:keepLines w:val="0"/>
              <w:pageBreakBefore w:val="0"/>
              <w:widowControl w:val="0"/>
              <w:numPr>
                <w:ilvl w:val="0"/>
                <w:numId w:val="0"/>
              </w:numPr>
              <w:kinsoku/>
              <w:wordWrap/>
              <w:overflowPunct/>
              <w:topLinePunct w:val="0"/>
              <w:autoSpaceDE/>
              <w:autoSpaceDN/>
              <w:bidi w:val="0"/>
              <w:adjustRightInd/>
              <w:snapToGrid w:val="0"/>
              <w:spacing w:before="0" w:after="0" w:line="500" w:lineRule="exact"/>
              <w:ind w:left="0" w:leftChars="0" w:firstLine="482" w:firstLineChars="200"/>
              <w:textAlignment w:val="auto"/>
              <w:rPr>
                <w:rFonts w:hint="default" w:ascii="Times New Roman" w:hAnsi="Times New Roman" w:cs="Times New Roman"/>
                <w:color w:val="auto"/>
              </w:rPr>
            </w:pPr>
            <w:r>
              <w:rPr>
                <w:rFonts w:hint="default" w:ascii="Times New Roman" w:hAnsi="Times New Roman" w:eastAsia="宋体" w:cs="Times New Roman"/>
                <w:b/>
                <w:color w:val="auto"/>
                <w:kern w:val="2"/>
                <w:sz w:val="24"/>
                <w:szCs w:val="24"/>
                <w:lang w:val="en-US" w:eastAsia="zh-CN" w:bidi="ar-SA"/>
              </w:rPr>
              <w:t>2.</w:t>
            </w:r>
            <w:r>
              <w:rPr>
                <w:rFonts w:hint="default" w:ascii="Times New Roman" w:hAnsi="Times New Roman" w:cs="Times New Roman"/>
                <w:color w:val="auto"/>
              </w:rPr>
              <w:t>“三线一单”符合性分析</w:t>
            </w:r>
          </w:p>
          <w:p w14:paraId="37389472">
            <w:pPr>
              <w:pStyle w:val="112"/>
              <w:keepNext w:val="0"/>
              <w:keepLines w:val="0"/>
              <w:pageBreakBefore w:val="0"/>
              <w:numPr>
                <w:ilvl w:val="1"/>
                <w:numId w:val="0"/>
              </w:numPr>
              <w:kinsoku/>
              <w:wordWrap/>
              <w:overflowPunct/>
              <w:topLinePunct w:val="0"/>
              <w:bidi w:val="0"/>
              <w:snapToGrid w:val="0"/>
              <w:spacing w:line="500" w:lineRule="exact"/>
              <w:ind w:left="0" w:leftChars="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（1）</w:t>
            </w:r>
            <w:r>
              <w:rPr>
                <w:rFonts w:hint="default" w:ascii="Times New Roman" w:hAnsi="Times New Roman" w:cs="Times New Roman"/>
                <w:color w:val="auto"/>
              </w:rPr>
              <w:t>生态保护红线</w:t>
            </w:r>
          </w:p>
          <w:p w14:paraId="53FF5939">
            <w:pPr>
              <w:pStyle w:val="111"/>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本项目所在区不属于自然保护区、风景名胜区、居民居住区、学校等环境敏感区，</w:t>
            </w:r>
            <w:r>
              <w:rPr>
                <w:rFonts w:hint="default" w:ascii="Times New Roman" w:hAnsi="Times New Roman" w:cs="Times New Roman"/>
                <w:color w:val="auto"/>
                <w:lang w:val="en-US" w:eastAsia="zh-CN"/>
              </w:rPr>
              <w:t>不占用</w:t>
            </w:r>
            <w:r>
              <w:rPr>
                <w:rFonts w:hint="default" w:ascii="Times New Roman" w:hAnsi="Times New Roman" w:cs="Times New Roman"/>
                <w:color w:val="auto"/>
              </w:rPr>
              <w:t>生态保护红线，</w:t>
            </w:r>
            <w:r>
              <w:rPr>
                <w:rFonts w:hint="default" w:ascii="Times New Roman" w:hAnsi="Times New Roman" w:cs="Times New Roman"/>
                <w:color w:val="auto"/>
                <w:lang w:val="en-US" w:eastAsia="zh-CN"/>
              </w:rPr>
              <w:t>且距离生态保护红线距离较远，不会对生态保护红线产生影响。项目与生态保护红线相对位置关系见</w:t>
            </w:r>
            <w:r>
              <w:rPr>
                <w:rFonts w:hint="default" w:ascii="Times New Roman" w:hAnsi="Times New Roman" w:cs="Times New Roman"/>
                <w:b/>
                <w:bCs/>
                <w:color w:val="auto"/>
                <w:lang w:val="en-US" w:eastAsia="zh-CN"/>
              </w:rPr>
              <w:t>附图1</w:t>
            </w:r>
            <w:r>
              <w:rPr>
                <w:rFonts w:hint="default" w:ascii="Times New Roman" w:hAnsi="Times New Roman" w:cs="Times New Roman"/>
                <w:color w:val="auto"/>
                <w:lang w:val="en-US" w:eastAsia="zh-CN"/>
              </w:rPr>
              <w:t>。</w:t>
            </w:r>
          </w:p>
          <w:p w14:paraId="0009FFFE">
            <w:pPr>
              <w:pStyle w:val="112"/>
              <w:keepNext w:val="0"/>
              <w:keepLines w:val="0"/>
              <w:pageBreakBefore w:val="0"/>
              <w:numPr>
                <w:ilvl w:val="1"/>
                <w:numId w:val="0"/>
              </w:numPr>
              <w:kinsoku/>
              <w:wordWrap/>
              <w:overflowPunct/>
              <w:topLinePunct w:val="0"/>
              <w:bidi w:val="0"/>
              <w:snapToGrid w:val="0"/>
              <w:spacing w:line="500" w:lineRule="exact"/>
              <w:ind w:left="0" w:leftChars="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（2）</w:t>
            </w:r>
            <w:r>
              <w:rPr>
                <w:rFonts w:hint="default" w:ascii="Times New Roman" w:hAnsi="Times New Roman" w:cs="Times New Roman"/>
                <w:color w:val="auto"/>
              </w:rPr>
              <w:t>环境质量底线</w:t>
            </w:r>
          </w:p>
          <w:p w14:paraId="3EABD2E7">
            <w:pPr>
              <w:pStyle w:val="111"/>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本项目为陆地矿产资源地质勘查</w:t>
            </w:r>
            <w:r>
              <w:rPr>
                <w:rFonts w:hint="default" w:ascii="Times New Roman" w:hAnsi="Times New Roman" w:cs="Times New Roman"/>
                <w:color w:val="auto"/>
                <w:lang w:val="en-US" w:eastAsia="zh-CN"/>
              </w:rPr>
              <w:t>-油气资源</w:t>
            </w:r>
            <w:r>
              <w:rPr>
                <w:rFonts w:hint="default" w:ascii="Times New Roman" w:hAnsi="Times New Roman" w:cs="Times New Roman"/>
                <w:color w:val="auto"/>
              </w:rPr>
              <w:t>勘探项目，无运营期；钻试期产生的污染影响随施工结束而停止，对区域环境质量影响小，不会突破区域环境质量底线。</w:t>
            </w:r>
          </w:p>
          <w:p w14:paraId="71CBA47F">
            <w:pPr>
              <w:pStyle w:val="112"/>
              <w:keepNext w:val="0"/>
              <w:keepLines w:val="0"/>
              <w:pageBreakBefore w:val="0"/>
              <w:numPr>
                <w:ilvl w:val="1"/>
                <w:numId w:val="0"/>
              </w:numPr>
              <w:kinsoku/>
              <w:wordWrap/>
              <w:overflowPunct/>
              <w:topLinePunct w:val="0"/>
              <w:bidi w:val="0"/>
              <w:snapToGrid w:val="0"/>
              <w:spacing w:line="500" w:lineRule="exact"/>
              <w:ind w:left="0" w:leftChars="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（3）</w:t>
            </w:r>
            <w:r>
              <w:rPr>
                <w:rFonts w:hint="default" w:ascii="Times New Roman" w:hAnsi="Times New Roman" w:cs="Times New Roman"/>
                <w:color w:val="auto"/>
              </w:rPr>
              <w:t>资源利用上线</w:t>
            </w:r>
          </w:p>
          <w:p w14:paraId="4E52CE6F">
            <w:pPr>
              <w:pStyle w:val="111"/>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本</w:t>
            </w:r>
            <w:r>
              <w:rPr>
                <w:rFonts w:hint="default" w:ascii="Times New Roman" w:hAnsi="Times New Roman" w:cs="Times New Roman"/>
                <w:color w:val="auto"/>
              </w:rPr>
              <w:t>项目</w:t>
            </w:r>
            <w:r>
              <w:rPr>
                <w:rFonts w:hint="default" w:ascii="Times New Roman" w:hAnsi="Times New Roman" w:cs="Times New Roman"/>
                <w:color w:val="auto"/>
                <w:lang w:val="en-US" w:eastAsia="zh-CN"/>
              </w:rPr>
              <w:t>为临时占地，不会永久占用土地资源；</w:t>
            </w:r>
            <w:r>
              <w:rPr>
                <w:rFonts w:hint="default" w:ascii="Times New Roman" w:hAnsi="Times New Roman" w:cs="Times New Roman"/>
                <w:color w:val="auto"/>
              </w:rPr>
              <w:t>项目建设过程中会消耗一定量的柴油及新鲜水，消耗量总体相对区域资源利用总量</w:t>
            </w:r>
            <w:r>
              <w:rPr>
                <w:rFonts w:hint="default" w:ascii="Times New Roman" w:hAnsi="Times New Roman" w:cs="Times New Roman"/>
                <w:color w:val="auto"/>
                <w:lang w:val="en-US" w:eastAsia="zh-CN"/>
              </w:rPr>
              <w:t>很少</w:t>
            </w:r>
            <w:r>
              <w:rPr>
                <w:rFonts w:hint="default" w:ascii="Times New Roman" w:hAnsi="Times New Roman" w:cs="Times New Roman"/>
                <w:color w:val="auto"/>
                <w:lang w:eastAsia="zh-CN"/>
              </w:rPr>
              <w:t>，</w:t>
            </w:r>
            <w:r>
              <w:rPr>
                <w:rFonts w:hint="default" w:ascii="Times New Roman" w:hAnsi="Times New Roman" w:cs="Times New Roman"/>
                <w:color w:val="auto"/>
              </w:rPr>
              <w:t>在区域可承受范围内，不会突破区域资源利用上线</w:t>
            </w:r>
            <w:r>
              <w:rPr>
                <w:rFonts w:hint="default" w:ascii="Times New Roman" w:hAnsi="Times New Roman" w:cs="Times New Roman"/>
                <w:color w:val="auto"/>
                <w:lang w:eastAsia="zh-CN"/>
              </w:rPr>
              <w:t>，</w:t>
            </w:r>
            <w:r>
              <w:rPr>
                <w:rFonts w:hint="default" w:ascii="Times New Roman" w:hAnsi="Times New Roman" w:cs="Times New Roman"/>
                <w:color w:val="auto"/>
              </w:rPr>
              <w:t>符合区域资源利用要求。</w:t>
            </w:r>
          </w:p>
          <w:p w14:paraId="66844008">
            <w:pPr>
              <w:pStyle w:val="112"/>
              <w:keepNext w:val="0"/>
              <w:keepLines w:val="0"/>
              <w:pageBreakBefore w:val="0"/>
              <w:numPr>
                <w:ilvl w:val="1"/>
                <w:numId w:val="0"/>
              </w:numPr>
              <w:kinsoku/>
              <w:wordWrap/>
              <w:overflowPunct/>
              <w:topLinePunct w:val="0"/>
              <w:bidi w:val="0"/>
              <w:snapToGrid w:val="0"/>
              <w:spacing w:line="500" w:lineRule="exact"/>
              <w:ind w:left="0" w:leftChars="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（4）</w:t>
            </w:r>
            <w:r>
              <w:rPr>
                <w:rFonts w:hint="default" w:ascii="Times New Roman" w:hAnsi="Times New Roman" w:cs="Times New Roman"/>
                <w:color w:val="auto"/>
              </w:rPr>
              <w:t>生态环境准入清单</w:t>
            </w:r>
          </w:p>
          <w:p w14:paraId="341A4BF8">
            <w:pPr>
              <w:pStyle w:val="113"/>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①</w:t>
            </w:r>
            <w:r>
              <w:rPr>
                <w:rFonts w:hint="default" w:ascii="Times New Roman" w:hAnsi="Times New Roman" w:cs="Times New Roman"/>
                <w:color w:val="auto"/>
                <w:lang w:val="en-US" w:eastAsia="zh-CN"/>
              </w:rPr>
              <w:t>本项目所在区域属于《新疆维吾尔自治区七大片区“三线一单”生态环境分区管控要求》（2021年版）中的</w:t>
            </w:r>
            <w:r>
              <w:rPr>
                <w:rFonts w:hint="eastAsia" w:ascii="Times New Roman" w:cs="Times New Roman"/>
                <w:color w:val="auto"/>
                <w:lang w:val="en-US" w:eastAsia="zh-CN"/>
              </w:rPr>
              <w:t>乌昌石片区</w:t>
            </w:r>
            <w:r>
              <w:rPr>
                <w:rFonts w:hint="default" w:ascii="Times New Roman" w:hAnsi="Times New Roman" w:cs="Times New Roman"/>
                <w:color w:val="auto"/>
                <w:lang w:val="en-US" w:eastAsia="zh-CN"/>
              </w:rPr>
              <w:t>。</w:t>
            </w:r>
            <w:r>
              <w:rPr>
                <w:rFonts w:hint="eastAsia" w:ascii="Times New Roman" w:cs="Times New Roman"/>
                <w:color w:val="auto"/>
                <w:lang w:val="en-US" w:eastAsia="zh-CN"/>
              </w:rPr>
              <w:t>本项目为油气资源勘探项目，项目无运营期，仅在</w:t>
            </w:r>
            <w:r>
              <w:rPr>
                <w:rFonts w:hint="default" w:ascii="Times New Roman" w:hAnsi="Times New Roman" w:cs="Times New Roman"/>
                <w:color w:val="auto"/>
                <w:lang w:val="en-US" w:eastAsia="zh-CN"/>
              </w:rPr>
              <w:t>项目</w:t>
            </w:r>
            <w:r>
              <w:rPr>
                <w:rFonts w:hint="eastAsia" w:ascii="Times New Roman" w:cs="Times New Roman"/>
                <w:color w:val="auto"/>
                <w:lang w:val="en-US" w:eastAsia="zh-CN"/>
              </w:rPr>
              <w:t>施工阶段产生少量</w:t>
            </w:r>
            <w:r>
              <w:rPr>
                <w:rFonts w:hint="default" w:ascii="Times New Roman" w:hAnsi="Times New Roman" w:cs="Times New Roman"/>
                <w:color w:val="auto"/>
                <w:lang w:val="en-US" w:eastAsia="zh-CN"/>
              </w:rPr>
              <w:t>污染物，</w:t>
            </w:r>
            <w:r>
              <w:rPr>
                <w:rFonts w:hint="eastAsia" w:ascii="Times New Roman" w:cs="Times New Roman"/>
                <w:color w:val="auto"/>
                <w:lang w:val="en-US" w:eastAsia="zh-CN"/>
              </w:rPr>
              <w:t>施工阶段采取先进的钻试工艺，</w:t>
            </w:r>
            <w:r>
              <w:rPr>
                <w:rFonts w:hint="default" w:ascii="Times New Roman" w:hAnsi="Times New Roman" w:cs="Times New Roman"/>
                <w:color w:val="auto"/>
                <w:lang w:val="en-US" w:eastAsia="zh-CN"/>
              </w:rPr>
              <w:t>环境风险较小，资源消耗量少，</w:t>
            </w:r>
            <w:r>
              <w:rPr>
                <w:rFonts w:hint="eastAsia" w:ascii="Times New Roman" w:cs="Times New Roman"/>
                <w:color w:val="auto"/>
                <w:lang w:val="en-US" w:eastAsia="zh-CN"/>
              </w:rPr>
              <w:t>施工阶段及施工结束时均对临时占地范围采取相应生态保护和恢复治理，</w:t>
            </w:r>
            <w:r>
              <w:rPr>
                <w:rFonts w:hint="default" w:ascii="Times New Roman" w:hAnsi="Times New Roman" w:cs="Times New Roman"/>
                <w:color w:val="auto"/>
                <w:lang w:val="en-US" w:eastAsia="zh-CN"/>
              </w:rPr>
              <w:t>符合自治区总体管控及</w:t>
            </w:r>
            <w:r>
              <w:rPr>
                <w:rFonts w:hint="eastAsia" w:ascii="Times New Roman" w:cs="Times New Roman"/>
                <w:color w:val="auto"/>
                <w:lang w:val="en-US" w:eastAsia="zh-CN"/>
              </w:rPr>
              <w:t>乌昌石片</w:t>
            </w:r>
            <w:r>
              <w:rPr>
                <w:rFonts w:hint="default" w:ascii="Times New Roman" w:hAnsi="Times New Roman" w:cs="Times New Roman"/>
                <w:color w:val="auto"/>
                <w:lang w:val="en-US" w:eastAsia="zh-CN"/>
              </w:rPr>
              <w:t>区生态环境分区管控要求。</w:t>
            </w:r>
          </w:p>
          <w:p w14:paraId="0430EB7D">
            <w:pPr>
              <w:pStyle w:val="113"/>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②</w:t>
            </w:r>
            <w:r>
              <w:rPr>
                <w:rFonts w:hint="eastAsia" w:ascii="Times New Roman" w:cs="Times New Roman"/>
                <w:color w:val="auto"/>
                <w:lang w:val="en-US" w:eastAsia="zh-CN"/>
              </w:rPr>
              <w:t>纳东1</w:t>
            </w:r>
            <w:r>
              <w:rPr>
                <w:rFonts w:hint="default" w:ascii="Times New Roman" w:hAnsi="Times New Roman" w:cs="Times New Roman"/>
                <w:color w:val="auto"/>
                <w:lang w:eastAsia="zh-CN"/>
              </w:rPr>
              <w:t>井</w:t>
            </w:r>
            <w:r>
              <w:rPr>
                <w:rFonts w:hint="default" w:ascii="Times New Roman" w:hAnsi="Times New Roman" w:cs="Times New Roman"/>
                <w:color w:val="auto"/>
              </w:rPr>
              <w:t>位于《</w:t>
            </w:r>
            <w:r>
              <w:rPr>
                <w:rFonts w:hint="eastAsia" w:ascii="Times New Roman" w:cs="Times New Roman"/>
                <w:color w:val="auto"/>
                <w:lang w:val="en-US" w:eastAsia="zh-CN"/>
              </w:rPr>
              <w:t>昌吉回族自治州生态环境分区管控动态更新成果</w:t>
            </w:r>
            <w:r>
              <w:rPr>
                <w:rFonts w:hint="default" w:ascii="Times New Roman" w:hAnsi="Times New Roman" w:cs="Times New Roman"/>
                <w:color w:val="auto"/>
              </w:rPr>
              <w:t>》</w:t>
            </w:r>
            <w:r>
              <w:rPr>
                <w:rFonts w:hint="default" w:ascii="Times New Roman" w:hAnsi="Times New Roman" w:cs="Times New Roman"/>
                <w:color w:val="auto"/>
                <w:lang w:val="en-US" w:eastAsia="zh-CN"/>
              </w:rPr>
              <w:t>中</w:t>
            </w:r>
            <w:r>
              <w:rPr>
                <w:rFonts w:hint="eastAsia" w:ascii="Times New Roman" w:cs="Times New Roman"/>
                <w:color w:val="auto"/>
                <w:lang w:val="en-US" w:eastAsia="zh-CN"/>
              </w:rPr>
              <w:t>玛纳斯县工业园区塔河产业区重点</w:t>
            </w:r>
            <w:r>
              <w:rPr>
                <w:rFonts w:hint="default" w:ascii="Times New Roman" w:hAnsi="Times New Roman" w:cs="Times New Roman"/>
                <w:color w:val="auto"/>
              </w:rPr>
              <w:t>管控单元，环境管控单元编码为ZH65232420003，</w:t>
            </w:r>
            <w:r>
              <w:rPr>
                <w:rFonts w:hint="default" w:ascii="Times New Roman" w:hAnsi="Times New Roman" w:cs="Times New Roman"/>
                <w:color w:val="auto"/>
                <w:lang w:val="en-US" w:eastAsia="zh-CN"/>
              </w:rPr>
              <w:t>在</w:t>
            </w:r>
            <w:r>
              <w:rPr>
                <w:rFonts w:hint="eastAsia" w:ascii="Times New Roman" w:cs="Times New Roman"/>
                <w:color w:val="auto"/>
                <w:lang w:val="en-US" w:eastAsia="zh-CN"/>
              </w:rPr>
              <w:t>昌吉回族自治州</w:t>
            </w:r>
            <w:r>
              <w:rPr>
                <w:rFonts w:hint="default" w:ascii="Times New Roman" w:hAnsi="Times New Roman" w:cs="Times New Roman"/>
                <w:color w:val="auto"/>
                <w:lang w:val="en-US" w:eastAsia="zh-CN"/>
              </w:rPr>
              <w:t>“三线一单”管控单元中位置</w:t>
            </w:r>
            <w:r>
              <w:rPr>
                <w:rFonts w:hint="default" w:ascii="Times New Roman" w:hAnsi="Times New Roman" w:cs="Times New Roman"/>
                <w:color w:val="auto"/>
              </w:rPr>
              <w:t>见</w:t>
            </w:r>
            <w:r>
              <w:rPr>
                <w:rFonts w:hint="default" w:ascii="Times New Roman" w:hAnsi="Times New Roman" w:cs="Times New Roman"/>
                <w:b/>
                <w:bCs/>
                <w:color w:val="auto"/>
              </w:rPr>
              <w:t>附图</w:t>
            </w:r>
            <w:r>
              <w:rPr>
                <w:rFonts w:hint="default" w:ascii="Times New Roman" w:hAnsi="Times New Roman" w:cs="Times New Roman"/>
                <w:b/>
                <w:bCs/>
                <w:color w:val="auto"/>
                <w:lang w:val="en-US" w:eastAsia="zh-CN"/>
              </w:rPr>
              <w:t>2</w:t>
            </w:r>
            <w:r>
              <w:rPr>
                <w:rFonts w:hint="default" w:ascii="Times New Roman" w:hAnsi="Times New Roman" w:cs="Times New Roman"/>
                <w:color w:val="auto"/>
              </w:rPr>
              <w:t>。</w:t>
            </w:r>
          </w:p>
          <w:p w14:paraId="6BBC6D95">
            <w:pPr>
              <w:pStyle w:val="113"/>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本项目所在管控单元项目环境准入符合性分析见表1-1。</w:t>
            </w:r>
          </w:p>
          <w:p w14:paraId="520A179C">
            <w:pPr>
              <w:pStyle w:val="114"/>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-1  本项目与“三线一单”分区管控要求符合性分析</w:t>
            </w:r>
          </w:p>
          <w:tbl>
            <w:tblPr>
              <w:tblStyle w:val="26"/>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51" w:type="dxa"/>
                <w:bottom w:w="0" w:type="dxa"/>
                <w:right w:w="51" w:type="dxa"/>
              </w:tblCellMar>
            </w:tblPr>
            <w:tblGrid>
              <w:gridCol w:w="472"/>
              <w:gridCol w:w="8"/>
              <w:gridCol w:w="3377"/>
              <w:gridCol w:w="3101"/>
              <w:gridCol w:w="777"/>
              <w:gridCol w:w="5"/>
            </w:tblGrid>
            <w:tr w14:paraId="239827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gridAfter w:val="1"/>
                <w:wAfter w:w="3" w:type="pct"/>
                <w:trHeight w:val="397" w:hRule="atLeast"/>
                <w:tblHeader/>
                <w:jc w:val="center"/>
              </w:trPr>
              <w:tc>
                <w:tcPr>
                  <w:tcW w:w="2491" w:type="pct"/>
                  <w:gridSpan w:val="3"/>
                  <w:tcBorders>
                    <w:tl2br w:val="nil"/>
                    <w:tr2bl w:val="nil"/>
                  </w:tcBorders>
                  <w:shd w:val="clear" w:color="auto" w:fill="auto"/>
                  <w:vAlign w:val="center"/>
                </w:tcPr>
                <w:p w14:paraId="765396F9">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管控要求</w:t>
                  </w:r>
                </w:p>
              </w:tc>
              <w:tc>
                <w:tcPr>
                  <w:tcW w:w="2003" w:type="pct"/>
                  <w:tcBorders>
                    <w:tl2br w:val="nil"/>
                    <w:tr2bl w:val="nil"/>
                  </w:tcBorders>
                  <w:shd w:val="clear" w:color="auto" w:fill="auto"/>
                  <w:vAlign w:val="center"/>
                </w:tcPr>
                <w:p w14:paraId="1B54BC8E">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本项目情况</w:t>
                  </w:r>
                </w:p>
              </w:tc>
              <w:tc>
                <w:tcPr>
                  <w:tcW w:w="501" w:type="pct"/>
                  <w:tcBorders>
                    <w:tl2br w:val="nil"/>
                    <w:tr2bl w:val="nil"/>
                  </w:tcBorders>
                  <w:shd w:val="clear" w:color="auto" w:fill="auto"/>
                  <w:vAlign w:val="center"/>
                </w:tcPr>
                <w:p w14:paraId="06D77F8A">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符合性</w:t>
                  </w:r>
                </w:p>
              </w:tc>
            </w:tr>
            <w:tr w14:paraId="21A818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gridAfter w:val="1"/>
                <w:wAfter w:w="3" w:type="pct"/>
                <w:trHeight w:val="397" w:hRule="atLeast"/>
                <w:jc w:val="center"/>
              </w:trPr>
              <w:tc>
                <w:tcPr>
                  <w:tcW w:w="310" w:type="pct"/>
                  <w:gridSpan w:val="2"/>
                  <w:tcBorders>
                    <w:tl2br w:val="nil"/>
                    <w:tr2bl w:val="nil"/>
                  </w:tcBorders>
                  <w:shd w:val="clear" w:color="auto" w:fill="auto"/>
                  <w:vAlign w:val="center"/>
                </w:tcPr>
                <w:p w14:paraId="316876B8">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空间布局约束</w:t>
                  </w:r>
                </w:p>
              </w:tc>
              <w:tc>
                <w:tcPr>
                  <w:tcW w:w="2181" w:type="pct"/>
                  <w:tcBorders>
                    <w:tl2br w:val="nil"/>
                    <w:tr2bl w:val="nil"/>
                  </w:tcBorders>
                  <w:shd w:val="clear" w:color="auto" w:fill="auto"/>
                  <w:vAlign w:val="center"/>
                </w:tcPr>
                <w:p w14:paraId="00676972">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1、入园企业须符合园区产业发展定位和产业布局规划等要求。</w:t>
                  </w:r>
                </w:p>
                <w:p w14:paraId="3D32B3C6">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2、入园企业须符合国土空间规划的布局及土地利用等相关要求。</w:t>
                  </w:r>
                </w:p>
                <w:p w14:paraId="2A3DFC65">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3、园区入驻项目须满足《新疆维吾尔自治区重点行业环境准入条件（2024年）》。</w:t>
                  </w:r>
                </w:p>
                <w:p w14:paraId="575E5672">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4、园区入驻项目须严格执行规划及规划环评相关要求。</w:t>
                  </w:r>
                </w:p>
                <w:p w14:paraId="6D379C91">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5、除国家规定新增原料用能不纳入能源消费总量控制的项目和列入国家规划的项目外，“乌-昌-石”等重点区域不再新建、扩建使用煤炭项目。</w:t>
                  </w:r>
                </w:p>
              </w:tc>
              <w:tc>
                <w:tcPr>
                  <w:tcW w:w="2003" w:type="pct"/>
                  <w:tcBorders>
                    <w:tl2br w:val="nil"/>
                    <w:tr2bl w:val="nil"/>
                  </w:tcBorders>
                  <w:shd w:val="clear" w:color="auto" w:fill="auto"/>
                  <w:vAlign w:val="center"/>
                </w:tcPr>
                <w:p w14:paraId="286E7F42">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本项目为油气资源勘探项目，</w:t>
                  </w:r>
                  <w:r>
                    <w:rPr>
                      <w:rFonts w:hint="eastAsia" w:ascii="Times New Roman" w:hAnsi="Times New Roman" w:eastAsia="宋体" w:cs="Times New Roman"/>
                      <w:color w:val="auto"/>
                      <w:sz w:val="21"/>
                      <w:szCs w:val="21"/>
                      <w:lang w:val="en-US" w:eastAsia="zh-CN"/>
                    </w:rPr>
                    <w:t>在满足勘探设计和施工要求的前提下，对井场位置、探临道路路由等临时占地进行适当调整</w:t>
                  </w:r>
                  <w:r>
                    <w:rPr>
                      <w:rFonts w:hint="eastAsia" w:cs="Times New Roman"/>
                      <w:color w:val="auto"/>
                      <w:sz w:val="21"/>
                      <w:szCs w:val="21"/>
                      <w:lang w:val="en-US" w:eastAsia="zh-CN"/>
                    </w:rPr>
                    <w:t>，在</w:t>
                  </w:r>
                  <w:r>
                    <w:rPr>
                      <w:rFonts w:hint="eastAsia" w:ascii="Times New Roman" w:hAnsi="Times New Roman" w:eastAsia="宋体" w:cs="Times New Roman"/>
                      <w:color w:val="auto"/>
                      <w:sz w:val="21"/>
                      <w:szCs w:val="21"/>
                      <w:lang w:val="en-US" w:eastAsia="zh-CN"/>
                    </w:rPr>
                    <w:t>满足设计的前提下尽量减少占地</w:t>
                  </w:r>
                  <w:r>
                    <w:rPr>
                      <w:rFonts w:hint="eastAsia" w:cs="Times New Roman"/>
                      <w:color w:val="auto"/>
                      <w:sz w:val="21"/>
                      <w:szCs w:val="21"/>
                      <w:lang w:val="en-US" w:eastAsia="zh-CN"/>
                    </w:rPr>
                    <w:t>，生活营地避开一般耕地，布设在附近其他草地区域</w:t>
                  </w:r>
                  <w:r>
                    <w:rPr>
                      <w:rFonts w:hint="eastAsia" w:ascii="Times New Roman" w:hAnsi="Times New Roman" w:eastAsia="宋体" w:cs="Times New Roman"/>
                      <w:color w:val="auto"/>
                      <w:sz w:val="21"/>
                      <w:szCs w:val="21"/>
                      <w:lang w:val="en-US" w:eastAsia="zh-CN"/>
                    </w:rPr>
                    <w:t>；施工过程由于伴生气气量不稳定，不具备回收利用条件，因此通过排气管线充分燃烧后放空；井场配有钻井液不落地设备，分离出液相钻井液（水基和油基）均分别进罐收集后回用于钻井，钻井结束后由钻井队带至下一井场使用；分离出固相钻井岩屑（水基和油基）均分别进罐收集后，水基钻井岩屑交</w:t>
                  </w:r>
                  <w:r>
                    <w:rPr>
                      <w:rFonts w:hint="eastAsia" w:cs="Times New Roman"/>
                      <w:color w:val="auto"/>
                      <w:sz w:val="21"/>
                      <w:szCs w:val="21"/>
                      <w:lang w:val="en-US" w:eastAsia="zh-CN"/>
                    </w:rPr>
                    <w:t>第三方</w:t>
                  </w:r>
                  <w:r>
                    <w:rPr>
                      <w:rFonts w:hint="eastAsia" w:ascii="Times New Roman" w:hAnsi="Times New Roman" w:eastAsia="宋体" w:cs="Times New Roman"/>
                      <w:color w:val="auto"/>
                      <w:sz w:val="21"/>
                      <w:szCs w:val="21"/>
                      <w:lang w:val="en-US" w:eastAsia="zh-CN"/>
                    </w:rPr>
                    <w:t>岩屑处置公司处理，油基钻井岩屑</w:t>
                  </w:r>
                  <w:r>
                    <w:rPr>
                      <w:rFonts w:hint="eastAsia" w:cs="Times New Roman"/>
                      <w:color w:val="auto"/>
                      <w:sz w:val="21"/>
                      <w:szCs w:val="21"/>
                      <w:lang w:val="en-US" w:eastAsia="zh-CN"/>
                    </w:rPr>
                    <w:t>交由</w:t>
                  </w:r>
                  <w:r>
                    <w:rPr>
                      <w:rFonts w:hint="eastAsia" w:ascii="Times New Roman" w:hAnsi="Times New Roman" w:eastAsia="宋体" w:cs="Times New Roman"/>
                      <w:color w:val="auto"/>
                      <w:sz w:val="21"/>
                      <w:szCs w:val="21"/>
                      <w:lang w:val="en-US" w:eastAsia="zh-CN"/>
                    </w:rPr>
                    <w:t>相应危险废物处置资质单位进行转运、处置；</w:t>
                  </w:r>
                  <w:r>
                    <w:rPr>
                      <w:rFonts w:hint="eastAsia" w:cs="Times New Roman"/>
                      <w:color w:val="auto"/>
                      <w:sz w:val="21"/>
                      <w:szCs w:val="21"/>
                      <w:lang w:val="en-US" w:eastAsia="zh-CN"/>
                    </w:rPr>
                    <w:t>沾油废防渗材料、废润滑油及废润滑油桶、沾油劳保用品均分别集中收集后分区暂存在井场设置的危险废物贮存点，定期交危废处置单位进行接收、转运和处置；事故状态下产生的落地油集中收集后直接交危废处置单位处置；建筑垃圾集中收集尽量由施工单位统一回收利用，无法再利用的送至玛纳斯县建筑垃圾填埋场填埋处理；</w:t>
                  </w:r>
                  <w:r>
                    <w:rPr>
                      <w:rFonts w:hint="eastAsia" w:ascii="Times New Roman" w:hAnsi="Times New Roman" w:eastAsia="宋体" w:cs="Times New Roman"/>
                      <w:color w:val="auto"/>
                      <w:sz w:val="21"/>
                      <w:szCs w:val="21"/>
                      <w:lang w:val="en-US" w:eastAsia="zh-CN"/>
                    </w:rPr>
                    <w:t>项目产生的试油废水（洗井废水和压裂返排液）全部进罐收集后运至采油一厂车89处理站处置。项目不涉及使用煤炭。</w:t>
                  </w:r>
                </w:p>
              </w:tc>
              <w:tc>
                <w:tcPr>
                  <w:tcW w:w="501" w:type="pct"/>
                  <w:tcBorders>
                    <w:tl2br w:val="nil"/>
                    <w:tr2bl w:val="nil"/>
                  </w:tcBorders>
                  <w:shd w:val="clear" w:color="auto" w:fill="auto"/>
                  <w:vAlign w:val="center"/>
                </w:tcPr>
                <w:p w14:paraId="32645270">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4D5738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97" w:hRule="atLeast"/>
                <w:jc w:val="center"/>
              </w:trPr>
              <w:tc>
                <w:tcPr>
                  <w:tcW w:w="304" w:type="pct"/>
                  <w:tcBorders>
                    <w:tl2br w:val="nil"/>
                    <w:tr2bl w:val="nil"/>
                  </w:tcBorders>
                  <w:shd w:val="clear" w:color="auto" w:fill="auto"/>
                  <w:vAlign w:val="center"/>
                </w:tcPr>
                <w:p w14:paraId="07297D55">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污染物排放管控</w:t>
                  </w:r>
                </w:p>
              </w:tc>
              <w:tc>
                <w:tcPr>
                  <w:tcW w:w="2186" w:type="pct"/>
                  <w:gridSpan w:val="2"/>
                  <w:tcBorders>
                    <w:tl2br w:val="nil"/>
                    <w:tr2bl w:val="nil"/>
                  </w:tcBorders>
                  <w:shd w:val="clear" w:color="auto" w:fill="auto"/>
                  <w:vAlign w:val="center"/>
                </w:tcPr>
                <w:p w14:paraId="3F75F2E6">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1、聚焦采暖期重污染天气治理，加大重点区域、重点行业结构调整和污染治理力度。</w:t>
                  </w:r>
                </w:p>
                <w:p w14:paraId="5AC63E1D">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2、新（改、扩）建项目应执行最严格的大气污染物排放标准。</w:t>
                  </w:r>
                </w:p>
                <w:p w14:paraId="4C1E07D9">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3、“乌-昌-石”区域内，已实施超低排放的涉气排污单位，其实施超低排放改造的污染因子执行超低排放限值，其他污染因子执行特别排放限值和特别控制要求。</w:t>
                  </w:r>
                </w:p>
                <w:p w14:paraId="53134C2C">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4、推动园区企业绿色发展，严格落实水污染物排放标准。</w:t>
                  </w:r>
                </w:p>
                <w:p w14:paraId="6FF5FAC1">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5、严格实施污染物排放总量控制要求；全面深化面源污染治理，积极推进绿色施工。</w:t>
                  </w:r>
                </w:p>
              </w:tc>
              <w:tc>
                <w:tcPr>
                  <w:tcW w:w="2003" w:type="pct"/>
                  <w:tcBorders>
                    <w:tl2br w:val="nil"/>
                    <w:tr2bl w:val="nil"/>
                  </w:tcBorders>
                  <w:shd w:val="clear" w:color="auto" w:fill="auto"/>
                  <w:vAlign w:val="center"/>
                </w:tcPr>
                <w:p w14:paraId="54D099D5">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本项目为油气资源勘探项目，施工期产生的污染影响随施工结束而消失且无运营期，不涉及总量控制指标；</w:t>
                  </w:r>
                  <w:r>
                    <w:rPr>
                      <w:rFonts w:hint="eastAsia" w:ascii="Times New Roman" w:hAnsi="Times New Roman" w:eastAsia="宋体" w:cs="Times New Roman"/>
                      <w:color w:val="auto"/>
                      <w:sz w:val="21"/>
                      <w:szCs w:val="21"/>
                      <w:lang w:val="en-US" w:eastAsia="zh-CN"/>
                    </w:rPr>
                    <w:t>项目产生的试油废水（洗井废水和压裂返排液）进罐收集后运至采油一厂车89处理站处置；</w:t>
                  </w:r>
                  <w:r>
                    <w:rPr>
                      <w:rFonts w:hint="eastAsia" w:cs="Times New Roman"/>
                      <w:color w:val="auto"/>
                      <w:sz w:val="21"/>
                      <w:szCs w:val="21"/>
                      <w:lang w:val="en-US" w:eastAsia="zh-CN"/>
                    </w:rPr>
                    <w:t>施工人员产生的</w:t>
                  </w:r>
                  <w:r>
                    <w:rPr>
                      <w:rFonts w:hint="eastAsia" w:ascii="Times New Roman" w:hAnsi="Times New Roman" w:eastAsia="宋体" w:cs="Times New Roman"/>
                      <w:color w:val="auto"/>
                      <w:sz w:val="21"/>
                      <w:szCs w:val="21"/>
                      <w:lang w:val="en-US" w:eastAsia="zh-CN"/>
                    </w:rPr>
                    <w:t>生活污水</w:t>
                  </w:r>
                  <w:r>
                    <w:rPr>
                      <w:rFonts w:hint="eastAsia" w:cs="Times New Roman"/>
                      <w:color w:val="auto"/>
                      <w:sz w:val="21"/>
                      <w:szCs w:val="21"/>
                      <w:lang w:val="en-US" w:eastAsia="zh-CN"/>
                    </w:rPr>
                    <w:t>排入防渗收集池后由吸污车运至玛纳斯县城污水处理厂处置；</w:t>
                  </w:r>
                  <w:r>
                    <w:rPr>
                      <w:rFonts w:hint="eastAsia" w:ascii="Times New Roman" w:hAnsi="Times New Roman" w:eastAsia="宋体" w:cs="Times New Roman"/>
                      <w:color w:val="auto"/>
                      <w:sz w:val="21"/>
                      <w:szCs w:val="21"/>
                      <w:lang w:val="en-US" w:eastAsia="zh-CN"/>
                    </w:rPr>
                    <w:t>产生的生活垃圾集中收集在垃圾箱后</w:t>
                  </w:r>
                  <w:r>
                    <w:rPr>
                      <w:rFonts w:hint="eastAsia" w:cs="Times New Roman"/>
                      <w:color w:val="auto"/>
                      <w:sz w:val="21"/>
                      <w:szCs w:val="21"/>
                      <w:lang w:val="en-US" w:eastAsia="zh-CN"/>
                    </w:rPr>
                    <w:t>交玛纳斯县生活垃圾填埋场处置；建筑垃圾集中收集尽量由施工单位统一回收利用，无法再利用的送至玛纳斯县建筑垃圾填埋场填埋处理；</w:t>
                  </w:r>
                  <w:r>
                    <w:rPr>
                      <w:rFonts w:hint="eastAsia" w:ascii="Times New Roman" w:hAnsi="Times New Roman" w:eastAsia="宋体" w:cs="Times New Roman"/>
                      <w:color w:val="auto"/>
                      <w:sz w:val="21"/>
                      <w:szCs w:val="21"/>
                      <w:lang w:val="en-US" w:eastAsia="zh-CN"/>
                    </w:rPr>
                    <w:t>水基钻井岩屑进罐收集后交</w:t>
                  </w:r>
                  <w:r>
                    <w:rPr>
                      <w:rFonts w:hint="eastAsia" w:cs="Times New Roman"/>
                      <w:color w:val="auto"/>
                      <w:sz w:val="21"/>
                      <w:szCs w:val="21"/>
                      <w:lang w:val="en-US" w:eastAsia="zh-CN"/>
                    </w:rPr>
                    <w:t>第三方</w:t>
                  </w:r>
                  <w:r>
                    <w:rPr>
                      <w:rFonts w:hint="eastAsia" w:ascii="Times New Roman" w:hAnsi="Times New Roman" w:eastAsia="宋体" w:cs="Times New Roman"/>
                      <w:color w:val="auto"/>
                      <w:sz w:val="21"/>
                      <w:szCs w:val="21"/>
                      <w:lang w:val="en-US" w:eastAsia="zh-CN"/>
                    </w:rPr>
                    <w:t>岩屑处置单位处置；油基钻井岩屑、沾油防渗材料、废润滑油</w:t>
                  </w:r>
                  <w:r>
                    <w:rPr>
                      <w:rFonts w:hint="eastAsia" w:cs="Times New Roman"/>
                      <w:color w:val="auto"/>
                      <w:sz w:val="21"/>
                      <w:szCs w:val="21"/>
                      <w:lang w:val="en-US" w:eastAsia="zh-CN"/>
                    </w:rPr>
                    <w:t>及废润滑油桶、沾油劳保用品</w:t>
                  </w:r>
                  <w:r>
                    <w:rPr>
                      <w:rFonts w:hint="eastAsia" w:ascii="Times New Roman" w:hAnsi="Times New Roman" w:eastAsia="宋体" w:cs="Times New Roman"/>
                      <w:color w:val="auto"/>
                      <w:sz w:val="21"/>
                      <w:szCs w:val="21"/>
                      <w:lang w:val="en-US" w:eastAsia="zh-CN"/>
                    </w:rPr>
                    <w:t>等危险废物暂存在井场内临时危险废物贮存点，委托有相应危险废物处置资质单位进行转运、处置；各污染物</w:t>
                  </w:r>
                  <w:r>
                    <w:rPr>
                      <w:rFonts w:hint="default" w:ascii="Times New Roman" w:hAnsi="Times New Roman" w:eastAsia="宋体" w:cs="Times New Roman"/>
                      <w:color w:val="auto"/>
                      <w:sz w:val="21"/>
                      <w:szCs w:val="21"/>
                      <w:lang w:val="en-US" w:eastAsia="zh-CN"/>
                    </w:rPr>
                    <w:t>均采取有效的收集和处置措施。</w:t>
                  </w:r>
                </w:p>
              </w:tc>
              <w:tc>
                <w:tcPr>
                  <w:tcW w:w="505" w:type="pct"/>
                  <w:gridSpan w:val="2"/>
                  <w:tcBorders>
                    <w:tl2br w:val="nil"/>
                    <w:tr2bl w:val="nil"/>
                  </w:tcBorders>
                  <w:shd w:val="clear" w:color="auto" w:fill="auto"/>
                  <w:vAlign w:val="center"/>
                </w:tcPr>
                <w:p w14:paraId="2044CDD7">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0D8D95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4" w:type="pct"/>
                  <w:tcBorders>
                    <w:tl2br w:val="nil"/>
                    <w:tr2bl w:val="nil"/>
                  </w:tcBorders>
                  <w:shd w:val="clear" w:color="auto" w:fill="auto"/>
                  <w:vAlign w:val="center"/>
                </w:tcPr>
                <w:p w14:paraId="3C4F8BF6">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环境风险防控</w:t>
                  </w:r>
                </w:p>
              </w:tc>
              <w:tc>
                <w:tcPr>
                  <w:tcW w:w="2186" w:type="pct"/>
                  <w:gridSpan w:val="2"/>
                  <w:tcBorders>
                    <w:tl2br w:val="nil"/>
                    <w:tr2bl w:val="nil"/>
                  </w:tcBorders>
                  <w:shd w:val="clear" w:color="auto" w:fill="auto"/>
                  <w:vAlign w:val="center"/>
                </w:tcPr>
                <w:p w14:paraId="22DC48CD">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1、园区应设立环境应急管理机构，建立环境风险监管制度、环境风险预警制度、突发环境事件应急预案、环境风险应急保障制度等环境风险防控体系，并具备环境风险应急救援能</w:t>
                  </w:r>
                  <w:r>
                    <w:rPr>
                      <w:rFonts w:hint="default" w:ascii="Times New Roman" w:hAnsi="Times New Roman" w:eastAsia="宋体" w:cs="Times New Roman"/>
                      <w:color w:val="auto"/>
                      <w:sz w:val="21"/>
                      <w:szCs w:val="21"/>
                      <w:lang w:val="en-US" w:eastAsia="zh-CN"/>
                    </w:rPr>
                    <w:t>力。</w:t>
                  </w:r>
                </w:p>
              </w:tc>
              <w:tc>
                <w:tcPr>
                  <w:tcW w:w="2003" w:type="pct"/>
                  <w:tcBorders>
                    <w:tl2br w:val="nil"/>
                    <w:tr2bl w:val="nil"/>
                  </w:tcBorders>
                  <w:shd w:val="clear" w:color="auto" w:fill="auto"/>
                  <w:vAlign w:val="center"/>
                </w:tcPr>
                <w:p w14:paraId="6B70E8F0">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w:t>
                  </w:r>
                  <w:r>
                    <w:rPr>
                      <w:rFonts w:hint="default" w:ascii="Times New Roman" w:hAnsi="Times New Roman" w:eastAsia="宋体" w:cs="Times New Roman"/>
                      <w:color w:val="auto"/>
                      <w:sz w:val="21"/>
                      <w:szCs w:val="21"/>
                      <w:highlight w:val="none"/>
                      <w:lang w:val="en-US" w:eastAsia="zh-CN"/>
                    </w:rPr>
                    <w:t>实施过程严格执行中国石油新疆油田分公司已建立的健康、安全与环境管理体系(HSE管理体系）以及《新疆油田公司勘探事业部突发环境事件应急预案》。</w:t>
                  </w:r>
                </w:p>
              </w:tc>
              <w:tc>
                <w:tcPr>
                  <w:tcW w:w="505" w:type="pct"/>
                  <w:gridSpan w:val="2"/>
                  <w:tcBorders>
                    <w:tl2br w:val="nil"/>
                    <w:tr2bl w:val="nil"/>
                  </w:tcBorders>
                  <w:shd w:val="clear" w:color="auto" w:fill="auto"/>
                  <w:vAlign w:val="center"/>
                </w:tcPr>
                <w:p w14:paraId="6270E30A">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2E77B4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97" w:hRule="atLeast"/>
                <w:jc w:val="center"/>
              </w:trPr>
              <w:tc>
                <w:tcPr>
                  <w:tcW w:w="304" w:type="pct"/>
                  <w:tcBorders>
                    <w:tl2br w:val="nil"/>
                    <w:tr2bl w:val="nil"/>
                  </w:tcBorders>
                  <w:shd w:val="clear" w:color="auto" w:fill="auto"/>
                  <w:vAlign w:val="center"/>
                </w:tcPr>
                <w:p w14:paraId="30CAAF21">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资源利用效率</w:t>
                  </w:r>
                </w:p>
              </w:tc>
              <w:tc>
                <w:tcPr>
                  <w:tcW w:w="2186" w:type="pct"/>
                  <w:gridSpan w:val="2"/>
                  <w:tcBorders>
                    <w:tl2br w:val="nil"/>
                    <w:tr2bl w:val="nil"/>
                  </w:tcBorders>
                  <w:shd w:val="clear" w:color="auto" w:fill="auto"/>
                  <w:vAlign w:val="center"/>
                </w:tcPr>
                <w:p w14:paraId="04E22D4C">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1、严守水资源开发利用控制、用水效率控制和水功能区限制纳污“三条红线”，严格实行区域用水总量和强度控制，强化用水定额管理。</w:t>
                  </w:r>
                </w:p>
                <w:p w14:paraId="56755CA4">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2、推行清洁生产、降低生产水耗、从源头上控制污染物的产生。</w:t>
                  </w:r>
                </w:p>
                <w:p w14:paraId="1BA989CD">
                  <w:pPr>
                    <w:pStyle w:val="106"/>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3、加强能耗“双控”管理，优化能源消费结构。严格合理控制煤炭消费增长，精准测算原料煤、动力煤，新增原料用能不纳入能源消费总量控制。</w:t>
                  </w:r>
                </w:p>
              </w:tc>
              <w:tc>
                <w:tcPr>
                  <w:tcW w:w="2003" w:type="pct"/>
                  <w:tcBorders>
                    <w:tl2br w:val="nil"/>
                    <w:tr2bl w:val="nil"/>
                  </w:tcBorders>
                  <w:shd w:val="clear" w:color="auto" w:fill="auto"/>
                  <w:vAlign w:val="center"/>
                </w:tcPr>
                <w:p w14:paraId="0E2BAFA5">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本项目实施期间用水采用</w:t>
                  </w:r>
                  <w:r>
                    <w:rPr>
                      <w:rFonts w:hint="default" w:ascii="Times New Roman" w:hAnsi="Times New Roman" w:eastAsia="宋体" w:cs="Times New Roman"/>
                      <w:color w:val="auto"/>
                      <w:sz w:val="21"/>
                      <w:szCs w:val="21"/>
                    </w:rPr>
                    <w:t>罐车从</w:t>
                  </w:r>
                  <w:r>
                    <w:rPr>
                      <w:rFonts w:hint="default" w:ascii="Times New Roman" w:hAnsi="Times New Roman" w:eastAsia="宋体" w:cs="Times New Roman"/>
                      <w:color w:val="auto"/>
                      <w:sz w:val="21"/>
                      <w:szCs w:val="21"/>
                      <w:lang w:val="en-US" w:eastAsia="zh-CN"/>
                    </w:rPr>
                    <w:t>玛纳斯县</w:t>
                  </w:r>
                  <w:r>
                    <w:rPr>
                      <w:rFonts w:hint="default" w:ascii="Times New Roman" w:hAnsi="Times New Roman" w:eastAsia="宋体" w:cs="Times New Roman"/>
                      <w:color w:val="auto"/>
                      <w:sz w:val="21"/>
                      <w:szCs w:val="21"/>
                    </w:rPr>
                    <w:t>拉运至</w:t>
                  </w:r>
                  <w:r>
                    <w:rPr>
                      <w:rFonts w:hint="default" w:ascii="Times New Roman" w:hAnsi="Times New Roman" w:eastAsia="宋体" w:cs="Times New Roman"/>
                      <w:color w:val="auto"/>
                      <w:sz w:val="21"/>
                      <w:szCs w:val="21"/>
                      <w:lang w:val="en-US" w:eastAsia="zh-CN"/>
                    </w:rPr>
                    <w:t>用水现场</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用水量较少</w:t>
                  </w:r>
                  <w:r>
                    <w:rPr>
                      <w:rFonts w:hint="default" w:ascii="Times New Roman" w:hAnsi="Times New Roman" w:eastAsia="宋体" w:cs="Times New Roman"/>
                      <w:color w:val="auto"/>
                      <w:sz w:val="21"/>
                      <w:szCs w:val="21"/>
                    </w:rPr>
                    <w:t>；项目不涉及</w:t>
                  </w:r>
                  <w:r>
                    <w:rPr>
                      <w:rFonts w:hint="default" w:ascii="Times New Roman" w:hAnsi="Times New Roman" w:eastAsia="宋体" w:cs="Times New Roman"/>
                      <w:color w:val="auto"/>
                      <w:sz w:val="21"/>
                      <w:szCs w:val="21"/>
                      <w:lang w:val="en-US" w:eastAsia="zh-CN"/>
                    </w:rPr>
                    <w:t>煤炭消耗</w:t>
                  </w:r>
                  <w:r>
                    <w:rPr>
                      <w:rFonts w:hint="default" w:ascii="Times New Roman" w:hAnsi="Times New Roman" w:eastAsia="宋体" w:cs="Times New Roman"/>
                      <w:color w:val="auto"/>
                      <w:sz w:val="21"/>
                      <w:szCs w:val="21"/>
                    </w:rPr>
                    <w:t>。</w:t>
                  </w:r>
                </w:p>
              </w:tc>
              <w:tc>
                <w:tcPr>
                  <w:tcW w:w="505" w:type="pct"/>
                  <w:gridSpan w:val="2"/>
                  <w:tcBorders>
                    <w:tl2br w:val="nil"/>
                    <w:tr2bl w:val="nil"/>
                  </w:tcBorders>
                  <w:shd w:val="clear" w:color="auto" w:fill="auto"/>
                  <w:vAlign w:val="center"/>
                </w:tcPr>
                <w:p w14:paraId="10D78B1B">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502C1065">
            <w:pPr>
              <w:keepNext w:val="0"/>
              <w:keepLines w:val="0"/>
              <w:pageBreakBefore w:val="0"/>
              <w:widowControl w:val="0"/>
              <w:kinsoku/>
              <w:wordWrap/>
              <w:overflowPunct/>
              <w:topLinePunct w:val="0"/>
              <w:autoSpaceDE/>
              <w:autoSpaceDN/>
              <w:bidi w:val="0"/>
              <w:adjustRightInd/>
              <w:snapToGrid w:val="0"/>
              <w:spacing w:line="120" w:lineRule="exact"/>
              <w:textAlignment w:val="auto"/>
              <w:rPr>
                <w:rFonts w:hint="default" w:ascii="Times New Roman" w:hAnsi="Times New Roman" w:cs="Times New Roman"/>
                <w:color w:val="auto"/>
                <w:lang w:val="en-US" w:eastAsia="zh-CN"/>
              </w:rPr>
            </w:pPr>
          </w:p>
          <w:p w14:paraId="415922AF">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58" w:firstLineChars="200"/>
              <w:textAlignment w:val="auto"/>
              <w:rPr>
                <w:rFonts w:hint="default" w:ascii="Times New Roman" w:hAnsi="Times New Roman" w:cs="Times New Roman"/>
                <w:b/>
                <w:color w:val="auto"/>
                <w:spacing w:val="-6"/>
                <w:sz w:val="24"/>
                <w:lang w:val="en-US" w:eastAsia="zh-CN"/>
              </w:rPr>
            </w:pPr>
            <w:bookmarkStart w:id="8" w:name="OLE_LINK8"/>
            <w:r>
              <w:rPr>
                <w:rFonts w:hint="default" w:ascii="Times New Roman" w:hAnsi="Times New Roman" w:eastAsia="宋体" w:cs="Times New Roman"/>
                <w:b/>
                <w:color w:val="auto"/>
                <w:spacing w:val="-6"/>
                <w:kern w:val="2"/>
                <w:sz w:val="24"/>
                <w:szCs w:val="24"/>
                <w:lang w:val="en-US" w:eastAsia="zh-CN" w:bidi="ar-SA"/>
              </w:rPr>
              <w:t>3.</w:t>
            </w:r>
            <w:r>
              <w:rPr>
                <w:rFonts w:hint="default" w:ascii="Times New Roman" w:hAnsi="Times New Roman" w:cs="Times New Roman"/>
                <w:b/>
                <w:color w:val="auto"/>
                <w:spacing w:val="-6"/>
                <w:sz w:val="24"/>
                <w:lang w:val="en-US" w:eastAsia="zh-CN"/>
              </w:rPr>
              <w:t>与</w:t>
            </w:r>
            <w:r>
              <w:rPr>
                <w:rFonts w:hint="default" w:ascii="Times New Roman" w:hAnsi="Times New Roman" w:cs="Times New Roman"/>
                <w:b/>
                <w:color w:val="auto"/>
                <w:spacing w:val="-6"/>
                <w:sz w:val="24"/>
              </w:rPr>
              <w:t>《关于进一步加强石</w:t>
            </w:r>
            <w:bookmarkStart w:id="9" w:name="OLE_LINK7"/>
            <w:r>
              <w:rPr>
                <w:rFonts w:hint="default" w:ascii="Times New Roman" w:hAnsi="Times New Roman" w:cs="Times New Roman"/>
                <w:b/>
                <w:color w:val="auto"/>
                <w:spacing w:val="-6"/>
                <w:sz w:val="24"/>
              </w:rPr>
              <w:t>油天</w:t>
            </w:r>
            <w:bookmarkStart w:id="10" w:name="OLE_LINK12"/>
            <w:r>
              <w:rPr>
                <w:rFonts w:hint="default" w:ascii="Times New Roman" w:hAnsi="Times New Roman" w:cs="Times New Roman"/>
                <w:b/>
                <w:color w:val="auto"/>
                <w:spacing w:val="-6"/>
                <w:sz w:val="24"/>
              </w:rPr>
              <w:t>然气行业环境影响评价</w:t>
            </w:r>
            <w:bookmarkEnd w:id="9"/>
            <w:r>
              <w:rPr>
                <w:rFonts w:hint="default" w:ascii="Times New Roman" w:hAnsi="Times New Roman" w:cs="Times New Roman"/>
                <w:b/>
                <w:color w:val="auto"/>
                <w:spacing w:val="-6"/>
                <w:sz w:val="24"/>
              </w:rPr>
              <w:t>管理</w:t>
            </w:r>
            <w:bookmarkEnd w:id="10"/>
            <w:r>
              <w:rPr>
                <w:rFonts w:hint="default" w:ascii="Times New Roman" w:hAnsi="Times New Roman" w:cs="Times New Roman"/>
                <w:b/>
                <w:color w:val="auto"/>
                <w:spacing w:val="-6"/>
                <w:sz w:val="24"/>
              </w:rPr>
              <w:t>的通知》</w:t>
            </w:r>
            <w:r>
              <w:rPr>
                <w:rFonts w:hint="default" w:ascii="Times New Roman" w:hAnsi="Times New Roman" w:cs="Times New Roman"/>
                <w:b/>
                <w:color w:val="auto"/>
                <w:spacing w:val="-6"/>
                <w:sz w:val="24"/>
                <w:lang w:val="en-US" w:eastAsia="zh-CN"/>
              </w:rPr>
              <w:t>（环办环评函〔2019〕910号）及〈转发《关于进一步加强石油天然气行业环境影响评价的通知》的通知〉（新环环评发〔2020〕142号）的符合性分析</w:t>
            </w:r>
            <w:bookmarkEnd w:id="8"/>
          </w:p>
          <w:p w14:paraId="406748E4">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本项目与</w:t>
            </w:r>
            <w:r>
              <w:rPr>
                <w:rFonts w:hint="default" w:ascii="Times New Roman" w:hAnsi="Times New Roman" w:cs="Times New Roman"/>
                <w:color w:val="auto"/>
              </w:rPr>
              <w:t>《关于进一步加强石油天然气行业环境影响评价管理的通知》</w:t>
            </w:r>
            <w:r>
              <w:rPr>
                <w:rFonts w:hint="default" w:ascii="Times New Roman" w:hAnsi="Times New Roman" w:cs="Times New Roman"/>
                <w:color w:val="auto"/>
                <w:lang w:val="en-US" w:eastAsia="zh-CN"/>
              </w:rPr>
              <w:t>（环办环评函〔2019〕910号）及〈转发《关于进一步加强石油天然气行业环境影响评价的通知》的通知〉（新环环评发〔2020〕142号）的符合性分析见表1-2。</w:t>
            </w:r>
          </w:p>
          <w:p w14:paraId="740DBE45">
            <w:pPr>
              <w:pStyle w:val="114"/>
              <w:bidi w:val="0"/>
              <w:rPr>
                <w:rFonts w:hint="default" w:ascii="Times New Roman" w:hAnsi="Times New Roman" w:cs="Times New Roman"/>
                <w:color w:val="auto"/>
              </w:rPr>
            </w:pPr>
          </w:p>
          <w:p w14:paraId="455AD254">
            <w:pPr>
              <w:pStyle w:val="114"/>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1-</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本项目与《通知》相关要求符合性分析</w:t>
            </w:r>
          </w:p>
          <w:tbl>
            <w:tblPr>
              <w:tblStyle w:val="26"/>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694"/>
              <w:gridCol w:w="3176"/>
              <w:gridCol w:w="2916"/>
              <w:gridCol w:w="957"/>
            </w:tblGrid>
            <w:tr w14:paraId="4E0F0F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737" w:type="dxa"/>
                  <w:tcBorders>
                    <w:tl2br w:val="nil"/>
                    <w:tr2bl w:val="nil"/>
                  </w:tcBorders>
                  <w:vAlign w:val="center"/>
                </w:tcPr>
                <w:p w14:paraId="1F0B32F7">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序号</w:t>
                  </w:r>
                </w:p>
              </w:tc>
              <w:tc>
                <w:tcPr>
                  <w:tcW w:w="3384" w:type="dxa"/>
                  <w:tcBorders>
                    <w:tl2br w:val="nil"/>
                    <w:tr2bl w:val="nil"/>
                  </w:tcBorders>
                  <w:vAlign w:val="center"/>
                </w:tcPr>
                <w:p w14:paraId="106A7960">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《通知》要求</w:t>
                  </w:r>
                </w:p>
              </w:tc>
              <w:tc>
                <w:tcPr>
                  <w:tcW w:w="3107" w:type="dxa"/>
                  <w:tcBorders>
                    <w:tl2br w:val="nil"/>
                    <w:tr2bl w:val="nil"/>
                  </w:tcBorders>
                  <w:vAlign w:val="center"/>
                </w:tcPr>
                <w:p w14:paraId="50B6D115">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本项目情况</w:t>
                  </w:r>
                </w:p>
              </w:tc>
              <w:tc>
                <w:tcPr>
                  <w:tcW w:w="1017" w:type="dxa"/>
                  <w:tcBorders>
                    <w:tl2br w:val="nil"/>
                    <w:tr2bl w:val="nil"/>
                  </w:tcBorders>
                  <w:vAlign w:val="center"/>
                </w:tcPr>
                <w:p w14:paraId="149E10B4">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符合性</w:t>
                  </w:r>
                </w:p>
              </w:tc>
            </w:tr>
            <w:tr w14:paraId="51D6DD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737" w:type="dxa"/>
                  <w:tcBorders>
                    <w:tl2br w:val="nil"/>
                    <w:tr2bl w:val="nil"/>
                  </w:tcBorders>
                  <w:vAlign w:val="center"/>
                </w:tcPr>
                <w:p w14:paraId="6677CFC6">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3384" w:type="dxa"/>
                  <w:tcBorders>
                    <w:tl2br w:val="nil"/>
                    <w:tr2bl w:val="nil"/>
                  </w:tcBorders>
                  <w:vAlign w:val="center"/>
                </w:tcPr>
                <w:p w14:paraId="5695CF90">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建设项目环评文件中应当包含钻井液、压裂液中重金属等有毒有害物质的相关信息，涉及商业秘密、技术秘密等情形的除外。</w:t>
                  </w:r>
                </w:p>
              </w:tc>
              <w:tc>
                <w:tcPr>
                  <w:tcW w:w="3107" w:type="dxa"/>
                  <w:tcBorders>
                    <w:tl2br w:val="nil"/>
                    <w:tr2bl w:val="nil"/>
                  </w:tcBorders>
                  <w:vAlign w:val="center"/>
                </w:tcPr>
                <w:p w14:paraId="21D5B883">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本项目</w:t>
                  </w:r>
                  <w:r>
                    <w:rPr>
                      <w:rFonts w:hint="eastAsia" w:cs="Times New Roman"/>
                      <w:color w:val="auto"/>
                      <w:sz w:val="21"/>
                      <w:szCs w:val="21"/>
                      <w:lang w:val="en-US" w:eastAsia="zh-CN"/>
                    </w:rPr>
                    <w:t>一开和二开</w:t>
                  </w:r>
                  <w:r>
                    <w:rPr>
                      <w:rFonts w:hint="default" w:ascii="Times New Roman" w:hAnsi="Times New Roman" w:cs="Times New Roman"/>
                      <w:color w:val="auto"/>
                      <w:sz w:val="21"/>
                      <w:szCs w:val="21"/>
                    </w:rPr>
                    <w:t>采用水基钻井液</w:t>
                  </w:r>
                  <w:r>
                    <w:rPr>
                      <w:rFonts w:hint="eastAsia" w:cs="Times New Roman"/>
                      <w:color w:val="auto"/>
                      <w:sz w:val="21"/>
                      <w:szCs w:val="21"/>
                      <w:lang w:eastAsia="zh-CN"/>
                    </w:rPr>
                    <w:t>，</w:t>
                  </w:r>
                  <w:r>
                    <w:rPr>
                      <w:rFonts w:hint="eastAsia" w:cs="Times New Roman"/>
                      <w:color w:val="auto"/>
                      <w:sz w:val="21"/>
                      <w:szCs w:val="21"/>
                      <w:lang w:val="en-US" w:eastAsia="zh-CN"/>
                    </w:rPr>
                    <w:t>三开、四开和五开采用油基钻井液</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压裂液主要成分为羟丙基胍胶、氯化钾、过硫酸钠等</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详细成分涉及商业秘密，不宜公开，本次环评中已简单说明相关信息。</w:t>
                  </w:r>
                </w:p>
              </w:tc>
              <w:tc>
                <w:tcPr>
                  <w:tcW w:w="1017" w:type="dxa"/>
                  <w:tcBorders>
                    <w:tl2br w:val="nil"/>
                    <w:tr2bl w:val="nil"/>
                  </w:tcBorders>
                  <w:vAlign w:val="center"/>
                </w:tcPr>
                <w:p w14:paraId="43E0C4CC">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3CB76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737" w:type="dxa"/>
                  <w:tcBorders>
                    <w:tl2br w:val="nil"/>
                    <w:tr2bl w:val="nil"/>
                  </w:tcBorders>
                  <w:vAlign w:val="center"/>
                </w:tcPr>
                <w:p w14:paraId="3AD81842">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3384" w:type="dxa"/>
                  <w:tcBorders>
                    <w:tl2br w:val="nil"/>
                    <w:tr2bl w:val="nil"/>
                  </w:tcBorders>
                  <w:vAlign w:val="center"/>
                </w:tcPr>
                <w:p w14:paraId="0911D2A5">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油气开采产生的废弃油基泥浆、含油钻屑及其他固体废物，应遵循减量化、资源化、无害化原则，按照国家和地方有关固体废物的管理规定进行处置。油气开采项目产生的危险废物，应按照《建设项目危险废物环境影响评价指南》要求评价</w:t>
                  </w:r>
                </w:p>
              </w:tc>
              <w:tc>
                <w:tcPr>
                  <w:tcW w:w="3107" w:type="dxa"/>
                  <w:tcBorders>
                    <w:tl2br w:val="nil"/>
                    <w:tr2bl w:val="nil"/>
                  </w:tcBorders>
                  <w:vAlign w:val="center"/>
                </w:tcPr>
                <w:p w14:paraId="52B99EA0">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本项目井场内设有</w:t>
                  </w:r>
                  <w:r>
                    <w:rPr>
                      <w:rFonts w:hint="default" w:ascii="Times New Roman" w:hAnsi="Times New Roman" w:cs="Times New Roman"/>
                      <w:color w:val="auto"/>
                      <w:sz w:val="21"/>
                      <w:szCs w:val="21"/>
                    </w:rPr>
                    <w:t>钻井液不落地设备，</w:t>
                  </w:r>
                  <w:r>
                    <w:rPr>
                      <w:rFonts w:hint="default" w:ascii="Times New Roman" w:hAnsi="Times New Roman" w:cs="Times New Roman"/>
                      <w:color w:val="auto"/>
                      <w:sz w:val="21"/>
                      <w:szCs w:val="21"/>
                      <w:lang w:val="en-US" w:eastAsia="zh-CN"/>
                    </w:rPr>
                    <w:t>钻井液循环使用，符合减量化要求；施工结束后产生的未沾油防渗材料，由施工单位集中回收利用，符合资源化原则；项目产生的</w:t>
                  </w:r>
                  <w:r>
                    <w:rPr>
                      <w:rFonts w:hint="eastAsia" w:cs="Times New Roman"/>
                      <w:color w:val="auto"/>
                      <w:sz w:val="21"/>
                      <w:szCs w:val="21"/>
                      <w:lang w:val="en-US" w:eastAsia="zh-CN"/>
                    </w:rPr>
                    <w:t>水基钻井岩屑</w:t>
                  </w:r>
                  <w:r>
                    <w:rPr>
                      <w:rFonts w:hint="default" w:ascii="Times New Roman" w:hAnsi="Times New Roman" w:cs="Times New Roman"/>
                      <w:color w:val="auto"/>
                      <w:sz w:val="21"/>
                      <w:szCs w:val="21"/>
                      <w:lang w:val="en-US" w:eastAsia="zh-CN"/>
                    </w:rPr>
                    <w:t>集中收集后</w:t>
                  </w:r>
                  <w:r>
                    <w:rPr>
                      <w:rFonts w:hint="default" w:ascii="Times New Roman" w:hAnsi="Times New Roman" w:cs="Times New Roman"/>
                      <w:color w:val="auto"/>
                      <w:sz w:val="21"/>
                      <w:szCs w:val="21"/>
                    </w:rPr>
                    <w:t>委托第三方岩屑处置单位进行处置</w:t>
                  </w:r>
                  <w:r>
                    <w:rPr>
                      <w:rFonts w:hint="default" w:ascii="Times New Roman" w:hAnsi="Times New Roman" w:cs="Times New Roman"/>
                      <w:color w:val="auto"/>
                      <w:sz w:val="21"/>
                      <w:szCs w:val="21"/>
                      <w:lang w:eastAsia="zh-CN"/>
                    </w:rPr>
                    <w:t>，</w:t>
                  </w:r>
                  <w:r>
                    <w:rPr>
                      <w:rFonts w:hint="eastAsia" w:cs="Times New Roman"/>
                      <w:color w:val="auto"/>
                      <w:sz w:val="21"/>
                      <w:szCs w:val="21"/>
                      <w:lang w:val="en-US" w:eastAsia="zh-CN"/>
                    </w:rPr>
                    <w:t>油基岩屑等</w:t>
                  </w:r>
                  <w:r>
                    <w:rPr>
                      <w:rFonts w:hint="default" w:ascii="Times New Roman" w:hAnsi="Times New Roman" w:cs="Times New Roman"/>
                      <w:color w:val="auto"/>
                      <w:sz w:val="21"/>
                      <w:szCs w:val="21"/>
                      <w:lang w:val="en-US" w:eastAsia="zh-CN"/>
                    </w:rPr>
                    <w:t>危险废物交</w:t>
                  </w:r>
                  <w:r>
                    <w:rPr>
                      <w:rFonts w:hint="default" w:ascii="Times New Roman" w:hAnsi="Times New Roman" w:cs="Times New Roman"/>
                      <w:color w:val="auto"/>
                      <w:sz w:val="21"/>
                      <w:szCs w:val="21"/>
                    </w:rPr>
                    <w:t>具有相应危险</w:t>
                  </w:r>
                  <w:r>
                    <w:rPr>
                      <w:rFonts w:hint="default" w:ascii="Times New Roman" w:hAnsi="Times New Roman" w:cs="Times New Roman"/>
                      <w:color w:val="auto"/>
                      <w:sz w:val="21"/>
                      <w:szCs w:val="21"/>
                      <w:lang w:val="en-US" w:eastAsia="zh-CN"/>
                    </w:rPr>
                    <w:t>经营许可单位</w:t>
                  </w:r>
                  <w:r>
                    <w:rPr>
                      <w:rFonts w:hint="default" w:ascii="Times New Roman" w:hAnsi="Times New Roman" w:cs="Times New Roman"/>
                      <w:color w:val="auto"/>
                      <w:sz w:val="21"/>
                      <w:szCs w:val="21"/>
                    </w:rPr>
                    <w:t>处置</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符合无害化原则。</w:t>
                  </w:r>
                </w:p>
              </w:tc>
              <w:tc>
                <w:tcPr>
                  <w:tcW w:w="1017" w:type="dxa"/>
                  <w:tcBorders>
                    <w:tl2br w:val="nil"/>
                    <w:tr2bl w:val="nil"/>
                  </w:tcBorders>
                  <w:vAlign w:val="center"/>
                </w:tcPr>
                <w:p w14:paraId="78900F0B">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24DAC0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737" w:type="dxa"/>
                  <w:tcBorders>
                    <w:tl2br w:val="nil"/>
                    <w:tr2bl w:val="nil"/>
                  </w:tcBorders>
                  <w:vAlign w:val="center"/>
                </w:tcPr>
                <w:p w14:paraId="2B8CE29F">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w:t>
                  </w:r>
                </w:p>
              </w:tc>
              <w:tc>
                <w:tcPr>
                  <w:tcW w:w="3384" w:type="dxa"/>
                  <w:tcBorders>
                    <w:tl2br w:val="nil"/>
                    <w:tr2bl w:val="nil"/>
                  </w:tcBorders>
                  <w:vAlign w:val="center"/>
                </w:tcPr>
                <w:p w14:paraId="5726DD33">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施工期应当尽量减少施工占地、缩短施工时间、选择合理施工方式落实环境敏感区管控要求以及其他生态环境保护措施，降低生态环境影响。选用低噪声设备，避免噪声扰民。施工结束后，应当及时落实环评提出的生态保护措施。</w:t>
                  </w:r>
                </w:p>
              </w:tc>
              <w:tc>
                <w:tcPr>
                  <w:tcW w:w="3107" w:type="dxa"/>
                  <w:tcBorders>
                    <w:tl2br w:val="nil"/>
                    <w:tr2bl w:val="nil"/>
                  </w:tcBorders>
                  <w:vAlign w:val="center"/>
                </w:tcPr>
                <w:p w14:paraId="781CA7C8">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本次环评提出施工期尽量减少占地、缩短施工时间的要求</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项目不涉及生态环境敏感区。项目实施过程采用</w:t>
                  </w:r>
                  <w:r>
                    <w:rPr>
                      <w:rFonts w:hint="default" w:ascii="Times New Roman" w:hAnsi="Times New Roman" w:cs="Times New Roman"/>
                      <w:color w:val="auto"/>
                      <w:sz w:val="21"/>
                      <w:szCs w:val="21"/>
                    </w:rPr>
                    <w:t>低噪声设备</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项目结束后</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对临时占地范围进行及时清理、平整，严格落实本次环评中提出的生态保护措施。</w:t>
                  </w:r>
                </w:p>
              </w:tc>
              <w:tc>
                <w:tcPr>
                  <w:tcW w:w="1017" w:type="dxa"/>
                  <w:tcBorders>
                    <w:tl2br w:val="nil"/>
                    <w:tr2bl w:val="nil"/>
                  </w:tcBorders>
                  <w:vAlign w:val="center"/>
                </w:tcPr>
                <w:p w14:paraId="19858C5D">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4E20FC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737" w:type="dxa"/>
                  <w:tcBorders>
                    <w:tl2br w:val="nil"/>
                    <w:tr2bl w:val="nil"/>
                  </w:tcBorders>
                  <w:vAlign w:val="center"/>
                </w:tcPr>
                <w:p w14:paraId="449D0D8D">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3384" w:type="dxa"/>
                  <w:tcBorders>
                    <w:tl2br w:val="nil"/>
                    <w:tr2bl w:val="nil"/>
                  </w:tcBorders>
                  <w:vAlign w:val="center"/>
                </w:tcPr>
                <w:p w14:paraId="15752486">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油气企业应当加强风险防控，按规定编制突发环境事件应急预案，报所在地生态环境主管部门备案。</w:t>
                  </w:r>
                </w:p>
              </w:tc>
              <w:tc>
                <w:tcPr>
                  <w:tcW w:w="3107" w:type="dxa"/>
                  <w:tcBorders>
                    <w:tl2br w:val="nil"/>
                    <w:tr2bl w:val="nil"/>
                  </w:tcBorders>
                  <w:vAlign w:val="center"/>
                </w:tcPr>
                <w:p w14:paraId="53EED2FA">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本项目</w:t>
                  </w:r>
                  <w:r>
                    <w:rPr>
                      <w:rFonts w:hint="default" w:ascii="Times New Roman" w:hAnsi="Times New Roman" w:cs="Times New Roman"/>
                      <w:color w:val="auto"/>
                      <w:sz w:val="21"/>
                      <w:szCs w:val="21"/>
                    </w:rPr>
                    <w:t>环境风险防范执行《中国石油新疆油田分公司勘探事业部突发环境事件应急预案》</w:t>
                  </w:r>
                  <w:r>
                    <w:rPr>
                      <w:rFonts w:hint="default" w:ascii="Times New Roman" w:hAnsi="Times New Roman" w:cs="Times New Roman"/>
                      <w:color w:val="auto"/>
                      <w:sz w:val="21"/>
                      <w:szCs w:val="21"/>
                      <w:lang w:eastAsia="zh-CN"/>
                    </w:rPr>
                    <w:t>。</w:t>
                  </w:r>
                </w:p>
              </w:tc>
              <w:tc>
                <w:tcPr>
                  <w:tcW w:w="1017" w:type="dxa"/>
                  <w:tcBorders>
                    <w:tl2br w:val="nil"/>
                    <w:tr2bl w:val="nil"/>
                  </w:tcBorders>
                  <w:vAlign w:val="center"/>
                </w:tcPr>
                <w:p w14:paraId="7DD3464A">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bl>
          <w:p w14:paraId="7A24DECB">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color w:val="auto"/>
                <w:kern w:val="2"/>
                <w:sz w:val="24"/>
                <w:szCs w:val="24"/>
                <w:lang w:val="en-US" w:eastAsia="zh-CN" w:bidi="ar-SA"/>
              </w:rPr>
              <w:t>4.</w:t>
            </w:r>
            <w:r>
              <w:rPr>
                <w:rFonts w:hint="default" w:ascii="Times New Roman" w:hAnsi="Times New Roman" w:cs="Times New Roman"/>
                <w:color w:val="auto"/>
                <w:lang w:val="en-US" w:eastAsia="zh-CN"/>
              </w:rPr>
              <w:t>与</w:t>
            </w:r>
            <w:r>
              <w:rPr>
                <w:rFonts w:hint="default" w:ascii="Times New Roman" w:hAnsi="Times New Roman" w:cs="Times New Roman"/>
                <w:color w:val="auto"/>
              </w:rPr>
              <w:t>《石油天然气开采业污染防治技术政策》</w:t>
            </w:r>
            <w:r>
              <w:rPr>
                <w:rFonts w:hint="default" w:ascii="Times New Roman" w:hAnsi="Times New Roman" w:cs="Times New Roman"/>
                <w:color w:val="auto"/>
                <w:lang w:val="en-US" w:eastAsia="zh-CN"/>
              </w:rPr>
              <w:t>符合性分析</w:t>
            </w:r>
          </w:p>
          <w:p w14:paraId="5C5602B6">
            <w:pPr>
              <w:pStyle w:val="11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本项目与</w:t>
            </w:r>
            <w:r>
              <w:rPr>
                <w:rFonts w:hint="default" w:ascii="Times New Roman" w:hAnsi="Times New Roman" w:cs="Times New Roman"/>
                <w:color w:val="auto"/>
              </w:rPr>
              <w:t>《石油天然气开采业污染防治技术政策》</w:t>
            </w:r>
            <w:r>
              <w:rPr>
                <w:rFonts w:hint="default" w:ascii="Times New Roman" w:hAnsi="Times New Roman" w:cs="Times New Roman"/>
                <w:color w:val="auto"/>
                <w:lang w:val="en-US" w:eastAsia="zh-CN"/>
              </w:rPr>
              <w:t>符合性</w:t>
            </w:r>
            <w:r>
              <w:rPr>
                <w:rStyle w:val="115"/>
                <w:rFonts w:hint="default" w:ascii="Times New Roman" w:hAnsi="Times New Roman" w:cs="Times New Roman"/>
                <w:color w:val="auto"/>
                <w:lang w:val="en-US" w:eastAsia="zh-CN"/>
              </w:rPr>
              <w:t>分析</w:t>
            </w:r>
            <w:r>
              <w:rPr>
                <w:rFonts w:hint="default" w:ascii="Times New Roman" w:hAnsi="Times New Roman" w:cs="Times New Roman"/>
                <w:color w:val="auto"/>
                <w:lang w:val="en-US" w:eastAsia="zh-CN"/>
              </w:rPr>
              <w:t>见表1-3。</w:t>
            </w:r>
          </w:p>
          <w:p w14:paraId="610EB97B">
            <w:pPr>
              <w:pStyle w:val="114"/>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1-</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本项目与</w:t>
            </w:r>
            <w:r>
              <w:rPr>
                <w:rFonts w:hint="default" w:ascii="Times New Roman" w:hAnsi="Times New Roman" w:cs="Times New Roman"/>
                <w:color w:val="auto"/>
              </w:rPr>
              <w:t>《石油天然气开采业污染防治技术政策》</w:t>
            </w:r>
            <w:r>
              <w:rPr>
                <w:rFonts w:hint="default" w:ascii="Times New Roman" w:hAnsi="Times New Roman" w:cs="Times New Roman"/>
                <w:color w:val="auto"/>
                <w:lang w:val="en-US" w:eastAsia="zh-CN"/>
              </w:rPr>
              <w:t>符合性分析</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496"/>
              <w:gridCol w:w="3374"/>
              <w:gridCol w:w="3127"/>
              <w:gridCol w:w="746"/>
            </w:tblGrid>
            <w:tr w14:paraId="502405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526" w:type="dxa"/>
                  <w:tcBorders>
                    <w:tl2br w:val="nil"/>
                    <w:tr2bl w:val="nil"/>
                  </w:tcBorders>
                  <w:vAlign w:val="center"/>
                </w:tcPr>
                <w:p w14:paraId="6FC1A7B9">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序号</w:t>
                  </w:r>
                </w:p>
              </w:tc>
              <w:tc>
                <w:tcPr>
                  <w:tcW w:w="3595" w:type="dxa"/>
                  <w:tcBorders>
                    <w:tl2br w:val="nil"/>
                    <w:tr2bl w:val="nil"/>
                  </w:tcBorders>
                  <w:vAlign w:val="center"/>
                </w:tcPr>
                <w:p w14:paraId="4EC9B8C6">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文件要求</w:t>
                  </w:r>
                </w:p>
              </w:tc>
              <w:tc>
                <w:tcPr>
                  <w:tcW w:w="3332" w:type="dxa"/>
                  <w:tcBorders>
                    <w:tl2br w:val="nil"/>
                    <w:tr2bl w:val="nil"/>
                  </w:tcBorders>
                  <w:vAlign w:val="center"/>
                </w:tcPr>
                <w:p w14:paraId="370564D9">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本项目情况</w:t>
                  </w:r>
                </w:p>
              </w:tc>
              <w:tc>
                <w:tcPr>
                  <w:tcW w:w="792" w:type="dxa"/>
                  <w:tcBorders>
                    <w:tl2br w:val="nil"/>
                    <w:tr2bl w:val="nil"/>
                  </w:tcBorders>
                  <w:vAlign w:val="center"/>
                </w:tcPr>
                <w:p w14:paraId="383F38E8">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符合性</w:t>
                  </w:r>
                </w:p>
              </w:tc>
            </w:tr>
            <w:tr w14:paraId="250E4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526" w:type="dxa"/>
                  <w:tcBorders>
                    <w:tl2br w:val="nil"/>
                    <w:tr2bl w:val="nil"/>
                  </w:tcBorders>
                  <w:vAlign w:val="center"/>
                </w:tcPr>
                <w:p w14:paraId="3D79F358">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3595" w:type="dxa"/>
                  <w:tcBorders>
                    <w:tl2br w:val="nil"/>
                    <w:tr2bl w:val="nil"/>
                  </w:tcBorders>
                  <w:vAlign w:val="center"/>
                </w:tcPr>
                <w:p w14:paraId="3291DE8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rPr>
                    <w:t>在钻井和井下作业过程中，鼓励污油、污水进入生产流程循环利用，未进入生产流程的污油、污水应采用固液分离、废水处理一体化装置等处理后达标外排。</w:t>
                  </w:r>
                </w:p>
              </w:tc>
              <w:tc>
                <w:tcPr>
                  <w:tcW w:w="3332" w:type="dxa"/>
                  <w:tcBorders>
                    <w:tl2br w:val="nil"/>
                    <w:tr2bl w:val="nil"/>
                  </w:tcBorders>
                  <w:vAlign w:val="center"/>
                </w:tcPr>
                <w:p w14:paraId="425B93AD">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本项目钻井液循环使用，洗井废水、压裂返排液使用罐车拉运至采油一厂车89处理站处置，项目无废水外排。</w:t>
                  </w:r>
                </w:p>
              </w:tc>
              <w:tc>
                <w:tcPr>
                  <w:tcW w:w="792" w:type="dxa"/>
                  <w:tcBorders>
                    <w:tl2br w:val="nil"/>
                    <w:tr2bl w:val="nil"/>
                  </w:tcBorders>
                  <w:vAlign w:val="center"/>
                </w:tcPr>
                <w:p w14:paraId="6A4EDA32">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025733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526" w:type="dxa"/>
                  <w:tcBorders>
                    <w:tl2br w:val="nil"/>
                    <w:tr2bl w:val="nil"/>
                  </w:tcBorders>
                  <w:vAlign w:val="center"/>
                </w:tcPr>
                <w:p w14:paraId="71C872A4">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3595" w:type="dxa"/>
                  <w:tcBorders>
                    <w:tl2br w:val="nil"/>
                    <w:tr2bl w:val="nil"/>
                  </w:tcBorders>
                  <w:vAlign w:val="center"/>
                </w:tcPr>
                <w:p w14:paraId="097B0D1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rPr>
                    <w:t>油气田企业应制定环境保护管理规定，建立并运行健康、安全与环境管理体系；加强油气田建设、勘探开发过程的环境监督管理。在开发过程中，企业应加强油气井套管的检测和维护，防止油气泄漏污染地下水；建立环境保护人员培训制度；油气田企业应对勘探开发过程进行环境风险因素识别，制定突发环境事件应急预案并定期进行演练。采取环境风险防范和应急措施，防止发生由突发性油气泄漏产生的环境事故。</w:t>
                  </w:r>
                </w:p>
              </w:tc>
              <w:tc>
                <w:tcPr>
                  <w:tcW w:w="3332" w:type="dxa"/>
                  <w:tcBorders>
                    <w:tl2br w:val="nil"/>
                    <w:tr2bl w:val="nil"/>
                  </w:tcBorders>
                  <w:vAlign w:val="center"/>
                </w:tcPr>
                <w:p w14:paraId="6B4F01E3">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eastAsia"/>
                      <w:color w:val="auto"/>
                      <w:sz w:val="21"/>
                      <w:szCs w:val="21"/>
                    </w:rPr>
                    <w:t>钻井过程中使用水泥固井，用套管将含水层与井筒分隔开，加强油井套管的检测和维护，井场采取了符合规范的防渗措施，防止油气泄漏污染地下水；环境风险防范执行《中国石油新疆油田分公司勘探事业部突发环境事件应急预案》，同时落实中国石油新疆油田分公司已建立的健康、安全与环境（HSE）管理体系。</w:t>
                  </w:r>
                </w:p>
              </w:tc>
              <w:tc>
                <w:tcPr>
                  <w:tcW w:w="792" w:type="dxa"/>
                  <w:tcBorders>
                    <w:tl2br w:val="nil"/>
                    <w:tr2bl w:val="nil"/>
                  </w:tcBorders>
                  <w:vAlign w:val="center"/>
                </w:tcPr>
                <w:p w14:paraId="7E497125">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bl>
          <w:p w14:paraId="67CBCF87">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color w:val="auto"/>
                <w:kern w:val="2"/>
                <w:sz w:val="24"/>
                <w:szCs w:val="24"/>
                <w:lang w:val="en-US" w:eastAsia="zh-CN" w:bidi="ar-SA"/>
              </w:rPr>
              <w:t>5.</w:t>
            </w:r>
            <w:r>
              <w:rPr>
                <w:rFonts w:hint="default" w:ascii="Times New Roman" w:hAnsi="Times New Roman" w:cs="Times New Roman"/>
                <w:color w:val="auto"/>
                <w:lang w:val="en-US" w:eastAsia="zh-CN"/>
              </w:rPr>
              <w:t>与《新疆维吾尔自治区重点行业生态环境准入条件（2024年）》</w:t>
            </w:r>
            <w:bookmarkStart w:id="11" w:name="OLE_LINK13"/>
            <w:r>
              <w:rPr>
                <w:rFonts w:hint="default" w:ascii="Times New Roman" w:hAnsi="Times New Roman" w:cs="Times New Roman"/>
                <w:color w:val="auto"/>
                <w:lang w:val="en-US" w:eastAsia="zh-CN"/>
              </w:rPr>
              <w:t>符合性分析</w:t>
            </w:r>
            <w:bookmarkEnd w:id="11"/>
          </w:p>
          <w:p w14:paraId="7929399E">
            <w:pPr>
              <w:pStyle w:val="11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本项目与</w:t>
            </w:r>
            <w:bookmarkStart w:id="12" w:name="OLE_LINK11"/>
            <w:r>
              <w:rPr>
                <w:rFonts w:hint="default" w:ascii="Times New Roman" w:hAnsi="Times New Roman" w:cs="Times New Roman"/>
                <w:color w:val="auto"/>
              </w:rPr>
              <w:t>《新疆维吾尔自治区重点行业生态环境准入条件（2024年）》</w:t>
            </w:r>
            <w:bookmarkEnd w:id="12"/>
            <w:r>
              <w:rPr>
                <w:rFonts w:hint="default" w:ascii="Times New Roman" w:hAnsi="Times New Roman" w:cs="Times New Roman"/>
                <w:color w:val="auto"/>
                <w:lang w:val="en-US" w:eastAsia="zh-CN"/>
              </w:rPr>
              <w:t>符合性分析见表1-4。</w:t>
            </w:r>
          </w:p>
          <w:p w14:paraId="3713462A">
            <w:pPr>
              <w:pStyle w:val="114"/>
              <w:bidi w:val="0"/>
              <w:rPr>
                <w:rFonts w:hint="default" w:ascii="Times New Roman" w:hAnsi="Times New Roman" w:cs="Times New Roman"/>
                <w:color w:val="auto"/>
                <w:spacing w:val="-11"/>
                <w:sz w:val="21"/>
                <w:lang w:val="en-US" w:eastAsia="zh-CN"/>
              </w:rPr>
            </w:pPr>
            <w:r>
              <w:rPr>
                <w:rFonts w:hint="default" w:ascii="Times New Roman" w:hAnsi="Times New Roman" w:cs="Times New Roman"/>
                <w:color w:val="auto"/>
                <w:spacing w:val="-11"/>
                <w:sz w:val="21"/>
              </w:rPr>
              <w:t>表</w:t>
            </w:r>
            <w:r>
              <w:rPr>
                <w:rFonts w:hint="default" w:ascii="Times New Roman" w:hAnsi="Times New Roman" w:cs="Times New Roman"/>
                <w:color w:val="auto"/>
                <w:spacing w:val="-11"/>
                <w:sz w:val="21"/>
                <w:lang w:val="en-US" w:eastAsia="zh-CN"/>
              </w:rPr>
              <w:t>1-</w:t>
            </w:r>
            <w:r>
              <w:rPr>
                <w:rFonts w:hint="default" w:ascii="Times New Roman" w:hAnsi="Times New Roman" w:cs="Times New Roman"/>
                <w:color w:val="auto"/>
                <w:spacing w:val="-11"/>
                <w:sz w:val="21"/>
              </w:rPr>
              <w:fldChar w:fldCharType="begin"/>
            </w:r>
            <w:r>
              <w:rPr>
                <w:rFonts w:hint="default" w:ascii="Times New Roman" w:hAnsi="Times New Roman" w:cs="Times New Roman"/>
                <w:color w:val="auto"/>
                <w:spacing w:val="-11"/>
                <w:sz w:val="21"/>
              </w:rPr>
              <w:instrText xml:space="preserve"> SEQ 表 \* ARABIC </w:instrText>
            </w:r>
            <w:r>
              <w:rPr>
                <w:rFonts w:hint="default" w:ascii="Times New Roman" w:hAnsi="Times New Roman" w:cs="Times New Roman"/>
                <w:color w:val="auto"/>
                <w:spacing w:val="-11"/>
                <w:sz w:val="21"/>
              </w:rPr>
              <w:fldChar w:fldCharType="separate"/>
            </w:r>
            <w:r>
              <w:rPr>
                <w:rFonts w:hint="default" w:ascii="Times New Roman" w:hAnsi="Times New Roman" w:cs="Times New Roman"/>
                <w:color w:val="auto"/>
                <w:spacing w:val="-11"/>
                <w:sz w:val="21"/>
              </w:rPr>
              <w:t>4</w:t>
            </w:r>
            <w:r>
              <w:rPr>
                <w:rFonts w:hint="default" w:ascii="Times New Roman" w:hAnsi="Times New Roman" w:cs="Times New Roman"/>
                <w:color w:val="auto"/>
                <w:spacing w:val="-11"/>
                <w:sz w:val="21"/>
              </w:rPr>
              <w:fldChar w:fldCharType="end"/>
            </w:r>
            <w:r>
              <w:rPr>
                <w:rFonts w:hint="default" w:ascii="Times New Roman" w:hAnsi="Times New Roman" w:cs="Times New Roman"/>
                <w:color w:val="auto"/>
                <w:spacing w:val="-11"/>
                <w:sz w:val="21"/>
                <w:lang w:val="en-US" w:eastAsia="zh-CN"/>
              </w:rPr>
              <w:t xml:space="preserve">  本项目与</w:t>
            </w:r>
            <w:r>
              <w:rPr>
                <w:rFonts w:hint="default" w:ascii="Times New Roman" w:hAnsi="Times New Roman" w:cs="Times New Roman"/>
                <w:color w:val="auto"/>
                <w:spacing w:val="-11"/>
                <w:sz w:val="21"/>
              </w:rPr>
              <w:t>《新疆维吾尔自治区重点行业生态环境准入条件（2024年）》</w:t>
            </w:r>
            <w:r>
              <w:rPr>
                <w:rFonts w:hint="default" w:ascii="Times New Roman" w:hAnsi="Times New Roman" w:cs="Times New Roman"/>
                <w:color w:val="auto"/>
                <w:spacing w:val="-11"/>
                <w:sz w:val="21"/>
                <w:lang w:val="en-US" w:eastAsia="zh-CN"/>
              </w:rPr>
              <w:t>符合性分析</w:t>
            </w:r>
          </w:p>
          <w:tbl>
            <w:tblPr>
              <w:tblStyle w:val="26"/>
              <w:tblW w:w="774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168"/>
              <w:gridCol w:w="2965"/>
              <w:gridCol w:w="908"/>
            </w:tblGrid>
            <w:tr w14:paraId="7142F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tcBorders>
                    <w:tl2br w:val="nil"/>
                    <w:tr2bl w:val="nil"/>
                  </w:tcBorders>
                  <w:vAlign w:val="center"/>
                </w:tcPr>
                <w:p w14:paraId="14E9C601">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bookmarkStart w:id="13" w:name="OLE_LINK17" w:colFirst="0" w:colLast="3"/>
                  <w:r>
                    <w:rPr>
                      <w:rFonts w:hint="default" w:ascii="Times New Roman" w:hAnsi="Times New Roman" w:cs="Times New Roman"/>
                      <w:color w:val="auto"/>
                      <w:sz w:val="21"/>
                      <w:szCs w:val="21"/>
                      <w:lang w:val="en-US" w:eastAsia="zh-CN"/>
                    </w:rPr>
                    <w:t>序号</w:t>
                  </w:r>
                </w:p>
              </w:tc>
              <w:tc>
                <w:tcPr>
                  <w:tcW w:w="3168" w:type="dxa"/>
                  <w:tcBorders>
                    <w:tl2br w:val="nil"/>
                    <w:tr2bl w:val="nil"/>
                  </w:tcBorders>
                  <w:vAlign w:val="center"/>
                </w:tcPr>
                <w:p w14:paraId="33E4ABD5">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文件要求</w:t>
                  </w:r>
                </w:p>
              </w:tc>
              <w:tc>
                <w:tcPr>
                  <w:tcW w:w="2965" w:type="dxa"/>
                  <w:tcBorders>
                    <w:tl2br w:val="nil"/>
                    <w:tr2bl w:val="nil"/>
                  </w:tcBorders>
                  <w:vAlign w:val="center"/>
                </w:tcPr>
                <w:p w14:paraId="67BA0A7C">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本项目情况</w:t>
                  </w:r>
                </w:p>
              </w:tc>
              <w:tc>
                <w:tcPr>
                  <w:tcW w:w="908" w:type="dxa"/>
                  <w:tcBorders>
                    <w:tl2br w:val="nil"/>
                    <w:tr2bl w:val="nil"/>
                  </w:tcBorders>
                  <w:vAlign w:val="center"/>
                </w:tcPr>
                <w:p w14:paraId="215E022D">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符合性</w:t>
                  </w:r>
                </w:p>
              </w:tc>
            </w:tr>
            <w:bookmarkEnd w:id="13"/>
            <w:tr w14:paraId="044C1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tcBorders>
                    <w:tl2br w:val="nil"/>
                    <w:tr2bl w:val="nil"/>
                  </w:tcBorders>
                  <w:vAlign w:val="center"/>
                </w:tcPr>
                <w:p w14:paraId="3DC672FA">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3168" w:type="dxa"/>
                  <w:tcBorders>
                    <w:tl2br w:val="nil"/>
                    <w:tr2bl w:val="nil"/>
                  </w:tcBorders>
                  <w:vAlign w:val="center"/>
                </w:tcPr>
                <w:p w14:paraId="2BBD59E2">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施工期应当尽量减少施工占地、严格控制施工作业面积、缩短施工时间、选择合理施工方式、落实环境敏感区管控要求以及其他生态环境保护措施，有效降低生态环境影响。</w:t>
                  </w:r>
                </w:p>
              </w:tc>
              <w:tc>
                <w:tcPr>
                  <w:tcW w:w="2965" w:type="dxa"/>
                  <w:tcBorders>
                    <w:tl2br w:val="nil"/>
                    <w:tr2bl w:val="nil"/>
                  </w:tcBorders>
                  <w:vAlign w:val="center"/>
                </w:tcPr>
                <w:p w14:paraId="0B8CA967">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eastAsia" w:ascii="Times New Roman" w:hAnsi="Times New Roman" w:cs="Times New Roman"/>
                      <w:color w:val="auto"/>
                      <w:sz w:val="21"/>
                      <w:szCs w:val="21"/>
                    </w:rPr>
                    <w:t>井场</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道路</w:t>
                  </w:r>
                  <w:r>
                    <w:rPr>
                      <w:rFonts w:hint="eastAsia" w:cs="Times New Roman"/>
                      <w:color w:val="auto"/>
                      <w:sz w:val="21"/>
                      <w:szCs w:val="21"/>
                      <w:lang w:val="en-US" w:eastAsia="zh-CN"/>
                    </w:rPr>
                    <w:t>及生活营地的</w:t>
                  </w:r>
                  <w:r>
                    <w:rPr>
                      <w:rFonts w:hint="eastAsia" w:ascii="Times New Roman" w:hAnsi="Times New Roman" w:cs="Times New Roman"/>
                      <w:color w:val="auto"/>
                      <w:sz w:val="21"/>
                      <w:szCs w:val="21"/>
                    </w:rPr>
                    <w:t>临时占地规模从土地资源节约方面考虑，尽可能缩小占地面积和作业带宽度。</w:t>
                  </w:r>
                </w:p>
              </w:tc>
              <w:tc>
                <w:tcPr>
                  <w:tcW w:w="908" w:type="dxa"/>
                  <w:tcBorders>
                    <w:tl2br w:val="nil"/>
                    <w:tr2bl w:val="nil"/>
                  </w:tcBorders>
                  <w:vAlign w:val="center"/>
                </w:tcPr>
                <w:p w14:paraId="3A747FB0">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5D7873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tcBorders>
                    <w:tl2br w:val="nil"/>
                    <w:tr2bl w:val="nil"/>
                  </w:tcBorders>
                  <w:vAlign w:val="center"/>
                </w:tcPr>
                <w:p w14:paraId="4741FDD8">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3168" w:type="dxa"/>
                  <w:tcBorders>
                    <w:tl2br w:val="nil"/>
                    <w:tr2bl w:val="nil"/>
                  </w:tcBorders>
                  <w:vAlign w:val="center"/>
                </w:tcPr>
                <w:p w14:paraId="217D1375">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钻井及储层改造应采用环境友好的油田化学助剂、酸化液、压裂液、钻井液，配备完善的固控设备，钻井液循环率应达到95%以上，压裂废液、酸化废液等井下作业废水应100%返排入罐。</w:t>
                  </w:r>
                </w:p>
              </w:tc>
              <w:tc>
                <w:tcPr>
                  <w:tcW w:w="2965" w:type="dxa"/>
                  <w:tcBorders>
                    <w:tl2br w:val="nil"/>
                    <w:tr2bl w:val="nil"/>
                  </w:tcBorders>
                  <w:vAlign w:val="center"/>
                </w:tcPr>
                <w:p w14:paraId="6B4A566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w:t>
                  </w:r>
                  <w:r>
                    <w:rPr>
                      <w:rFonts w:hint="eastAsia" w:cs="Times New Roman"/>
                      <w:color w:val="auto"/>
                      <w:sz w:val="21"/>
                      <w:szCs w:val="21"/>
                      <w:lang w:val="en-US" w:eastAsia="zh-CN"/>
                    </w:rPr>
                    <w:t>井场设有不落地系统，</w:t>
                  </w:r>
                  <w:r>
                    <w:rPr>
                      <w:rFonts w:hint="default" w:ascii="Times New Roman" w:hAnsi="Times New Roman" w:eastAsia="宋体" w:cs="Times New Roman"/>
                      <w:color w:val="auto"/>
                      <w:sz w:val="21"/>
                      <w:szCs w:val="21"/>
                      <w:lang w:val="en-US" w:eastAsia="zh-CN"/>
                    </w:rPr>
                    <w:t>使用固控设备和不落地系统对钻井液进行处理后循环使用；</w:t>
                  </w:r>
                  <w:r>
                    <w:rPr>
                      <w:rFonts w:hint="default" w:ascii="Times New Roman" w:hAnsi="Times New Roman" w:eastAsia="宋体" w:cs="Times New Roman"/>
                      <w:color w:val="auto"/>
                      <w:sz w:val="21"/>
                      <w:szCs w:val="21"/>
                      <w:highlight w:val="none"/>
                      <w:lang w:val="en-US" w:eastAsia="zh-CN"/>
                    </w:rPr>
                    <w:t>洗井废水</w:t>
                  </w:r>
                  <w:r>
                    <w:rPr>
                      <w:rFonts w:hint="default" w:ascii="Times New Roman" w:hAnsi="Times New Roman" w:eastAsia="宋体" w:cs="Times New Roman"/>
                      <w:color w:val="auto"/>
                      <w:sz w:val="21"/>
                      <w:szCs w:val="21"/>
                      <w:lang w:val="en-US" w:eastAsia="zh-CN"/>
                    </w:rPr>
                    <w:t>、压裂返排液等井下作业废水100%入罐，废水不外排。</w:t>
                  </w:r>
                </w:p>
              </w:tc>
              <w:tc>
                <w:tcPr>
                  <w:tcW w:w="908" w:type="dxa"/>
                  <w:tcBorders>
                    <w:tl2br w:val="nil"/>
                    <w:tr2bl w:val="nil"/>
                  </w:tcBorders>
                  <w:vAlign w:val="center"/>
                </w:tcPr>
                <w:p w14:paraId="7BA69DB6">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5588FF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tcBorders>
                    <w:tl2br w:val="nil"/>
                    <w:tr2bl w:val="nil"/>
                  </w:tcBorders>
                  <w:vAlign w:val="center"/>
                </w:tcPr>
                <w:p w14:paraId="40C82CC3">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w:t>
                  </w:r>
                </w:p>
              </w:tc>
              <w:tc>
                <w:tcPr>
                  <w:tcW w:w="3168" w:type="dxa"/>
                  <w:tcBorders>
                    <w:tl2br w:val="nil"/>
                    <w:tr2bl w:val="nil"/>
                  </w:tcBorders>
                  <w:vAlign w:val="center"/>
                </w:tcPr>
                <w:p w14:paraId="090A8856">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废弃钻井泥浆及岩屑应采取“泥浆不落地”工艺，勘探、开发过程产生的落地原油回收率应达到100%。废弃水基钻井泥浆及岩屑经“泥浆不落地”设备处理后，固相优先综合利用。</w:t>
                  </w:r>
                </w:p>
              </w:tc>
              <w:tc>
                <w:tcPr>
                  <w:tcW w:w="2965" w:type="dxa"/>
                  <w:tcBorders>
                    <w:tl2br w:val="nil"/>
                    <w:tr2bl w:val="nil"/>
                  </w:tcBorders>
                  <w:vAlign w:val="center"/>
                </w:tcPr>
                <w:p w14:paraId="6D0939F6">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本项目井场设有钻井泥浆不落地系统，同时对井场进行分区防渗，确保不产生落地原油；</w:t>
                  </w:r>
                  <w:r>
                    <w:rPr>
                      <w:rFonts w:hint="eastAsia" w:cs="Times New Roman"/>
                      <w:color w:val="auto"/>
                      <w:sz w:val="21"/>
                      <w:szCs w:val="21"/>
                      <w:lang w:val="en-US" w:eastAsia="zh-CN"/>
                    </w:rPr>
                    <w:t>事故状态下产生的落地油集中收集后直接交由具有相应危废处置资质的单位进行接收、转运和处置；</w:t>
                  </w:r>
                  <w:r>
                    <w:rPr>
                      <w:rFonts w:hint="default" w:ascii="Times New Roman" w:hAnsi="Times New Roman" w:cs="Times New Roman"/>
                      <w:color w:val="auto"/>
                      <w:sz w:val="21"/>
                      <w:szCs w:val="21"/>
                      <w:lang w:val="en-US" w:eastAsia="zh-CN"/>
                    </w:rPr>
                    <w:t>不落地系统分离出的</w:t>
                  </w:r>
                  <w:r>
                    <w:rPr>
                      <w:rFonts w:hint="eastAsia" w:cs="Times New Roman"/>
                      <w:color w:val="auto"/>
                      <w:sz w:val="21"/>
                      <w:szCs w:val="21"/>
                      <w:lang w:val="en-US" w:eastAsia="zh-CN"/>
                    </w:rPr>
                    <w:t>水基钻井岩屑</w:t>
                  </w:r>
                  <w:r>
                    <w:rPr>
                      <w:rFonts w:hint="default" w:ascii="Times New Roman" w:hAnsi="Times New Roman" w:cs="Times New Roman"/>
                      <w:color w:val="auto"/>
                      <w:sz w:val="21"/>
                      <w:szCs w:val="21"/>
                      <w:lang w:val="en-US" w:eastAsia="zh-CN"/>
                    </w:rPr>
                    <w:t>进罐收集后交第三方岩屑处置单位进行处置后再利用</w:t>
                  </w:r>
                  <w:r>
                    <w:rPr>
                      <w:rFonts w:hint="eastAsia" w:cs="Times New Roman"/>
                      <w:color w:val="auto"/>
                      <w:sz w:val="21"/>
                      <w:szCs w:val="21"/>
                      <w:lang w:val="en-US" w:eastAsia="zh-CN"/>
                    </w:rPr>
                    <w:t>；油基岩屑进罐收集后交具有相应危险经营许可单位处置</w:t>
                  </w:r>
                  <w:r>
                    <w:rPr>
                      <w:rFonts w:hint="default" w:ascii="Times New Roman" w:hAnsi="Times New Roman" w:cs="Times New Roman"/>
                      <w:color w:val="auto"/>
                      <w:sz w:val="21"/>
                      <w:szCs w:val="21"/>
                      <w:lang w:val="en-US" w:eastAsia="zh-CN"/>
                    </w:rPr>
                    <w:t>。</w:t>
                  </w:r>
                </w:p>
              </w:tc>
              <w:tc>
                <w:tcPr>
                  <w:tcW w:w="908" w:type="dxa"/>
                  <w:tcBorders>
                    <w:tl2br w:val="nil"/>
                    <w:tr2bl w:val="nil"/>
                  </w:tcBorders>
                  <w:vAlign w:val="center"/>
                </w:tcPr>
                <w:p w14:paraId="7C1E5543">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bl>
          <w:p w14:paraId="7791C6DD">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eastAsia="宋体" w:cs="Times New Roman"/>
                <w:b/>
                <w:color w:val="auto"/>
                <w:kern w:val="2"/>
                <w:sz w:val="24"/>
                <w:szCs w:val="24"/>
                <w:lang w:val="en-US" w:eastAsia="zh-CN" w:bidi="ar-SA"/>
              </w:rPr>
            </w:pPr>
          </w:p>
          <w:p w14:paraId="0350D8AB">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eastAsia="宋体" w:cs="Times New Roman"/>
                <w:b/>
                <w:color w:val="auto"/>
                <w:kern w:val="2"/>
                <w:sz w:val="24"/>
                <w:szCs w:val="24"/>
                <w:lang w:val="en-US" w:eastAsia="zh-CN" w:bidi="ar-SA"/>
              </w:rPr>
            </w:pPr>
          </w:p>
          <w:p w14:paraId="4CCD04FD">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cs="Times New Roman"/>
                <w:b/>
                <w:color w:val="auto"/>
                <w:sz w:val="24"/>
                <w:lang w:val="en-US" w:eastAsia="zh-CN"/>
              </w:rPr>
            </w:pPr>
            <w:r>
              <w:rPr>
                <w:rFonts w:hint="default" w:ascii="Times New Roman" w:hAnsi="Times New Roman" w:eastAsia="宋体" w:cs="Times New Roman"/>
                <w:b/>
                <w:color w:val="auto"/>
                <w:kern w:val="2"/>
                <w:sz w:val="24"/>
                <w:szCs w:val="24"/>
                <w:lang w:val="en-US" w:eastAsia="zh-CN" w:bidi="ar-SA"/>
              </w:rPr>
              <w:t>6.</w:t>
            </w:r>
            <w:r>
              <w:rPr>
                <w:rFonts w:hint="default" w:ascii="Times New Roman" w:hAnsi="Times New Roman" w:cs="Times New Roman"/>
                <w:b/>
                <w:color w:val="auto"/>
                <w:sz w:val="24"/>
                <w:lang w:val="en-US" w:eastAsia="zh-CN"/>
              </w:rPr>
              <w:t>与</w:t>
            </w:r>
            <w:r>
              <w:rPr>
                <w:rFonts w:hint="default" w:ascii="Times New Roman" w:hAnsi="Times New Roman" w:cs="Times New Roman"/>
                <w:b/>
                <w:color w:val="auto"/>
                <w:sz w:val="24"/>
              </w:rPr>
              <w:t>《新疆生态环境保护“十四五”规划》</w:t>
            </w:r>
            <w:r>
              <w:rPr>
                <w:rFonts w:hint="default" w:ascii="Times New Roman" w:hAnsi="Times New Roman" w:cs="Times New Roman"/>
                <w:b/>
                <w:color w:val="auto"/>
                <w:sz w:val="24"/>
                <w:lang w:val="en-US" w:eastAsia="zh-CN"/>
              </w:rPr>
              <w:t>符合性分析</w:t>
            </w:r>
          </w:p>
          <w:p w14:paraId="4198FEE4">
            <w:pPr>
              <w:pStyle w:val="111"/>
              <w:widowControl w:val="0"/>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新疆生态环境保护“十四五”规划》提出“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r>
              <w:rPr>
                <w:rFonts w:hint="eastAsia" w:cs="Times New Roman"/>
                <w:color w:val="auto"/>
                <w:lang w:val="en-US" w:eastAsia="zh-CN"/>
              </w:rPr>
              <w:t>；加强应急监测装备配置，定期开展应急演练，增强实战能力。</w:t>
            </w:r>
          </w:p>
          <w:p w14:paraId="4D273BFD">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陆地石油勘探项目不属于“高污染、高环境风险产品”的工业项目；</w:t>
            </w:r>
            <w:r>
              <w:rPr>
                <w:rFonts w:hint="eastAsia" w:cs="Times New Roman"/>
                <w:color w:val="auto"/>
                <w:lang w:val="en-US" w:eastAsia="zh-CN"/>
              </w:rPr>
              <w:t>本项目为油气资源勘探项目，</w:t>
            </w:r>
            <w:r>
              <w:rPr>
                <w:rFonts w:hint="default" w:ascii="Times New Roman" w:hAnsi="Times New Roman" w:cs="Times New Roman"/>
                <w:color w:val="auto"/>
                <w:lang w:val="en-US" w:eastAsia="zh-CN"/>
              </w:rPr>
              <w:t>不涉及生态敏感区，不涉及生态保护红线，“三废”及噪声对区域环境质量影响小，不会突破区域环境质量底线；新鲜水和柴油消耗不会突破区域资源利用上线，符合昌吉回族自治州生态环境准入清单的要求。</w:t>
            </w:r>
            <w:r>
              <w:rPr>
                <w:rFonts w:hint="eastAsia" w:cs="Times New Roman"/>
                <w:color w:val="auto"/>
                <w:lang w:val="en-US" w:eastAsia="zh-CN"/>
              </w:rPr>
              <w:t>本项目</w:t>
            </w:r>
            <w:r>
              <w:rPr>
                <w:rFonts w:hint="default" w:ascii="Times New Roman" w:hAnsi="Times New Roman" w:cs="Times New Roman"/>
                <w:color w:val="auto"/>
                <w:lang w:val="en-US" w:eastAsia="zh-CN"/>
              </w:rPr>
              <w:t>环境风险防范执行《中国石油新疆油田分公司勘探事业部突发环境事件应急预案》，并定期进行应急演练工作。</w:t>
            </w:r>
          </w:p>
          <w:p w14:paraId="7080CF16">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eastAsia" w:cs="Times New Roman"/>
                <w:color w:val="auto"/>
                <w:lang w:val="en-US" w:eastAsia="zh-CN"/>
              </w:rPr>
            </w:pPr>
            <w:r>
              <w:rPr>
                <w:rFonts w:hint="eastAsia" w:cs="Times New Roman"/>
                <w:color w:val="auto"/>
                <w:lang w:val="en-US" w:eastAsia="zh-CN"/>
              </w:rPr>
              <w:t>综上，本项目符合《新疆生态环境保护“十四五”规划》要求。</w:t>
            </w:r>
          </w:p>
          <w:p w14:paraId="04E68764">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cs="Times New Roman"/>
                <w:b/>
                <w:color w:val="auto"/>
                <w:sz w:val="24"/>
                <w:lang w:val="en-US" w:eastAsia="zh-CN"/>
              </w:rPr>
            </w:pPr>
            <w:r>
              <w:rPr>
                <w:rFonts w:hint="eastAsia" w:cs="Times New Roman"/>
                <w:b/>
                <w:color w:val="auto"/>
                <w:kern w:val="2"/>
                <w:sz w:val="24"/>
                <w:szCs w:val="24"/>
                <w:lang w:val="en-US" w:eastAsia="zh-CN" w:bidi="ar-SA"/>
              </w:rPr>
              <w:t>7</w:t>
            </w:r>
            <w:r>
              <w:rPr>
                <w:rFonts w:hint="default" w:ascii="Times New Roman" w:hAnsi="Times New Roman" w:eastAsia="宋体" w:cs="Times New Roman"/>
                <w:b/>
                <w:color w:val="auto"/>
                <w:kern w:val="2"/>
                <w:sz w:val="24"/>
                <w:szCs w:val="24"/>
                <w:lang w:val="en-US" w:eastAsia="zh-CN" w:bidi="ar-SA"/>
              </w:rPr>
              <w:t>.</w:t>
            </w:r>
            <w:r>
              <w:rPr>
                <w:rFonts w:hint="default" w:ascii="Times New Roman" w:hAnsi="Times New Roman" w:cs="Times New Roman"/>
                <w:b/>
                <w:color w:val="auto"/>
                <w:sz w:val="24"/>
                <w:lang w:val="en-US" w:eastAsia="zh-CN"/>
              </w:rPr>
              <w:t>与</w:t>
            </w:r>
            <w:r>
              <w:rPr>
                <w:rFonts w:hint="default" w:ascii="Times New Roman" w:hAnsi="Times New Roman" w:cs="Times New Roman"/>
                <w:b/>
                <w:color w:val="auto"/>
                <w:sz w:val="24"/>
              </w:rPr>
              <w:t>《新疆维吾尔自治区生态环境分区管控动态更新成果》（新环环评发〔2024〕157号）</w:t>
            </w:r>
            <w:r>
              <w:rPr>
                <w:rFonts w:hint="default" w:ascii="Times New Roman" w:hAnsi="Times New Roman" w:cs="Times New Roman"/>
                <w:b/>
                <w:color w:val="auto"/>
                <w:sz w:val="24"/>
                <w:lang w:val="en-US" w:eastAsia="zh-CN"/>
              </w:rPr>
              <w:t>符合性分析</w:t>
            </w:r>
          </w:p>
          <w:p w14:paraId="011916D8">
            <w:pPr>
              <w:pStyle w:val="11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本项目与</w:t>
            </w:r>
            <w:r>
              <w:rPr>
                <w:rFonts w:hint="default" w:ascii="Times New Roman" w:hAnsi="Times New Roman" w:cs="Times New Roman"/>
                <w:color w:val="auto"/>
              </w:rPr>
              <w:t>《新疆维吾尔自治区生态环境分区管控动态更新成果》（新环环评发〔2024〕157号）</w:t>
            </w:r>
            <w:r>
              <w:rPr>
                <w:rFonts w:hint="default" w:ascii="Times New Roman" w:hAnsi="Times New Roman" w:cs="Times New Roman"/>
                <w:color w:val="auto"/>
                <w:lang w:val="en-US" w:eastAsia="zh-CN"/>
              </w:rPr>
              <w:t>符合性分析见表1-</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w:t>
            </w:r>
          </w:p>
          <w:p w14:paraId="78391589">
            <w:pPr>
              <w:pStyle w:val="114"/>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 xml:space="preserve">  本项目与</w:t>
            </w:r>
            <w:r>
              <w:rPr>
                <w:rFonts w:hint="eastAsia" w:ascii="Times New Roman" w:hAnsi="Times New Roman" w:cs="Times New Roman"/>
                <w:color w:val="auto"/>
                <w:lang w:val="en-US" w:eastAsia="zh-CN"/>
              </w:rPr>
              <w:t>自治区生态环境分区管控动态更新成果</w:t>
            </w:r>
            <w:r>
              <w:rPr>
                <w:rFonts w:hint="default" w:ascii="Times New Roman" w:hAnsi="Times New Roman" w:cs="Times New Roman"/>
                <w:color w:val="auto"/>
                <w:lang w:val="en-US" w:eastAsia="zh-CN"/>
              </w:rPr>
              <w:t>符合性分析</w:t>
            </w:r>
          </w:p>
          <w:tbl>
            <w:tblPr>
              <w:tblStyle w:val="2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51" w:type="dxa"/>
                <w:bottom w:w="0" w:type="dxa"/>
                <w:right w:w="51" w:type="dxa"/>
              </w:tblCellMar>
            </w:tblPr>
            <w:tblGrid>
              <w:gridCol w:w="464"/>
              <w:gridCol w:w="3531"/>
              <w:gridCol w:w="2932"/>
              <w:gridCol w:w="816"/>
            </w:tblGrid>
            <w:tr w14:paraId="39A598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2579" w:type="pct"/>
                  <w:gridSpan w:val="2"/>
                  <w:tcBorders>
                    <w:tl2br w:val="nil"/>
                    <w:tr2bl w:val="nil"/>
                  </w:tcBorders>
                  <w:shd w:val="clear" w:color="auto" w:fill="auto"/>
                  <w:vAlign w:val="center"/>
                </w:tcPr>
                <w:p w14:paraId="2AC5ECD8">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管控要求</w:t>
                  </w:r>
                </w:p>
              </w:tc>
              <w:tc>
                <w:tcPr>
                  <w:tcW w:w="1893" w:type="pct"/>
                  <w:tcBorders>
                    <w:tl2br w:val="nil"/>
                    <w:tr2bl w:val="nil"/>
                  </w:tcBorders>
                  <w:shd w:val="clear" w:color="auto" w:fill="auto"/>
                  <w:vAlign w:val="center"/>
                </w:tcPr>
                <w:p w14:paraId="00411864">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本项目情况</w:t>
                  </w:r>
                </w:p>
              </w:tc>
              <w:tc>
                <w:tcPr>
                  <w:tcW w:w="526" w:type="pct"/>
                  <w:tcBorders>
                    <w:tl2br w:val="nil"/>
                    <w:tr2bl w:val="nil"/>
                  </w:tcBorders>
                  <w:shd w:val="clear" w:color="auto" w:fill="auto"/>
                  <w:vAlign w:val="center"/>
                </w:tcPr>
                <w:p w14:paraId="019A282E">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符合性</w:t>
                  </w:r>
                </w:p>
              </w:tc>
            </w:tr>
            <w:tr w14:paraId="066FB9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299" w:type="pct"/>
                  <w:tcBorders>
                    <w:tl2br w:val="nil"/>
                    <w:tr2bl w:val="nil"/>
                  </w:tcBorders>
                  <w:shd w:val="clear" w:color="auto" w:fill="auto"/>
                  <w:vAlign w:val="center"/>
                </w:tcPr>
                <w:p w14:paraId="20098E51">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空间布局约束</w:t>
                  </w:r>
                </w:p>
              </w:tc>
              <w:tc>
                <w:tcPr>
                  <w:tcW w:w="2280" w:type="pct"/>
                  <w:tcBorders>
                    <w:tl2br w:val="nil"/>
                    <w:tr2bl w:val="nil"/>
                  </w:tcBorders>
                  <w:shd w:val="clear" w:color="auto" w:fill="auto"/>
                  <w:vAlign w:val="center"/>
                </w:tcPr>
                <w:p w14:paraId="4792DC25">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color w:val="auto"/>
                      <w:sz w:val="21"/>
                      <w:szCs w:val="21"/>
                      <w:lang w:val="en-US" w:eastAsia="zh-CN"/>
                    </w:rPr>
                  </w:pPr>
                  <w:r>
                    <w:rPr>
                      <w:rFonts w:hint="eastAsia" w:cs="Times New Roman"/>
                      <w:color w:val="auto"/>
                      <w:sz w:val="21"/>
                      <w:szCs w:val="21"/>
                      <w:lang w:val="en-US" w:eastAsia="zh-CN"/>
                    </w:rPr>
                    <w:t>其他布局要求：</w:t>
                  </w:r>
                </w:p>
                <w:p w14:paraId="0A0BC1B0">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893" w:type="pct"/>
                  <w:tcBorders>
                    <w:tl2br w:val="nil"/>
                    <w:tr2bl w:val="nil"/>
                  </w:tcBorders>
                  <w:shd w:val="clear" w:color="auto" w:fill="auto"/>
                  <w:vAlign w:val="center"/>
                </w:tcPr>
                <w:p w14:paraId="38F7366F">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本项目符合《新疆维吾尔自治区主体功能区规划》《产业结构调整指导目录（2024年本）》《新疆维吾尔自治区矿产资源总体规划（2021—2025年）》及规划环评等相关规划要求。</w:t>
                  </w:r>
                </w:p>
              </w:tc>
              <w:tc>
                <w:tcPr>
                  <w:tcW w:w="526" w:type="pct"/>
                  <w:tcBorders>
                    <w:tl2br w:val="nil"/>
                    <w:tr2bl w:val="nil"/>
                  </w:tcBorders>
                  <w:shd w:val="clear" w:color="auto" w:fill="auto"/>
                  <w:vAlign w:val="center"/>
                </w:tcPr>
                <w:p w14:paraId="7190DF9E">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601AFC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299" w:type="pct"/>
                  <w:tcBorders>
                    <w:tl2br w:val="nil"/>
                    <w:tr2bl w:val="nil"/>
                  </w:tcBorders>
                  <w:shd w:val="clear" w:color="auto" w:fill="auto"/>
                  <w:vAlign w:val="center"/>
                </w:tcPr>
                <w:p w14:paraId="3B555B3F">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污染物排放管控</w:t>
                  </w:r>
                </w:p>
              </w:tc>
              <w:tc>
                <w:tcPr>
                  <w:tcW w:w="2280" w:type="pct"/>
                  <w:tcBorders>
                    <w:tl2br w:val="nil"/>
                    <w:tr2bl w:val="nil"/>
                  </w:tcBorders>
                  <w:shd w:val="clear" w:color="auto" w:fill="auto"/>
                  <w:vAlign w:val="center"/>
                </w:tcPr>
                <w:p w14:paraId="27EB0B84">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2.1-1〕新、改、扩建重点行业建设项目应符合“三线一单”、产业政策、区域环评、规划环评和行业环境准入管控要求。重点区域的新、改、扩建重点行业建设项目应遵循重点重金属污染物排放“减量替代”原则。</w:t>
                  </w:r>
                </w:p>
                <w:p w14:paraId="67254C7A">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[A2.1-2〕以石化、化工、涂装、医药、包装印刷、油品储运销等行业领域为重点，安全高效推进挥发性有机物综合治理，实施原辅材料和产品源头替代工程</w:t>
                  </w:r>
                  <w:r>
                    <w:rPr>
                      <w:rFonts w:hint="eastAsia" w:cs="Times New Roman"/>
                      <w:color w:val="auto"/>
                      <w:sz w:val="21"/>
                      <w:szCs w:val="21"/>
                      <w:lang w:val="en-US" w:eastAsia="zh-CN"/>
                    </w:rPr>
                    <w:t>。</w:t>
                  </w:r>
                </w:p>
                <w:p w14:paraId="29395B34">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58C46A62">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r>
                    <w:rPr>
                      <w:rFonts w:hint="eastAsia" w:cs="Times New Roman"/>
                      <w:color w:val="auto"/>
                      <w:sz w:val="21"/>
                      <w:szCs w:val="21"/>
                      <w:lang w:val="en-US" w:eastAsia="zh-CN"/>
                    </w:rPr>
                    <w:t>。</w:t>
                  </w:r>
                </w:p>
                <w:p w14:paraId="0D87115C">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〔A2.2-7〕强化重点区域地下水环境风险管控，对化学品生产企业工业集聚区、尾矿库、矿山开采区、危险废物处置场、垃圾填埋场等地下水污染源及周边区域，逐步开展地下水环境状况调查评估，加强风险管控</w:t>
                  </w:r>
                  <w:r>
                    <w:rPr>
                      <w:rFonts w:hint="eastAsia" w:cs="Times New Roman"/>
                      <w:color w:val="auto"/>
                      <w:sz w:val="21"/>
                      <w:szCs w:val="21"/>
                      <w:lang w:val="en-US" w:eastAsia="zh-CN"/>
                    </w:rPr>
                    <w:t>。</w:t>
                  </w:r>
                </w:p>
              </w:tc>
              <w:tc>
                <w:tcPr>
                  <w:tcW w:w="1893" w:type="pct"/>
                  <w:tcBorders>
                    <w:tl2br w:val="nil"/>
                    <w:tr2bl w:val="nil"/>
                  </w:tcBorders>
                  <w:shd w:val="clear" w:color="auto" w:fill="auto"/>
                  <w:vAlign w:val="center"/>
                </w:tcPr>
                <w:p w14:paraId="6B68BB89">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为油气资源勘探项目，符合《昌吉回族自治州生态环境分区管控动态更新成果》中玛纳斯县工业园区塔河产业区重点管控单元（环境管控单元编码为ZH65232420003）管控要求；项目不涉及石化、化工、涂装、医药、包装印刷、钢铁、水泥、焦化等领域；项目不涉及燃煤机组污染治理设施；项目施工中，对易起尘物料进行苫盖，同时加强车辆管理，定期对施工范围洒水，减少施工扬尘产生；对井场施工机械及设备加强维护保养管理，使用合格油燃料；试油期产生的伴生气气量不稳定，不具备回收利用条件，通过排气管线充分燃烧后放空，排放的各类污染物均能满足各污染物排放标准要求；试油过程，加强采出液储罐管理、装卸必须采取密闭装载方式，尽可能减少无组织挥发性有机物的排放。本项目井场内进行分区防渗措施，钻井时采用套管与地层隔离开，并在套管与地层之间注入水泥进行固井，水泥浆返至地面，封隔疏松地层和水层。施工过程严格要求套管下入深度、确保固井质量。</w:t>
                  </w:r>
                </w:p>
              </w:tc>
              <w:tc>
                <w:tcPr>
                  <w:tcW w:w="526" w:type="pct"/>
                  <w:tcBorders>
                    <w:tl2br w:val="nil"/>
                    <w:tr2bl w:val="nil"/>
                  </w:tcBorders>
                  <w:shd w:val="clear" w:color="auto" w:fill="auto"/>
                  <w:vAlign w:val="center"/>
                </w:tcPr>
                <w:p w14:paraId="1EF9AA3C">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215A90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299" w:type="pct"/>
                  <w:tcBorders>
                    <w:tl2br w:val="nil"/>
                    <w:tr2bl w:val="nil"/>
                  </w:tcBorders>
                  <w:shd w:val="clear" w:color="auto" w:fill="auto"/>
                  <w:vAlign w:val="center"/>
                </w:tcPr>
                <w:p w14:paraId="66F86F96">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环境风险防控</w:t>
                  </w:r>
                </w:p>
              </w:tc>
              <w:tc>
                <w:tcPr>
                  <w:tcW w:w="2280" w:type="pct"/>
                  <w:tcBorders>
                    <w:tl2br w:val="nil"/>
                    <w:tr2bl w:val="nil"/>
                  </w:tcBorders>
                  <w:shd w:val="clear" w:color="auto" w:fill="auto"/>
                  <w:vAlign w:val="center"/>
                </w:tcPr>
                <w:p w14:paraId="7AE627E7">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〔A3.1-1〕建立和完善重污染天气兵地联合应急预案、预报预警应急机制和会商联动机制。“鸟一昌一石”区域内可能影响相邻行政区域大气环境的项目，兵地间、城市间必须相互征求意见。</w:t>
                  </w:r>
                </w:p>
                <w:p w14:paraId="24656D5E">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〔A3.1-3〕强化重污染天气监测预报预警能力，建立和完善重污染天气兵地联合应急预案、预警应急机制和会商联动机制，加强轻、中度污染天气管控。</w:t>
                  </w:r>
                </w:p>
                <w:p w14:paraId="0554AAD6">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p w14:paraId="2A15C50A">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893" w:type="pct"/>
                  <w:tcBorders>
                    <w:tl2br w:val="nil"/>
                    <w:tr2bl w:val="nil"/>
                  </w:tcBorders>
                  <w:shd w:val="clear" w:color="auto" w:fill="auto"/>
                  <w:vAlign w:val="center"/>
                </w:tcPr>
                <w:p w14:paraId="5AF21CF7">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olor w:val="auto"/>
                    </w:rPr>
                    <w:t>本项目执行中国石油新疆油田分公司已建立的健康、安全与环境（HSE）管理体系，对项目实施过程进行环境监督管理；项目具备环境保护人员培训制度，实施过程如发生突发环境事件，将执行《中国石油新疆油田分公司勘探事业部突发环境事件应急预案》</w:t>
                  </w:r>
                  <w:r>
                    <w:rPr>
                      <w:rFonts w:hint="eastAsia"/>
                      <w:color w:val="auto"/>
                      <w:lang w:eastAsia="zh-CN"/>
                    </w:rPr>
                    <w:t>，</w:t>
                  </w:r>
                  <w:r>
                    <w:rPr>
                      <w:rFonts w:hint="eastAsia"/>
                      <w:color w:val="auto"/>
                      <w:lang w:val="en-US" w:eastAsia="zh-CN"/>
                    </w:rPr>
                    <w:t>应急预案已在地方生态环境局进行了备案。本项目不涉及重金属企业、化工园区、集中式饮用水水源地及重点流域。本项目按照</w:t>
                  </w:r>
                  <w:r>
                    <w:rPr>
                      <w:rFonts w:hint="eastAsia"/>
                      <w:color w:val="auto"/>
                    </w:rPr>
                    <w:t>《中国石油新疆油田分公司勘探事业部突发环境事件应急预案》</w:t>
                  </w:r>
                  <w:r>
                    <w:rPr>
                      <w:rFonts w:hint="eastAsia"/>
                      <w:color w:val="auto"/>
                      <w:lang w:val="en-US" w:eastAsia="zh-CN"/>
                    </w:rPr>
                    <w:t>中要求，在井场配备应急物资，定期开展应急演练，增强突发环境事件应急能力。</w:t>
                  </w:r>
                </w:p>
              </w:tc>
              <w:tc>
                <w:tcPr>
                  <w:tcW w:w="526" w:type="pct"/>
                  <w:tcBorders>
                    <w:tl2br w:val="nil"/>
                    <w:tr2bl w:val="nil"/>
                  </w:tcBorders>
                  <w:shd w:val="clear" w:color="auto" w:fill="auto"/>
                  <w:vAlign w:val="center"/>
                </w:tcPr>
                <w:p w14:paraId="2196A2BE">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5E8A94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299" w:type="pct"/>
                  <w:tcBorders>
                    <w:tl2br w:val="nil"/>
                    <w:tr2bl w:val="nil"/>
                  </w:tcBorders>
                  <w:shd w:val="clear" w:color="auto" w:fill="auto"/>
                  <w:vAlign w:val="center"/>
                </w:tcPr>
                <w:p w14:paraId="608B1C58">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资源利用要求</w:t>
                  </w:r>
                </w:p>
              </w:tc>
              <w:tc>
                <w:tcPr>
                  <w:tcW w:w="2280" w:type="pct"/>
                  <w:tcBorders>
                    <w:tl2br w:val="nil"/>
                    <w:tr2bl w:val="nil"/>
                  </w:tcBorders>
                  <w:shd w:val="clear" w:color="auto" w:fill="auto"/>
                  <w:vAlign w:val="center"/>
                </w:tcPr>
                <w:p w14:paraId="646BE8AC">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A4.1-4</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地下水资源利用实行总量控制和水位控制。取用地下水资源，应当按照国家和自治区有关规定申请取水许可。地下水利用应当以浅层地下水为主。</w:t>
                  </w:r>
                </w:p>
                <w:p w14:paraId="3B485560">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A4.2-1〕土地资源上线指标控制在最终批复的国土空间规划控制指标内。</w:t>
                  </w:r>
                </w:p>
                <w:p w14:paraId="03C721F4">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〔A4.3-4〕鼓励使用清洁能源或电厂热力、工业余热等替代锅炉炉密燃料用煤。</w:t>
                  </w:r>
                </w:p>
                <w:p w14:paraId="60447B1E">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〔A4.4-1〕在禁燃区内，禁止销售、燃用高污染燃料</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禁止新建、扩建燃用高污染燃料的设施。已建成的，应当在规定期限内改用清洁能源。</w:t>
                  </w:r>
                </w:p>
                <w:p w14:paraId="6FCE39EC">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1893" w:type="pct"/>
                  <w:tcBorders>
                    <w:tl2br w:val="nil"/>
                    <w:tr2bl w:val="nil"/>
                  </w:tcBorders>
                  <w:shd w:val="clear" w:color="auto" w:fill="auto"/>
                  <w:vAlign w:val="center"/>
                </w:tcPr>
                <w:p w14:paraId="6FBD3DD0">
                  <w:pPr>
                    <w:pStyle w:val="106"/>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用水来自玛纳斯县供水点，不涉及取用地下水资源；项目施工过程严格控制占地范围，严禁超范围施工，不涉及土地资源上线；项目施工期生活及洗井过程会消耗少量新鲜水，井场动力及用电使用柴油发电机，会消耗一定量柴油，项目不涉及锅炉及其他燃料使用；施工人员产生的生活污水排入防渗收集池后由吸污车运至玛纳斯县城污水处理厂处置；试油废水（洗井废水和压裂返排液）进罐收集后运至采油一厂车89处理站处置；水基钻井岩屑进罐收集后交第三方岩屑处置单位处理；产生的生活垃圾集中收集在垃圾箱后交玛纳斯县生活垃圾填埋场处置；建筑垃圾集中收集尽量由施工单位统一回收利用，无法再利用的送至玛纳斯县建筑垃圾填埋场填埋处理；沾油废防渗材料、废润滑油及废润滑油桶、沾油劳保用品各类危险废物分区暂存在危险废物贮存点内，定期交由具有危险废物处置资质的单位进行清运、处置；井场配有不落地设备，钻井时分离出的液相进罐收集后循环使用；本项目不涉及尾矿、煤矸石、炉渣、粉煤灰等。</w:t>
                  </w:r>
                </w:p>
              </w:tc>
              <w:tc>
                <w:tcPr>
                  <w:tcW w:w="526" w:type="pct"/>
                  <w:tcBorders>
                    <w:tl2br w:val="nil"/>
                    <w:tr2bl w:val="nil"/>
                  </w:tcBorders>
                  <w:shd w:val="clear" w:color="auto" w:fill="auto"/>
                  <w:vAlign w:val="center"/>
                </w:tcPr>
                <w:p w14:paraId="2E4E4F9F">
                  <w:pPr>
                    <w:pStyle w:val="106"/>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bl>
          <w:p w14:paraId="69505258">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cs="Times New Roman"/>
                <w:b/>
                <w:color w:val="auto"/>
                <w:sz w:val="24"/>
                <w:lang w:val="en-US" w:eastAsia="zh-CN"/>
              </w:rPr>
            </w:pPr>
            <w:r>
              <w:rPr>
                <w:rFonts w:hint="eastAsia" w:cs="Times New Roman"/>
                <w:b/>
                <w:color w:val="auto"/>
                <w:kern w:val="2"/>
                <w:sz w:val="24"/>
                <w:szCs w:val="24"/>
                <w:lang w:val="en-US" w:eastAsia="zh-CN" w:bidi="ar-SA"/>
              </w:rPr>
              <w:t>8</w:t>
            </w:r>
            <w:r>
              <w:rPr>
                <w:rFonts w:hint="default" w:ascii="Times New Roman" w:hAnsi="Times New Roman" w:eastAsia="宋体" w:cs="Times New Roman"/>
                <w:b/>
                <w:color w:val="auto"/>
                <w:kern w:val="2"/>
                <w:sz w:val="24"/>
                <w:szCs w:val="24"/>
                <w:lang w:val="en-US" w:eastAsia="zh-CN" w:bidi="ar-SA"/>
              </w:rPr>
              <w:t>.</w:t>
            </w:r>
            <w:r>
              <w:rPr>
                <w:rFonts w:hint="default" w:ascii="Times New Roman" w:hAnsi="Times New Roman" w:cs="Times New Roman"/>
                <w:b/>
                <w:color w:val="auto"/>
                <w:sz w:val="24"/>
                <w:lang w:val="en-US" w:eastAsia="zh-CN"/>
              </w:rPr>
              <w:t>与</w:t>
            </w:r>
            <w:r>
              <w:rPr>
                <w:rFonts w:hint="default" w:ascii="Times New Roman" w:hAnsi="Times New Roman" w:cs="Times New Roman"/>
                <w:b/>
                <w:color w:val="auto"/>
                <w:sz w:val="24"/>
              </w:rPr>
              <w:t>《陆上石油天然气开采业绿色矿山建设规范》</w:t>
            </w:r>
            <w:r>
              <w:rPr>
                <w:rFonts w:hint="default" w:ascii="Times New Roman" w:hAnsi="Times New Roman" w:cs="Times New Roman"/>
                <w:b/>
                <w:color w:val="auto"/>
                <w:sz w:val="24"/>
                <w:lang w:val="en-US" w:eastAsia="zh-CN"/>
              </w:rPr>
              <w:t>符合性分析</w:t>
            </w:r>
          </w:p>
          <w:p w14:paraId="1AB03000">
            <w:pPr>
              <w:pStyle w:val="11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本项目与</w:t>
            </w:r>
            <w:r>
              <w:rPr>
                <w:rFonts w:hint="default" w:ascii="Times New Roman" w:hAnsi="Times New Roman" w:cs="Times New Roman"/>
                <w:color w:val="auto"/>
              </w:rPr>
              <w:t>《陆上石油天然气开采业绿色矿山建设规范》</w:t>
            </w:r>
            <w:r>
              <w:rPr>
                <w:rFonts w:hint="default" w:ascii="Times New Roman" w:hAnsi="Times New Roman" w:cs="Times New Roman"/>
                <w:color w:val="auto"/>
                <w:lang w:val="en-US" w:eastAsia="zh-CN"/>
              </w:rPr>
              <w:t>符合性分析见表1-</w:t>
            </w:r>
            <w:r>
              <w:rPr>
                <w:rFonts w:hint="eastAsia" w:cs="Times New Roman"/>
                <w:color w:val="auto"/>
                <w:lang w:val="en-US" w:eastAsia="zh-CN"/>
              </w:rPr>
              <w:t>6</w:t>
            </w:r>
            <w:r>
              <w:rPr>
                <w:rFonts w:hint="default" w:ascii="Times New Roman" w:hAnsi="Times New Roman" w:cs="Times New Roman"/>
                <w:color w:val="auto"/>
                <w:lang w:val="en-US" w:eastAsia="zh-CN"/>
              </w:rPr>
              <w:t>。</w:t>
            </w:r>
          </w:p>
          <w:p w14:paraId="0511E0A4">
            <w:pPr>
              <w:pStyle w:val="114"/>
              <w:bidi w:val="0"/>
              <w:rPr>
                <w:rFonts w:hint="default" w:ascii="Times New Roman" w:hAnsi="Times New Roman" w:cs="Times New Roman"/>
                <w:color w:val="auto"/>
                <w:spacing w:val="0"/>
                <w:sz w:val="21"/>
                <w:lang w:val="en-US" w:eastAsia="zh-CN"/>
              </w:rPr>
            </w:pPr>
            <w:r>
              <w:rPr>
                <w:rFonts w:hint="default" w:ascii="Times New Roman" w:hAnsi="Times New Roman" w:cs="Times New Roman"/>
                <w:color w:val="auto"/>
                <w:spacing w:val="0"/>
                <w:sz w:val="21"/>
              </w:rPr>
              <w:t>表</w:t>
            </w:r>
            <w:r>
              <w:rPr>
                <w:rFonts w:hint="default" w:ascii="Times New Roman" w:hAnsi="Times New Roman" w:cs="Times New Roman"/>
                <w:color w:val="auto"/>
                <w:spacing w:val="0"/>
                <w:sz w:val="21"/>
                <w:lang w:val="en-US" w:eastAsia="zh-CN"/>
              </w:rPr>
              <w:t>1-</w:t>
            </w:r>
            <w:r>
              <w:rPr>
                <w:rFonts w:hint="eastAsia" w:ascii="Times New Roman" w:hAnsi="Times New Roman" w:cs="Times New Roman"/>
                <w:color w:val="auto"/>
                <w:spacing w:val="0"/>
                <w:sz w:val="21"/>
                <w:lang w:val="en-US" w:eastAsia="zh-CN"/>
              </w:rPr>
              <w:t>6</w:t>
            </w:r>
            <w:r>
              <w:rPr>
                <w:rFonts w:hint="default" w:ascii="Times New Roman" w:hAnsi="Times New Roman" w:cs="Times New Roman"/>
                <w:color w:val="auto"/>
                <w:spacing w:val="0"/>
                <w:sz w:val="21"/>
                <w:lang w:val="en-US" w:eastAsia="zh-CN"/>
              </w:rPr>
              <w:t xml:space="preserve">  本项目与</w:t>
            </w:r>
            <w:r>
              <w:rPr>
                <w:rFonts w:hint="default" w:ascii="Times New Roman" w:hAnsi="Times New Roman" w:cs="Times New Roman"/>
                <w:color w:val="auto"/>
                <w:spacing w:val="0"/>
                <w:sz w:val="21"/>
              </w:rPr>
              <w:t>《陆上石油天然气开采业绿色矿山建设规范》</w:t>
            </w:r>
            <w:r>
              <w:rPr>
                <w:rFonts w:hint="default" w:ascii="Times New Roman" w:hAnsi="Times New Roman" w:cs="Times New Roman"/>
                <w:color w:val="auto"/>
                <w:spacing w:val="0"/>
                <w:sz w:val="21"/>
                <w:lang w:val="en-US" w:eastAsia="zh-CN"/>
              </w:rPr>
              <w:t>符合性分析</w:t>
            </w:r>
          </w:p>
          <w:tbl>
            <w:tblPr>
              <w:tblStyle w:val="26"/>
              <w:tblW w:w="774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50"/>
              <w:gridCol w:w="2030"/>
              <w:gridCol w:w="3753"/>
              <w:gridCol w:w="908"/>
            </w:tblGrid>
            <w:tr w14:paraId="5D58F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tcBorders>
                    <w:tl2br w:val="nil"/>
                    <w:tr2bl w:val="nil"/>
                  </w:tcBorders>
                  <w:vAlign w:val="center"/>
                </w:tcPr>
                <w:p w14:paraId="1E98F621">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序号</w:t>
                  </w:r>
                </w:p>
              </w:tc>
              <w:tc>
                <w:tcPr>
                  <w:tcW w:w="2380" w:type="dxa"/>
                  <w:gridSpan w:val="2"/>
                  <w:tcBorders>
                    <w:tl2br w:val="nil"/>
                    <w:tr2bl w:val="nil"/>
                  </w:tcBorders>
                  <w:vAlign w:val="center"/>
                </w:tcPr>
                <w:p w14:paraId="6E5BCFD8">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文件要求</w:t>
                  </w:r>
                </w:p>
              </w:tc>
              <w:tc>
                <w:tcPr>
                  <w:tcW w:w="3753" w:type="dxa"/>
                  <w:tcBorders>
                    <w:tl2br w:val="nil"/>
                    <w:tr2bl w:val="nil"/>
                  </w:tcBorders>
                  <w:vAlign w:val="center"/>
                </w:tcPr>
                <w:p w14:paraId="0CE447B9">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本项目情况</w:t>
                  </w:r>
                </w:p>
              </w:tc>
              <w:tc>
                <w:tcPr>
                  <w:tcW w:w="908" w:type="dxa"/>
                  <w:tcBorders>
                    <w:tl2br w:val="nil"/>
                    <w:tr2bl w:val="nil"/>
                  </w:tcBorders>
                  <w:vAlign w:val="center"/>
                </w:tcPr>
                <w:p w14:paraId="113BF3E7">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符合性</w:t>
                  </w:r>
                </w:p>
              </w:tc>
            </w:tr>
            <w:tr w14:paraId="595320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restart"/>
                  <w:tcBorders>
                    <w:tl2br w:val="nil"/>
                    <w:tr2bl w:val="nil"/>
                  </w:tcBorders>
                  <w:vAlign w:val="center"/>
                </w:tcPr>
                <w:p w14:paraId="1562B41F">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w:t>
                  </w:r>
                </w:p>
              </w:tc>
              <w:tc>
                <w:tcPr>
                  <w:tcW w:w="350" w:type="dxa"/>
                  <w:vMerge w:val="restart"/>
                  <w:tcBorders>
                    <w:tl2br w:val="nil"/>
                    <w:tr2bl w:val="nil"/>
                  </w:tcBorders>
                  <w:vAlign w:val="center"/>
                </w:tcPr>
                <w:p w14:paraId="1B9726FE">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资源开发方式</w:t>
                  </w:r>
                </w:p>
              </w:tc>
              <w:tc>
                <w:tcPr>
                  <w:tcW w:w="2030" w:type="dxa"/>
                  <w:tcBorders>
                    <w:tl2br w:val="nil"/>
                    <w:tr2bl w:val="nil"/>
                  </w:tcBorders>
                  <w:shd w:val="clear" w:color="auto" w:fill="auto"/>
                  <w:vAlign w:val="center"/>
                </w:tcPr>
                <w:p w14:paraId="4792FB48">
                  <w:pPr>
                    <w:adjustRightInd w:val="0"/>
                    <w:snapToGrid w:val="0"/>
                    <w:spacing w:line="300" w:lineRule="exact"/>
                    <w:jc w:val="left"/>
                    <w:rPr>
                      <w:rFonts w:hint="default" w:ascii="宋体" w:hAnsi="宋体" w:eastAsia="宋体" w:cs="Arial"/>
                      <w:color w:val="auto"/>
                      <w:kern w:val="2"/>
                      <w:sz w:val="21"/>
                      <w:szCs w:val="21"/>
                      <w:lang w:val="en-US" w:eastAsia="zh-CN" w:bidi="ar"/>
                    </w:rPr>
                  </w:pPr>
                  <w:r>
                    <w:rPr>
                      <w:rFonts w:hint="eastAsia" w:ascii="宋体" w:hAnsi="宋体" w:cs="Arial"/>
                      <w:color w:val="auto"/>
                      <w:sz w:val="21"/>
                      <w:szCs w:val="21"/>
                      <w:lang w:bidi="ar"/>
                    </w:rPr>
                    <w:t>应遵循矿区油气资源赋存状况、生态环境特征等条件，科学合理确定开发方案，选择与油气藏类型相适应的先进开采技术和工艺，推广使用成熟、先进的技术装备，严禁使用国家明文规定的限制和淘汰的技术工艺及装备。</w:t>
                  </w:r>
                </w:p>
              </w:tc>
              <w:tc>
                <w:tcPr>
                  <w:tcW w:w="3753" w:type="dxa"/>
                  <w:tcBorders>
                    <w:tl2br w:val="nil"/>
                    <w:tr2bl w:val="nil"/>
                  </w:tcBorders>
                  <w:shd w:val="clear" w:color="auto" w:fill="auto"/>
                  <w:vAlign w:val="center"/>
                </w:tcPr>
                <w:p w14:paraId="2D64580A">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bidi="ar"/>
                    </w:rPr>
                    <w:t>本次钻试过程中未使用国家明文规定的限制和淘汰的技术工艺及装备。</w:t>
                  </w:r>
                </w:p>
              </w:tc>
              <w:tc>
                <w:tcPr>
                  <w:tcW w:w="908" w:type="dxa"/>
                  <w:tcBorders>
                    <w:tl2br w:val="nil"/>
                    <w:tr2bl w:val="nil"/>
                  </w:tcBorders>
                  <w:shd w:val="clear" w:color="auto" w:fill="auto"/>
                  <w:vAlign w:val="center"/>
                </w:tcPr>
                <w:p w14:paraId="3F242D7C">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bidi="ar"/>
                    </w:rPr>
                    <w:t>符合</w:t>
                  </w:r>
                </w:p>
              </w:tc>
            </w:tr>
            <w:tr w14:paraId="1DFE7C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tl2br w:val="nil"/>
                    <w:tr2bl w:val="nil"/>
                  </w:tcBorders>
                  <w:vAlign w:val="center"/>
                </w:tcPr>
                <w:p w14:paraId="3E79D606">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p>
              </w:tc>
              <w:tc>
                <w:tcPr>
                  <w:tcW w:w="350" w:type="dxa"/>
                  <w:vMerge w:val="continue"/>
                  <w:tcBorders>
                    <w:tl2br w:val="nil"/>
                    <w:tr2bl w:val="nil"/>
                  </w:tcBorders>
                  <w:vAlign w:val="center"/>
                </w:tcPr>
                <w:p w14:paraId="11B58442">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s="Times New Roman"/>
                      <w:color w:val="auto"/>
                      <w:sz w:val="21"/>
                      <w:szCs w:val="21"/>
                      <w:lang w:val="en-US" w:eastAsia="zh-CN"/>
                    </w:rPr>
                  </w:pPr>
                </w:p>
              </w:tc>
              <w:tc>
                <w:tcPr>
                  <w:tcW w:w="2030" w:type="dxa"/>
                  <w:tcBorders>
                    <w:tl2br w:val="nil"/>
                    <w:tr2bl w:val="nil"/>
                  </w:tcBorders>
                  <w:shd w:val="clear" w:color="auto" w:fill="auto"/>
                  <w:vAlign w:val="center"/>
                </w:tcPr>
                <w:p w14:paraId="1F14575D">
                  <w:pPr>
                    <w:adjustRightInd w:val="0"/>
                    <w:snapToGrid w:val="0"/>
                    <w:spacing w:line="300" w:lineRule="exact"/>
                    <w:jc w:val="left"/>
                    <w:rPr>
                      <w:rFonts w:hint="default" w:ascii="宋体" w:hAnsi="宋体" w:eastAsia="宋体" w:cs="Arial"/>
                      <w:color w:val="auto"/>
                      <w:kern w:val="2"/>
                      <w:sz w:val="21"/>
                      <w:szCs w:val="21"/>
                      <w:lang w:val="en-US" w:eastAsia="zh-CN" w:bidi="ar"/>
                    </w:rPr>
                  </w:pPr>
                  <w:r>
                    <w:rPr>
                      <w:rFonts w:hint="eastAsia" w:ascii="宋体" w:hAnsi="宋体" w:cs="Arial"/>
                      <w:color w:val="auto"/>
                      <w:sz w:val="21"/>
                      <w:szCs w:val="21"/>
                      <w:lang w:bidi="ar"/>
                    </w:rPr>
                    <w:t>集约节约利用土地资源，土地利用符合用地指标政策。合理确定站址、场址、管网、路网建设占地规模。</w:t>
                  </w:r>
                </w:p>
              </w:tc>
              <w:tc>
                <w:tcPr>
                  <w:tcW w:w="3753" w:type="dxa"/>
                  <w:tcBorders>
                    <w:tl2br w:val="nil"/>
                    <w:tr2bl w:val="nil"/>
                  </w:tcBorders>
                  <w:shd w:val="clear" w:color="auto" w:fill="auto"/>
                  <w:vAlign w:val="center"/>
                </w:tcPr>
                <w:p w14:paraId="5E49B777">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bidi="ar"/>
                    </w:rPr>
                    <w:t>在满足勘探设计和施工要求的前提下，对井场、生活营地位置及探临道路等临时占地进行适当调整，尽量避开</w:t>
                  </w:r>
                  <w:r>
                    <w:rPr>
                      <w:rFonts w:hint="eastAsia" w:ascii="宋体" w:hAnsi="宋体" w:cs="宋体"/>
                      <w:color w:val="auto"/>
                      <w:sz w:val="21"/>
                      <w:szCs w:val="21"/>
                      <w:lang w:val="en-US" w:eastAsia="zh-CN" w:bidi="ar"/>
                    </w:rPr>
                    <w:t>一般耕地及</w:t>
                  </w:r>
                  <w:r>
                    <w:rPr>
                      <w:rFonts w:hint="eastAsia" w:ascii="宋体" w:hAnsi="宋体" w:cs="宋体"/>
                      <w:color w:val="auto"/>
                      <w:sz w:val="21"/>
                      <w:szCs w:val="21"/>
                      <w:lang w:bidi="ar"/>
                    </w:rPr>
                    <w:t>植物生长密集</w:t>
                  </w:r>
                  <w:r>
                    <w:rPr>
                      <w:rFonts w:hint="eastAsia" w:ascii="宋体" w:hAnsi="宋体" w:cs="宋体"/>
                      <w:color w:val="auto"/>
                      <w:sz w:val="21"/>
                      <w:szCs w:val="21"/>
                      <w:lang w:val="en-US" w:eastAsia="zh-CN" w:bidi="ar"/>
                    </w:rPr>
                    <w:t>区域，</w:t>
                  </w:r>
                  <w:r>
                    <w:rPr>
                      <w:rFonts w:hint="eastAsia" w:ascii="宋体" w:hAnsi="宋体" w:cs="宋体"/>
                      <w:color w:val="auto"/>
                      <w:sz w:val="21"/>
                      <w:szCs w:val="21"/>
                      <w:lang w:bidi="ar"/>
                    </w:rPr>
                    <w:t>减少</w:t>
                  </w:r>
                  <w:r>
                    <w:rPr>
                      <w:rFonts w:hint="eastAsia" w:ascii="宋体" w:hAnsi="宋体" w:cs="宋体"/>
                      <w:color w:val="auto"/>
                      <w:sz w:val="21"/>
                      <w:szCs w:val="21"/>
                      <w:lang w:val="en-US" w:eastAsia="zh-CN" w:bidi="ar"/>
                    </w:rPr>
                    <w:t>临时</w:t>
                  </w:r>
                  <w:r>
                    <w:rPr>
                      <w:rFonts w:hint="eastAsia" w:ascii="宋体" w:hAnsi="宋体" w:cs="宋体"/>
                      <w:color w:val="auto"/>
                      <w:sz w:val="21"/>
                      <w:szCs w:val="21"/>
                      <w:lang w:bidi="ar"/>
                    </w:rPr>
                    <w:t>占地</w:t>
                  </w:r>
                  <w:r>
                    <w:rPr>
                      <w:rFonts w:hint="eastAsia" w:ascii="宋体" w:hAnsi="宋体" w:cs="宋体"/>
                      <w:color w:val="auto"/>
                      <w:sz w:val="21"/>
                      <w:szCs w:val="21"/>
                      <w:lang w:val="en-US" w:eastAsia="zh-CN" w:bidi="ar"/>
                    </w:rPr>
                    <w:t>范围</w:t>
                  </w:r>
                  <w:r>
                    <w:rPr>
                      <w:rFonts w:hint="eastAsia" w:ascii="宋体" w:hAnsi="宋体" w:cs="宋体"/>
                      <w:color w:val="auto"/>
                      <w:sz w:val="21"/>
                      <w:szCs w:val="21"/>
                      <w:lang w:bidi="ar"/>
                    </w:rPr>
                    <w:t>。</w:t>
                  </w:r>
                </w:p>
              </w:tc>
              <w:tc>
                <w:tcPr>
                  <w:tcW w:w="908" w:type="dxa"/>
                  <w:tcBorders>
                    <w:tl2br w:val="nil"/>
                    <w:tr2bl w:val="nil"/>
                  </w:tcBorders>
                  <w:vAlign w:val="center"/>
                </w:tcPr>
                <w:p w14:paraId="0E554B47">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符合</w:t>
                  </w:r>
                </w:p>
              </w:tc>
            </w:tr>
            <w:tr w14:paraId="552918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tl2br w:val="nil"/>
                    <w:tr2bl w:val="nil"/>
                  </w:tcBorders>
                  <w:vAlign w:val="center"/>
                </w:tcPr>
                <w:p w14:paraId="3377EADB">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p>
              </w:tc>
              <w:tc>
                <w:tcPr>
                  <w:tcW w:w="350" w:type="dxa"/>
                  <w:vMerge w:val="continue"/>
                  <w:tcBorders>
                    <w:tl2br w:val="nil"/>
                    <w:tr2bl w:val="nil"/>
                  </w:tcBorders>
                  <w:vAlign w:val="center"/>
                </w:tcPr>
                <w:p w14:paraId="2020F47D">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s="Times New Roman"/>
                      <w:color w:val="auto"/>
                      <w:sz w:val="21"/>
                      <w:szCs w:val="21"/>
                      <w:lang w:val="en-US" w:eastAsia="zh-CN"/>
                    </w:rPr>
                  </w:pPr>
                </w:p>
              </w:tc>
              <w:tc>
                <w:tcPr>
                  <w:tcW w:w="2030" w:type="dxa"/>
                  <w:tcBorders>
                    <w:tl2br w:val="nil"/>
                    <w:tr2bl w:val="nil"/>
                  </w:tcBorders>
                  <w:shd w:val="clear" w:color="auto" w:fill="auto"/>
                  <w:vAlign w:val="center"/>
                </w:tcPr>
                <w:p w14:paraId="452BE769">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应实施绿色钻井技术体系，科学选择钻井方式、环境友好型钻井液及井控措施，配备完善的固控系统，及时妥善处置钻井泥浆。</w:t>
                  </w:r>
                </w:p>
              </w:tc>
              <w:tc>
                <w:tcPr>
                  <w:tcW w:w="3753" w:type="dxa"/>
                  <w:tcBorders>
                    <w:tl2br w:val="nil"/>
                    <w:tr2bl w:val="nil"/>
                  </w:tcBorders>
                  <w:shd w:val="clear" w:color="auto" w:fill="auto"/>
                  <w:vAlign w:val="center"/>
                </w:tcPr>
                <w:p w14:paraId="58149DE4">
                  <w:pPr>
                    <w:adjustRightInd w:val="0"/>
                    <w:snapToGrid w:val="0"/>
                    <w:spacing w:line="300" w:lineRule="exact"/>
                    <w:jc w:val="center"/>
                    <w:rPr>
                      <w:rFonts w:hint="default" w:ascii="宋体" w:hAnsi="宋体" w:eastAsia="宋体" w:cs="宋体"/>
                      <w:color w:val="auto"/>
                      <w:kern w:val="2"/>
                      <w:sz w:val="21"/>
                      <w:szCs w:val="21"/>
                      <w:highlight w:val="none"/>
                      <w:lang w:val="en-US" w:eastAsia="zh-CN" w:bidi="ar"/>
                    </w:rPr>
                  </w:pPr>
                  <w:r>
                    <w:rPr>
                      <w:rFonts w:hint="eastAsia" w:cs="Arial"/>
                      <w:color w:val="auto"/>
                      <w:sz w:val="21"/>
                      <w:szCs w:val="21"/>
                      <w:highlight w:val="none"/>
                      <w:lang w:bidi="ar"/>
                    </w:rPr>
                    <w:t>本项目钻井及储层改造采用了环境友好的压裂液和钻井液，配备了完善的固控设备，钻井液全部循环使用，</w:t>
                  </w:r>
                  <w:r>
                    <w:rPr>
                      <w:rFonts w:hint="eastAsia" w:ascii="宋体" w:hAnsi="宋体" w:cs="宋体"/>
                      <w:color w:val="auto"/>
                      <w:sz w:val="21"/>
                      <w:szCs w:val="21"/>
                      <w:highlight w:val="none"/>
                      <w:lang w:bidi="ar"/>
                    </w:rPr>
                    <w:t>在井口安装井控装置，杜绝井喷的发生；钻井期井场设钻井液不落地设备，一开和二开钻井均采用非磺化水基钻井液，钻井液全部回用，钻井岩屑经不落地系统处理，分离出的液相回用于钻井，分离出的固相即为水基钻井岩屑，水基钻井岩屑暂存于岩屑方罐，交由</w:t>
                  </w:r>
                  <w:r>
                    <w:rPr>
                      <w:rFonts w:hint="eastAsia" w:ascii="宋体" w:hAnsi="宋体" w:cs="宋体"/>
                      <w:color w:val="auto"/>
                      <w:sz w:val="21"/>
                      <w:szCs w:val="21"/>
                      <w:highlight w:val="none"/>
                      <w:lang w:val="en-US" w:eastAsia="zh-CN" w:bidi="ar"/>
                    </w:rPr>
                    <w:t>第三方</w:t>
                  </w:r>
                  <w:r>
                    <w:rPr>
                      <w:rFonts w:hint="eastAsia" w:ascii="宋体" w:hAnsi="宋体" w:cs="宋体"/>
                      <w:color w:val="auto"/>
                      <w:sz w:val="21"/>
                      <w:szCs w:val="21"/>
                      <w:highlight w:val="none"/>
                      <w:lang w:bidi="ar"/>
                    </w:rPr>
                    <w:t xml:space="preserve">岩屑处置单位处置；三开～五开钻井均采用油基钻井液，钻井岩屑经不落地系统处理，分离出的液相全部回用于钻井，分离出的固相即为油基钻井岩屑，油基钻井岩屑委托有相应危险废物处置资质的单位处置，岩屑实现了无害化处置。 </w:t>
                  </w:r>
                </w:p>
              </w:tc>
              <w:tc>
                <w:tcPr>
                  <w:tcW w:w="908" w:type="dxa"/>
                  <w:tcBorders>
                    <w:tl2br w:val="nil"/>
                    <w:tr2bl w:val="nil"/>
                  </w:tcBorders>
                  <w:vAlign w:val="center"/>
                </w:tcPr>
                <w:p w14:paraId="03164FD5">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符合</w:t>
                  </w:r>
                </w:p>
              </w:tc>
            </w:tr>
            <w:tr w14:paraId="254FD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tl2br w:val="nil"/>
                    <w:tr2bl w:val="nil"/>
                  </w:tcBorders>
                  <w:vAlign w:val="center"/>
                </w:tcPr>
                <w:p w14:paraId="6ECE3442">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p>
              </w:tc>
              <w:tc>
                <w:tcPr>
                  <w:tcW w:w="350" w:type="dxa"/>
                  <w:vMerge w:val="continue"/>
                  <w:tcBorders>
                    <w:tl2br w:val="nil"/>
                    <w:tr2bl w:val="nil"/>
                  </w:tcBorders>
                  <w:vAlign w:val="center"/>
                </w:tcPr>
                <w:p w14:paraId="69302FAB">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s="Times New Roman"/>
                      <w:color w:val="auto"/>
                      <w:sz w:val="21"/>
                      <w:szCs w:val="21"/>
                      <w:lang w:val="en-US" w:eastAsia="zh-CN"/>
                    </w:rPr>
                  </w:pPr>
                </w:p>
              </w:tc>
              <w:tc>
                <w:tcPr>
                  <w:tcW w:w="2030" w:type="dxa"/>
                  <w:tcBorders>
                    <w:tl2br w:val="nil"/>
                    <w:tr2bl w:val="nil"/>
                  </w:tcBorders>
                  <w:shd w:val="clear" w:color="auto" w:fill="auto"/>
                  <w:vAlign w:val="center"/>
                </w:tcPr>
                <w:p w14:paraId="1D65535B">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油气开发全过程应采取措施防止地下水污染，建立动态监测评估、处理及报告机制。</w:t>
                  </w:r>
                </w:p>
              </w:tc>
              <w:tc>
                <w:tcPr>
                  <w:tcW w:w="3753" w:type="dxa"/>
                  <w:tcBorders>
                    <w:tl2br w:val="nil"/>
                    <w:tr2bl w:val="nil"/>
                  </w:tcBorders>
                  <w:shd w:val="clear" w:color="auto" w:fill="auto"/>
                  <w:vAlign w:val="center"/>
                </w:tcPr>
                <w:p w14:paraId="00BD6F2C">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val="en-US" w:eastAsia="zh-CN" w:bidi="ar"/>
                    </w:rPr>
                    <w:t>本项目</w:t>
                  </w:r>
                  <w:r>
                    <w:rPr>
                      <w:rFonts w:hint="eastAsia" w:ascii="宋体" w:hAnsi="宋体" w:cs="宋体"/>
                      <w:color w:val="auto"/>
                      <w:sz w:val="21"/>
                      <w:szCs w:val="21"/>
                      <w:lang w:bidi="ar"/>
                    </w:rPr>
                    <w:t>钻试期使用的新鲜水由罐车从玛纳斯县拉运至项目区，不开采地下水。钻井过程中使用水泥固井，用套管将含水层与井筒分隔开，钻试井场和生活营地分区防渗，均采取了符合规范的防渗措施，不会对地下水环境产生不利影响。</w:t>
                  </w:r>
                </w:p>
              </w:tc>
              <w:tc>
                <w:tcPr>
                  <w:tcW w:w="908" w:type="dxa"/>
                  <w:tcBorders>
                    <w:tl2br w:val="nil"/>
                    <w:tr2bl w:val="nil"/>
                  </w:tcBorders>
                  <w:vAlign w:val="center"/>
                </w:tcPr>
                <w:p w14:paraId="76AF65A7">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符合</w:t>
                  </w:r>
                </w:p>
              </w:tc>
            </w:tr>
            <w:tr w14:paraId="0EA45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restart"/>
                  <w:tcBorders>
                    <w:tl2br w:val="nil"/>
                    <w:tr2bl w:val="nil"/>
                  </w:tcBorders>
                  <w:vAlign w:val="center"/>
                </w:tcPr>
                <w:p w14:paraId="56614042">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w:t>
                  </w:r>
                </w:p>
              </w:tc>
              <w:tc>
                <w:tcPr>
                  <w:tcW w:w="350" w:type="dxa"/>
                  <w:vMerge w:val="restart"/>
                  <w:tcBorders>
                    <w:tl2br w:val="nil"/>
                    <w:tr2bl w:val="nil"/>
                  </w:tcBorders>
                  <w:shd w:val="clear" w:color="auto" w:fill="auto"/>
                  <w:vAlign w:val="center"/>
                </w:tcPr>
                <w:p w14:paraId="17D4D96A">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矿区生态环境保护</w:t>
                  </w:r>
                </w:p>
              </w:tc>
              <w:tc>
                <w:tcPr>
                  <w:tcW w:w="2030" w:type="dxa"/>
                  <w:tcBorders>
                    <w:tl2br w:val="nil"/>
                    <w:tr2bl w:val="nil"/>
                  </w:tcBorders>
                  <w:shd w:val="clear" w:color="auto" w:fill="auto"/>
                  <w:vAlign w:val="center"/>
                </w:tcPr>
                <w:p w14:paraId="5F8EDE6E">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防止油气生产、储存、转运过程中发生渗漏、泄露，防止对矿区生态环境造成污染和破坏。</w:t>
                  </w:r>
                </w:p>
              </w:tc>
              <w:tc>
                <w:tcPr>
                  <w:tcW w:w="3753" w:type="dxa"/>
                  <w:tcBorders>
                    <w:tl2br w:val="nil"/>
                    <w:tr2bl w:val="nil"/>
                  </w:tcBorders>
                  <w:shd w:val="clear" w:color="auto" w:fill="auto"/>
                  <w:vAlign w:val="center"/>
                </w:tcPr>
                <w:p w14:paraId="43069FA0">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bidi="ar"/>
                    </w:rPr>
                    <w:t>本项目无运营期。为防止施工期各类污染物对项目区地下水和土壤造成污染，建设单位在施工期对钻试井场和生活营地进行分区防渗。施工期严格执行相关风险防范措施和规章制度，严禁违规操作加强设备维修与巡检，加强各类储罐运输环节的管理，避免出现储罐泄漏风险事故发生。危险废物在储存、转移、处理过程中严格执行《危险废物转移管理办法》（部令第23号）</w:t>
                  </w:r>
                  <w:r>
                    <w:rPr>
                      <w:rFonts w:hint="eastAsia" w:ascii="宋体" w:hAnsi="宋体" w:cs="宋体"/>
                      <w:color w:val="auto"/>
                      <w:sz w:val="21"/>
                      <w:szCs w:val="21"/>
                      <w:lang w:val="en-US" w:eastAsia="zh-CN" w:bidi="ar"/>
                    </w:rPr>
                    <w:t>中要求，</w:t>
                  </w:r>
                  <w:r>
                    <w:rPr>
                      <w:rFonts w:hint="eastAsia" w:ascii="宋体" w:hAnsi="宋体" w:cs="宋体"/>
                      <w:color w:val="auto"/>
                      <w:sz w:val="21"/>
                      <w:szCs w:val="21"/>
                      <w:lang w:bidi="ar"/>
                    </w:rPr>
                    <w:t>确保危险废物的运输安全可靠，减少或避免运输过程中的二次污染和可能造成的环境风险；在井口安装井控装置，杜绝井喷的发生；定期检查固井质量，保证固井质量合格；加强各类储罐及放喷管线的日常管理及安全检查；加强施工期管理，严禁油田施工人员和车辆随意进入临时占地以外的区域。</w:t>
                  </w:r>
                </w:p>
              </w:tc>
              <w:tc>
                <w:tcPr>
                  <w:tcW w:w="908" w:type="dxa"/>
                  <w:tcBorders>
                    <w:tl2br w:val="nil"/>
                    <w:tr2bl w:val="nil"/>
                  </w:tcBorders>
                  <w:vAlign w:val="center"/>
                </w:tcPr>
                <w:p w14:paraId="55EAA1E9">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符合</w:t>
                  </w:r>
                </w:p>
              </w:tc>
            </w:tr>
            <w:tr w14:paraId="199327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tl2br w:val="nil"/>
                    <w:tr2bl w:val="nil"/>
                  </w:tcBorders>
                  <w:vAlign w:val="center"/>
                </w:tcPr>
                <w:p w14:paraId="16D5DCC8">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p>
              </w:tc>
              <w:tc>
                <w:tcPr>
                  <w:tcW w:w="350" w:type="dxa"/>
                  <w:vMerge w:val="continue"/>
                  <w:tcBorders>
                    <w:tl2br w:val="nil"/>
                    <w:tr2bl w:val="nil"/>
                  </w:tcBorders>
                  <w:vAlign w:val="center"/>
                </w:tcPr>
                <w:p w14:paraId="7AC8E424">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s="Times New Roman"/>
                      <w:color w:val="auto"/>
                      <w:sz w:val="21"/>
                      <w:szCs w:val="21"/>
                      <w:lang w:val="en-US" w:eastAsia="zh-CN"/>
                    </w:rPr>
                  </w:pPr>
                </w:p>
              </w:tc>
              <w:tc>
                <w:tcPr>
                  <w:tcW w:w="2030" w:type="dxa"/>
                  <w:tcBorders>
                    <w:tl2br w:val="nil"/>
                    <w:tr2bl w:val="nil"/>
                  </w:tcBorders>
                  <w:shd w:val="clear" w:color="auto" w:fill="auto"/>
                  <w:vAlign w:val="center"/>
                </w:tcPr>
                <w:p w14:paraId="515655EA">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应制定突发环境事件应急预案，配备相应的应急物资。</w:t>
                  </w:r>
                </w:p>
              </w:tc>
              <w:tc>
                <w:tcPr>
                  <w:tcW w:w="3753" w:type="dxa"/>
                  <w:tcBorders>
                    <w:tl2br w:val="nil"/>
                    <w:tr2bl w:val="nil"/>
                  </w:tcBorders>
                  <w:vAlign w:val="center"/>
                </w:tcPr>
                <w:p w14:paraId="18956DBF">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本项目纳入《中国石油新疆油田分公司勘探事业部突发环境事件应急预案》，同时落实中国石油新疆油田分公司已建立的健康、安全与环境（HSE）管理体系。</w:t>
                  </w:r>
                </w:p>
              </w:tc>
              <w:tc>
                <w:tcPr>
                  <w:tcW w:w="908" w:type="dxa"/>
                  <w:tcBorders>
                    <w:tl2br w:val="nil"/>
                    <w:tr2bl w:val="nil"/>
                  </w:tcBorders>
                  <w:vAlign w:val="center"/>
                </w:tcPr>
                <w:p w14:paraId="35437620">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符合</w:t>
                  </w:r>
                </w:p>
              </w:tc>
            </w:tr>
            <w:tr w14:paraId="34FEF2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restart"/>
                  <w:tcBorders>
                    <w:tl2br w:val="nil"/>
                    <w:tr2bl w:val="nil"/>
                  </w:tcBorders>
                  <w:vAlign w:val="center"/>
                </w:tcPr>
                <w:p w14:paraId="3DD68BC1">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350" w:type="dxa"/>
                  <w:vMerge w:val="restart"/>
                  <w:tcBorders>
                    <w:tl2br w:val="nil"/>
                    <w:tr2bl w:val="nil"/>
                  </w:tcBorders>
                  <w:shd w:val="clear" w:color="auto" w:fill="auto"/>
                  <w:vAlign w:val="center"/>
                </w:tcPr>
                <w:p w14:paraId="0128BC73">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资源综合利用</w:t>
                  </w:r>
                </w:p>
              </w:tc>
              <w:tc>
                <w:tcPr>
                  <w:tcW w:w="2030" w:type="dxa"/>
                  <w:tcBorders>
                    <w:tl2br w:val="nil"/>
                    <w:tr2bl w:val="nil"/>
                  </w:tcBorders>
                  <w:shd w:val="clear" w:color="auto" w:fill="auto"/>
                  <w:vAlign w:val="center"/>
                </w:tcPr>
                <w:p w14:paraId="7108DE5C">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油气生产过程中产生的废液、废气、固体废物应建档分类管理，并清洁化、无害化处置，处置率应达到100%。</w:t>
                  </w:r>
                </w:p>
              </w:tc>
              <w:tc>
                <w:tcPr>
                  <w:tcW w:w="3753" w:type="dxa"/>
                  <w:tcBorders>
                    <w:tl2br w:val="nil"/>
                    <w:tr2bl w:val="nil"/>
                  </w:tcBorders>
                  <w:vAlign w:val="center"/>
                </w:tcPr>
                <w:p w14:paraId="6063280A">
                  <w:pPr>
                    <w:adjustRightInd w:val="0"/>
                    <w:snapToGrid w:val="0"/>
                    <w:spacing w:line="300" w:lineRule="exact"/>
                    <w:jc w:val="center"/>
                    <w:rPr>
                      <w:rFonts w:hint="default" w:ascii="Times New Roman" w:hAnsi="Times New Roman" w:cs="Times New Roman"/>
                      <w:color w:val="auto"/>
                      <w:sz w:val="21"/>
                      <w:szCs w:val="21"/>
                      <w:lang w:val="en-US" w:eastAsia="zh-CN"/>
                    </w:rPr>
                  </w:pPr>
                  <w:r>
                    <w:rPr>
                      <w:rFonts w:hint="eastAsia" w:ascii="宋体" w:hAnsi="宋体" w:cs="宋体"/>
                      <w:color w:val="auto"/>
                      <w:sz w:val="21"/>
                      <w:szCs w:val="21"/>
                      <w:lang w:val="en-US" w:eastAsia="zh-CN" w:bidi="ar"/>
                    </w:rPr>
                    <w:t>本项目</w:t>
                  </w:r>
                  <w:r>
                    <w:rPr>
                      <w:rFonts w:hint="eastAsia" w:ascii="宋体" w:hAnsi="宋体" w:cs="宋体"/>
                      <w:color w:val="auto"/>
                      <w:sz w:val="21"/>
                      <w:szCs w:val="21"/>
                      <w:lang w:bidi="ar"/>
                    </w:rPr>
                    <w:t>钻试期间洗井废水和压裂返排液由地面储罐收集后，依托</w:t>
                  </w:r>
                  <w:r>
                    <w:rPr>
                      <w:rFonts w:hint="eastAsia" w:ascii="宋体" w:hAnsi="宋体" w:cs="宋体"/>
                      <w:color w:val="auto"/>
                      <w:sz w:val="21"/>
                      <w:szCs w:val="21"/>
                      <w:lang w:val="en-US" w:eastAsia="zh-CN" w:bidi="ar"/>
                    </w:rPr>
                    <w:t>采油一厂车89处理站处置</w:t>
                  </w:r>
                  <w:r>
                    <w:rPr>
                      <w:rFonts w:hint="eastAsia" w:ascii="宋体" w:hAnsi="宋体" w:cs="宋体"/>
                      <w:color w:val="auto"/>
                      <w:sz w:val="21"/>
                      <w:szCs w:val="21"/>
                      <w:lang w:bidi="ar"/>
                    </w:rPr>
                    <w:t>。生活污水暂存在生活营地设置的临时防渗收集池，定期吸污车抽出并运至</w:t>
                  </w:r>
                  <w:r>
                    <w:rPr>
                      <w:rFonts w:hint="eastAsia" w:ascii="宋体" w:hAnsi="宋体" w:cs="宋体"/>
                      <w:color w:val="auto"/>
                      <w:sz w:val="21"/>
                      <w:szCs w:val="21"/>
                      <w:lang w:eastAsia="zh-CN" w:bidi="ar"/>
                    </w:rPr>
                    <w:t>玛纳斯县城污水处理厂</w:t>
                  </w:r>
                  <w:r>
                    <w:rPr>
                      <w:rFonts w:hint="eastAsia" w:ascii="宋体" w:hAnsi="宋体" w:cs="宋体"/>
                      <w:color w:val="auto"/>
                      <w:sz w:val="21"/>
                      <w:szCs w:val="21"/>
                      <w:lang w:bidi="ar"/>
                    </w:rPr>
                    <w:t>处理；钻井井场设</w:t>
                  </w:r>
                  <w:r>
                    <w:rPr>
                      <w:rFonts w:hint="eastAsia" w:ascii="宋体" w:hAnsi="宋体" w:cs="宋体"/>
                      <w:color w:val="auto"/>
                      <w:sz w:val="21"/>
                      <w:szCs w:val="21"/>
                      <w:lang w:val="en-US" w:eastAsia="zh-CN" w:bidi="ar"/>
                    </w:rPr>
                    <w:t>有</w:t>
                  </w:r>
                  <w:r>
                    <w:rPr>
                      <w:rFonts w:hint="eastAsia" w:ascii="宋体" w:hAnsi="宋体" w:cs="宋体"/>
                      <w:color w:val="auto"/>
                      <w:sz w:val="21"/>
                      <w:szCs w:val="21"/>
                      <w:lang w:bidi="ar"/>
                    </w:rPr>
                    <w:t>不落地设备，水基钻井岩屑暂存于岩屑方罐中，油基钻井岩屑暂存于岩屑专用储罐，水基钻井岩屑委托</w:t>
                  </w:r>
                  <w:r>
                    <w:rPr>
                      <w:rFonts w:hint="eastAsia" w:ascii="宋体" w:hAnsi="宋体" w:cs="宋体"/>
                      <w:color w:val="auto"/>
                      <w:sz w:val="21"/>
                      <w:szCs w:val="21"/>
                      <w:lang w:val="en-US" w:eastAsia="zh-CN" w:bidi="ar"/>
                    </w:rPr>
                    <w:t>第三方</w:t>
                  </w:r>
                  <w:r>
                    <w:rPr>
                      <w:rFonts w:hint="eastAsia" w:ascii="宋体" w:hAnsi="宋体" w:cs="宋体"/>
                      <w:color w:val="auto"/>
                      <w:sz w:val="21"/>
                      <w:szCs w:val="21"/>
                      <w:lang w:bidi="ar"/>
                    </w:rPr>
                    <w:t>岩屑处置单位处置，油基钻井岩屑委托具有相应危废处置资质的单位处置。钻井井场设</w:t>
                  </w:r>
                  <w:r>
                    <w:rPr>
                      <w:rFonts w:hint="eastAsia" w:ascii="宋体" w:hAnsi="宋体" w:cs="宋体"/>
                      <w:color w:val="auto"/>
                      <w:sz w:val="21"/>
                      <w:szCs w:val="21"/>
                      <w:lang w:val="en-US" w:eastAsia="zh-CN" w:bidi="ar"/>
                    </w:rPr>
                    <w:t>有</w:t>
                  </w:r>
                  <w:r>
                    <w:rPr>
                      <w:rFonts w:hint="eastAsia" w:ascii="宋体" w:hAnsi="宋体" w:cs="宋体"/>
                      <w:color w:val="auto"/>
                      <w:sz w:val="21"/>
                      <w:szCs w:val="21"/>
                      <w:lang w:bidi="ar"/>
                    </w:rPr>
                    <w:t>1座危险废物贮存点，用于施工过程中产生的沾油废防渗材料、废润滑油及废润滑油桶</w:t>
                  </w:r>
                  <w:r>
                    <w:rPr>
                      <w:rFonts w:hint="eastAsia" w:ascii="宋体" w:hAnsi="宋体" w:cs="宋体"/>
                      <w:color w:val="auto"/>
                      <w:sz w:val="21"/>
                      <w:szCs w:val="21"/>
                      <w:lang w:eastAsia="zh-CN" w:bidi="ar"/>
                    </w:rPr>
                    <w:t>、</w:t>
                  </w:r>
                  <w:r>
                    <w:rPr>
                      <w:rFonts w:hint="eastAsia" w:ascii="宋体" w:hAnsi="宋体" w:cs="宋体"/>
                      <w:color w:val="auto"/>
                      <w:sz w:val="21"/>
                      <w:szCs w:val="21"/>
                      <w:lang w:val="en-US" w:eastAsia="zh-CN" w:bidi="ar"/>
                    </w:rPr>
                    <w:t>沾油劳保用品</w:t>
                  </w:r>
                  <w:r>
                    <w:rPr>
                      <w:rFonts w:hint="eastAsia" w:ascii="宋体" w:hAnsi="宋体" w:cs="宋体"/>
                      <w:color w:val="auto"/>
                      <w:sz w:val="21"/>
                      <w:szCs w:val="21"/>
                      <w:lang w:bidi="ar"/>
                    </w:rPr>
                    <w:t>的暂存，各类危险废物定期交由具有相应危险废物处置资质的单位进行接收、转运和处置。生活垃圾箱集中收集，定期清运至玛纳斯县生活垃圾填埋场处置。</w:t>
                  </w:r>
                  <w:r>
                    <w:rPr>
                      <w:rFonts w:hint="eastAsia" w:ascii="宋体" w:hAnsi="宋体" w:cs="宋体"/>
                      <w:color w:val="auto"/>
                      <w:sz w:val="21"/>
                      <w:szCs w:val="21"/>
                      <w:lang w:val="en-US" w:eastAsia="zh-CN" w:bidi="ar"/>
                    </w:rPr>
                    <w:t>建筑垃圾</w:t>
                  </w:r>
                  <w:r>
                    <w:rPr>
                      <w:rFonts w:hint="eastAsia" w:ascii="宋体" w:hAnsi="宋体" w:cs="宋体"/>
                      <w:color w:val="auto"/>
                      <w:sz w:val="21"/>
                      <w:szCs w:val="21"/>
                      <w:lang w:bidi="ar"/>
                    </w:rPr>
                    <w:t>集中收集尽量由施工单位统一回收利用，无法再利用的送至玛纳斯县建筑垃圾填埋场填埋处理</w:t>
                  </w:r>
                  <w:r>
                    <w:rPr>
                      <w:rFonts w:hint="eastAsia" w:ascii="宋体" w:hAnsi="宋体" w:cs="宋体"/>
                      <w:color w:val="auto"/>
                      <w:sz w:val="21"/>
                      <w:szCs w:val="21"/>
                      <w:lang w:eastAsia="zh-CN" w:bidi="ar"/>
                    </w:rPr>
                    <w:t>。</w:t>
                  </w:r>
                  <w:r>
                    <w:rPr>
                      <w:rFonts w:hint="eastAsia" w:ascii="宋体" w:hAnsi="宋体" w:cs="宋体"/>
                      <w:color w:val="auto"/>
                      <w:sz w:val="21"/>
                      <w:szCs w:val="21"/>
                      <w:lang w:bidi="ar"/>
                    </w:rPr>
                    <w:t>本项目施工期各类废水和固体废物均得到妥善处置，</w:t>
                  </w:r>
                  <w:r>
                    <w:rPr>
                      <w:rFonts w:hint="eastAsia" w:ascii="宋体" w:hAnsi="宋体" w:cs="Arial"/>
                      <w:color w:val="auto"/>
                      <w:sz w:val="21"/>
                      <w:szCs w:val="21"/>
                      <w:lang w:bidi="ar"/>
                    </w:rPr>
                    <w:t>处置率达到100%。</w:t>
                  </w:r>
                </w:p>
              </w:tc>
              <w:tc>
                <w:tcPr>
                  <w:tcW w:w="908" w:type="dxa"/>
                  <w:tcBorders>
                    <w:tl2br w:val="nil"/>
                    <w:tr2bl w:val="nil"/>
                  </w:tcBorders>
                  <w:vAlign w:val="center"/>
                </w:tcPr>
                <w:p w14:paraId="261BEFBD">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符合</w:t>
                  </w:r>
                </w:p>
              </w:tc>
            </w:tr>
            <w:tr w14:paraId="6F243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tl2br w:val="nil"/>
                    <w:tr2bl w:val="nil"/>
                  </w:tcBorders>
                  <w:vAlign w:val="center"/>
                </w:tcPr>
                <w:p w14:paraId="5276E18B">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p>
              </w:tc>
              <w:tc>
                <w:tcPr>
                  <w:tcW w:w="350" w:type="dxa"/>
                  <w:vMerge w:val="continue"/>
                  <w:tcBorders>
                    <w:tl2br w:val="nil"/>
                    <w:tr2bl w:val="nil"/>
                  </w:tcBorders>
                  <w:vAlign w:val="center"/>
                </w:tcPr>
                <w:p w14:paraId="0A1FE1B9">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s="Times New Roman"/>
                      <w:color w:val="auto"/>
                      <w:sz w:val="21"/>
                      <w:szCs w:val="21"/>
                      <w:lang w:val="en-US" w:eastAsia="zh-CN"/>
                    </w:rPr>
                  </w:pPr>
                </w:p>
              </w:tc>
              <w:tc>
                <w:tcPr>
                  <w:tcW w:w="2030" w:type="dxa"/>
                  <w:tcBorders>
                    <w:tl2br w:val="nil"/>
                    <w:tr2bl w:val="nil"/>
                  </w:tcBorders>
                  <w:shd w:val="clear" w:color="auto" w:fill="auto"/>
                  <w:vAlign w:val="center"/>
                </w:tcPr>
                <w:p w14:paraId="72D11B1B">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油气生产过程中的采出水应清洁处理后循环利用；不能循环利用的，应达标排放、回注或采取其它有效利用方式。</w:t>
                  </w:r>
                </w:p>
              </w:tc>
              <w:tc>
                <w:tcPr>
                  <w:tcW w:w="3753" w:type="dxa"/>
                  <w:tcBorders>
                    <w:tl2br w:val="nil"/>
                    <w:tr2bl w:val="nil"/>
                  </w:tcBorders>
                  <w:shd w:val="clear" w:color="auto" w:fill="auto"/>
                  <w:vAlign w:val="center"/>
                </w:tcPr>
                <w:p w14:paraId="7DB4918D">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val="en-US" w:eastAsia="zh-CN" w:bidi="ar"/>
                    </w:rPr>
                    <w:t>本项目</w:t>
                  </w:r>
                  <w:r>
                    <w:rPr>
                      <w:rFonts w:hint="eastAsia" w:ascii="宋体" w:hAnsi="宋体" w:cs="宋体"/>
                      <w:color w:val="auto"/>
                      <w:sz w:val="21"/>
                      <w:szCs w:val="21"/>
                      <w:lang w:bidi="ar"/>
                    </w:rPr>
                    <w:t>钻试期洗井废水和压裂返排液由地面储罐收集后，依托</w:t>
                  </w:r>
                  <w:r>
                    <w:rPr>
                      <w:rFonts w:hint="eastAsia" w:ascii="宋体" w:hAnsi="宋体" w:cs="宋体"/>
                      <w:color w:val="auto"/>
                      <w:sz w:val="21"/>
                      <w:szCs w:val="21"/>
                      <w:lang w:val="en-US" w:eastAsia="zh-CN" w:bidi="ar"/>
                    </w:rPr>
                    <w:t>采油一厂</w:t>
                  </w:r>
                  <w:r>
                    <w:rPr>
                      <w:rFonts w:hint="eastAsia" w:ascii="宋体" w:hAnsi="宋体" w:cs="宋体"/>
                      <w:color w:val="auto"/>
                      <w:sz w:val="21"/>
                      <w:szCs w:val="21"/>
                      <w:lang w:bidi="ar"/>
                    </w:rPr>
                    <w:t>车89处理站</w:t>
                  </w:r>
                  <w:r>
                    <w:rPr>
                      <w:rFonts w:hint="eastAsia" w:ascii="宋体" w:hAnsi="宋体" w:cs="宋体"/>
                      <w:color w:val="auto"/>
                      <w:sz w:val="21"/>
                      <w:szCs w:val="21"/>
                      <w:lang w:val="en-US" w:eastAsia="zh-CN" w:bidi="ar"/>
                    </w:rPr>
                    <w:t>处置达标</w:t>
                  </w:r>
                  <w:r>
                    <w:rPr>
                      <w:rFonts w:hint="eastAsia" w:ascii="宋体" w:hAnsi="宋体" w:cs="宋体"/>
                      <w:color w:val="auto"/>
                      <w:sz w:val="21"/>
                      <w:szCs w:val="21"/>
                      <w:lang w:bidi="ar"/>
                    </w:rPr>
                    <w:t>回注油藏。</w:t>
                  </w:r>
                </w:p>
              </w:tc>
              <w:tc>
                <w:tcPr>
                  <w:tcW w:w="908" w:type="dxa"/>
                  <w:tcBorders>
                    <w:tl2br w:val="nil"/>
                    <w:tr2bl w:val="nil"/>
                  </w:tcBorders>
                  <w:shd w:val="clear" w:color="auto" w:fill="auto"/>
                  <w:vAlign w:val="center"/>
                </w:tcPr>
                <w:p w14:paraId="75F305B7">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bidi="ar"/>
                    </w:rPr>
                    <w:t>符合</w:t>
                  </w:r>
                </w:p>
              </w:tc>
            </w:tr>
            <w:tr w14:paraId="50FCC5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2" w:type="dxa"/>
                  <w:tcBorders>
                    <w:tl2br w:val="nil"/>
                    <w:tr2bl w:val="nil"/>
                  </w:tcBorders>
                  <w:vAlign w:val="center"/>
                </w:tcPr>
                <w:p w14:paraId="49F6C19E">
                  <w:pPr>
                    <w:pStyle w:val="106"/>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350" w:type="dxa"/>
                  <w:tcBorders>
                    <w:tl2br w:val="nil"/>
                    <w:tr2bl w:val="nil"/>
                  </w:tcBorders>
                  <w:shd w:val="clear" w:color="auto" w:fill="auto"/>
                  <w:vAlign w:val="center"/>
                </w:tcPr>
                <w:p w14:paraId="49F97CC6">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节能减排</w:t>
                  </w:r>
                </w:p>
              </w:tc>
              <w:tc>
                <w:tcPr>
                  <w:tcW w:w="2030" w:type="dxa"/>
                  <w:tcBorders>
                    <w:tl2br w:val="nil"/>
                    <w:tr2bl w:val="nil"/>
                  </w:tcBorders>
                  <w:shd w:val="clear" w:color="auto" w:fill="auto"/>
                  <w:vAlign w:val="center"/>
                </w:tcPr>
                <w:p w14:paraId="4179E5EB">
                  <w:pPr>
                    <w:adjustRightInd w:val="0"/>
                    <w:snapToGrid w:val="0"/>
                    <w:spacing w:line="300" w:lineRule="exact"/>
                    <w:jc w:val="left"/>
                    <w:rPr>
                      <w:rFonts w:hint="eastAsia" w:ascii="宋体" w:hAnsi="宋体" w:eastAsia="宋体" w:cs="Arial"/>
                      <w:color w:val="auto"/>
                      <w:kern w:val="2"/>
                      <w:sz w:val="21"/>
                      <w:szCs w:val="21"/>
                      <w:lang w:val="en-US" w:eastAsia="zh-CN" w:bidi="ar"/>
                    </w:rPr>
                  </w:pPr>
                  <w:r>
                    <w:rPr>
                      <w:rFonts w:hint="eastAsia" w:ascii="宋体" w:hAnsi="宋体" w:cs="Arial"/>
                      <w:color w:val="auto"/>
                      <w:sz w:val="21"/>
                      <w:szCs w:val="21"/>
                      <w:lang w:bidi="ar"/>
                    </w:rPr>
                    <w:t>油气生产过程中应采取有效的污染防治措施，全面实施清洁生产，从源头减少污染物的产生。</w:t>
                  </w:r>
                </w:p>
              </w:tc>
              <w:tc>
                <w:tcPr>
                  <w:tcW w:w="3753" w:type="dxa"/>
                  <w:tcBorders>
                    <w:tl2br w:val="nil"/>
                    <w:tr2bl w:val="nil"/>
                  </w:tcBorders>
                  <w:shd w:val="clear" w:color="auto" w:fill="auto"/>
                  <w:vAlign w:val="center"/>
                </w:tcPr>
                <w:p w14:paraId="23BEA6CC">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val="en-US" w:eastAsia="zh-CN" w:bidi="ar"/>
                    </w:rPr>
                    <w:t>本项目</w:t>
                  </w:r>
                  <w:r>
                    <w:rPr>
                      <w:rFonts w:hint="eastAsia" w:ascii="宋体" w:hAnsi="宋体" w:cs="宋体"/>
                      <w:color w:val="auto"/>
                      <w:sz w:val="21"/>
                      <w:szCs w:val="21"/>
                      <w:lang w:bidi="ar"/>
                    </w:rPr>
                    <w:t>钻试过程中采取了污染防治措施，有效防止了污染物的产生和生态破坏，具体如下：井场设钻井液不落地设备，一开和二开钻井均采用非磺化水基钻井液，钻井岩屑经不落地系统处理，分离出的液相回用于钻井，分离出的固相即为水基钻井岩屑，水基钻井岩屑暂存于岩屑方罐，交由</w:t>
                  </w:r>
                  <w:r>
                    <w:rPr>
                      <w:rFonts w:hint="eastAsia" w:ascii="宋体" w:hAnsi="宋体" w:cs="宋体"/>
                      <w:color w:val="auto"/>
                      <w:sz w:val="21"/>
                      <w:szCs w:val="21"/>
                      <w:lang w:eastAsia="zh-CN" w:bidi="ar"/>
                    </w:rPr>
                    <w:t>第三方岩屑处置单位处置</w:t>
                  </w:r>
                  <w:r>
                    <w:rPr>
                      <w:rFonts w:hint="eastAsia" w:ascii="宋体" w:hAnsi="宋体" w:cs="宋体"/>
                      <w:color w:val="auto"/>
                      <w:sz w:val="21"/>
                      <w:szCs w:val="21"/>
                      <w:lang w:bidi="ar"/>
                    </w:rPr>
                    <w:t>；三开～五开钻井均采用油基钻井液，钻井岩屑经不落地系统处理，分离出的液相全部回用于钻井，分离出的固相即为油基钻井岩屑，油基钻井岩屑委托有相应危险废物处置资质的单位处置；施工结束后产生的未沾油防渗材料由施工单位集中回收利用，施工过程中产生的沾油的废防渗材料、废润滑油及废润滑油桶</w:t>
                  </w:r>
                  <w:r>
                    <w:rPr>
                      <w:rFonts w:hint="eastAsia" w:ascii="宋体" w:hAnsi="宋体" w:cs="宋体"/>
                      <w:color w:val="auto"/>
                      <w:sz w:val="21"/>
                      <w:szCs w:val="21"/>
                      <w:lang w:eastAsia="zh-CN" w:bidi="ar"/>
                    </w:rPr>
                    <w:t>、</w:t>
                  </w:r>
                  <w:r>
                    <w:rPr>
                      <w:rFonts w:hint="eastAsia" w:ascii="宋体" w:hAnsi="宋体" w:cs="宋体"/>
                      <w:color w:val="auto"/>
                      <w:sz w:val="21"/>
                      <w:szCs w:val="21"/>
                      <w:lang w:val="en-US" w:eastAsia="zh-CN" w:bidi="ar"/>
                    </w:rPr>
                    <w:t>沾油劳保用品</w:t>
                  </w:r>
                  <w:r>
                    <w:rPr>
                      <w:rFonts w:hint="eastAsia" w:ascii="宋体" w:hAnsi="宋体" w:cs="宋体"/>
                      <w:color w:val="auto"/>
                      <w:sz w:val="21"/>
                      <w:szCs w:val="21"/>
                      <w:lang w:bidi="ar"/>
                    </w:rPr>
                    <w:t>定期交由具有相应危险废物处置资质的单位进行接收、转运和处置；施工人员产生的生活污水排入防渗收集池后由吸污车运至</w:t>
                  </w:r>
                  <w:r>
                    <w:rPr>
                      <w:rFonts w:hint="eastAsia" w:ascii="宋体" w:hAnsi="宋体" w:cs="宋体"/>
                      <w:color w:val="auto"/>
                      <w:sz w:val="21"/>
                      <w:szCs w:val="21"/>
                      <w:lang w:eastAsia="zh-CN" w:bidi="ar"/>
                    </w:rPr>
                    <w:t>玛纳斯县城污水处理厂</w:t>
                  </w:r>
                  <w:r>
                    <w:rPr>
                      <w:rFonts w:hint="eastAsia" w:ascii="宋体" w:hAnsi="宋体" w:cs="宋体"/>
                      <w:color w:val="auto"/>
                      <w:sz w:val="21"/>
                      <w:szCs w:val="21"/>
                      <w:lang w:bidi="ar"/>
                    </w:rPr>
                    <w:t>处置；产生的生活垃圾集中收集在垃圾箱后交玛纳斯县生活垃圾填埋场处置</w:t>
                  </w:r>
                  <w:r>
                    <w:rPr>
                      <w:rFonts w:hint="eastAsia" w:ascii="宋体" w:hAnsi="宋体" w:cs="宋体"/>
                      <w:color w:val="auto"/>
                      <w:sz w:val="21"/>
                      <w:szCs w:val="21"/>
                      <w:lang w:eastAsia="zh-CN" w:bidi="ar"/>
                    </w:rPr>
                    <w:t>；</w:t>
                  </w:r>
                  <w:r>
                    <w:rPr>
                      <w:rFonts w:hint="eastAsia" w:ascii="宋体" w:hAnsi="宋体" w:cs="宋体"/>
                      <w:color w:val="auto"/>
                      <w:sz w:val="21"/>
                      <w:szCs w:val="21"/>
                      <w:lang w:val="en-US" w:eastAsia="zh-CN" w:bidi="ar"/>
                    </w:rPr>
                    <w:t>建筑垃圾</w:t>
                  </w:r>
                  <w:r>
                    <w:rPr>
                      <w:rFonts w:hint="eastAsia" w:ascii="宋体" w:hAnsi="宋体" w:cs="宋体"/>
                      <w:color w:val="auto"/>
                      <w:sz w:val="21"/>
                      <w:szCs w:val="21"/>
                      <w:lang w:eastAsia="zh-CN" w:bidi="ar"/>
                    </w:rPr>
                    <w:t>集中收集尽量由施工单位统一回收利用，无法再利用的送至玛纳斯县建筑垃圾填埋场填埋处理；</w:t>
                  </w:r>
                  <w:r>
                    <w:rPr>
                      <w:rFonts w:hint="eastAsia" w:ascii="宋体" w:hAnsi="宋体" w:cs="宋体"/>
                      <w:color w:val="auto"/>
                      <w:sz w:val="21"/>
                      <w:szCs w:val="21"/>
                      <w:lang w:bidi="ar"/>
                    </w:rPr>
                    <w:t>洗井废水和压裂返排液由罐车拉运至</w:t>
                  </w:r>
                  <w:r>
                    <w:rPr>
                      <w:rFonts w:hint="eastAsia" w:ascii="宋体" w:hAnsi="宋体" w:cs="宋体"/>
                      <w:color w:val="auto"/>
                      <w:sz w:val="21"/>
                      <w:szCs w:val="21"/>
                      <w:lang w:val="en-US" w:eastAsia="zh-CN" w:bidi="ar"/>
                    </w:rPr>
                    <w:t>采油一厂</w:t>
                  </w:r>
                  <w:r>
                    <w:rPr>
                      <w:rFonts w:hint="eastAsia" w:ascii="宋体" w:hAnsi="宋体" w:cs="宋体"/>
                      <w:color w:val="auto"/>
                      <w:sz w:val="21"/>
                      <w:szCs w:val="21"/>
                      <w:lang w:bidi="ar"/>
                    </w:rPr>
                    <w:t>车89处理站</w:t>
                  </w:r>
                  <w:r>
                    <w:rPr>
                      <w:rFonts w:hint="eastAsia" w:ascii="宋体" w:hAnsi="宋体" w:cs="宋体"/>
                      <w:color w:val="auto"/>
                      <w:sz w:val="21"/>
                      <w:szCs w:val="21"/>
                      <w:lang w:val="en-US" w:eastAsia="zh-CN" w:bidi="ar"/>
                    </w:rPr>
                    <w:t>处置</w:t>
                  </w:r>
                  <w:r>
                    <w:rPr>
                      <w:rFonts w:hint="eastAsia" w:ascii="宋体" w:hAnsi="宋体" w:cs="宋体"/>
                      <w:color w:val="auto"/>
                      <w:sz w:val="21"/>
                      <w:szCs w:val="21"/>
                      <w:lang w:bidi="ar"/>
                    </w:rPr>
                    <w:t>；对易起尘物料进行遮盖、加强车辆管理等措施；柴油储罐采用固定顶罐；水基钻井岩屑和油基钻井岩屑分别暂存于罐中，及时清运；使用符合国家标准的油品，加强机械、车辆的维护；试油期产生的伴生气气量不稳定，经排气管线充分燃烧后放空；加强采出液储罐管理，装卸必须采取密闭装载方式；施工期产生的污染物随施工结束而停止产生，不会对周围环境产生明显影响；钻井过程中使用水泥固井，用套管将含水层与井筒分隔开；储层改造使用环境友好的压裂液；施工期严格控制施工作业面积，尽量减少施工占地、缩短施工时间；采用低噪声设备；加强设备维护及保养，对噪声较大的设备采取基础减振措施；加强施工场地管理，合理疏导进入施工区的车辆，禁止运输车辆随意高声鸣笛；井场采取了符合规范的防渗措施；施工结束后及时对临时占地进行清理平整，植被自然恢复。</w:t>
                  </w:r>
                </w:p>
              </w:tc>
              <w:tc>
                <w:tcPr>
                  <w:tcW w:w="908" w:type="dxa"/>
                  <w:tcBorders>
                    <w:tl2br w:val="nil"/>
                    <w:tr2bl w:val="nil"/>
                  </w:tcBorders>
                  <w:shd w:val="clear" w:color="auto" w:fill="auto"/>
                  <w:vAlign w:val="center"/>
                </w:tcPr>
                <w:p w14:paraId="20516C49">
                  <w:pPr>
                    <w:adjustRightInd w:val="0"/>
                    <w:snapToGrid w:val="0"/>
                    <w:spacing w:line="300" w:lineRule="exact"/>
                    <w:jc w:val="center"/>
                    <w:rPr>
                      <w:rFonts w:hint="default" w:ascii="宋体" w:hAnsi="宋体" w:eastAsia="宋体" w:cs="宋体"/>
                      <w:color w:val="auto"/>
                      <w:kern w:val="2"/>
                      <w:sz w:val="21"/>
                      <w:szCs w:val="21"/>
                      <w:lang w:val="en-US" w:eastAsia="zh-CN" w:bidi="ar"/>
                    </w:rPr>
                  </w:pPr>
                  <w:r>
                    <w:rPr>
                      <w:rFonts w:hint="eastAsia" w:ascii="宋体" w:hAnsi="宋体" w:cs="宋体"/>
                      <w:color w:val="auto"/>
                      <w:sz w:val="21"/>
                      <w:szCs w:val="21"/>
                      <w:lang w:bidi="ar"/>
                    </w:rPr>
                    <w:t>符合</w:t>
                  </w:r>
                </w:p>
              </w:tc>
            </w:tr>
          </w:tbl>
          <w:p w14:paraId="4ABB0D8E">
            <w:pPr>
              <w:pStyle w:val="110"/>
              <w:keepNext w:val="0"/>
              <w:keepLines w:val="0"/>
              <w:pageBreakBefore w:val="0"/>
              <w:widowControl w:val="0"/>
              <w:numPr>
                <w:ilvl w:val="0"/>
                <w:numId w:val="0"/>
              </w:numPr>
              <w:kinsoku/>
              <w:wordWrap/>
              <w:overflowPunct/>
              <w:topLinePunct w:val="0"/>
              <w:autoSpaceDE/>
              <w:autoSpaceDN/>
              <w:bidi w:val="0"/>
              <w:adjustRightInd/>
              <w:snapToGrid w:val="0"/>
              <w:spacing w:before="10" w:after="0"/>
              <w:ind w:left="0" w:leftChars="0" w:firstLine="482" w:firstLineChars="200"/>
              <w:textAlignment w:val="auto"/>
              <w:rPr>
                <w:rFonts w:hint="default" w:ascii="Times New Roman" w:hAnsi="Times New Roman" w:cs="Times New Roman"/>
                <w:b/>
                <w:color w:val="auto"/>
                <w:sz w:val="24"/>
                <w:lang w:val="en-US" w:eastAsia="zh-CN"/>
              </w:rPr>
            </w:pPr>
            <w:r>
              <w:rPr>
                <w:rFonts w:hint="eastAsia" w:cs="Times New Roman"/>
                <w:b/>
                <w:color w:val="auto"/>
                <w:kern w:val="2"/>
                <w:sz w:val="24"/>
                <w:szCs w:val="24"/>
                <w:lang w:val="en-US" w:eastAsia="zh-CN" w:bidi="ar-SA"/>
              </w:rPr>
              <w:t>9</w:t>
            </w:r>
            <w:r>
              <w:rPr>
                <w:rFonts w:hint="default" w:ascii="Times New Roman" w:hAnsi="Times New Roman" w:eastAsia="宋体" w:cs="Times New Roman"/>
                <w:b/>
                <w:color w:val="auto"/>
                <w:kern w:val="2"/>
                <w:sz w:val="24"/>
                <w:szCs w:val="24"/>
                <w:lang w:val="en-US" w:eastAsia="zh-CN" w:bidi="ar-SA"/>
              </w:rPr>
              <w:t>.</w:t>
            </w:r>
            <w:r>
              <w:rPr>
                <w:rFonts w:hint="default" w:ascii="Times New Roman" w:hAnsi="Times New Roman" w:cs="Times New Roman"/>
                <w:b/>
                <w:color w:val="auto"/>
                <w:sz w:val="24"/>
                <w:lang w:val="en-US" w:eastAsia="zh-CN"/>
              </w:rPr>
              <w:t>与</w:t>
            </w:r>
            <w:r>
              <w:rPr>
                <w:rFonts w:hint="default" w:ascii="Times New Roman" w:hAnsi="Times New Roman" w:cs="Times New Roman"/>
                <w:b/>
                <w:color w:val="auto"/>
                <w:sz w:val="24"/>
              </w:rPr>
              <w:t>《钻前工程及井场布置技术要求》（SYT5466-2013）</w:t>
            </w:r>
            <w:r>
              <w:rPr>
                <w:rFonts w:hint="default" w:ascii="Times New Roman" w:hAnsi="Times New Roman" w:cs="Times New Roman"/>
                <w:b/>
                <w:color w:val="auto"/>
                <w:sz w:val="24"/>
                <w:lang w:val="en-US" w:eastAsia="zh-CN"/>
              </w:rPr>
              <w:t>符合性分析</w:t>
            </w:r>
          </w:p>
          <w:p w14:paraId="389F6C3A">
            <w:pPr>
              <w:pStyle w:val="111"/>
              <w:pageBreakBefore w:val="0"/>
              <w:widowControl w:val="0"/>
              <w:kinsoku/>
              <w:wordWrap/>
              <w:overflowPunct/>
              <w:topLinePunct w:val="0"/>
              <w:bidi w:val="0"/>
              <w:spacing w:line="500" w:lineRule="exact"/>
              <w:ind w:firstLine="480" w:firstLineChars="20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钻前工程及井场布置技术要求》中要求：油、气井井口距高压线及其他永久性设施不小于75m，距民宅不小于100m，距铁路、高速公路不小于200m，距学校、医院和大型油库等人口密集性、高危性场所不小于500m。以井口为中点，以井架底座的两条垂直平分线的延长线为准线，划分井场的前、后、左、右。井场应平坦坚实，能承受大型车辆的行驶。根据油气田地质构造和井位布局确定道路走向。</w:t>
            </w:r>
          </w:p>
          <w:p w14:paraId="27B80700">
            <w:pPr>
              <w:pStyle w:val="111"/>
              <w:pageBreakBefore w:val="0"/>
              <w:widowControl w:val="0"/>
              <w:kinsoku/>
              <w:wordWrap/>
              <w:overflowPunct/>
              <w:topLinePunct w:val="0"/>
              <w:bidi w:val="0"/>
              <w:spacing w:line="500" w:lineRule="exact"/>
              <w:ind w:firstLine="480" w:firstLineChars="200"/>
              <w:textAlignment w:val="auto"/>
              <w:rPr>
                <w:rFonts w:hint="eastAsia" w:cs="Times New Roman"/>
                <w:color w:val="auto"/>
                <w:lang w:val="en-US" w:eastAsia="zh-CN"/>
              </w:rPr>
            </w:pPr>
            <w:r>
              <w:rPr>
                <w:rFonts w:hint="eastAsia" w:ascii="Times New Roman" w:hAnsi="Times New Roman" w:eastAsia="宋体" w:cs="Times New Roman"/>
                <w:color w:val="auto"/>
                <w:lang w:val="en-US" w:eastAsia="zh-CN"/>
              </w:rPr>
              <w:t>本项目井口距离75m范围内无高压线及其它永久性设施；100m范围内无民宅，200m范围内无铁路、高速公路，500m范围内无学校、医院和大型油库等人口密集型、高危性场所；</w:t>
            </w:r>
            <w:r>
              <w:rPr>
                <w:rFonts w:hint="eastAsia" w:ascii="Times New Roman" w:hAnsi="Times New Roman" w:cs="Times New Roman"/>
                <w:color w:val="auto"/>
                <w:lang w:val="en-US" w:eastAsia="zh-CN"/>
              </w:rPr>
              <w:t>项</w:t>
            </w:r>
            <w:r>
              <w:rPr>
                <w:rFonts w:hint="default" w:ascii="Times New Roman" w:hAnsi="Times New Roman" w:cs="Times New Roman"/>
                <w:color w:val="auto"/>
              </w:rPr>
              <w:t>目</w:t>
            </w:r>
            <w:r>
              <w:rPr>
                <w:rFonts w:hint="eastAsia" w:ascii="Times New Roman" w:hAnsi="Times New Roman" w:cs="Times New Roman"/>
                <w:color w:val="auto"/>
                <w:lang w:val="en-US" w:eastAsia="zh-CN"/>
              </w:rPr>
              <w:t>井场</w:t>
            </w:r>
            <w:r>
              <w:rPr>
                <w:rFonts w:hint="default" w:ascii="Times New Roman" w:hAnsi="Times New Roman" w:cs="Times New Roman"/>
                <w:color w:val="auto"/>
              </w:rPr>
              <w:t>位于</w:t>
            </w:r>
            <w:r>
              <w:rPr>
                <w:rFonts w:hint="eastAsia" w:ascii="Times New Roman" w:hAnsi="Times New Roman" w:cs="Times New Roman"/>
                <w:color w:val="auto"/>
                <w:lang w:val="en-US" w:eastAsia="zh-CN"/>
              </w:rPr>
              <w:t>一般耕地</w:t>
            </w:r>
            <w:r>
              <w:rPr>
                <w:rFonts w:hint="default" w:ascii="Times New Roman" w:hAnsi="Times New Roman" w:cs="Times New Roman"/>
                <w:color w:val="auto"/>
              </w:rPr>
              <w:t>内，</w:t>
            </w:r>
            <w:r>
              <w:rPr>
                <w:rFonts w:hint="eastAsia" w:ascii="Times New Roman" w:hAnsi="Times New Roman" w:cs="Times New Roman"/>
                <w:color w:val="auto"/>
                <w:lang w:val="en-US" w:eastAsia="zh-CN"/>
              </w:rPr>
              <w:t>不可避让耕地，</w:t>
            </w:r>
            <w:r>
              <w:rPr>
                <w:rFonts w:hint="default" w:ascii="Times New Roman" w:hAnsi="Times New Roman" w:cs="Times New Roman"/>
                <w:color w:val="auto"/>
              </w:rPr>
              <w:t>井场已尽可能缩小尺寸，以减少占地；</w:t>
            </w:r>
            <w:r>
              <w:rPr>
                <w:rFonts w:hint="eastAsia" w:ascii="Times New Roman" w:hAnsi="Times New Roman" w:cs="Times New Roman"/>
                <w:color w:val="auto"/>
                <w:lang w:val="en-US" w:eastAsia="zh-CN"/>
              </w:rPr>
              <w:t>生活营地临时占地避开一般耕地，设在井场北侧其他草地区域；</w:t>
            </w:r>
            <w:r>
              <w:rPr>
                <w:rFonts w:hint="default" w:ascii="Times New Roman" w:hAnsi="Times New Roman" w:cs="Times New Roman"/>
                <w:color w:val="auto"/>
              </w:rPr>
              <w:t>探临道路</w:t>
            </w:r>
            <w:r>
              <w:rPr>
                <w:rFonts w:hint="eastAsia" w:ascii="Times New Roman" w:hAnsi="Times New Roman" w:cs="Times New Roman"/>
                <w:color w:val="auto"/>
                <w:lang w:val="en-US" w:eastAsia="zh-CN"/>
              </w:rPr>
              <w:t>尽量</w:t>
            </w:r>
            <w:r>
              <w:rPr>
                <w:rFonts w:hint="default" w:ascii="Times New Roman" w:hAnsi="Times New Roman" w:cs="Times New Roman"/>
                <w:color w:val="auto"/>
              </w:rPr>
              <w:t>利用周边机耕道路，</w:t>
            </w:r>
            <w:r>
              <w:rPr>
                <w:rFonts w:hint="eastAsia" w:ascii="Times New Roman" w:hAnsi="Times New Roman" w:cs="Times New Roman"/>
                <w:color w:val="auto"/>
                <w:lang w:val="en-US" w:eastAsia="zh-CN"/>
              </w:rPr>
              <w:t>缩短道路修筑长度</w:t>
            </w:r>
            <w:r>
              <w:rPr>
                <w:rFonts w:hint="default" w:ascii="Times New Roman" w:hAnsi="Times New Roman" w:cs="Times New Roman"/>
                <w:color w:val="auto"/>
              </w:rPr>
              <w:t>，最大限度减少占地；</w:t>
            </w:r>
            <w:r>
              <w:rPr>
                <w:rFonts w:hint="eastAsia" w:ascii="Times New Roman" w:hAnsi="Times New Roman" w:eastAsia="宋体" w:cs="Times New Roman"/>
                <w:color w:val="auto"/>
                <w:lang w:val="en-US" w:eastAsia="zh-CN"/>
              </w:rPr>
              <w:t>本项目选址及井场布置符合《钻前工程及井场布置技术要求》（SY/T5466-2013）中要求</w:t>
            </w:r>
            <w:r>
              <w:rPr>
                <w:rFonts w:hint="eastAsia" w:cs="Times New Roman"/>
                <w:color w:val="auto"/>
                <w:lang w:val="en-US" w:eastAsia="zh-CN"/>
              </w:rPr>
              <w:t>。</w:t>
            </w:r>
          </w:p>
          <w:p w14:paraId="3135FF1E">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eastAsia" w:cs="Times New Roman"/>
                <w:color w:val="auto"/>
                <w:lang w:val="en-US" w:eastAsia="zh-CN"/>
              </w:rPr>
            </w:pPr>
          </w:p>
          <w:p w14:paraId="29274FA8">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eastAsia" w:cs="Times New Roman"/>
                <w:color w:val="auto"/>
                <w:lang w:val="en-US" w:eastAsia="zh-CN"/>
              </w:rPr>
            </w:pPr>
          </w:p>
          <w:p w14:paraId="22D3FCCF">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eastAsia" w:cs="Times New Roman"/>
                <w:color w:val="auto"/>
                <w:lang w:val="en-US" w:eastAsia="zh-CN"/>
              </w:rPr>
            </w:pPr>
          </w:p>
          <w:p w14:paraId="46E155D1">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eastAsia" w:cs="Times New Roman"/>
                <w:color w:val="auto"/>
                <w:lang w:val="en-US" w:eastAsia="zh-CN"/>
              </w:rPr>
            </w:pPr>
          </w:p>
          <w:p w14:paraId="6609AC8B">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cs="Times New Roman"/>
                <w:color w:val="auto"/>
                <w:lang w:val="en-US" w:eastAsia="zh-CN"/>
              </w:rPr>
            </w:pPr>
          </w:p>
          <w:p w14:paraId="3C2C0903">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cs="Times New Roman"/>
                <w:color w:val="auto"/>
                <w:lang w:val="en-US" w:eastAsia="zh-CN"/>
              </w:rPr>
            </w:pPr>
          </w:p>
          <w:p w14:paraId="553C1589">
            <w:pPr>
              <w:pStyle w:val="111"/>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cs="Times New Roman"/>
                <w:color w:val="auto"/>
                <w:lang w:val="en-US" w:eastAsia="zh-CN"/>
              </w:rPr>
            </w:pPr>
          </w:p>
        </w:tc>
      </w:tr>
    </w:tbl>
    <w:p w14:paraId="4951F9C7">
      <w:pPr>
        <w:rPr>
          <w:rFonts w:hint="default" w:ascii="Times New Roman" w:hAnsi="Times New Roman" w:cs="Times New Roman"/>
          <w:color w:val="auto"/>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24111AD">
      <w:pPr>
        <w:pStyle w:val="2"/>
        <w:rPr>
          <w:rFonts w:hint="default" w:ascii="Times New Roman" w:hAnsi="Times New Roman" w:eastAsia="黑体" w:cs="Times New Roman"/>
          <w:b w:val="0"/>
          <w:bCs/>
          <w:color w:val="auto"/>
          <w:sz w:val="30"/>
          <w:szCs w:val="30"/>
        </w:rPr>
      </w:pPr>
      <w:bookmarkStart w:id="14" w:name="_Toc27387"/>
      <w:r>
        <w:rPr>
          <w:rFonts w:hint="default" w:ascii="Times New Roman" w:hAnsi="Times New Roman" w:eastAsia="黑体" w:cs="Times New Roman"/>
          <w:b w:val="0"/>
          <w:bCs/>
          <w:color w:val="auto"/>
          <w:sz w:val="30"/>
          <w:szCs w:val="30"/>
        </w:rPr>
        <w:t>二、建设内容</w:t>
      </w:r>
      <w:bookmarkEnd w:id="14"/>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7824"/>
      </w:tblGrid>
      <w:tr w14:paraId="2869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654FCA8D">
            <w:pPr>
              <w:snapToGrid w:val="0"/>
              <w:spacing w:line="500" w:lineRule="exact"/>
              <w:jc w:val="center"/>
              <w:rPr>
                <w:rFonts w:hint="default" w:ascii="Times New Roman" w:hAnsi="Times New Roman" w:cs="Times New Roman"/>
                <w:color w:val="auto"/>
              </w:rPr>
            </w:pPr>
            <w:r>
              <w:rPr>
                <w:rFonts w:hint="default" w:ascii="Times New Roman" w:hAnsi="Times New Roman" w:cs="Times New Roman"/>
                <w:color w:val="auto"/>
              </w:rPr>
              <w:t>地理位置</w:t>
            </w:r>
          </w:p>
        </w:tc>
        <w:tc>
          <w:tcPr>
            <w:tcW w:w="7824" w:type="dxa"/>
          </w:tcPr>
          <w:p w14:paraId="500E52A3">
            <w:pPr>
              <w:snapToGrid w:val="0"/>
              <w:spacing w:line="500" w:lineRule="exact"/>
              <w:ind w:firstLine="480" w:firstLineChars="200"/>
              <w:rPr>
                <w:rFonts w:hint="default" w:ascii="Times New Roman" w:hAnsi="Times New Roman" w:cs="Times New Roman"/>
                <w:color w:val="auto"/>
                <w:lang w:eastAsia="zh-CN"/>
              </w:rPr>
            </w:pPr>
            <w:r>
              <w:rPr>
                <w:rFonts w:hint="default" w:ascii="Times New Roman" w:hAnsi="Times New Roman" w:cs="Times New Roman"/>
                <w:color w:val="auto"/>
              </w:rPr>
              <w:t>本项目行政隶属于新疆维吾尔自治区</w:t>
            </w:r>
            <w:r>
              <w:rPr>
                <w:rFonts w:hint="eastAsia" w:cs="Times New Roman"/>
                <w:color w:val="auto"/>
                <w:lang w:val="en-US" w:eastAsia="zh-CN"/>
              </w:rPr>
              <w:t>昌吉回族自治州玛纳斯县，</w:t>
            </w:r>
            <w:r>
              <w:rPr>
                <w:rFonts w:hint="eastAsia" w:cs="Times New Roman"/>
                <w:color w:val="auto"/>
                <w:lang w:eastAsia="zh-CN"/>
              </w:rPr>
              <w:t>在</w:t>
            </w:r>
            <w:r>
              <w:rPr>
                <w:rFonts w:hint="eastAsia"/>
                <w:color w:val="auto"/>
                <w:lang w:val="en-US" w:eastAsia="zh-CN"/>
              </w:rPr>
              <w:t>环</w:t>
            </w:r>
            <w:r>
              <w:rPr>
                <w:rFonts w:hint="eastAsia"/>
                <w:color w:val="auto"/>
                <w:lang w:val="en-US" w:eastAsia="en-US"/>
              </w:rPr>
              <w:t>准噶尔能源矿产勘查开发区</w:t>
            </w:r>
            <w:r>
              <w:rPr>
                <w:rFonts w:hint="eastAsia"/>
                <w:color w:val="auto"/>
                <w:lang w:val="en-US" w:eastAsia="zh-CN"/>
              </w:rPr>
              <w:t>部署1口勘探井，即：</w:t>
            </w:r>
            <w:r>
              <w:rPr>
                <w:rFonts w:hint="eastAsia" w:cs="Times New Roman"/>
                <w:color w:val="auto"/>
                <w:lang w:val="en-US" w:eastAsia="zh-CN"/>
              </w:rPr>
              <w:t>纳东1</w:t>
            </w:r>
            <w:r>
              <w:rPr>
                <w:rFonts w:hint="default" w:ascii="Times New Roman" w:hAnsi="Times New Roman" w:cs="Times New Roman"/>
                <w:color w:val="auto"/>
                <w:lang w:val="en-US" w:eastAsia="zh-CN"/>
              </w:rPr>
              <w:t>井</w:t>
            </w:r>
            <w:r>
              <w:rPr>
                <w:rFonts w:hint="eastAsia" w:cs="Times New Roman"/>
                <w:color w:val="auto"/>
                <w:lang w:val="en-US" w:eastAsia="zh-CN"/>
              </w:rPr>
              <w:t>，该井西</w:t>
            </w:r>
            <w:r>
              <w:rPr>
                <w:rFonts w:hint="default" w:ascii="Times New Roman" w:hAnsi="Times New Roman" w:cs="Times New Roman"/>
                <w:color w:val="auto"/>
              </w:rPr>
              <w:t>北距</w:t>
            </w:r>
            <w:r>
              <w:rPr>
                <w:rFonts w:hint="eastAsia" w:cs="Times New Roman"/>
                <w:color w:val="auto"/>
                <w:lang w:val="en-US" w:eastAsia="zh-CN"/>
              </w:rPr>
              <w:t>玛纳斯县县城</w:t>
            </w:r>
            <w:r>
              <w:rPr>
                <w:rFonts w:hint="default" w:ascii="Times New Roman" w:hAnsi="Times New Roman" w:cs="Times New Roman"/>
                <w:color w:val="auto"/>
              </w:rPr>
              <w:t>约</w:t>
            </w:r>
            <w:r>
              <w:rPr>
                <w:rFonts w:hint="eastAsia" w:cs="Times New Roman"/>
                <w:color w:val="auto"/>
                <w:lang w:val="en-US" w:eastAsia="zh-CN"/>
              </w:rPr>
              <w:t>18</w:t>
            </w:r>
            <w:r>
              <w:rPr>
                <w:rFonts w:hint="default" w:ascii="Times New Roman" w:hAnsi="Times New Roman" w:cs="Times New Roman"/>
                <w:color w:val="auto"/>
              </w:rPr>
              <w:t>km，</w:t>
            </w:r>
            <w:r>
              <w:rPr>
                <w:rFonts w:hint="eastAsia" w:cs="Times New Roman"/>
                <w:color w:val="auto"/>
                <w:lang w:val="en-US" w:eastAsia="zh-CN"/>
              </w:rPr>
              <w:t>东</w:t>
            </w:r>
            <w:r>
              <w:rPr>
                <w:rFonts w:hint="default" w:ascii="Times New Roman" w:hAnsi="Times New Roman" w:cs="Times New Roman"/>
                <w:color w:val="auto"/>
              </w:rPr>
              <w:t>距</w:t>
            </w:r>
            <w:r>
              <w:rPr>
                <w:rFonts w:hint="eastAsia" w:cs="Times New Roman"/>
                <w:color w:val="auto"/>
                <w:lang w:val="en-US" w:eastAsia="zh-CN"/>
              </w:rPr>
              <w:t>呼图壁县县城</w:t>
            </w:r>
            <w:r>
              <w:rPr>
                <w:rFonts w:hint="default" w:ascii="Times New Roman" w:hAnsi="Times New Roman" w:cs="Times New Roman"/>
                <w:color w:val="auto"/>
              </w:rPr>
              <w:t>约</w:t>
            </w:r>
            <w:r>
              <w:rPr>
                <w:rFonts w:hint="eastAsia" w:cs="Times New Roman"/>
                <w:color w:val="auto"/>
                <w:lang w:val="en-US" w:eastAsia="zh-CN"/>
              </w:rPr>
              <w:t>38</w:t>
            </w:r>
            <w:r>
              <w:rPr>
                <w:rFonts w:hint="default" w:ascii="Times New Roman" w:hAnsi="Times New Roman" w:cs="Times New Roman"/>
                <w:color w:val="auto"/>
              </w:rPr>
              <w:t>km</w:t>
            </w:r>
            <w:r>
              <w:rPr>
                <w:rFonts w:hint="default" w:ascii="Times New Roman" w:hAnsi="Times New Roman" w:cs="Times New Roman"/>
                <w:color w:val="auto"/>
                <w:lang w:eastAsia="zh-CN"/>
              </w:rPr>
              <w:t>。</w:t>
            </w:r>
          </w:p>
          <w:p w14:paraId="08B7E8E0">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本项目</w:t>
            </w:r>
            <w:r>
              <w:rPr>
                <w:rFonts w:hint="default" w:ascii="Times New Roman" w:hAnsi="Times New Roman" w:cs="Times New Roman"/>
                <w:color w:val="auto"/>
              </w:rPr>
              <w:t>井位坐标见表</w:t>
            </w:r>
            <w:r>
              <w:rPr>
                <w:rFonts w:hint="default" w:ascii="Times New Roman" w:hAnsi="Times New Roman" w:cs="Times New Roman"/>
                <w:color w:val="auto"/>
                <w:lang w:val="en-US" w:eastAsia="zh-CN"/>
              </w:rPr>
              <w:t>2-</w:t>
            </w:r>
            <w:r>
              <w:rPr>
                <w:rFonts w:hint="default" w:ascii="Times New Roman" w:hAnsi="Times New Roman" w:cs="Times New Roman"/>
                <w:color w:val="auto"/>
              </w:rPr>
              <w:t>1，区域位置见</w:t>
            </w:r>
            <w:r>
              <w:rPr>
                <w:rFonts w:hint="default" w:ascii="Times New Roman" w:hAnsi="Times New Roman" w:cs="Times New Roman"/>
                <w:b/>
                <w:bCs/>
                <w:color w:val="auto"/>
              </w:rPr>
              <w:t>附图3</w:t>
            </w:r>
            <w:r>
              <w:rPr>
                <w:rFonts w:hint="default" w:ascii="Times New Roman" w:hAnsi="Times New Roman" w:cs="Times New Roman"/>
                <w:b/>
                <w:bCs/>
                <w:color w:val="auto"/>
                <w:lang w:eastAsia="zh-CN"/>
              </w:rPr>
              <w:t>，</w:t>
            </w:r>
            <w:r>
              <w:rPr>
                <w:rFonts w:hint="default" w:ascii="Times New Roman" w:hAnsi="Times New Roman" w:cs="Times New Roman"/>
                <w:b w:val="0"/>
                <w:bCs w:val="0"/>
                <w:color w:val="auto"/>
                <w:lang w:val="en-US" w:eastAsia="zh-CN"/>
              </w:rPr>
              <w:t>地理位置见</w:t>
            </w:r>
            <w:r>
              <w:rPr>
                <w:rFonts w:hint="default" w:ascii="Times New Roman" w:hAnsi="Times New Roman" w:cs="Times New Roman"/>
                <w:b/>
                <w:bCs/>
                <w:color w:val="auto"/>
                <w:lang w:val="en-US" w:eastAsia="zh-CN"/>
              </w:rPr>
              <w:t>附图4</w:t>
            </w:r>
            <w:r>
              <w:rPr>
                <w:rFonts w:hint="default" w:ascii="Times New Roman" w:hAnsi="Times New Roman" w:cs="Times New Roman"/>
                <w:color w:val="auto"/>
              </w:rPr>
              <w:t>。</w:t>
            </w:r>
          </w:p>
          <w:p w14:paraId="2BD2BC17">
            <w:pPr>
              <w:snapToGrid w:val="0"/>
              <w:spacing w:line="50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表</w:t>
            </w:r>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 xml:space="preserve">1  </w:t>
            </w:r>
            <w:r>
              <w:rPr>
                <w:rFonts w:hint="default" w:ascii="Times New Roman" w:hAnsi="Times New Roman" w:eastAsia="黑体" w:cs="Times New Roman"/>
                <w:color w:val="auto"/>
                <w:sz w:val="21"/>
                <w:szCs w:val="21"/>
                <w:lang w:val="en-US" w:eastAsia="zh-CN"/>
              </w:rPr>
              <w:t>本项目</w:t>
            </w:r>
            <w:r>
              <w:rPr>
                <w:rFonts w:hint="default" w:ascii="Times New Roman" w:hAnsi="Times New Roman" w:eastAsia="黑体" w:cs="Times New Roman"/>
                <w:color w:val="auto"/>
                <w:sz w:val="21"/>
                <w:szCs w:val="21"/>
              </w:rPr>
              <w:t>井位坐标</w:t>
            </w:r>
            <w:r>
              <w:rPr>
                <w:rFonts w:hint="default" w:ascii="Times New Roman" w:hAnsi="Times New Roman" w:eastAsia="黑体" w:cs="Times New Roman"/>
                <w:color w:val="auto"/>
                <w:sz w:val="21"/>
                <w:szCs w:val="21"/>
                <w:lang w:val="en-US" w:eastAsia="zh-CN"/>
              </w:rPr>
              <w:t>一览表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148"/>
              <w:gridCol w:w="1417"/>
              <w:gridCol w:w="1412"/>
              <w:gridCol w:w="1715"/>
              <w:gridCol w:w="1821"/>
            </w:tblGrid>
            <w:tr w14:paraId="0A4CA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148" w:type="dxa"/>
                  <w:vMerge w:val="restart"/>
                  <w:tcBorders>
                    <w:tl2br w:val="nil"/>
                    <w:tr2bl w:val="nil"/>
                  </w:tcBorders>
                  <w:vAlign w:val="center"/>
                </w:tcPr>
                <w:p w14:paraId="16E67A5C">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bookmarkStart w:id="15" w:name="_Hlk175918775"/>
                  <w:r>
                    <w:rPr>
                      <w:rFonts w:hint="default" w:ascii="Times New Roman" w:hAnsi="Times New Roman" w:eastAsia="宋体" w:cs="Times New Roman"/>
                      <w:color w:val="auto"/>
                      <w:sz w:val="21"/>
                      <w:szCs w:val="21"/>
                    </w:rPr>
                    <w:t>井号</w:t>
                  </w:r>
                </w:p>
              </w:tc>
              <w:tc>
                <w:tcPr>
                  <w:tcW w:w="2829" w:type="dxa"/>
                  <w:gridSpan w:val="2"/>
                  <w:tcBorders>
                    <w:tl2br w:val="nil"/>
                    <w:tr2bl w:val="nil"/>
                  </w:tcBorders>
                  <w:vAlign w:val="center"/>
                </w:tcPr>
                <w:p w14:paraId="199481D3">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大地</w:t>
                  </w:r>
                  <w:r>
                    <w:rPr>
                      <w:rFonts w:hint="eastAsia" w:ascii="Times New Roman" w:hAnsi="Times New Roman" w:cs="Times New Roman"/>
                      <w:color w:val="auto"/>
                      <w:sz w:val="21"/>
                      <w:szCs w:val="21"/>
                      <w:lang w:val="en-US" w:eastAsia="zh-CN"/>
                    </w:rPr>
                    <w:t>2000坐标</w:t>
                  </w:r>
                </w:p>
              </w:tc>
              <w:tc>
                <w:tcPr>
                  <w:tcW w:w="3536" w:type="dxa"/>
                  <w:gridSpan w:val="2"/>
                  <w:tcBorders>
                    <w:tl2br w:val="nil"/>
                    <w:tr2bl w:val="nil"/>
                  </w:tcBorders>
                  <w:vAlign w:val="center"/>
                </w:tcPr>
                <w:p w14:paraId="22F0C89B">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经纬度</w:t>
                  </w:r>
                </w:p>
              </w:tc>
            </w:tr>
            <w:tr w14:paraId="530273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148" w:type="dxa"/>
                  <w:vMerge w:val="continue"/>
                  <w:tcBorders>
                    <w:tl2br w:val="nil"/>
                    <w:tr2bl w:val="nil"/>
                  </w:tcBorders>
                  <w:vAlign w:val="center"/>
                </w:tcPr>
                <w:p w14:paraId="3A260EA5">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tc>
              <w:tc>
                <w:tcPr>
                  <w:tcW w:w="1417" w:type="dxa"/>
                  <w:tcBorders>
                    <w:tl2br w:val="nil"/>
                    <w:tr2bl w:val="nil"/>
                  </w:tcBorders>
                  <w:vAlign w:val="center"/>
                </w:tcPr>
                <w:p w14:paraId="07DD0344">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Y</w:t>
                  </w:r>
                </w:p>
              </w:tc>
              <w:tc>
                <w:tcPr>
                  <w:tcW w:w="1412" w:type="dxa"/>
                  <w:tcBorders>
                    <w:tl2br w:val="nil"/>
                    <w:tr2bl w:val="nil"/>
                  </w:tcBorders>
                  <w:vAlign w:val="center"/>
                </w:tcPr>
                <w:p w14:paraId="44D2F662">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X</w:t>
                  </w:r>
                </w:p>
              </w:tc>
              <w:tc>
                <w:tcPr>
                  <w:tcW w:w="1715" w:type="dxa"/>
                  <w:tcBorders>
                    <w:tl2br w:val="nil"/>
                    <w:tr2bl w:val="nil"/>
                  </w:tcBorders>
                  <w:vAlign w:val="center"/>
                </w:tcPr>
                <w:p w14:paraId="610CA50F">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E</w:t>
                  </w:r>
                </w:p>
              </w:tc>
              <w:tc>
                <w:tcPr>
                  <w:tcW w:w="1821" w:type="dxa"/>
                  <w:tcBorders>
                    <w:tl2br w:val="nil"/>
                    <w:tr2bl w:val="nil"/>
                  </w:tcBorders>
                  <w:vAlign w:val="center"/>
                </w:tcPr>
                <w:p w14:paraId="3D25177A">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N</w:t>
                  </w:r>
                </w:p>
              </w:tc>
            </w:tr>
            <w:tr w14:paraId="3ACED3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3" w:hRule="atLeast"/>
                <w:jc w:val="center"/>
              </w:trPr>
              <w:tc>
                <w:tcPr>
                  <w:tcW w:w="1148" w:type="dxa"/>
                  <w:tcBorders>
                    <w:tl2br w:val="nil"/>
                    <w:tr2bl w:val="nil"/>
                  </w:tcBorders>
                  <w:vAlign w:val="center"/>
                </w:tcPr>
                <w:p w14:paraId="20210FBC">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纳东1</w:t>
                  </w:r>
                  <w:r>
                    <w:rPr>
                      <w:rFonts w:hint="default" w:ascii="Times New Roman" w:hAnsi="Times New Roman" w:eastAsia="宋体" w:cs="Times New Roman"/>
                      <w:color w:val="auto"/>
                      <w:sz w:val="21"/>
                      <w:szCs w:val="21"/>
                    </w:rPr>
                    <w:t>井</w:t>
                  </w:r>
                </w:p>
              </w:tc>
              <w:tc>
                <w:tcPr>
                  <w:tcW w:w="1417" w:type="dxa"/>
                  <w:tcBorders>
                    <w:tl2br w:val="nil"/>
                    <w:tr2bl w:val="nil"/>
                  </w:tcBorders>
                  <w:vAlign w:val="center"/>
                </w:tcPr>
                <w:p w14:paraId="5EA440FD">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szCs w:val="21"/>
                      <w:lang w:val="en-US" w:eastAsia="zh-CN"/>
                    </w:rPr>
                  </w:pPr>
                </w:p>
              </w:tc>
              <w:tc>
                <w:tcPr>
                  <w:tcW w:w="1412" w:type="dxa"/>
                  <w:tcBorders>
                    <w:tl2br w:val="nil"/>
                    <w:tr2bl w:val="nil"/>
                  </w:tcBorders>
                  <w:vAlign w:val="center"/>
                </w:tcPr>
                <w:p w14:paraId="5E5E0698">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eastAsia" w:ascii="Times New Roman" w:hAnsi="Times New Roman" w:cs="Times New Roman"/>
                      <w:color w:val="auto"/>
                      <w:sz w:val="21"/>
                      <w:szCs w:val="21"/>
                      <w:lang w:val="en-US" w:eastAsia="zh-CN"/>
                    </w:rPr>
                  </w:pPr>
                </w:p>
              </w:tc>
              <w:tc>
                <w:tcPr>
                  <w:tcW w:w="1715" w:type="dxa"/>
                  <w:tcBorders>
                    <w:tl2br w:val="nil"/>
                    <w:tr2bl w:val="nil"/>
                  </w:tcBorders>
                  <w:shd w:val="clear" w:color="auto" w:fill="auto"/>
                  <w:vAlign w:val="center"/>
                </w:tcPr>
                <w:p w14:paraId="2F6562BC">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szCs w:val="21"/>
                      <w:lang w:val="en-US" w:eastAsia="zh-CN"/>
                    </w:rPr>
                  </w:pPr>
                </w:p>
              </w:tc>
              <w:tc>
                <w:tcPr>
                  <w:tcW w:w="1821" w:type="dxa"/>
                  <w:tcBorders>
                    <w:tl2br w:val="nil"/>
                    <w:tr2bl w:val="nil"/>
                  </w:tcBorders>
                  <w:vAlign w:val="center"/>
                </w:tcPr>
                <w:p w14:paraId="5F898C0E">
                  <w:pPr>
                    <w:pStyle w:val="36"/>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szCs w:val="21"/>
                      <w:lang w:val="en-US" w:eastAsia="zh-CN"/>
                    </w:rPr>
                  </w:pPr>
                </w:p>
              </w:tc>
            </w:tr>
            <w:bookmarkEnd w:id="15"/>
          </w:tbl>
          <w:p w14:paraId="0790BAC2">
            <w:pPr>
              <w:pStyle w:val="12"/>
              <w:rPr>
                <w:rFonts w:hint="default" w:ascii="Times New Roman" w:hAnsi="Times New Roman" w:cs="Times New Roman"/>
                <w:color w:val="auto"/>
              </w:rPr>
            </w:pPr>
          </w:p>
        </w:tc>
      </w:tr>
      <w:tr w14:paraId="2DC0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75D805AF">
            <w:pPr>
              <w:snapToGrid w:val="0"/>
              <w:spacing w:line="500" w:lineRule="exact"/>
              <w:jc w:val="center"/>
              <w:rPr>
                <w:rFonts w:hint="default" w:ascii="Times New Roman" w:hAnsi="Times New Roman" w:cs="Times New Roman"/>
                <w:color w:val="auto"/>
              </w:rPr>
            </w:pPr>
            <w:bookmarkStart w:id="16" w:name="_Hlk136793942"/>
            <w:r>
              <w:rPr>
                <w:rFonts w:hint="default" w:ascii="Times New Roman" w:hAnsi="Times New Roman" w:cs="Times New Roman"/>
                <w:color w:val="auto"/>
              </w:rPr>
              <w:t>项目组成及规模</w:t>
            </w:r>
          </w:p>
        </w:tc>
        <w:tc>
          <w:tcPr>
            <w:tcW w:w="7824" w:type="dxa"/>
          </w:tcPr>
          <w:p w14:paraId="3AF2880B">
            <w:pPr>
              <w:snapToGrid w:val="0"/>
              <w:spacing w:line="5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rPr>
              <w:t>中国石油天然气股份有限公司新疆油田分公司是目前中国西部地区最大的石油生产企业，全面负责新疆油田的油气勘探、开发、生产、销售等业务，是独立核算的企业实体。统筹油田全产业链（勘探、开发、生产、经营），承担企业利润、安全、环保等主体责任。</w:t>
            </w:r>
            <w:r>
              <w:rPr>
                <w:rFonts w:hint="eastAsia" w:cs="Times New Roman"/>
                <w:color w:val="auto"/>
                <w:lang w:val="en-US" w:eastAsia="zh-CN"/>
              </w:rPr>
              <w:t>本项目建设单位</w:t>
            </w:r>
            <w:r>
              <w:rPr>
                <w:rFonts w:hint="default" w:ascii="Times New Roman" w:hAnsi="Times New Roman" w:cs="Times New Roman"/>
                <w:color w:val="auto"/>
              </w:rPr>
              <w:t>中国石油新疆油田分公司勘探事业部隶属于中国石油天然气股份有限公司新疆油田分公司的二级单位，专注油气资源勘探（地质研究、物探、钻井等），为油</w:t>
            </w:r>
            <w:r>
              <w:rPr>
                <w:rFonts w:hint="default" w:ascii="Times New Roman" w:hAnsi="Times New Roman" w:cs="Times New Roman"/>
                <w:color w:val="auto"/>
                <w:highlight w:val="none"/>
              </w:rPr>
              <w:t>田开发提供资源基础，其运作服从分公司整体战略。专注勘探阶段（资源发现、储量评估），为分公司提供可开发的油气区块和储量数据。</w:t>
            </w:r>
          </w:p>
          <w:p w14:paraId="3CD25B18">
            <w:pPr>
              <w:snapToGrid w:val="0"/>
              <w:spacing w:line="500" w:lineRule="exact"/>
              <w:ind w:firstLine="480" w:firstLineChars="200"/>
              <w:rPr>
                <w:rFonts w:hint="eastAsia" w:ascii="Times New Roman" w:hAnsi="Times New Roman" w:eastAsia="宋体" w:cs="Times New Roman"/>
                <w:color w:val="auto"/>
                <w:highlight w:val="yellow"/>
                <w:lang w:eastAsia="zh-CN"/>
              </w:rPr>
            </w:pPr>
            <w:r>
              <w:rPr>
                <w:rFonts w:hint="eastAsia" w:cs="Times New Roman"/>
                <w:color w:val="auto"/>
                <w:highlight w:val="none"/>
                <w:lang w:val="en-US" w:eastAsia="zh-CN"/>
              </w:rPr>
              <w:t>为</w:t>
            </w:r>
            <w:r>
              <w:rPr>
                <w:rFonts w:hint="default" w:ascii="Times New Roman" w:hAnsi="Times New Roman" w:cs="Times New Roman"/>
                <w:color w:val="auto"/>
                <w:highlight w:val="none"/>
              </w:rPr>
              <w:t>探明升级清水河组、喀拉扎组气藏</w:t>
            </w:r>
            <w:r>
              <w:rPr>
                <w:rFonts w:hint="eastAsia" w:cs="Times New Roman"/>
                <w:color w:val="auto"/>
                <w:highlight w:val="none"/>
                <w:lang w:eastAsia="zh-CN"/>
              </w:rPr>
              <w:t>，</w:t>
            </w:r>
            <w:r>
              <w:rPr>
                <w:rFonts w:hint="eastAsia" w:cs="Times New Roman"/>
                <w:color w:val="auto"/>
                <w:highlight w:val="none"/>
                <w:lang w:val="en-US" w:eastAsia="zh-CN"/>
              </w:rPr>
              <w:t>主探目的层</w:t>
            </w:r>
            <w:r>
              <w:rPr>
                <w:rFonts w:hint="default" w:ascii="Times New Roman" w:hAnsi="Times New Roman" w:cs="Times New Roman"/>
                <w:color w:val="auto"/>
                <w:highlight w:val="none"/>
              </w:rPr>
              <w:t>为白垩系清水河组、侏罗系喀拉扎组</w:t>
            </w:r>
            <w:r>
              <w:rPr>
                <w:rFonts w:hint="eastAsia" w:cs="Times New Roman"/>
                <w:color w:val="auto"/>
                <w:highlight w:val="none"/>
                <w:lang w:val="en-US" w:eastAsia="zh-CN"/>
              </w:rPr>
              <w:t>油气资源情况，本次部署1口勘探井（即：纳东1井）来获取地层油气藏参数，</w:t>
            </w:r>
            <w:r>
              <w:rPr>
                <w:rFonts w:hint="default" w:ascii="Times New Roman" w:hAnsi="Times New Roman" w:cs="Times New Roman"/>
                <w:color w:val="auto"/>
                <w:highlight w:val="none"/>
              </w:rPr>
              <w:t>为后期油气开发提供基础数据</w:t>
            </w:r>
            <w:r>
              <w:rPr>
                <w:rFonts w:hint="eastAsia" w:cs="Times New Roman"/>
                <w:color w:val="auto"/>
                <w:highlight w:val="none"/>
                <w:lang w:eastAsia="zh-CN"/>
              </w:rPr>
              <w:t>。</w:t>
            </w:r>
          </w:p>
          <w:p w14:paraId="7B5F00F5">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本次部署</w:t>
            </w:r>
            <w:r>
              <w:rPr>
                <w:rFonts w:hint="eastAsia" w:cs="Times New Roman"/>
                <w:color w:val="auto"/>
                <w:lang w:val="en-US" w:eastAsia="zh-CN"/>
              </w:rPr>
              <w:t>纳东1</w:t>
            </w:r>
            <w:r>
              <w:rPr>
                <w:rFonts w:hint="default" w:ascii="Times New Roman" w:hAnsi="Times New Roman" w:cs="Times New Roman"/>
                <w:color w:val="auto"/>
              </w:rPr>
              <w:t>井</w:t>
            </w:r>
            <w:r>
              <w:rPr>
                <w:rFonts w:hint="eastAsia" w:cs="Times New Roman"/>
                <w:color w:val="auto"/>
                <w:lang w:eastAsia="zh-CN"/>
              </w:rPr>
              <w:t>，</w:t>
            </w:r>
            <w:r>
              <w:rPr>
                <w:rFonts w:hint="default" w:ascii="Times New Roman" w:hAnsi="Times New Roman" w:cs="Times New Roman"/>
                <w:color w:val="auto"/>
                <w:lang w:val="en-US" w:eastAsia="zh-CN"/>
              </w:rPr>
              <w:t>井深</w:t>
            </w:r>
            <w:r>
              <w:rPr>
                <w:rFonts w:hint="eastAsia" w:cs="Times New Roman"/>
                <w:color w:val="auto"/>
                <w:lang w:val="en-US" w:eastAsia="zh-CN"/>
              </w:rPr>
              <w:t>7980</w:t>
            </w:r>
            <w:r>
              <w:rPr>
                <w:rFonts w:hint="default" w:ascii="Times New Roman" w:hAnsi="Times New Roman" w:cs="Times New Roman"/>
                <w:color w:val="auto"/>
                <w:lang w:val="en-US" w:eastAsia="zh-CN"/>
              </w:rPr>
              <w:t>m，采用</w:t>
            </w:r>
            <w:r>
              <w:rPr>
                <w:rFonts w:hint="eastAsia" w:cs="Times New Roman"/>
                <w:color w:val="auto"/>
                <w:lang w:val="en-US" w:eastAsia="zh-CN"/>
              </w:rPr>
              <w:t>五</w:t>
            </w:r>
            <w:r>
              <w:rPr>
                <w:rFonts w:hint="default" w:ascii="Times New Roman" w:hAnsi="Times New Roman" w:cs="Times New Roman"/>
                <w:color w:val="auto"/>
                <w:lang w:val="en-US" w:eastAsia="zh-CN"/>
              </w:rPr>
              <w:t>开直井井身结构。项目</w:t>
            </w:r>
            <w:r>
              <w:rPr>
                <w:rFonts w:hint="default" w:ascii="Times New Roman" w:hAnsi="Times New Roman" w:cs="Times New Roman"/>
                <w:color w:val="auto"/>
              </w:rPr>
              <w:t>工程组成情况</w:t>
            </w:r>
            <w:r>
              <w:rPr>
                <w:rFonts w:hint="default" w:ascii="Times New Roman" w:hAnsi="Times New Roman" w:cs="Times New Roman"/>
                <w:color w:val="auto"/>
                <w:lang w:val="en-US" w:eastAsia="zh-CN"/>
              </w:rPr>
              <w:t>详见</w:t>
            </w:r>
            <w:r>
              <w:rPr>
                <w:rFonts w:hint="default" w:ascii="Times New Roman" w:hAnsi="Times New Roman" w:cs="Times New Roman"/>
                <w:color w:val="auto"/>
              </w:rPr>
              <w:t>表2</w:t>
            </w:r>
            <w:r>
              <w:rPr>
                <w:rFonts w:hint="default" w:ascii="Times New Roman" w:hAnsi="Times New Roman" w:cs="Times New Roman"/>
                <w:color w:val="auto"/>
                <w:lang w:val="en-US" w:eastAsia="zh-CN"/>
              </w:rPr>
              <w:t>-2</w:t>
            </w:r>
            <w:r>
              <w:rPr>
                <w:rFonts w:hint="default" w:ascii="Times New Roman" w:hAnsi="Times New Roman" w:cs="Times New Roman"/>
                <w:color w:val="auto"/>
              </w:rPr>
              <w:t>。</w:t>
            </w:r>
          </w:p>
          <w:p w14:paraId="06B4B6E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黑体" w:cs="Times New Roman"/>
                <w:color w:val="auto"/>
                <w:sz w:val="21"/>
                <w:szCs w:val="21"/>
              </w:rPr>
            </w:pPr>
            <w:bookmarkStart w:id="17" w:name="_Ref19637151"/>
            <w:r>
              <w:rPr>
                <w:rFonts w:hint="default" w:ascii="Times New Roman" w:hAnsi="Times New Roman" w:eastAsia="黑体" w:cs="Times New Roman"/>
                <w:color w:val="auto"/>
                <w:sz w:val="21"/>
                <w:szCs w:val="21"/>
              </w:rPr>
              <w:t>表</w:t>
            </w:r>
            <w:bookmarkEnd w:id="17"/>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 xml:space="preserve">2  </w:t>
            </w:r>
            <w:r>
              <w:rPr>
                <w:rFonts w:hint="default" w:ascii="Times New Roman" w:hAnsi="Times New Roman" w:eastAsia="黑体" w:cs="Times New Roman"/>
                <w:color w:val="auto"/>
                <w:sz w:val="21"/>
                <w:szCs w:val="21"/>
                <w:lang w:val="en-US" w:eastAsia="zh-CN"/>
              </w:rPr>
              <w:t>本项目</w:t>
            </w:r>
            <w:r>
              <w:rPr>
                <w:rFonts w:hint="default" w:ascii="Times New Roman" w:hAnsi="Times New Roman" w:eastAsia="黑体" w:cs="Times New Roman"/>
                <w:color w:val="auto"/>
                <w:sz w:val="21"/>
                <w:szCs w:val="21"/>
              </w:rPr>
              <w:t>工程组成一览表</w:t>
            </w:r>
          </w:p>
          <w:tbl>
            <w:tblPr>
              <w:tblStyle w:val="25"/>
              <w:tblW w:w="7745"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1154"/>
              <w:gridCol w:w="2"/>
              <w:gridCol w:w="414"/>
              <w:gridCol w:w="208"/>
              <w:gridCol w:w="625"/>
              <w:gridCol w:w="1"/>
              <w:gridCol w:w="2"/>
              <w:gridCol w:w="5190"/>
              <w:gridCol w:w="3"/>
              <w:gridCol w:w="1"/>
              <w:gridCol w:w="145"/>
            </w:tblGrid>
            <w:tr w14:paraId="049A60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1"/>
                <w:wAfter w:w="91" w:type="pct"/>
                <w:trHeight w:val="397" w:hRule="atLeast"/>
                <w:tblHeader/>
              </w:trPr>
              <w:tc>
                <w:tcPr>
                  <w:tcW w:w="745" w:type="pct"/>
                  <w:vAlign w:val="center"/>
                </w:tcPr>
                <w:p w14:paraId="5DD9BE84">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bookmarkStart w:id="18" w:name="_Hlk176172371"/>
                  <w:r>
                    <w:rPr>
                      <w:rFonts w:hint="default" w:ascii="Times New Roman" w:hAnsi="Times New Roman" w:cs="Times New Roman"/>
                      <w:color w:val="auto"/>
                      <w:sz w:val="21"/>
                      <w:szCs w:val="21"/>
                    </w:rPr>
                    <w:t>工程组成</w:t>
                  </w:r>
                </w:p>
              </w:tc>
              <w:tc>
                <w:tcPr>
                  <w:tcW w:w="4162" w:type="pct"/>
                  <w:gridSpan w:val="9"/>
                  <w:vAlign w:val="center"/>
                </w:tcPr>
                <w:p w14:paraId="056EBEC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工程内容</w:t>
                  </w:r>
                </w:p>
              </w:tc>
            </w:tr>
            <w:tr w14:paraId="11A29C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restart"/>
                  <w:vAlign w:val="center"/>
                </w:tcPr>
                <w:p w14:paraId="317D26B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主体工程</w:t>
                  </w:r>
                </w:p>
              </w:tc>
              <w:tc>
                <w:tcPr>
                  <w:tcW w:w="807" w:type="pct"/>
                  <w:gridSpan w:val="5"/>
                  <w:vAlign w:val="center"/>
                </w:tcPr>
                <w:p w14:paraId="294248D1">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钻前工程</w:t>
                  </w:r>
                </w:p>
              </w:tc>
              <w:tc>
                <w:tcPr>
                  <w:tcW w:w="3354" w:type="pct"/>
                  <w:gridSpan w:val="3"/>
                  <w:vAlign w:val="center"/>
                </w:tcPr>
                <w:p w14:paraId="6EF03EB5">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井场平整、钻机基础建设、探临道路建设以及设备进场。</w:t>
                  </w:r>
                </w:p>
              </w:tc>
            </w:tr>
            <w:tr w14:paraId="4DA250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continue"/>
                  <w:vAlign w:val="center"/>
                </w:tcPr>
                <w:p w14:paraId="264FCA91">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bookmarkStart w:id="19" w:name="_Hlk186369386"/>
                </w:p>
              </w:tc>
              <w:tc>
                <w:tcPr>
                  <w:tcW w:w="807" w:type="pct"/>
                  <w:gridSpan w:val="5"/>
                  <w:vAlign w:val="center"/>
                </w:tcPr>
                <w:p w14:paraId="5E1AD55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钻井工程</w:t>
                  </w:r>
                </w:p>
              </w:tc>
              <w:tc>
                <w:tcPr>
                  <w:tcW w:w="3354" w:type="pct"/>
                  <w:gridSpan w:val="3"/>
                  <w:vAlign w:val="center"/>
                </w:tcPr>
                <w:p w14:paraId="467690EB">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纳东1</w:t>
                  </w:r>
                  <w:r>
                    <w:rPr>
                      <w:rFonts w:hint="default" w:ascii="Times New Roman" w:hAnsi="Times New Roman" w:cs="Times New Roman"/>
                      <w:color w:val="auto"/>
                      <w:sz w:val="21"/>
                      <w:szCs w:val="21"/>
                    </w:rPr>
                    <w:t>井钻井进尺为</w:t>
                  </w:r>
                  <w:r>
                    <w:rPr>
                      <w:rFonts w:hint="eastAsia" w:cs="Times New Roman"/>
                      <w:color w:val="auto"/>
                      <w:sz w:val="21"/>
                      <w:szCs w:val="21"/>
                      <w:lang w:val="en-US" w:eastAsia="zh-CN"/>
                    </w:rPr>
                    <w:t>7980</w:t>
                  </w:r>
                  <w:r>
                    <w:rPr>
                      <w:rFonts w:hint="default" w:ascii="Times New Roman" w:hAnsi="Times New Roman" w:cs="Times New Roman"/>
                      <w:color w:val="auto"/>
                      <w:sz w:val="21"/>
                      <w:szCs w:val="21"/>
                    </w:rPr>
                    <w:t>m，采用</w:t>
                  </w:r>
                  <w:r>
                    <w:rPr>
                      <w:rFonts w:hint="eastAsia" w:cs="Times New Roman"/>
                      <w:color w:val="auto"/>
                      <w:sz w:val="21"/>
                      <w:szCs w:val="21"/>
                      <w:lang w:val="en-US" w:eastAsia="zh-CN"/>
                    </w:rPr>
                    <w:t>五</w:t>
                  </w:r>
                  <w:r>
                    <w:rPr>
                      <w:rFonts w:hint="default" w:ascii="Times New Roman" w:hAnsi="Times New Roman" w:cs="Times New Roman"/>
                      <w:color w:val="auto"/>
                      <w:sz w:val="21"/>
                      <w:szCs w:val="21"/>
                    </w:rPr>
                    <w:t>开直井井身结构，</w:t>
                  </w:r>
                  <w:r>
                    <w:rPr>
                      <w:rFonts w:hint="eastAsia" w:cs="Times New Roman"/>
                      <w:color w:val="auto"/>
                      <w:sz w:val="21"/>
                      <w:szCs w:val="21"/>
                      <w:lang w:val="en-US" w:eastAsia="zh-CN"/>
                    </w:rPr>
                    <w:t>一开和二开</w:t>
                  </w:r>
                  <w:r>
                    <w:rPr>
                      <w:rFonts w:hint="default" w:ascii="Times New Roman" w:hAnsi="Times New Roman" w:cs="Times New Roman"/>
                      <w:color w:val="auto"/>
                      <w:sz w:val="21"/>
                      <w:szCs w:val="21"/>
                    </w:rPr>
                    <w:t>采用水基钻井液，</w:t>
                  </w:r>
                  <w:r>
                    <w:rPr>
                      <w:rFonts w:hint="eastAsia" w:cs="Times New Roman"/>
                      <w:color w:val="auto"/>
                      <w:sz w:val="21"/>
                      <w:szCs w:val="21"/>
                      <w:lang w:val="en-US" w:eastAsia="zh-CN"/>
                    </w:rPr>
                    <w:t>三开、四开和五开采用油基钻井液，</w:t>
                  </w:r>
                  <w:r>
                    <w:rPr>
                      <w:rFonts w:hint="default" w:ascii="Times New Roman" w:hAnsi="Times New Roman" w:cs="Times New Roman"/>
                      <w:color w:val="auto"/>
                      <w:sz w:val="21"/>
                      <w:szCs w:val="21"/>
                      <w:lang w:val="en-US" w:eastAsia="zh-CN"/>
                    </w:rPr>
                    <w:t>采用ZJ</w:t>
                  </w:r>
                  <w:r>
                    <w:rPr>
                      <w:rFonts w:hint="eastAsia" w:cs="Times New Roman"/>
                      <w:color w:val="auto"/>
                      <w:sz w:val="21"/>
                      <w:szCs w:val="21"/>
                      <w:lang w:val="en-US" w:eastAsia="zh-CN"/>
                    </w:rPr>
                    <w:t>9</w:t>
                  </w:r>
                  <w:r>
                    <w:rPr>
                      <w:rFonts w:hint="default" w:ascii="Times New Roman" w:hAnsi="Times New Roman" w:cs="Times New Roman"/>
                      <w:color w:val="auto"/>
                      <w:sz w:val="21"/>
                      <w:szCs w:val="21"/>
                      <w:lang w:val="en-US" w:eastAsia="zh-CN"/>
                    </w:rPr>
                    <w:t>0D</w:t>
                  </w:r>
                  <w:r>
                    <w:rPr>
                      <w:rFonts w:hint="eastAsia" w:cs="Times New Roman"/>
                      <w:color w:val="auto"/>
                      <w:sz w:val="21"/>
                      <w:szCs w:val="21"/>
                      <w:lang w:val="en-US" w:eastAsia="zh-CN"/>
                    </w:rPr>
                    <w:t>B</w:t>
                  </w:r>
                  <w:r>
                    <w:rPr>
                      <w:rFonts w:hint="default" w:ascii="Times New Roman" w:hAnsi="Times New Roman" w:cs="Times New Roman"/>
                      <w:color w:val="auto"/>
                      <w:sz w:val="21"/>
                      <w:szCs w:val="21"/>
                      <w:lang w:val="en-US" w:eastAsia="zh-CN"/>
                    </w:rPr>
                    <w:t>钻机，</w:t>
                  </w:r>
                  <w:r>
                    <w:rPr>
                      <w:rFonts w:hint="default" w:ascii="Times New Roman" w:hAnsi="Times New Roman" w:cs="Times New Roman"/>
                      <w:color w:val="auto"/>
                      <w:sz w:val="21"/>
                      <w:szCs w:val="21"/>
                    </w:rPr>
                    <w:t>钻井期</w:t>
                  </w:r>
                  <w:r>
                    <w:rPr>
                      <w:rFonts w:hint="eastAsia" w:cs="Times New Roman"/>
                      <w:color w:val="auto"/>
                      <w:sz w:val="21"/>
                      <w:szCs w:val="21"/>
                      <w:lang w:val="en-US" w:eastAsia="zh-CN"/>
                    </w:rPr>
                    <w:t>258</w:t>
                  </w:r>
                  <w:r>
                    <w:rPr>
                      <w:rFonts w:hint="default" w:ascii="Times New Roman" w:hAnsi="Times New Roman" w:cs="Times New Roman"/>
                      <w:color w:val="auto"/>
                      <w:sz w:val="21"/>
                      <w:szCs w:val="21"/>
                    </w:rPr>
                    <w:t>天，施工人数为35人。</w:t>
                  </w:r>
                </w:p>
              </w:tc>
            </w:tr>
            <w:bookmarkEnd w:id="19"/>
            <w:tr w14:paraId="0A6BD6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continue"/>
                  <w:vAlign w:val="center"/>
                </w:tcPr>
                <w:p w14:paraId="6708625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47B1FC0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试油工程</w:t>
                  </w:r>
                </w:p>
              </w:tc>
              <w:tc>
                <w:tcPr>
                  <w:tcW w:w="3354" w:type="pct"/>
                  <w:gridSpan w:val="3"/>
                  <w:vAlign w:val="center"/>
                </w:tcPr>
                <w:p w14:paraId="121D55A8">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开展</w:t>
                  </w:r>
                  <w:r>
                    <w:rPr>
                      <w:rFonts w:hint="default" w:ascii="Times New Roman" w:hAnsi="Times New Roman" w:cs="Times New Roman"/>
                      <w:color w:val="auto"/>
                      <w:sz w:val="21"/>
                      <w:szCs w:val="21"/>
                    </w:rPr>
                    <w:t>试油准备、储层改造和试油</w:t>
                  </w:r>
                  <w:r>
                    <w:rPr>
                      <w:rFonts w:hint="default" w:ascii="Times New Roman" w:hAnsi="Times New Roman" w:cs="Times New Roman"/>
                      <w:color w:val="auto"/>
                      <w:sz w:val="21"/>
                      <w:szCs w:val="21"/>
                      <w:lang w:val="en-US" w:eastAsia="zh-CN"/>
                    </w:rPr>
                    <w:t>工作</w:t>
                  </w:r>
                  <w:r>
                    <w:rPr>
                      <w:rFonts w:hint="default" w:ascii="Times New Roman" w:hAnsi="Times New Roman" w:cs="Times New Roman"/>
                      <w:color w:val="auto"/>
                      <w:sz w:val="21"/>
                      <w:szCs w:val="21"/>
                    </w:rPr>
                    <w:t>，其中试油准备包括通井、洗井和试压工作，储层改造包括射孔和压裂；</w:t>
                  </w:r>
                  <w:r>
                    <w:rPr>
                      <w:rFonts w:hint="default" w:ascii="Times New Roman" w:hAnsi="Times New Roman" w:cs="Times New Roman"/>
                      <w:color w:val="auto"/>
                      <w:sz w:val="21"/>
                      <w:szCs w:val="21"/>
                      <w:lang w:val="en-US" w:eastAsia="zh-CN"/>
                    </w:rPr>
                    <w:t>试油过程</w:t>
                  </w:r>
                  <w:r>
                    <w:rPr>
                      <w:rFonts w:hint="default" w:ascii="Times New Roman" w:hAnsi="Times New Roman" w:cs="Times New Roman"/>
                      <w:color w:val="auto"/>
                      <w:sz w:val="21"/>
                      <w:szCs w:val="21"/>
                    </w:rPr>
                    <w:t>记录</w:t>
                  </w:r>
                  <w:r>
                    <w:rPr>
                      <w:rFonts w:hint="default" w:ascii="Times New Roman" w:hAnsi="Times New Roman" w:cs="Times New Roman"/>
                      <w:color w:val="auto"/>
                      <w:sz w:val="21"/>
                      <w:szCs w:val="21"/>
                      <w:lang w:val="en-US" w:eastAsia="zh-CN"/>
                    </w:rPr>
                    <w:t>勘探参数，如温度、气压、</w:t>
                  </w:r>
                  <w:r>
                    <w:rPr>
                      <w:rFonts w:hint="default" w:ascii="Times New Roman" w:hAnsi="Times New Roman" w:cs="Times New Roman"/>
                      <w:color w:val="auto"/>
                      <w:sz w:val="21"/>
                      <w:szCs w:val="21"/>
                    </w:rPr>
                    <w:t>油气产量；试油期为</w:t>
                  </w:r>
                  <w:r>
                    <w:rPr>
                      <w:rFonts w:hint="eastAsia" w:cs="Times New Roman"/>
                      <w:color w:val="auto"/>
                      <w:sz w:val="21"/>
                      <w:szCs w:val="21"/>
                      <w:lang w:val="en-US" w:eastAsia="zh-CN"/>
                    </w:rPr>
                    <w:t>240</w:t>
                  </w:r>
                  <w:r>
                    <w:rPr>
                      <w:rFonts w:hint="default" w:ascii="Times New Roman" w:hAnsi="Times New Roman" w:cs="Times New Roman"/>
                      <w:color w:val="auto"/>
                      <w:sz w:val="21"/>
                      <w:szCs w:val="21"/>
                    </w:rPr>
                    <w:t>天，施工人数为2人。</w:t>
                  </w:r>
                </w:p>
              </w:tc>
            </w:tr>
            <w:tr w14:paraId="7236AD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continue"/>
                  <w:vAlign w:val="center"/>
                </w:tcPr>
                <w:p w14:paraId="6618E54C">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6421850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完井</w:t>
                  </w:r>
                </w:p>
              </w:tc>
              <w:tc>
                <w:tcPr>
                  <w:tcW w:w="3354" w:type="pct"/>
                  <w:gridSpan w:val="3"/>
                  <w:vAlign w:val="center"/>
                </w:tcPr>
                <w:p w14:paraId="74F83C85">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根据试油结果进行关井或封井作业，最后撤去所有</w:t>
                  </w:r>
                  <w:r>
                    <w:rPr>
                      <w:rFonts w:hint="default" w:ascii="Times New Roman" w:hAnsi="Times New Roman" w:cs="Times New Roman"/>
                      <w:color w:val="auto"/>
                      <w:sz w:val="21"/>
                      <w:szCs w:val="21"/>
                      <w:lang w:val="en-US" w:eastAsia="zh-CN"/>
                    </w:rPr>
                    <w:t>施工</w:t>
                  </w:r>
                  <w:r>
                    <w:rPr>
                      <w:rFonts w:hint="default" w:ascii="Times New Roman" w:hAnsi="Times New Roman" w:cs="Times New Roman"/>
                      <w:color w:val="auto"/>
                      <w:sz w:val="21"/>
                      <w:szCs w:val="21"/>
                    </w:rPr>
                    <w:t>设施，清理、平整井场。</w:t>
                  </w:r>
                </w:p>
              </w:tc>
            </w:tr>
            <w:tr w14:paraId="4ED83A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restart"/>
                  <w:vAlign w:val="center"/>
                </w:tcPr>
                <w:p w14:paraId="36A18908">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辅助工程</w:t>
                  </w:r>
                </w:p>
              </w:tc>
              <w:tc>
                <w:tcPr>
                  <w:tcW w:w="807" w:type="pct"/>
                  <w:gridSpan w:val="5"/>
                  <w:vAlign w:val="center"/>
                </w:tcPr>
                <w:p w14:paraId="6E12B977">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放喷设施</w:t>
                  </w:r>
                </w:p>
              </w:tc>
              <w:tc>
                <w:tcPr>
                  <w:tcW w:w="3354" w:type="pct"/>
                  <w:gridSpan w:val="3"/>
                  <w:vAlign w:val="center"/>
                </w:tcPr>
                <w:p w14:paraId="5F6207F5">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井场左右两侧各设置1条放喷管线，在井场一侧预留应急放喷池位置。</w:t>
                  </w:r>
                </w:p>
              </w:tc>
            </w:tr>
            <w:tr w14:paraId="79C088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continue"/>
                  <w:vAlign w:val="center"/>
                </w:tcPr>
                <w:p w14:paraId="2A4A7C11">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shd w:val="clear" w:color="auto" w:fill="auto"/>
                  <w:vAlign w:val="center"/>
                </w:tcPr>
                <w:p w14:paraId="4C1C41CB">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探临道路</w:t>
                  </w:r>
                </w:p>
              </w:tc>
              <w:tc>
                <w:tcPr>
                  <w:tcW w:w="3354" w:type="pct"/>
                  <w:gridSpan w:val="3"/>
                  <w:shd w:val="clear" w:color="auto" w:fill="auto"/>
                  <w:vAlign w:val="center"/>
                </w:tcPr>
                <w:p w14:paraId="3873CC39">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新建井场探临道路</w:t>
                  </w:r>
                  <w:r>
                    <w:rPr>
                      <w:rFonts w:hint="eastAsia" w:cs="Times New Roman"/>
                      <w:color w:val="auto"/>
                      <w:sz w:val="21"/>
                      <w:szCs w:val="21"/>
                      <w:highlight w:val="none"/>
                      <w:lang w:val="en-US" w:eastAsia="zh-CN"/>
                    </w:rPr>
                    <w:t>长55</w:t>
                  </w:r>
                  <w:r>
                    <w:rPr>
                      <w:rFonts w:hint="default" w:ascii="Times New Roman" w:hAnsi="Times New Roman" w:cs="Times New Roman"/>
                      <w:color w:val="auto"/>
                      <w:sz w:val="21"/>
                      <w:szCs w:val="21"/>
                      <w:highlight w:val="none"/>
                    </w:rPr>
                    <w:t>m、宽度</w:t>
                  </w:r>
                  <w:r>
                    <w:rPr>
                      <w:rFonts w:hint="eastAsia"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m</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采用砂石路面。</w:t>
                  </w:r>
                </w:p>
              </w:tc>
            </w:tr>
            <w:tr w14:paraId="294E30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restart"/>
                  <w:vAlign w:val="center"/>
                </w:tcPr>
                <w:p w14:paraId="5845CA6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公用工程</w:t>
                  </w:r>
                </w:p>
              </w:tc>
              <w:tc>
                <w:tcPr>
                  <w:tcW w:w="807" w:type="pct"/>
                  <w:gridSpan w:val="5"/>
                  <w:vAlign w:val="center"/>
                </w:tcPr>
                <w:p w14:paraId="0871A4D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供配电</w:t>
                  </w:r>
                </w:p>
              </w:tc>
              <w:tc>
                <w:tcPr>
                  <w:tcW w:w="3354" w:type="pct"/>
                  <w:gridSpan w:val="3"/>
                  <w:vAlign w:val="center"/>
                </w:tcPr>
                <w:p w14:paraId="0ACE598D">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ascii="Times New Roman" w:hAnsi="Times New Roman" w:eastAsia="宋体" w:cs="Times New Roman"/>
                      <w:color w:val="auto"/>
                      <w:sz w:val="21"/>
                      <w:szCs w:val="21"/>
                      <w:lang w:eastAsia="zh-CN"/>
                    </w:rPr>
                  </w:pPr>
                  <w:r>
                    <w:rPr>
                      <w:rFonts w:hint="eastAsia" w:ascii="宋体" w:hAnsi="宋体" w:cs="宋体"/>
                      <w:color w:val="auto"/>
                      <w:sz w:val="21"/>
                      <w:szCs w:val="21"/>
                    </w:rPr>
                    <w:t>井场用电由柴油发电机供给；外购柴油由罐车从</w:t>
                  </w:r>
                  <w:r>
                    <w:rPr>
                      <w:rFonts w:hint="eastAsia" w:ascii="宋体" w:hAnsi="宋体" w:cs="宋体"/>
                      <w:color w:val="auto"/>
                      <w:sz w:val="21"/>
                      <w:szCs w:val="21"/>
                      <w:lang w:val="en-US" w:eastAsia="zh-CN"/>
                    </w:rPr>
                    <w:t>玛纳斯县</w:t>
                  </w:r>
                  <w:r>
                    <w:rPr>
                      <w:rFonts w:hint="eastAsia" w:ascii="宋体" w:hAnsi="宋体" w:cs="宋体"/>
                      <w:color w:val="auto"/>
                      <w:sz w:val="21"/>
                      <w:szCs w:val="21"/>
                    </w:rPr>
                    <w:t>拉运至井场</w:t>
                  </w:r>
                  <w:r>
                    <w:rPr>
                      <w:rFonts w:hint="eastAsia" w:ascii="宋体" w:hAnsi="宋体" w:cs="宋体"/>
                      <w:color w:val="auto"/>
                      <w:sz w:val="21"/>
                      <w:szCs w:val="21"/>
                      <w:lang w:eastAsia="zh-CN"/>
                    </w:rPr>
                    <w:t>。</w:t>
                  </w:r>
                </w:p>
              </w:tc>
            </w:tr>
            <w:tr w14:paraId="0598C4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continue"/>
                  <w:vAlign w:val="center"/>
                </w:tcPr>
                <w:p w14:paraId="37AAFDC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35D77F5C">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给排水</w:t>
                  </w:r>
                </w:p>
              </w:tc>
              <w:tc>
                <w:tcPr>
                  <w:tcW w:w="3354" w:type="pct"/>
                  <w:gridSpan w:val="3"/>
                  <w:vAlign w:val="center"/>
                </w:tcPr>
                <w:p w14:paraId="273DB6C1">
                  <w:pPr>
                    <w:pStyle w:val="106"/>
                    <w:keepNext w:val="0"/>
                    <w:keepLines w:val="0"/>
                    <w:pageBreakBefore w:val="0"/>
                    <w:widowControl w:val="0"/>
                    <w:kinsoku/>
                    <w:wordWrap/>
                    <w:overflowPunct/>
                    <w:topLinePunct w:val="0"/>
                    <w:autoSpaceDE/>
                    <w:autoSpaceDN/>
                    <w:bidi w:val="0"/>
                    <w:spacing w:line="310" w:lineRule="exact"/>
                    <w:jc w:val="left"/>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施工期用水主要为洗井用水</w:t>
                  </w:r>
                  <w:r>
                    <w:rPr>
                      <w:rFonts w:hint="eastAsia" w:cs="Times New Roman"/>
                      <w:color w:val="auto"/>
                      <w:sz w:val="21"/>
                      <w:szCs w:val="21"/>
                      <w:lang w:val="en-US" w:eastAsia="zh-CN"/>
                    </w:rPr>
                    <w:t>和生活用水</w:t>
                  </w:r>
                  <w:r>
                    <w:rPr>
                      <w:rFonts w:hint="default" w:ascii="Times New Roman" w:hAnsi="Times New Roman" w:cs="Times New Roman"/>
                      <w:color w:val="auto"/>
                      <w:sz w:val="21"/>
                      <w:szCs w:val="21"/>
                    </w:rPr>
                    <w:t>，从</w:t>
                  </w:r>
                  <w:r>
                    <w:rPr>
                      <w:rFonts w:hint="eastAsia" w:cs="Times New Roman"/>
                      <w:color w:val="auto"/>
                      <w:sz w:val="21"/>
                      <w:szCs w:val="21"/>
                      <w:lang w:val="en-US" w:eastAsia="zh-CN"/>
                    </w:rPr>
                    <w:t>玛纳斯县</w:t>
                  </w:r>
                  <w:r>
                    <w:rPr>
                      <w:rFonts w:hint="default" w:ascii="Times New Roman" w:hAnsi="Times New Roman" w:cs="Times New Roman"/>
                      <w:color w:val="auto"/>
                      <w:sz w:val="21"/>
                      <w:szCs w:val="21"/>
                    </w:rPr>
                    <w:t>由罐车拉运至</w:t>
                  </w:r>
                  <w:r>
                    <w:rPr>
                      <w:rFonts w:hint="eastAsia" w:cs="Times New Roman"/>
                      <w:color w:val="auto"/>
                      <w:sz w:val="21"/>
                      <w:szCs w:val="21"/>
                      <w:lang w:val="en-US" w:eastAsia="zh-CN"/>
                    </w:rPr>
                    <w:t>井场</w:t>
                  </w:r>
                  <w:r>
                    <w:rPr>
                      <w:rFonts w:hint="default" w:ascii="Times New Roman" w:hAnsi="Times New Roman" w:cs="Times New Roman"/>
                      <w:color w:val="auto"/>
                      <w:sz w:val="21"/>
                      <w:szCs w:val="21"/>
                    </w:rPr>
                    <w:t>；洗井废水和压裂返排液</w:t>
                  </w:r>
                  <w:r>
                    <w:rPr>
                      <w:rFonts w:hint="default" w:ascii="Times New Roman" w:hAnsi="Times New Roman" w:cs="Times New Roman"/>
                      <w:color w:val="auto"/>
                      <w:sz w:val="21"/>
                      <w:szCs w:val="21"/>
                      <w:lang w:val="en-US" w:eastAsia="zh-CN"/>
                    </w:rPr>
                    <w:t>设置</w:t>
                  </w:r>
                  <w:r>
                    <w:rPr>
                      <w:rFonts w:hint="default" w:ascii="Times New Roman" w:hAnsi="Times New Roman" w:cs="Times New Roman"/>
                      <w:color w:val="auto"/>
                      <w:sz w:val="21"/>
                      <w:szCs w:val="21"/>
                    </w:rPr>
                    <w:t>试油废水储罐</w:t>
                  </w:r>
                  <w:r>
                    <w:rPr>
                      <w:rFonts w:hint="default" w:ascii="Times New Roman" w:hAnsi="Times New Roman" w:cs="Times New Roman"/>
                      <w:color w:val="auto"/>
                      <w:sz w:val="21"/>
                      <w:szCs w:val="21"/>
                      <w:lang w:val="en-US" w:eastAsia="zh-CN"/>
                    </w:rPr>
                    <w:t>储存</w:t>
                  </w:r>
                  <w:r>
                    <w:rPr>
                      <w:rFonts w:hint="eastAsia" w:cs="Times New Roman"/>
                      <w:color w:val="auto"/>
                      <w:sz w:val="21"/>
                      <w:szCs w:val="21"/>
                      <w:lang w:val="en-US" w:eastAsia="zh-CN"/>
                    </w:rPr>
                    <w:t>；</w:t>
                  </w:r>
                  <w:r>
                    <w:rPr>
                      <w:rFonts w:hint="eastAsia" w:ascii="宋体" w:hAnsi="宋体" w:cs="宋体"/>
                      <w:color w:val="auto"/>
                      <w:sz w:val="21"/>
                      <w:szCs w:val="21"/>
                    </w:rPr>
                    <w:t>生活污水排至生活营地临时防渗收集池暂存。</w:t>
                  </w:r>
                </w:p>
              </w:tc>
            </w:tr>
            <w:tr w14:paraId="203B17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restart"/>
                  <w:vAlign w:val="center"/>
                </w:tcPr>
                <w:p w14:paraId="026E3D0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环保工程</w:t>
                  </w:r>
                </w:p>
              </w:tc>
              <w:tc>
                <w:tcPr>
                  <w:tcW w:w="267" w:type="pct"/>
                  <w:vMerge w:val="restart"/>
                  <w:tcBorders>
                    <w:right w:val="single" w:color="auto" w:sz="4" w:space="0"/>
                  </w:tcBorders>
                  <w:vAlign w:val="center"/>
                </w:tcPr>
                <w:p w14:paraId="5A28C35C">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539" w:type="pct"/>
                  <w:gridSpan w:val="4"/>
                  <w:tcBorders>
                    <w:left w:val="single" w:color="auto" w:sz="4" w:space="0"/>
                  </w:tcBorders>
                  <w:shd w:val="clear" w:color="auto" w:fill="auto"/>
                  <w:vAlign w:val="center"/>
                </w:tcPr>
                <w:p w14:paraId="6383D908">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施工</w:t>
                  </w:r>
                </w:p>
                <w:p w14:paraId="7B93F68E">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扬尘</w:t>
                  </w:r>
                </w:p>
              </w:tc>
              <w:tc>
                <w:tcPr>
                  <w:tcW w:w="3446" w:type="pct"/>
                  <w:gridSpan w:val="4"/>
                  <w:shd w:val="clear" w:color="auto" w:fill="auto"/>
                  <w:vAlign w:val="center"/>
                </w:tcPr>
                <w:p w14:paraId="476F9F32">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对易起尘物料进行遮盖；加强车辆管理等措施；水基</w:t>
                  </w:r>
                  <w:r>
                    <w:rPr>
                      <w:rFonts w:hint="eastAsia" w:cs="Times New Roman"/>
                      <w:color w:val="auto"/>
                      <w:sz w:val="21"/>
                      <w:szCs w:val="21"/>
                      <w:lang w:val="en-US" w:eastAsia="zh-CN"/>
                    </w:rPr>
                    <w:t>和油基</w:t>
                  </w:r>
                  <w:r>
                    <w:rPr>
                      <w:rFonts w:hint="default" w:ascii="Times New Roman" w:hAnsi="Times New Roman" w:cs="Times New Roman"/>
                      <w:color w:val="auto"/>
                      <w:sz w:val="21"/>
                      <w:szCs w:val="21"/>
                    </w:rPr>
                    <w:t>钻井岩屑</w:t>
                  </w:r>
                  <w:r>
                    <w:rPr>
                      <w:rFonts w:hint="eastAsia" w:cs="Times New Roman"/>
                      <w:color w:val="auto"/>
                      <w:sz w:val="21"/>
                      <w:szCs w:val="21"/>
                      <w:lang w:val="en-US" w:eastAsia="zh-CN"/>
                    </w:rPr>
                    <w:t>分别</w:t>
                  </w:r>
                  <w:r>
                    <w:rPr>
                      <w:rFonts w:hint="default" w:ascii="Times New Roman" w:hAnsi="Times New Roman" w:cs="Times New Roman"/>
                      <w:color w:val="auto"/>
                      <w:sz w:val="21"/>
                      <w:szCs w:val="21"/>
                    </w:rPr>
                    <w:t>暂存于</w:t>
                  </w:r>
                  <w:r>
                    <w:rPr>
                      <w:rFonts w:hint="eastAsia" w:cs="Times New Roman"/>
                      <w:color w:val="auto"/>
                      <w:sz w:val="21"/>
                      <w:szCs w:val="21"/>
                      <w:lang w:val="en-US" w:eastAsia="zh-CN"/>
                    </w:rPr>
                    <w:t>专用收集</w:t>
                  </w:r>
                  <w:r>
                    <w:rPr>
                      <w:rFonts w:hint="default" w:ascii="Times New Roman" w:hAnsi="Times New Roman" w:cs="Times New Roman"/>
                      <w:color w:val="auto"/>
                      <w:sz w:val="21"/>
                      <w:szCs w:val="21"/>
                    </w:rPr>
                    <w:t>罐中，并及时清运，不长期存储。</w:t>
                  </w:r>
                </w:p>
              </w:tc>
            </w:tr>
            <w:tr w14:paraId="56CFB6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160F0C78">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5A5E1E4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vAlign w:val="center"/>
                </w:tcPr>
                <w:p w14:paraId="67BB621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柴油机、发电机燃料燃烧废气</w:t>
                  </w:r>
                </w:p>
              </w:tc>
              <w:tc>
                <w:tcPr>
                  <w:tcW w:w="3446" w:type="pct"/>
                  <w:gridSpan w:val="4"/>
                  <w:vAlign w:val="center"/>
                </w:tcPr>
                <w:p w14:paraId="1AAF6C05">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加强设备维护管理，使用合格油燃料。</w:t>
                  </w:r>
                </w:p>
              </w:tc>
            </w:tr>
            <w:tr w14:paraId="39894C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21777EE5">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1A006546">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vAlign w:val="center"/>
                </w:tcPr>
                <w:p w14:paraId="2F443F7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施工机械及车辆尾气</w:t>
                  </w:r>
                </w:p>
              </w:tc>
              <w:tc>
                <w:tcPr>
                  <w:tcW w:w="3446" w:type="pct"/>
                  <w:gridSpan w:val="4"/>
                  <w:vAlign w:val="center"/>
                </w:tcPr>
                <w:p w14:paraId="2FBD2115">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使用合格油燃料。</w:t>
                  </w:r>
                </w:p>
              </w:tc>
            </w:tr>
            <w:tr w14:paraId="51B7D0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5C6CD3C9">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55EB4DE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shd w:val="clear" w:color="auto" w:fill="auto"/>
                  <w:vAlign w:val="center"/>
                </w:tcPr>
                <w:p w14:paraId="43E7882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伴生气</w:t>
                  </w:r>
                </w:p>
              </w:tc>
              <w:tc>
                <w:tcPr>
                  <w:tcW w:w="3446" w:type="pct"/>
                  <w:gridSpan w:val="4"/>
                  <w:shd w:val="clear" w:color="auto" w:fill="auto"/>
                  <w:vAlign w:val="center"/>
                </w:tcPr>
                <w:p w14:paraId="45BC15E9">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由排气管线充分燃烧后放空。</w:t>
                  </w:r>
                </w:p>
              </w:tc>
            </w:tr>
            <w:tr w14:paraId="5D3B8A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01F122F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150C54B8">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vAlign w:val="center"/>
                </w:tcPr>
                <w:p w14:paraId="151AE4B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无组织挥发烃类</w:t>
                  </w:r>
                </w:p>
              </w:tc>
              <w:tc>
                <w:tcPr>
                  <w:tcW w:w="3446" w:type="pct"/>
                  <w:gridSpan w:val="4"/>
                  <w:vAlign w:val="center"/>
                </w:tcPr>
                <w:p w14:paraId="43C44FF0">
                  <w:pPr>
                    <w:pStyle w:val="106"/>
                    <w:keepNext w:val="0"/>
                    <w:keepLines w:val="0"/>
                    <w:pageBreakBefore w:val="0"/>
                    <w:widowControl w:val="0"/>
                    <w:kinsoku/>
                    <w:wordWrap/>
                    <w:overflowPunct/>
                    <w:topLinePunct w:val="0"/>
                    <w:autoSpaceDE/>
                    <w:autoSpaceDN/>
                    <w:bidi w:val="0"/>
                    <w:spacing w:line="310" w:lineRule="exact"/>
                    <w:jc w:val="left"/>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采出液</w:t>
                  </w:r>
                  <w:r>
                    <w:rPr>
                      <w:rFonts w:hint="default" w:ascii="Times New Roman" w:hAnsi="Times New Roman" w:cs="Times New Roman"/>
                      <w:color w:val="auto"/>
                      <w:sz w:val="21"/>
                      <w:szCs w:val="21"/>
                    </w:rPr>
                    <w:t>采取密闭装载方式；柴油储罐</w:t>
                  </w:r>
                  <w:r>
                    <w:rPr>
                      <w:rFonts w:hint="default" w:ascii="Times New Roman" w:hAnsi="Times New Roman" w:cs="Times New Roman"/>
                      <w:color w:val="auto"/>
                      <w:sz w:val="21"/>
                      <w:szCs w:val="21"/>
                      <w:lang w:val="en-US" w:eastAsia="zh-CN"/>
                    </w:rPr>
                    <w:t>密闭</w:t>
                  </w:r>
                  <w:r>
                    <w:rPr>
                      <w:rFonts w:hint="default" w:ascii="Times New Roman" w:hAnsi="Times New Roman" w:cs="Times New Roman"/>
                      <w:color w:val="auto"/>
                      <w:sz w:val="21"/>
                      <w:szCs w:val="21"/>
                    </w:rPr>
                    <w:t>，罐体保持完好</w:t>
                  </w:r>
                  <w:r>
                    <w:rPr>
                      <w:rFonts w:hint="default" w:ascii="Times New Roman" w:hAnsi="Times New Roman" w:cs="Times New Roman"/>
                      <w:color w:val="auto"/>
                      <w:sz w:val="21"/>
                      <w:szCs w:val="21"/>
                      <w:lang w:eastAsia="zh-CN"/>
                    </w:rPr>
                    <w:t>。</w:t>
                  </w:r>
                </w:p>
              </w:tc>
            </w:tr>
            <w:tr w14:paraId="5A1FD9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5047869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restart"/>
                  <w:tcBorders>
                    <w:right w:val="single" w:color="auto" w:sz="4" w:space="0"/>
                  </w:tcBorders>
                  <w:vAlign w:val="center"/>
                </w:tcPr>
                <w:p w14:paraId="63029B87">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539" w:type="pct"/>
                  <w:gridSpan w:val="4"/>
                  <w:tcBorders>
                    <w:left w:val="single" w:color="auto" w:sz="4" w:space="0"/>
                  </w:tcBorders>
                  <w:vAlign w:val="center"/>
                </w:tcPr>
                <w:p w14:paraId="5493ACE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w:t>
                  </w:r>
                </w:p>
                <w:p w14:paraId="761579FC">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污水</w:t>
                  </w:r>
                </w:p>
              </w:tc>
              <w:tc>
                <w:tcPr>
                  <w:tcW w:w="3446" w:type="pct"/>
                  <w:gridSpan w:val="4"/>
                  <w:vAlign w:val="center"/>
                </w:tcPr>
                <w:p w14:paraId="30F5A0A0">
                  <w:pPr>
                    <w:pStyle w:val="106"/>
                    <w:keepNext w:val="0"/>
                    <w:keepLines w:val="0"/>
                    <w:pageBreakBefore w:val="0"/>
                    <w:widowControl w:val="0"/>
                    <w:kinsoku/>
                    <w:wordWrap/>
                    <w:overflowPunct/>
                    <w:topLinePunct w:val="0"/>
                    <w:autoSpaceDE/>
                    <w:autoSpaceDN/>
                    <w:bidi w:val="0"/>
                    <w:spacing w:line="310" w:lineRule="exact"/>
                    <w:jc w:val="left"/>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施工人员产生的生活污水排入防渗收集池后由吸污车运至</w:t>
                  </w:r>
                  <w:r>
                    <w:rPr>
                      <w:rFonts w:hint="eastAsia" w:cs="Times New Roman"/>
                      <w:color w:val="auto"/>
                      <w:sz w:val="21"/>
                      <w:szCs w:val="21"/>
                      <w:lang w:val="en-US" w:eastAsia="zh-CN"/>
                    </w:rPr>
                    <w:t>玛纳斯县城污水处理厂</w:t>
                  </w:r>
                  <w:r>
                    <w:rPr>
                      <w:rFonts w:hint="eastAsia" w:ascii="Times New Roman" w:hAnsi="Times New Roman" w:cs="Times New Roman"/>
                      <w:color w:val="auto"/>
                      <w:sz w:val="21"/>
                      <w:szCs w:val="21"/>
                      <w:lang w:val="en-US" w:eastAsia="zh-CN"/>
                    </w:rPr>
                    <w:t>处置</w:t>
                  </w:r>
                  <w:r>
                    <w:rPr>
                      <w:rFonts w:hint="eastAsia" w:cs="Times New Roman"/>
                      <w:color w:val="auto"/>
                      <w:sz w:val="21"/>
                      <w:szCs w:val="21"/>
                      <w:lang w:val="en-US" w:eastAsia="zh-CN"/>
                    </w:rPr>
                    <w:t>。</w:t>
                  </w:r>
                </w:p>
              </w:tc>
            </w:tr>
            <w:tr w14:paraId="0DFAA4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12DA0AB4">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51D95FF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vAlign w:val="center"/>
                </w:tcPr>
                <w:p w14:paraId="1B42CED6">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洗井废水和压裂返排液</w:t>
                  </w:r>
                </w:p>
              </w:tc>
              <w:tc>
                <w:tcPr>
                  <w:tcW w:w="3446" w:type="pct"/>
                  <w:gridSpan w:val="4"/>
                  <w:vAlign w:val="center"/>
                </w:tcPr>
                <w:p w14:paraId="6D05AE3F">
                  <w:pPr>
                    <w:pStyle w:val="106"/>
                    <w:keepNext w:val="0"/>
                    <w:keepLines w:val="0"/>
                    <w:pageBreakBefore w:val="0"/>
                    <w:widowControl w:val="0"/>
                    <w:kinsoku/>
                    <w:wordWrap/>
                    <w:overflowPunct/>
                    <w:topLinePunct w:val="0"/>
                    <w:autoSpaceDE/>
                    <w:autoSpaceDN/>
                    <w:bidi w:val="0"/>
                    <w:spacing w:line="31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采用专用储罐收集后送至采油一厂车89处理站处置。</w:t>
                  </w:r>
                </w:p>
              </w:tc>
            </w:tr>
            <w:tr w14:paraId="422B57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6378D41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tcBorders>
                    <w:right w:val="single" w:color="auto" w:sz="4" w:space="0"/>
                  </w:tcBorders>
                  <w:vAlign w:val="center"/>
                </w:tcPr>
                <w:p w14:paraId="2D6C973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539" w:type="pct"/>
                  <w:gridSpan w:val="4"/>
                  <w:tcBorders>
                    <w:left w:val="single" w:color="auto" w:sz="4" w:space="0"/>
                  </w:tcBorders>
                  <w:vAlign w:val="center"/>
                </w:tcPr>
                <w:p w14:paraId="39F13F24">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施工设备</w:t>
                  </w:r>
                  <w:r>
                    <w:rPr>
                      <w:rFonts w:hint="default" w:ascii="Times New Roman" w:hAnsi="Times New Roman" w:cs="Times New Roman"/>
                      <w:color w:val="auto"/>
                      <w:sz w:val="21"/>
                      <w:szCs w:val="21"/>
                    </w:rPr>
                    <w:t>噪声</w:t>
                  </w:r>
                </w:p>
              </w:tc>
              <w:tc>
                <w:tcPr>
                  <w:tcW w:w="3446" w:type="pct"/>
                  <w:gridSpan w:val="4"/>
                  <w:vAlign w:val="center"/>
                </w:tcPr>
                <w:p w14:paraId="77102A15">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选用低噪声设备，设备底部进行基础减震。</w:t>
                  </w:r>
                </w:p>
              </w:tc>
            </w:tr>
            <w:tr w14:paraId="3982F0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13D9C38C">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restart"/>
                  <w:tcBorders>
                    <w:right w:val="single" w:color="auto" w:sz="4" w:space="0"/>
                  </w:tcBorders>
                  <w:vAlign w:val="center"/>
                </w:tcPr>
                <w:p w14:paraId="242F832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w:t>
                  </w:r>
                </w:p>
              </w:tc>
              <w:tc>
                <w:tcPr>
                  <w:tcW w:w="539" w:type="pct"/>
                  <w:gridSpan w:val="4"/>
                  <w:tcBorders>
                    <w:left w:val="single" w:color="auto" w:sz="4" w:space="0"/>
                  </w:tcBorders>
                  <w:vAlign w:val="center"/>
                </w:tcPr>
                <w:p w14:paraId="3D05E1E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钻井</w:t>
                  </w:r>
                </w:p>
                <w:p w14:paraId="4DC7A9A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岩屑</w:t>
                  </w:r>
                </w:p>
              </w:tc>
              <w:tc>
                <w:tcPr>
                  <w:tcW w:w="3446" w:type="pct"/>
                  <w:gridSpan w:val="4"/>
                  <w:vAlign w:val="center"/>
                </w:tcPr>
                <w:p w14:paraId="7FC4BC91">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井场配有</w:t>
                  </w:r>
                  <w:r>
                    <w:rPr>
                      <w:rFonts w:hint="default" w:ascii="Times New Roman" w:hAnsi="Times New Roman" w:eastAsia="宋体" w:cs="Times New Roman"/>
                      <w:color w:val="auto"/>
                      <w:sz w:val="21"/>
                      <w:szCs w:val="21"/>
                    </w:rPr>
                    <w:t>钻井液不落地设备，钻井过程中分离出的</w:t>
                  </w:r>
                  <w:r>
                    <w:rPr>
                      <w:rFonts w:hint="default" w:ascii="Times New Roman" w:hAnsi="Times New Roman" w:eastAsia="宋体" w:cs="Times New Roman"/>
                      <w:color w:val="auto"/>
                      <w:sz w:val="21"/>
                      <w:szCs w:val="21"/>
                      <w:lang w:val="en-US" w:eastAsia="zh-CN"/>
                    </w:rPr>
                    <w:t>固相</w:t>
                  </w:r>
                  <w:r>
                    <w:rPr>
                      <w:rFonts w:hint="default" w:ascii="Times New Roman" w:hAnsi="Times New Roman" w:eastAsia="宋体" w:cs="Times New Roman"/>
                      <w:color w:val="auto"/>
                      <w:sz w:val="21"/>
                      <w:szCs w:val="21"/>
                    </w:rPr>
                    <w:t>水基钻井岩屑暂存于岩屑储罐中，委托</w:t>
                  </w:r>
                  <w:r>
                    <w:rPr>
                      <w:rFonts w:hint="default" w:ascii="Times New Roman" w:hAnsi="Times New Roman" w:eastAsia="宋体" w:cs="Times New Roman"/>
                      <w:color w:val="auto"/>
                      <w:sz w:val="21"/>
                      <w:szCs w:val="21"/>
                      <w:lang w:val="en-US" w:eastAsia="zh-CN"/>
                    </w:rPr>
                    <w:t>第三方</w:t>
                  </w:r>
                  <w:r>
                    <w:rPr>
                      <w:rFonts w:hint="default" w:ascii="Times New Roman" w:hAnsi="Times New Roman" w:eastAsia="宋体" w:cs="Times New Roman"/>
                      <w:color w:val="auto"/>
                      <w:sz w:val="21"/>
                      <w:szCs w:val="21"/>
                    </w:rPr>
                    <w:t>岩屑处置单位及时清运、处置</w:t>
                  </w:r>
                  <w:r>
                    <w:rPr>
                      <w:rFonts w:hint="eastAsia" w:cs="Times New Roman"/>
                      <w:color w:val="auto"/>
                      <w:sz w:val="21"/>
                      <w:szCs w:val="21"/>
                      <w:lang w:eastAsia="zh-CN"/>
                    </w:rPr>
                    <w:t>；</w:t>
                  </w:r>
                  <w:r>
                    <w:rPr>
                      <w:rFonts w:hint="eastAsia" w:cs="Times New Roman"/>
                      <w:color w:val="auto"/>
                      <w:sz w:val="21"/>
                      <w:szCs w:val="21"/>
                      <w:lang w:val="en-US" w:eastAsia="zh-CN"/>
                    </w:rPr>
                    <w:t>分离出的固相油基钻井岩屑进罐收集后交具有相应危险经营许可单位及时清运、处置。</w:t>
                  </w:r>
                </w:p>
              </w:tc>
            </w:tr>
            <w:tr w14:paraId="30C839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6F4D5E48">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0626D936">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vAlign w:val="center"/>
                </w:tcPr>
                <w:p w14:paraId="6F8720A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沾油</w:t>
                  </w:r>
                  <w:r>
                    <w:rPr>
                      <w:rFonts w:hint="default" w:ascii="Times New Roman" w:hAnsi="Times New Roman" w:cs="Times New Roman"/>
                      <w:color w:val="auto"/>
                      <w:sz w:val="21"/>
                      <w:szCs w:val="21"/>
                    </w:rPr>
                    <w:t>废防渗材料、废润滑油</w:t>
                  </w:r>
                  <w:r>
                    <w:rPr>
                      <w:rFonts w:hint="eastAsia" w:cs="Times New Roman"/>
                      <w:color w:val="auto"/>
                      <w:sz w:val="21"/>
                      <w:szCs w:val="21"/>
                      <w:lang w:val="en-US" w:eastAsia="zh-CN"/>
                    </w:rPr>
                    <w:t>及</w:t>
                  </w:r>
                  <w:r>
                    <w:rPr>
                      <w:rFonts w:hint="default" w:ascii="Times New Roman" w:hAnsi="Times New Roman" w:cs="Times New Roman"/>
                      <w:color w:val="auto"/>
                      <w:sz w:val="21"/>
                      <w:szCs w:val="21"/>
                    </w:rPr>
                    <w:t>废润滑油桶</w:t>
                  </w:r>
                  <w:r>
                    <w:rPr>
                      <w:rFonts w:hint="eastAsia" w:cs="Times New Roman"/>
                      <w:color w:val="auto"/>
                      <w:sz w:val="21"/>
                      <w:szCs w:val="21"/>
                      <w:lang w:eastAsia="zh-CN"/>
                    </w:rPr>
                    <w:t>、</w:t>
                  </w:r>
                  <w:r>
                    <w:rPr>
                      <w:rFonts w:hint="eastAsia" w:cs="Times New Roman"/>
                      <w:color w:val="auto"/>
                      <w:sz w:val="21"/>
                      <w:szCs w:val="21"/>
                      <w:lang w:val="en-US" w:eastAsia="zh-CN"/>
                    </w:rPr>
                    <w:t>沾油劳保用品</w:t>
                  </w:r>
                </w:p>
              </w:tc>
              <w:tc>
                <w:tcPr>
                  <w:tcW w:w="3446" w:type="pct"/>
                  <w:gridSpan w:val="4"/>
                  <w:vAlign w:val="center"/>
                </w:tcPr>
                <w:p w14:paraId="42C7FF5E">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井场设有1座危险废物贮存点，占地面积为5m</w:t>
                  </w:r>
                  <w:r>
                    <w:rPr>
                      <w:rFonts w:hint="default" w:ascii="Times New Roman" w:hAnsi="Times New Roman" w:cs="Times New Roman"/>
                      <w:color w:val="auto"/>
                      <w:sz w:val="21"/>
                      <w:szCs w:val="21"/>
                      <w:vertAlign w:val="superscript"/>
                    </w:rPr>
                    <w:t>2</w:t>
                  </w:r>
                  <w:r>
                    <w:rPr>
                      <w:rFonts w:hint="default" w:ascii="Times New Roman" w:hAnsi="Times New Roman" w:cs="Times New Roman"/>
                      <w:color w:val="auto"/>
                      <w:sz w:val="21"/>
                      <w:szCs w:val="21"/>
                    </w:rPr>
                    <w:t>，严格按照《危险废物贮存污染控制标准》（GB18597-2023）中要求建设，分区暂存各类危险废物；</w:t>
                  </w:r>
                </w:p>
                <w:p w14:paraId="2DFBD286">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沾油废防渗材料、废润滑油及废润滑油桶</w:t>
                  </w:r>
                  <w:r>
                    <w:rPr>
                      <w:rFonts w:hint="eastAsia" w:cs="Times New Roman"/>
                      <w:color w:val="auto"/>
                      <w:sz w:val="21"/>
                      <w:szCs w:val="21"/>
                      <w:lang w:eastAsia="zh-CN"/>
                    </w:rPr>
                    <w:t>、</w:t>
                  </w:r>
                  <w:r>
                    <w:rPr>
                      <w:rFonts w:hint="eastAsia" w:cs="Times New Roman"/>
                      <w:color w:val="auto"/>
                      <w:sz w:val="21"/>
                      <w:szCs w:val="21"/>
                      <w:lang w:val="en-US" w:eastAsia="zh-CN"/>
                    </w:rPr>
                    <w:t>沾油劳保用品</w:t>
                  </w:r>
                  <w:r>
                    <w:rPr>
                      <w:rFonts w:hint="default" w:ascii="Times New Roman" w:hAnsi="Times New Roman" w:cs="Times New Roman"/>
                      <w:color w:val="auto"/>
                      <w:sz w:val="21"/>
                      <w:szCs w:val="21"/>
                    </w:rPr>
                    <w:t>均属于危险废物，分区暂存在危险废物贮存点，定期由具有相应危险废物处置资质的单位进行接收、转运和处置。</w:t>
                  </w:r>
                </w:p>
              </w:tc>
            </w:tr>
            <w:tr w14:paraId="35B1FC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0236BC2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6AD11D6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shd w:val="clear" w:color="auto" w:fill="auto"/>
                  <w:vAlign w:val="center"/>
                </w:tcPr>
                <w:p w14:paraId="0BB2387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落地油</w:t>
                  </w:r>
                </w:p>
              </w:tc>
              <w:tc>
                <w:tcPr>
                  <w:tcW w:w="3446" w:type="pct"/>
                  <w:gridSpan w:val="4"/>
                  <w:shd w:val="clear" w:color="auto" w:fill="auto"/>
                  <w:vAlign w:val="center"/>
                </w:tcPr>
                <w:p w14:paraId="2DCD6DC2">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事故状态下产生的落地油集中收集后直接交由具有相应危废处置资质单位进行接收、转运和处置。</w:t>
                  </w:r>
                </w:p>
              </w:tc>
            </w:tr>
            <w:tr w14:paraId="1F3FA4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67223203">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37C9138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shd w:val="clear" w:color="auto" w:fill="auto"/>
                  <w:vAlign w:val="center"/>
                </w:tcPr>
                <w:p w14:paraId="6A26677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w:t>
                  </w:r>
                </w:p>
                <w:p w14:paraId="27711BA6">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垃圾</w:t>
                  </w:r>
                </w:p>
              </w:tc>
              <w:tc>
                <w:tcPr>
                  <w:tcW w:w="3446" w:type="pct"/>
                  <w:gridSpan w:val="4"/>
                  <w:shd w:val="clear" w:color="auto" w:fill="auto"/>
                  <w:vAlign w:val="center"/>
                </w:tcPr>
                <w:p w14:paraId="35489E07">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sz w:val="21"/>
                      <w:szCs w:val="21"/>
                    </w:rPr>
                    <w:t>产生的生活垃圾集中收集在垃圾箱后交玛纳斯县生活垃圾填埋场处置。</w:t>
                  </w:r>
                </w:p>
              </w:tc>
            </w:tr>
            <w:tr w14:paraId="139E91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trPr>
              <w:tc>
                <w:tcPr>
                  <w:tcW w:w="746" w:type="pct"/>
                  <w:gridSpan w:val="2"/>
                  <w:vMerge w:val="continue"/>
                  <w:vAlign w:val="center"/>
                </w:tcPr>
                <w:p w14:paraId="5AB72FC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267" w:type="pct"/>
                  <w:vMerge w:val="continue"/>
                  <w:tcBorders>
                    <w:right w:val="single" w:color="auto" w:sz="4" w:space="0"/>
                  </w:tcBorders>
                  <w:vAlign w:val="center"/>
                </w:tcPr>
                <w:p w14:paraId="07BE4136">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539" w:type="pct"/>
                  <w:gridSpan w:val="4"/>
                  <w:tcBorders>
                    <w:left w:val="single" w:color="auto" w:sz="4" w:space="0"/>
                  </w:tcBorders>
                  <w:vAlign w:val="center"/>
                </w:tcPr>
                <w:p w14:paraId="5368504B">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建筑</w:t>
                  </w:r>
                </w:p>
                <w:p w14:paraId="28D8603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垃圾</w:t>
                  </w:r>
                </w:p>
              </w:tc>
              <w:tc>
                <w:tcPr>
                  <w:tcW w:w="3446" w:type="pct"/>
                  <w:gridSpan w:val="4"/>
                  <w:vAlign w:val="center"/>
                </w:tcPr>
                <w:p w14:paraId="0E841FC2">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集中收集尽量由施工单位统一回收利用，无法再利用的送至玛纳斯县建筑垃圾填埋场填埋处理</w:t>
                  </w:r>
                  <w:r>
                    <w:rPr>
                      <w:rFonts w:hint="eastAsia" w:cs="Times New Roman"/>
                      <w:color w:val="auto"/>
                      <w:sz w:val="21"/>
                      <w:szCs w:val="21"/>
                      <w:lang w:eastAsia="zh-CN"/>
                    </w:rPr>
                    <w:t>。</w:t>
                  </w:r>
                </w:p>
              </w:tc>
            </w:tr>
            <w:tr w14:paraId="367DE2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trPr>
              <w:tc>
                <w:tcPr>
                  <w:tcW w:w="745" w:type="pct"/>
                  <w:vMerge w:val="restart"/>
                  <w:vAlign w:val="center"/>
                </w:tcPr>
                <w:p w14:paraId="45351EC7">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环保工程</w:t>
                  </w:r>
                </w:p>
              </w:tc>
              <w:tc>
                <w:tcPr>
                  <w:tcW w:w="807" w:type="pct"/>
                  <w:gridSpan w:val="5"/>
                  <w:vAlign w:val="center"/>
                </w:tcPr>
                <w:p w14:paraId="21EA9C8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生态措施</w:t>
                  </w:r>
                </w:p>
              </w:tc>
              <w:tc>
                <w:tcPr>
                  <w:tcW w:w="3354" w:type="pct"/>
                  <w:gridSpan w:val="3"/>
                  <w:vAlign w:val="center"/>
                </w:tcPr>
                <w:p w14:paraId="4084820C">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施工结束后及时对临时占地进行清理、平整，植被自然恢复。</w:t>
                  </w:r>
                </w:p>
              </w:tc>
            </w:tr>
            <w:tr w14:paraId="6A6543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3"/>
                <w:wAfter w:w="92" w:type="pct"/>
                <w:trHeight w:val="397" w:hRule="atLeast"/>
              </w:trPr>
              <w:tc>
                <w:tcPr>
                  <w:tcW w:w="745" w:type="pct"/>
                  <w:vMerge w:val="continue"/>
                  <w:vAlign w:val="center"/>
                </w:tcPr>
                <w:p w14:paraId="16623274">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403" w:type="pct"/>
                  <w:gridSpan w:val="3"/>
                  <w:vMerge w:val="restart"/>
                  <w:vAlign w:val="center"/>
                </w:tcPr>
                <w:p w14:paraId="50363AB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环境风险</w:t>
                  </w:r>
                </w:p>
              </w:tc>
              <w:tc>
                <w:tcPr>
                  <w:tcW w:w="404" w:type="pct"/>
                  <w:shd w:val="clear" w:color="auto" w:fill="auto"/>
                  <w:vAlign w:val="center"/>
                </w:tcPr>
                <w:p w14:paraId="00C42D4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H</w:t>
                  </w:r>
                  <w:r>
                    <w:rPr>
                      <w:rFonts w:hint="default" w:ascii="Times New Roman" w:hAnsi="Times New Roman" w:cs="Times New Roman"/>
                      <w:color w:val="auto"/>
                      <w:sz w:val="21"/>
                      <w:szCs w:val="21"/>
                      <w:vertAlign w:val="subscript"/>
                    </w:rPr>
                    <w:t>2</w:t>
                  </w:r>
                  <w:r>
                    <w:rPr>
                      <w:rFonts w:hint="default" w:ascii="Times New Roman" w:hAnsi="Times New Roman" w:cs="Times New Roman"/>
                      <w:color w:val="auto"/>
                      <w:sz w:val="21"/>
                      <w:szCs w:val="21"/>
                    </w:rPr>
                    <w:t>S监测</w:t>
                  </w:r>
                </w:p>
              </w:tc>
              <w:tc>
                <w:tcPr>
                  <w:tcW w:w="3353" w:type="pct"/>
                  <w:gridSpan w:val="3"/>
                  <w:vAlign w:val="center"/>
                </w:tcPr>
                <w:p w14:paraId="4B788A7A">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井场</w:t>
                  </w:r>
                  <w:r>
                    <w:rPr>
                      <w:rFonts w:hint="default" w:ascii="Times New Roman" w:hAnsi="Times New Roman" w:cs="Times New Roman"/>
                      <w:color w:val="auto"/>
                      <w:sz w:val="21"/>
                      <w:szCs w:val="21"/>
                      <w:lang w:val="en-US" w:eastAsia="zh-CN"/>
                    </w:rPr>
                    <w:t>配备</w:t>
                  </w:r>
                  <w:r>
                    <w:rPr>
                      <w:rFonts w:hint="default" w:ascii="Times New Roman" w:hAnsi="Times New Roman" w:cs="Times New Roman"/>
                      <w:color w:val="auto"/>
                      <w:sz w:val="21"/>
                      <w:szCs w:val="21"/>
                    </w:rPr>
                    <w:t>H</w:t>
                  </w:r>
                  <w:r>
                    <w:rPr>
                      <w:rFonts w:hint="default" w:ascii="Times New Roman" w:hAnsi="Times New Roman" w:cs="Times New Roman"/>
                      <w:color w:val="auto"/>
                      <w:sz w:val="21"/>
                      <w:szCs w:val="21"/>
                      <w:vertAlign w:val="subscript"/>
                    </w:rPr>
                    <w:t>2</w:t>
                  </w:r>
                  <w:r>
                    <w:rPr>
                      <w:rFonts w:hint="default" w:ascii="Times New Roman" w:hAnsi="Times New Roman" w:cs="Times New Roman"/>
                      <w:color w:val="auto"/>
                      <w:sz w:val="21"/>
                      <w:szCs w:val="21"/>
                    </w:rPr>
                    <w:t>S监测仪。</w:t>
                  </w:r>
                </w:p>
              </w:tc>
            </w:tr>
            <w:tr w14:paraId="49A0D4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3"/>
                <w:wAfter w:w="92" w:type="pct"/>
                <w:trHeight w:val="397" w:hRule="atLeast"/>
              </w:trPr>
              <w:tc>
                <w:tcPr>
                  <w:tcW w:w="745" w:type="pct"/>
                  <w:vMerge w:val="continue"/>
                  <w:vAlign w:val="center"/>
                </w:tcPr>
                <w:p w14:paraId="49C98C8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403" w:type="pct"/>
                  <w:gridSpan w:val="3"/>
                  <w:vMerge w:val="continue"/>
                  <w:vAlign w:val="center"/>
                </w:tcPr>
                <w:p w14:paraId="542021B4">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404" w:type="pct"/>
                  <w:shd w:val="clear" w:color="auto" w:fill="auto"/>
                  <w:vAlign w:val="center"/>
                </w:tcPr>
                <w:p w14:paraId="017DD8F9">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放喷设施</w:t>
                  </w:r>
                </w:p>
              </w:tc>
              <w:tc>
                <w:tcPr>
                  <w:tcW w:w="3353" w:type="pct"/>
                  <w:gridSpan w:val="3"/>
                  <w:vAlign w:val="center"/>
                </w:tcPr>
                <w:p w14:paraId="3B894937">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cs="Times New Roman"/>
                      <w:color w:val="auto"/>
                      <w:sz w:val="21"/>
                      <w:szCs w:val="21"/>
                      <w:lang w:eastAsia="zh-CN"/>
                    </w:rPr>
                  </w:pPr>
                  <w:r>
                    <w:rPr>
                      <w:rFonts w:hint="default" w:ascii="Times New Roman" w:hAnsi="Times New Roman" w:cs="Times New Roman"/>
                      <w:color w:val="auto"/>
                      <w:sz w:val="21"/>
                      <w:szCs w:val="21"/>
                    </w:rPr>
                    <w:t>井场左右两侧各设置1条放喷管线，预留应急放喷池位置</w:t>
                  </w:r>
                  <w:r>
                    <w:rPr>
                      <w:rFonts w:hint="eastAsia" w:cs="Times New Roman"/>
                      <w:color w:val="auto"/>
                      <w:sz w:val="21"/>
                      <w:szCs w:val="21"/>
                      <w:lang w:eastAsia="zh-CN"/>
                    </w:rPr>
                    <w:t>；</w:t>
                  </w:r>
                </w:p>
                <w:p w14:paraId="6FB9E55B">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应急放喷池容积为20m</w:t>
                  </w:r>
                  <w:r>
                    <w:rPr>
                      <w:rFonts w:hint="eastAsia" w:cs="Times New Roman"/>
                      <w:color w:val="auto"/>
                      <w:sz w:val="21"/>
                      <w:szCs w:val="21"/>
                      <w:vertAlign w:val="superscript"/>
                      <w:lang w:val="en-US" w:eastAsia="zh-CN"/>
                    </w:rPr>
                    <w:t>3</w:t>
                  </w:r>
                  <w:r>
                    <w:rPr>
                      <w:rFonts w:hint="eastAsia" w:cs="Times New Roman"/>
                      <w:color w:val="auto"/>
                      <w:sz w:val="21"/>
                      <w:szCs w:val="21"/>
                      <w:lang w:val="en-US" w:eastAsia="zh-CN"/>
                    </w:rPr>
                    <w:t>，仅在事故状态下开挖，井场旁有一辆挖机随时待命，一旦发生井喷，挖机可立即开挖，快速开挖至规定尺寸后，进行防渗，采用人工防渗层，防渗材料为HDPE防渗膜，渗透系数≤10</w:t>
                  </w:r>
                  <w:r>
                    <w:rPr>
                      <w:rFonts w:hint="eastAsia" w:cs="Times New Roman"/>
                      <w:color w:val="auto"/>
                      <w:sz w:val="21"/>
                      <w:szCs w:val="21"/>
                      <w:vertAlign w:val="superscript"/>
                      <w:lang w:val="en-US" w:eastAsia="zh-CN"/>
                    </w:rPr>
                    <w:t>-10</w:t>
                  </w:r>
                  <w:r>
                    <w:rPr>
                      <w:rFonts w:hint="eastAsia" w:cs="Times New Roman"/>
                      <w:color w:val="auto"/>
                      <w:sz w:val="21"/>
                      <w:szCs w:val="21"/>
                      <w:lang w:val="en-US" w:eastAsia="zh-CN"/>
                    </w:rPr>
                    <w:t>cm/s。</w:t>
                  </w:r>
                </w:p>
              </w:tc>
            </w:tr>
            <w:tr w14:paraId="050CC3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restart"/>
                  <w:vAlign w:val="center"/>
                </w:tcPr>
                <w:p w14:paraId="3A0A3F5E">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依托工程</w:t>
                  </w:r>
                </w:p>
              </w:tc>
              <w:tc>
                <w:tcPr>
                  <w:tcW w:w="807" w:type="pct"/>
                  <w:gridSpan w:val="5"/>
                  <w:vAlign w:val="center"/>
                </w:tcPr>
                <w:p w14:paraId="362DBDE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试油废水</w:t>
                  </w:r>
                </w:p>
              </w:tc>
              <w:tc>
                <w:tcPr>
                  <w:tcW w:w="3354" w:type="pct"/>
                  <w:gridSpan w:val="3"/>
                  <w:vAlign w:val="center"/>
                </w:tcPr>
                <w:p w14:paraId="13DC49ED">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试油废水（洗井废水和压裂返排液）</w:t>
                  </w:r>
                  <w:r>
                    <w:rPr>
                      <w:rFonts w:hint="default" w:ascii="Times New Roman" w:hAnsi="Times New Roman" w:cs="Times New Roman"/>
                      <w:color w:val="auto"/>
                      <w:sz w:val="21"/>
                      <w:szCs w:val="21"/>
                    </w:rPr>
                    <w:t>由罐车送至采油一厂车89处理站处置。</w:t>
                  </w:r>
                </w:p>
              </w:tc>
            </w:tr>
            <w:tr w14:paraId="516447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continue"/>
                  <w:vAlign w:val="center"/>
                </w:tcPr>
                <w:p w14:paraId="55AAF99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1B34F39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采出液</w:t>
                  </w:r>
                </w:p>
              </w:tc>
              <w:tc>
                <w:tcPr>
                  <w:tcW w:w="3354" w:type="pct"/>
                  <w:gridSpan w:val="3"/>
                  <w:vAlign w:val="center"/>
                </w:tcPr>
                <w:p w14:paraId="5970A484">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采出液</w:t>
                  </w:r>
                  <w:r>
                    <w:rPr>
                      <w:rFonts w:hint="default" w:ascii="Times New Roman" w:hAnsi="Times New Roman" w:cs="Times New Roman"/>
                      <w:color w:val="auto"/>
                      <w:sz w:val="21"/>
                      <w:szCs w:val="21"/>
                    </w:rPr>
                    <w:t>由罐车送至采油一厂车89处理站处置。</w:t>
                  </w:r>
                </w:p>
              </w:tc>
            </w:tr>
            <w:tr w14:paraId="7E24F8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continue"/>
                  <w:vAlign w:val="center"/>
                </w:tcPr>
                <w:p w14:paraId="78FA7D4D">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65E016F0">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生活污水</w:t>
                  </w:r>
                </w:p>
              </w:tc>
              <w:tc>
                <w:tcPr>
                  <w:tcW w:w="3354" w:type="pct"/>
                  <w:gridSpan w:val="3"/>
                  <w:shd w:val="clear" w:color="auto" w:fill="auto"/>
                  <w:vAlign w:val="center"/>
                </w:tcPr>
                <w:p w14:paraId="77877A8E">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宋体" w:hAnsi="宋体" w:eastAsia="宋体" w:cs="宋体"/>
                      <w:color w:val="auto"/>
                      <w:kern w:val="2"/>
                      <w:sz w:val="21"/>
                      <w:szCs w:val="21"/>
                      <w:lang w:val="en-US" w:eastAsia="zh-CN" w:bidi="ar-SA"/>
                    </w:rPr>
                  </w:pPr>
                  <w:r>
                    <w:rPr>
                      <w:rFonts w:hint="eastAsia" w:ascii="宋体" w:hAnsi="宋体" w:cs="宋体"/>
                      <w:color w:val="auto"/>
                      <w:sz w:val="21"/>
                      <w:szCs w:val="21"/>
                    </w:rPr>
                    <w:t>由吸污车运至</w:t>
                  </w:r>
                  <w:r>
                    <w:rPr>
                      <w:rFonts w:hint="eastAsia" w:ascii="宋体" w:hAnsi="宋体" w:cs="宋体"/>
                      <w:color w:val="auto"/>
                      <w:sz w:val="21"/>
                      <w:szCs w:val="21"/>
                      <w:lang w:eastAsia="zh-CN"/>
                    </w:rPr>
                    <w:t>玛纳斯县城污水处理厂</w:t>
                  </w:r>
                  <w:r>
                    <w:rPr>
                      <w:rFonts w:hint="eastAsia" w:ascii="宋体" w:hAnsi="宋体" w:cs="宋体"/>
                      <w:color w:val="auto"/>
                      <w:sz w:val="21"/>
                      <w:szCs w:val="21"/>
                    </w:rPr>
                    <w:t>处理。</w:t>
                  </w:r>
                </w:p>
              </w:tc>
            </w:tr>
            <w:tr w14:paraId="1ADBE1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continue"/>
                  <w:vAlign w:val="center"/>
                </w:tcPr>
                <w:p w14:paraId="40DB546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297F58B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生活垃圾</w:t>
                  </w:r>
                </w:p>
              </w:tc>
              <w:tc>
                <w:tcPr>
                  <w:tcW w:w="3354" w:type="pct"/>
                  <w:gridSpan w:val="3"/>
                  <w:shd w:val="clear" w:color="auto" w:fill="auto"/>
                  <w:vAlign w:val="center"/>
                </w:tcPr>
                <w:p w14:paraId="7B294502">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宋体" w:hAnsi="宋体" w:eastAsia="宋体" w:cs="宋体"/>
                      <w:color w:val="auto"/>
                      <w:kern w:val="2"/>
                      <w:sz w:val="21"/>
                      <w:szCs w:val="21"/>
                      <w:lang w:val="en-US" w:eastAsia="zh-CN" w:bidi="ar-SA"/>
                    </w:rPr>
                  </w:pPr>
                  <w:r>
                    <w:rPr>
                      <w:rFonts w:hint="eastAsia" w:ascii="宋体" w:hAnsi="宋体" w:cs="宋体"/>
                      <w:color w:val="auto"/>
                      <w:sz w:val="21"/>
                      <w:szCs w:val="21"/>
                    </w:rPr>
                    <w:t>定期清运至玛纳斯县生活垃圾填埋场处置。</w:t>
                  </w:r>
                </w:p>
              </w:tc>
            </w:tr>
            <w:tr w14:paraId="29FDA9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continue"/>
                  <w:vAlign w:val="center"/>
                </w:tcPr>
                <w:p w14:paraId="25F9BB2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14DB548F">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建筑垃圾</w:t>
                  </w:r>
                </w:p>
              </w:tc>
              <w:tc>
                <w:tcPr>
                  <w:tcW w:w="3354" w:type="pct"/>
                  <w:gridSpan w:val="3"/>
                  <w:shd w:val="clear" w:color="auto" w:fill="auto"/>
                  <w:vAlign w:val="center"/>
                </w:tcPr>
                <w:p w14:paraId="49805ED6">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无法再利用的建筑垃圾送至</w:t>
                  </w:r>
                  <w:r>
                    <w:rPr>
                      <w:rFonts w:hint="default" w:ascii="Times New Roman" w:hAnsi="Times New Roman" w:cs="Times New Roman"/>
                      <w:color w:val="auto"/>
                      <w:sz w:val="21"/>
                      <w:szCs w:val="21"/>
                    </w:rPr>
                    <w:t>玛纳斯县建筑垃圾填埋场填埋处理</w:t>
                  </w:r>
                  <w:r>
                    <w:rPr>
                      <w:rFonts w:hint="eastAsia" w:cs="Times New Roman"/>
                      <w:color w:val="auto"/>
                      <w:sz w:val="21"/>
                      <w:szCs w:val="21"/>
                      <w:lang w:eastAsia="zh-CN"/>
                    </w:rPr>
                    <w:t>。</w:t>
                  </w:r>
                </w:p>
              </w:tc>
            </w:tr>
            <w:tr w14:paraId="2E31F3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continue"/>
                  <w:vAlign w:val="center"/>
                </w:tcPr>
                <w:p w14:paraId="19494782">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3C7712F6">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pacing w:val="-11"/>
                      <w:sz w:val="21"/>
                      <w:szCs w:val="21"/>
                    </w:rPr>
                  </w:pPr>
                  <w:r>
                    <w:rPr>
                      <w:rFonts w:hint="default" w:ascii="Times New Roman" w:hAnsi="Times New Roman" w:cs="Times New Roman"/>
                      <w:color w:val="auto"/>
                      <w:spacing w:val="-11"/>
                      <w:sz w:val="21"/>
                      <w:szCs w:val="21"/>
                    </w:rPr>
                    <w:t>水基钻井岩屑</w:t>
                  </w:r>
                </w:p>
              </w:tc>
              <w:tc>
                <w:tcPr>
                  <w:tcW w:w="3354" w:type="pct"/>
                  <w:gridSpan w:val="3"/>
                  <w:vAlign w:val="center"/>
                </w:tcPr>
                <w:p w14:paraId="3F1F48A0">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水基钻井岩屑</w:t>
                  </w:r>
                  <w:r>
                    <w:rPr>
                      <w:rFonts w:hint="default" w:ascii="Times New Roman" w:hAnsi="Times New Roman" w:cs="Times New Roman"/>
                      <w:color w:val="auto"/>
                      <w:sz w:val="21"/>
                      <w:szCs w:val="21"/>
                    </w:rPr>
                    <w:t>委托</w:t>
                  </w:r>
                  <w:r>
                    <w:rPr>
                      <w:rFonts w:hint="default" w:ascii="Times New Roman" w:hAnsi="Times New Roman" w:cs="Times New Roman"/>
                      <w:color w:val="auto"/>
                      <w:sz w:val="21"/>
                      <w:szCs w:val="21"/>
                      <w:lang w:val="en-US" w:eastAsia="zh-CN"/>
                    </w:rPr>
                    <w:t>第三方</w:t>
                  </w:r>
                  <w:r>
                    <w:rPr>
                      <w:rFonts w:hint="default" w:ascii="Times New Roman" w:hAnsi="Times New Roman" w:cs="Times New Roman"/>
                      <w:color w:val="auto"/>
                      <w:sz w:val="21"/>
                      <w:szCs w:val="21"/>
                    </w:rPr>
                    <w:t>岩屑处置单位处置。</w:t>
                  </w:r>
                </w:p>
              </w:tc>
            </w:tr>
            <w:tr w14:paraId="07C01E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2"/>
                <w:wAfter w:w="92" w:type="pct"/>
                <w:trHeight w:val="397" w:hRule="atLeast"/>
                <w:jc w:val="center"/>
              </w:trPr>
              <w:tc>
                <w:tcPr>
                  <w:tcW w:w="745" w:type="pct"/>
                  <w:vMerge w:val="continue"/>
                  <w:vAlign w:val="center"/>
                </w:tcPr>
                <w:p w14:paraId="4D48D3AA">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p>
              </w:tc>
              <w:tc>
                <w:tcPr>
                  <w:tcW w:w="807" w:type="pct"/>
                  <w:gridSpan w:val="5"/>
                  <w:vAlign w:val="center"/>
                </w:tcPr>
                <w:p w14:paraId="7DECEDB5">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危险废物</w:t>
                  </w:r>
                </w:p>
              </w:tc>
              <w:tc>
                <w:tcPr>
                  <w:tcW w:w="3354" w:type="pct"/>
                  <w:gridSpan w:val="3"/>
                  <w:vAlign w:val="center"/>
                </w:tcPr>
                <w:p w14:paraId="78C9A1F7">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油基钻井岩屑、</w:t>
                  </w:r>
                  <w:r>
                    <w:rPr>
                      <w:rFonts w:hint="default" w:ascii="Times New Roman" w:hAnsi="Times New Roman" w:cs="Times New Roman"/>
                      <w:color w:val="auto"/>
                      <w:sz w:val="21"/>
                      <w:szCs w:val="21"/>
                    </w:rPr>
                    <w:t>沾油废防渗材料、废润滑油及废润滑油桶均属于危险废物，最终交由有相应危废处置资质的单位负责接收、转运以及处置。</w:t>
                  </w:r>
                </w:p>
              </w:tc>
            </w:tr>
            <w:tr w14:paraId="33FB16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gridAfter w:val="1"/>
                <w:wAfter w:w="91" w:type="pct"/>
                <w:trHeight w:val="397" w:hRule="atLeast"/>
                <w:jc w:val="center"/>
              </w:trPr>
              <w:tc>
                <w:tcPr>
                  <w:tcW w:w="745" w:type="pct"/>
                  <w:vAlign w:val="center"/>
                </w:tcPr>
                <w:p w14:paraId="25F9EF36">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储运工程</w:t>
                  </w:r>
                </w:p>
              </w:tc>
              <w:tc>
                <w:tcPr>
                  <w:tcW w:w="4162" w:type="pct"/>
                  <w:gridSpan w:val="9"/>
                  <w:vAlign w:val="center"/>
                </w:tcPr>
                <w:p w14:paraId="0C8F9D5B">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试油废水、采出液、钻井液、水基钻井岩屑、油基钻井岩屑、柴油等均为罐装，储罐区底部铺设有防渗膜；其他施工材料在井场专门区域（材料房、材料爬犁、化工爬犁）堆放。</w:t>
                  </w:r>
                </w:p>
                <w:p w14:paraId="52DA0DF9">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钻井井场设置柴油储罐区（1个30m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柴油储罐，日常储备柴油20t）、1个60m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的储水罐，设置钻井液储罐区（循环罐：14个50m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的钻井液储罐，容积不小于660m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vertAlign w:val="baseline"/>
                      <w:lang w:val="en-US" w:eastAsia="zh-CN"/>
                    </w:rPr>
                    <w:t>；储备罐：6个</w:t>
                  </w:r>
                  <w:r>
                    <w:rPr>
                      <w:rFonts w:hint="eastAsia" w:ascii="Times New Roman" w:hAnsi="Times New Roman" w:eastAsia="宋体" w:cs="Times New Roman"/>
                      <w:color w:val="auto"/>
                      <w:sz w:val="21"/>
                      <w:szCs w:val="21"/>
                      <w:lang w:val="en-US" w:eastAsia="zh-CN"/>
                    </w:rPr>
                    <w:t>40m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的储备罐，容积不小于240m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），4个25m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的水基钻井岩屑储罐或4个25m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的油基钻井岩屑专用储罐。</w:t>
                  </w:r>
                </w:p>
                <w:p w14:paraId="1E4F3787">
                  <w:pPr>
                    <w:keepNext w:val="0"/>
                    <w:keepLines w:val="0"/>
                    <w:pageBreakBefore w:val="0"/>
                    <w:widowControl w:val="0"/>
                    <w:kinsoku/>
                    <w:wordWrap/>
                    <w:overflowPunct/>
                    <w:topLinePunct w:val="0"/>
                    <w:autoSpaceDE/>
                    <w:autoSpaceDN/>
                    <w:bidi w:val="0"/>
                    <w:adjustRightInd w:val="0"/>
                    <w:snapToGrid w:val="0"/>
                    <w:spacing w:line="310" w:lineRule="exact"/>
                    <w:textAlignment w:val="auto"/>
                    <w:rPr>
                      <w:rFonts w:hint="eastAsia"/>
                      <w:color w:val="auto"/>
                      <w:lang w:val="en-US" w:eastAsia="zh-CN"/>
                    </w:rPr>
                  </w:pPr>
                  <w:r>
                    <w:rPr>
                      <w:rFonts w:hint="eastAsia" w:ascii="Times New Roman" w:hAnsi="Times New Roman" w:eastAsia="宋体" w:cs="Times New Roman"/>
                      <w:color w:val="auto"/>
                      <w:sz w:val="21"/>
                      <w:szCs w:val="21"/>
                      <w:lang w:val="en-US" w:eastAsia="zh-CN"/>
                    </w:rPr>
                    <w:t>试油井场设置1个60m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的试油废水储罐及4个20m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采出液方罐。</w:t>
                  </w:r>
                </w:p>
              </w:tc>
            </w:tr>
            <w:bookmarkEnd w:id="18"/>
          </w:tbl>
          <w:p w14:paraId="1FF76441">
            <w:pPr>
              <w:snapToGrid w:val="0"/>
              <w:spacing w:line="500" w:lineRule="exact"/>
              <w:ind w:firstLine="480" w:firstLineChars="200"/>
              <w:rPr>
                <w:rFonts w:hint="default" w:ascii="Times New Roman" w:hAnsi="Times New Roman" w:cs="Times New Roman"/>
                <w:color w:val="auto"/>
              </w:rPr>
            </w:pPr>
          </w:p>
        </w:tc>
      </w:tr>
      <w:bookmarkEnd w:id="16"/>
      <w:tr w14:paraId="284A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8" w:type="dxa"/>
            <w:vAlign w:val="center"/>
          </w:tcPr>
          <w:p w14:paraId="54C1E20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总平面及现场布置</w:t>
            </w:r>
          </w:p>
        </w:tc>
        <w:tc>
          <w:tcPr>
            <w:tcW w:w="7824" w:type="dxa"/>
          </w:tcPr>
          <w:p w14:paraId="2D0838B3">
            <w:pPr>
              <w:keepNext w:val="0"/>
              <w:keepLines w:val="0"/>
              <w:pageBreakBefore w:val="0"/>
              <w:widowControl w:val="0"/>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1、工程布局情况</w:t>
            </w:r>
          </w:p>
          <w:p w14:paraId="1C90205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宋体" w:cs="Times New Roman"/>
                <w:color w:val="auto"/>
              </w:rPr>
            </w:pPr>
            <w:r>
              <w:rPr>
                <w:rFonts w:hint="eastAsia" w:cs="Times New Roman"/>
                <w:color w:val="auto"/>
                <w:lang w:val="en-US" w:eastAsia="zh-CN"/>
              </w:rPr>
              <w:t>纳东1</w:t>
            </w:r>
            <w:r>
              <w:rPr>
                <w:rFonts w:hint="default" w:ascii="Times New Roman" w:hAnsi="Times New Roman" w:cs="Times New Roman"/>
                <w:color w:val="auto"/>
              </w:rPr>
              <w:t>井施工现场主要为钻井井场、探临道路、试油井场</w:t>
            </w:r>
            <w:r>
              <w:rPr>
                <w:rFonts w:hint="eastAsia" w:cs="Times New Roman"/>
                <w:color w:val="auto"/>
                <w:lang w:val="en-US" w:eastAsia="zh-CN"/>
              </w:rPr>
              <w:t>和生活营地</w:t>
            </w:r>
            <w:r>
              <w:rPr>
                <w:rFonts w:hint="default" w:ascii="Times New Roman" w:hAnsi="Times New Roman" w:cs="Times New Roman"/>
                <w:color w:val="auto"/>
              </w:rPr>
              <w:t>的布置</w:t>
            </w:r>
            <w:r>
              <w:rPr>
                <w:rFonts w:hint="eastAsia" w:cs="Times New Roman"/>
                <w:color w:val="auto"/>
                <w:lang w:eastAsia="zh-CN"/>
              </w:rPr>
              <w:t>，</w:t>
            </w:r>
            <w:r>
              <w:rPr>
                <w:rFonts w:hint="eastAsia" w:cs="Times New Roman"/>
                <w:color w:val="auto"/>
                <w:lang w:val="en-US" w:eastAsia="zh-CN"/>
              </w:rPr>
              <w:t>其中钻井井场以部署井井口为中心按照钻井期井场平面布置图布置，井场大门朝向东北，新建探临道路将周边已建道路与钻井井场连接，生活营地位于井场北侧，避开临时占用一般耕地；钻井结束后将钻井井场改为试油井场，试油设备均在原钻井井场内布置，不新增占地</w:t>
            </w:r>
            <w:r>
              <w:rPr>
                <w:rFonts w:hint="default" w:ascii="Times New Roman" w:hAnsi="Times New Roman" w:eastAsia="宋体" w:cs="Times New Roman"/>
                <w:color w:val="auto"/>
              </w:rPr>
              <w:t>。</w:t>
            </w:r>
          </w:p>
          <w:p w14:paraId="52FDE124">
            <w:pPr>
              <w:keepNext w:val="0"/>
              <w:keepLines w:val="0"/>
              <w:pageBreakBefore w:val="0"/>
              <w:widowControl w:val="0"/>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2、施工现场布置情况</w:t>
            </w:r>
          </w:p>
          <w:p w14:paraId="76CE4800">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（1）钻井期井场平面布置</w:t>
            </w:r>
          </w:p>
          <w:p w14:paraId="2B0D0F48">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钻井期井场内布置有值班房、材料房、钳工房、录井房、配电房、发电房、罐区、钻井液不落地设备等。</w:t>
            </w:r>
            <w:r>
              <w:rPr>
                <w:rFonts w:hint="default" w:ascii="Times New Roman" w:hAnsi="Times New Roman" w:cs="Times New Roman"/>
                <w:color w:val="auto"/>
                <w:lang w:val="en-US" w:eastAsia="zh-CN"/>
              </w:rPr>
              <w:t>钻井井场</w:t>
            </w:r>
            <w:r>
              <w:rPr>
                <w:rFonts w:hint="default" w:ascii="Times New Roman" w:hAnsi="Times New Roman" w:cs="Times New Roman"/>
                <w:color w:val="auto"/>
              </w:rPr>
              <w:t>平面布置见</w:t>
            </w:r>
            <w:r>
              <w:rPr>
                <w:rFonts w:hint="default" w:ascii="Times New Roman" w:hAnsi="Times New Roman" w:cs="Times New Roman"/>
                <w:b/>
                <w:bCs/>
                <w:color w:val="auto"/>
              </w:rPr>
              <w:t>附图</w:t>
            </w:r>
            <w:r>
              <w:rPr>
                <w:rFonts w:hint="default" w:ascii="Times New Roman" w:hAnsi="Times New Roman" w:cs="Times New Roman"/>
                <w:b/>
                <w:bCs/>
                <w:color w:val="auto"/>
                <w:lang w:val="en-US" w:eastAsia="zh-CN"/>
              </w:rPr>
              <w:t>5</w:t>
            </w:r>
            <w:r>
              <w:rPr>
                <w:rFonts w:hint="default" w:ascii="Times New Roman" w:hAnsi="Times New Roman" w:cs="Times New Roman"/>
                <w:b/>
                <w:bCs/>
                <w:color w:val="auto"/>
              </w:rPr>
              <w:t>。</w:t>
            </w:r>
          </w:p>
          <w:p w14:paraId="1C910DA1">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（2）试油期井场平面布置</w:t>
            </w:r>
          </w:p>
          <w:p w14:paraId="1D1DC68A">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试油期井场内布置有井口方罐、发电房、值班房、井口放喷管线、应急放喷池、消防沙箱等设施，并在井场设置紧急集合点。</w:t>
            </w:r>
            <w:r>
              <w:rPr>
                <w:rFonts w:hint="default" w:ascii="Times New Roman" w:hAnsi="Times New Roman" w:cs="Times New Roman"/>
                <w:color w:val="auto"/>
                <w:lang w:val="en-US" w:eastAsia="zh-CN"/>
              </w:rPr>
              <w:t>试油井场</w:t>
            </w:r>
            <w:r>
              <w:rPr>
                <w:rFonts w:hint="default" w:ascii="Times New Roman" w:hAnsi="Times New Roman" w:cs="Times New Roman"/>
                <w:color w:val="auto"/>
              </w:rPr>
              <w:t>平面布置见</w:t>
            </w:r>
            <w:r>
              <w:rPr>
                <w:rFonts w:hint="default" w:ascii="Times New Roman" w:hAnsi="Times New Roman" w:cs="Times New Roman"/>
                <w:b/>
                <w:bCs/>
                <w:color w:val="auto"/>
              </w:rPr>
              <w:t>附图</w:t>
            </w:r>
            <w:r>
              <w:rPr>
                <w:rFonts w:hint="default" w:ascii="Times New Roman" w:hAnsi="Times New Roman" w:cs="Times New Roman"/>
                <w:b/>
                <w:bCs/>
                <w:color w:val="auto"/>
                <w:lang w:val="en-US" w:eastAsia="zh-CN"/>
              </w:rPr>
              <w:t>6</w:t>
            </w:r>
            <w:r>
              <w:rPr>
                <w:rFonts w:hint="default" w:ascii="Times New Roman" w:hAnsi="Times New Roman" w:cs="Times New Roman"/>
                <w:color w:val="auto"/>
              </w:rPr>
              <w:t>。</w:t>
            </w:r>
          </w:p>
        </w:tc>
      </w:tr>
      <w:tr w14:paraId="6EAE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8" w:type="dxa"/>
            <w:vAlign w:val="center"/>
          </w:tcPr>
          <w:p w14:paraId="5B9C65C3">
            <w:pPr>
              <w:snapToGrid w:val="0"/>
              <w:spacing w:line="500" w:lineRule="exact"/>
              <w:jc w:val="center"/>
              <w:rPr>
                <w:rFonts w:hint="default" w:ascii="Times New Roman" w:hAnsi="Times New Roman" w:cs="Times New Roman"/>
                <w:color w:val="auto"/>
              </w:rPr>
            </w:pPr>
            <w:r>
              <w:rPr>
                <w:rFonts w:hint="default" w:ascii="Times New Roman" w:hAnsi="Times New Roman" w:cs="Times New Roman"/>
                <w:color w:val="auto"/>
              </w:rPr>
              <w:t>施工方案</w:t>
            </w:r>
          </w:p>
        </w:tc>
        <w:tc>
          <w:tcPr>
            <w:tcW w:w="7824" w:type="dxa"/>
          </w:tcPr>
          <w:p w14:paraId="19F8BF09">
            <w:pPr>
              <w:snapToGrid w:val="0"/>
              <w:spacing w:line="500" w:lineRule="exact"/>
              <w:ind w:firstLine="482" w:firstLineChars="200"/>
              <w:rPr>
                <w:rFonts w:hint="default" w:ascii="Times New Roman" w:hAnsi="Times New Roman" w:cs="Times New Roman"/>
                <w:b/>
                <w:bCs/>
                <w:color w:val="auto"/>
              </w:rPr>
            </w:pPr>
            <w:r>
              <w:rPr>
                <w:rFonts w:hint="default" w:ascii="Times New Roman" w:hAnsi="Times New Roman" w:cs="Times New Roman"/>
                <w:b/>
                <w:bCs/>
                <w:color w:val="auto"/>
              </w:rPr>
              <w:t>1、施工时序及工艺</w:t>
            </w:r>
          </w:p>
          <w:p w14:paraId="76C583E6">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施工时序依次为钻前工程、钻井工程、试油工程和完井四个阶段。</w:t>
            </w:r>
          </w:p>
          <w:p w14:paraId="01F2C65B">
            <w:pPr>
              <w:pStyle w:val="111"/>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drawing>
                <wp:inline distT="0" distB="0" distL="114300" distR="114300">
                  <wp:extent cx="4830445" cy="994410"/>
                  <wp:effectExtent l="0" t="0" r="635" b="1143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7"/>
                          <a:stretch>
                            <a:fillRect/>
                          </a:stretch>
                        </pic:blipFill>
                        <pic:spPr>
                          <a:xfrm>
                            <a:off x="0" y="0"/>
                            <a:ext cx="4830445" cy="994410"/>
                          </a:xfrm>
                          <a:prstGeom prst="rect">
                            <a:avLst/>
                          </a:prstGeom>
                        </pic:spPr>
                      </pic:pic>
                    </a:graphicData>
                  </a:graphic>
                </wp:inline>
              </w:drawing>
            </w:r>
          </w:p>
          <w:p w14:paraId="2FD81C64">
            <w:pPr>
              <w:pStyle w:val="11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图</w:t>
            </w:r>
            <w:r>
              <w:rPr>
                <w:rFonts w:hint="default" w:ascii="Times New Roman" w:hAnsi="Times New Roman" w:eastAsia="黑体" w:cs="Times New Roman"/>
                <w:color w:val="auto"/>
                <w:sz w:val="21"/>
                <w:szCs w:val="21"/>
                <w:lang w:val="en-US" w:eastAsia="zh-CN"/>
              </w:rPr>
              <w:t>2-1</w:t>
            </w:r>
            <w:r>
              <w:rPr>
                <w:rFonts w:hint="default" w:ascii="Times New Roman" w:hAnsi="Times New Roman" w:cs="Times New Roman"/>
                <w:color w:val="auto"/>
                <w:sz w:val="21"/>
                <w:szCs w:val="21"/>
                <w:lang w:val="en-US" w:eastAsia="zh-CN"/>
              </w:rPr>
              <w:t xml:space="preserve">  </w:t>
            </w:r>
            <w:r>
              <w:rPr>
                <w:rFonts w:hint="default" w:ascii="Times New Roman" w:hAnsi="Times New Roman" w:eastAsia="黑体" w:cs="Times New Roman"/>
                <w:color w:val="auto"/>
                <w:sz w:val="21"/>
                <w:szCs w:val="21"/>
                <w:lang w:val="en-US" w:eastAsia="zh-CN"/>
              </w:rPr>
              <w:t>本项目总体</w:t>
            </w:r>
            <w:r>
              <w:rPr>
                <w:rFonts w:hint="default" w:ascii="Times New Roman" w:hAnsi="Times New Roman" w:eastAsia="黑体" w:cs="Times New Roman"/>
                <w:color w:val="auto"/>
                <w:sz w:val="21"/>
                <w:szCs w:val="21"/>
              </w:rPr>
              <w:t>工艺流程和产污环节示意图</w:t>
            </w:r>
          </w:p>
          <w:p w14:paraId="12620146">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（1）钻前工程</w:t>
            </w:r>
          </w:p>
          <w:p w14:paraId="54D79180">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包括井场平整、铺垫、钻机基础建设、探临道路</w:t>
            </w:r>
            <w:r>
              <w:rPr>
                <w:rFonts w:hint="eastAsia" w:cs="Times New Roman"/>
                <w:color w:val="auto"/>
                <w:lang w:val="en-US" w:eastAsia="zh-CN"/>
              </w:rPr>
              <w:t>和生活营地</w:t>
            </w:r>
            <w:r>
              <w:rPr>
                <w:rFonts w:hint="default" w:ascii="Times New Roman" w:hAnsi="Times New Roman" w:cs="Times New Roman"/>
                <w:color w:val="auto"/>
              </w:rPr>
              <w:t>建设，以及设备进场。</w:t>
            </w:r>
          </w:p>
          <w:p w14:paraId="6CF5C8BE">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（2）钻井工程</w:t>
            </w:r>
          </w:p>
          <w:p w14:paraId="2C231AC9">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①钻井流程</w:t>
            </w:r>
          </w:p>
          <w:p w14:paraId="59C74AF0">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钻前准备工作完成后即可开展钻井工作。钻井是破岩和加深井眼的过程，首先埋设导管后钻达下表层套管深度后，再下入表层套管并固井试压；然后继续钻进，待安全钻达目标深度后下油层套管；施工中根据钻井设计要求，进行测井、录井、固井等其他作业。</w:t>
            </w:r>
          </w:p>
          <w:p w14:paraId="4D92C2B0">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②井身结构</w:t>
            </w:r>
          </w:p>
          <w:p w14:paraId="1243AA30">
            <w:pPr>
              <w:snapToGrid w:val="0"/>
              <w:spacing w:line="500" w:lineRule="exact"/>
              <w:ind w:firstLine="480" w:firstLineChars="200"/>
              <w:rPr>
                <w:rFonts w:hint="default" w:ascii="Times New Roman" w:hAnsi="Times New Roman" w:cs="Times New Roman"/>
                <w:color w:val="auto"/>
              </w:rPr>
            </w:pPr>
            <w:r>
              <w:rPr>
                <w:rFonts w:hint="eastAsia" w:cs="Times New Roman"/>
                <w:color w:val="auto"/>
                <w:lang w:val="en-US" w:eastAsia="zh-CN"/>
              </w:rPr>
              <w:t>纳东1</w:t>
            </w:r>
            <w:r>
              <w:rPr>
                <w:rFonts w:hint="default" w:ascii="Times New Roman" w:hAnsi="Times New Roman" w:cs="Times New Roman"/>
                <w:color w:val="auto"/>
              </w:rPr>
              <w:t>井钻井进尺为</w:t>
            </w:r>
            <w:r>
              <w:rPr>
                <w:rFonts w:hint="eastAsia" w:cs="Times New Roman"/>
                <w:color w:val="auto"/>
                <w:lang w:val="en-US" w:eastAsia="zh-CN"/>
              </w:rPr>
              <w:t>7980</w:t>
            </w:r>
            <w:r>
              <w:rPr>
                <w:rFonts w:hint="default" w:ascii="Times New Roman" w:hAnsi="Times New Roman" w:cs="Times New Roman"/>
                <w:color w:val="auto"/>
              </w:rPr>
              <w:t>m，采用</w:t>
            </w:r>
            <w:r>
              <w:rPr>
                <w:rFonts w:hint="eastAsia" w:cs="Times New Roman"/>
                <w:color w:val="auto"/>
                <w:lang w:val="en-US" w:eastAsia="zh-CN"/>
              </w:rPr>
              <w:t>五</w:t>
            </w:r>
            <w:r>
              <w:rPr>
                <w:rFonts w:hint="default" w:ascii="Times New Roman" w:hAnsi="Times New Roman" w:cs="Times New Roman"/>
                <w:color w:val="auto"/>
              </w:rPr>
              <w:t>开直井井身结构，设计参数见表</w:t>
            </w:r>
            <w:r>
              <w:rPr>
                <w:rFonts w:hint="default" w:ascii="Times New Roman" w:hAnsi="Times New Roman" w:cs="Times New Roman"/>
                <w:color w:val="auto"/>
                <w:lang w:val="en-US" w:eastAsia="zh-CN"/>
              </w:rPr>
              <w:t>2-</w:t>
            </w:r>
            <w:r>
              <w:rPr>
                <w:rFonts w:hint="default" w:ascii="Times New Roman" w:hAnsi="Times New Roman" w:cs="Times New Roman"/>
                <w:color w:val="auto"/>
              </w:rPr>
              <w:t>3，井身结构见</w:t>
            </w:r>
            <w:r>
              <w:rPr>
                <w:rFonts w:hint="default" w:ascii="Times New Roman" w:hAnsi="Times New Roman" w:cs="Times New Roman"/>
                <w:b/>
                <w:bCs/>
                <w:color w:val="auto"/>
              </w:rPr>
              <w:t>附图</w:t>
            </w:r>
            <w:r>
              <w:rPr>
                <w:rFonts w:hint="default" w:ascii="Times New Roman" w:hAnsi="Times New Roman" w:cs="Times New Roman"/>
                <w:b/>
                <w:bCs/>
                <w:color w:val="auto"/>
                <w:lang w:val="en-US" w:eastAsia="zh-CN"/>
              </w:rPr>
              <w:t>7</w:t>
            </w:r>
            <w:r>
              <w:rPr>
                <w:rFonts w:hint="default" w:ascii="Times New Roman" w:hAnsi="Times New Roman" w:cs="Times New Roman"/>
                <w:color w:val="auto"/>
              </w:rPr>
              <w:t>。</w:t>
            </w:r>
          </w:p>
          <w:p w14:paraId="48E4BB85">
            <w:pPr>
              <w:snapToGrid w:val="0"/>
              <w:spacing w:line="50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表</w:t>
            </w:r>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3  井身结构设计参数一览表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57" w:type="dxa"/>
                <w:bottom w:w="0" w:type="dxa"/>
                <w:right w:w="57" w:type="dxa"/>
              </w:tblCellMar>
            </w:tblPr>
            <w:tblGrid>
              <w:gridCol w:w="1189"/>
              <w:gridCol w:w="1025"/>
              <w:gridCol w:w="1040"/>
              <w:gridCol w:w="1385"/>
              <w:gridCol w:w="1385"/>
              <w:gridCol w:w="1584"/>
            </w:tblGrid>
            <w:tr w14:paraId="4EBCC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Align w:val="center"/>
                </w:tcPr>
                <w:p w14:paraId="09FAAD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bookmarkStart w:id="20" w:name="_Hlk167964015"/>
                  <w:r>
                    <w:rPr>
                      <w:rFonts w:hint="default" w:ascii="Times New Roman" w:hAnsi="Times New Roman" w:cs="Times New Roman"/>
                      <w:color w:val="auto"/>
                      <w:sz w:val="21"/>
                      <w:szCs w:val="21"/>
                      <w:highlight w:val="none"/>
                    </w:rPr>
                    <w:t>井号</w:t>
                  </w:r>
                </w:p>
              </w:tc>
              <w:tc>
                <w:tcPr>
                  <w:tcW w:w="673" w:type="pct"/>
                  <w:tcMar>
                    <w:top w:w="57" w:type="dxa"/>
                  </w:tcMar>
                  <w:vAlign w:val="center"/>
                </w:tcPr>
                <w:p w14:paraId="7AE375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开钻次序</w:t>
                  </w:r>
                </w:p>
              </w:tc>
              <w:tc>
                <w:tcPr>
                  <w:tcW w:w="683" w:type="pct"/>
                  <w:tcMar>
                    <w:top w:w="57" w:type="dxa"/>
                  </w:tcMar>
                  <w:vAlign w:val="center"/>
                </w:tcPr>
                <w:p w14:paraId="033014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井深</w:t>
                  </w:r>
                </w:p>
                <w:p w14:paraId="668712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m</w:t>
                  </w:r>
                  <w:r>
                    <w:rPr>
                      <w:rFonts w:hint="eastAsia" w:cs="Times New Roman"/>
                      <w:color w:val="auto"/>
                      <w:sz w:val="21"/>
                      <w:szCs w:val="21"/>
                      <w:highlight w:val="none"/>
                      <w:lang w:eastAsia="zh-CN"/>
                    </w:rPr>
                    <w:t>)</w:t>
                  </w:r>
                </w:p>
              </w:tc>
              <w:tc>
                <w:tcPr>
                  <w:tcW w:w="910" w:type="pct"/>
                  <w:tcMar>
                    <w:top w:w="57" w:type="dxa"/>
                  </w:tcMar>
                  <w:vAlign w:val="center"/>
                </w:tcPr>
                <w:p w14:paraId="66EB29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钻头尺寸</w:t>
                  </w:r>
                </w:p>
                <w:p w14:paraId="669DA7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mm</w:t>
                  </w:r>
                  <w:r>
                    <w:rPr>
                      <w:rFonts w:hint="eastAsia" w:cs="Times New Roman"/>
                      <w:color w:val="auto"/>
                      <w:sz w:val="21"/>
                      <w:szCs w:val="21"/>
                      <w:highlight w:val="none"/>
                      <w:lang w:eastAsia="zh-CN"/>
                    </w:rPr>
                    <w:t>)</w:t>
                  </w:r>
                </w:p>
              </w:tc>
              <w:tc>
                <w:tcPr>
                  <w:tcW w:w="910" w:type="pct"/>
                  <w:tcMar>
                    <w:top w:w="57" w:type="dxa"/>
                  </w:tcMar>
                  <w:vAlign w:val="center"/>
                </w:tcPr>
                <w:p w14:paraId="4931A7D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套管尺寸（mm）</w:t>
                  </w:r>
                </w:p>
              </w:tc>
              <w:tc>
                <w:tcPr>
                  <w:tcW w:w="1041" w:type="pct"/>
                  <w:tcMar>
                    <w:top w:w="57" w:type="dxa"/>
                  </w:tcMar>
                  <w:vAlign w:val="center"/>
                </w:tcPr>
                <w:p w14:paraId="7C397E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套管下入深度（m）</w:t>
                  </w:r>
                </w:p>
              </w:tc>
            </w:tr>
            <w:tr w14:paraId="723814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Merge w:val="restart"/>
                  <w:vAlign w:val="center"/>
                </w:tcPr>
                <w:p w14:paraId="3C4DBB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纳东1</w:t>
                  </w:r>
                  <w:r>
                    <w:rPr>
                      <w:rFonts w:hint="default" w:ascii="Times New Roman" w:hAnsi="Times New Roman" w:cs="Times New Roman"/>
                      <w:color w:val="auto"/>
                      <w:sz w:val="21"/>
                      <w:szCs w:val="21"/>
                      <w:highlight w:val="none"/>
                    </w:rPr>
                    <w:t>井</w:t>
                  </w:r>
                </w:p>
              </w:tc>
              <w:tc>
                <w:tcPr>
                  <w:tcW w:w="673" w:type="pct"/>
                  <w:tcMar>
                    <w:top w:w="57" w:type="dxa"/>
                  </w:tcMar>
                  <w:vAlign w:val="center"/>
                </w:tcPr>
                <w:p w14:paraId="0D2AEF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一开</w:t>
                  </w:r>
                </w:p>
              </w:tc>
              <w:tc>
                <w:tcPr>
                  <w:tcW w:w="683" w:type="pct"/>
                  <w:tcMar>
                    <w:top w:w="57" w:type="dxa"/>
                  </w:tcMar>
                  <w:vAlign w:val="center"/>
                </w:tcPr>
                <w:p w14:paraId="432B6D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5</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0</w:t>
                  </w:r>
                </w:p>
              </w:tc>
              <w:tc>
                <w:tcPr>
                  <w:tcW w:w="910" w:type="pct"/>
                  <w:tcMar>
                    <w:top w:w="57" w:type="dxa"/>
                  </w:tcMar>
                  <w:vAlign w:val="center"/>
                </w:tcPr>
                <w:p w14:paraId="74235C2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762.0</w:t>
                  </w:r>
                </w:p>
              </w:tc>
              <w:tc>
                <w:tcPr>
                  <w:tcW w:w="910" w:type="pct"/>
                  <w:tcMar>
                    <w:top w:w="57" w:type="dxa"/>
                  </w:tcMar>
                  <w:vAlign w:val="center"/>
                </w:tcPr>
                <w:p w14:paraId="0B942B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609.6</w:t>
                  </w:r>
                </w:p>
              </w:tc>
              <w:tc>
                <w:tcPr>
                  <w:tcW w:w="1041" w:type="pct"/>
                  <w:tcMar>
                    <w:top w:w="57" w:type="dxa"/>
                  </w:tcMar>
                  <w:vAlign w:val="center"/>
                </w:tcPr>
                <w:p w14:paraId="237416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55</w:t>
                  </w:r>
                  <w:r>
                    <w:rPr>
                      <w:rFonts w:hint="default" w:ascii="Times New Roman" w:hAnsi="Times New Roman" w:cs="Times New Roman"/>
                      <w:color w:val="auto"/>
                      <w:sz w:val="21"/>
                      <w:szCs w:val="21"/>
                      <w:highlight w:val="none"/>
                    </w:rPr>
                    <w:t>0</w:t>
                  </w:r>
                </w:p>
              </w:tc>
            </w:tr>
            <w:tr w14:paraId="3D222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Merge w:val="continue"/>
                  <w:vAlign w:val="center"/>
                </w:tcPr>
                <w:p w14:paraId="6C6756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p>
              </w:tc>
              <w:tc>
                <w:tcPr>
                  <w:tcW w:w="673" w:type="pct"/>
                  <w:tcMar>
                    <w:top w:w="57" w:type="dxa"/>
                  </w:tcMar>
                  <w:vAlign w:val="center"/>
                </w:tcPr>
                <w:p w14:paraId="537F82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二开</w:t>
                  </w:r>
                </w:p>
              </w:tc>
              <w:tc>
                <w:tcPr>
                  <w:tcW w:w="683" w:type="pct"/>
                  <w:tcMar>
                    <w:top w:w="57" w:type="dxa"/>
                  </w:tcMar>
                  <w:vAlign w:val="center"/>
                </w:tcPr>
                <w:p w14:paraId="5DC6899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3690</w:t>
                  </w:r>
                </w:p>
              </w:tc>
              <w:tc>
                <w:tcPr>
                  <w:tcW w:w="910" w:type="pct"/>
                  <w:tcMar>
                    <w:top w:w="57" w:type="dxa"/>
                  </w:tcMar>
                  <w:vAlign w:val="center"/>
                </w:tcPr>
                <w:p w14:paraId="249A0B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571.5</w:t>
                  </w:r>
                </w:p>
              </w:tc>
              <w:tc>
                <w:tcPr>
                  <w:tcW w:w="910" w:type="pct"/>
                  <w:tcMar>
                    <w:top w:w="57" w:type="dxa"/>
                  </w:tcMar>
                  <w:vAlign w:val="center"/>
                </w:tcPr>
                <w:p w14:paraId="44B521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473.1</w:t>
                  </w:r>
                </w:p>
              </w:tc>
              <w:tc>
                <w:tcPr>
                  <w:tcW w:w="1041" w:type="pct"/>
                  <w:tcMar>
                    <w:top w:w="57" w:type="dxa"/>
                  </w:tcMar>
                  <w:vAlign w:val="center"/>
                </w:tcPr>
                <w:p w14:paraId="262C616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3690</w:t>
                  </w:r>
                </w:p>
              </w:tc>
            </w:tr>
            <w:tr w14:paraId="26D7D2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Merge w:val="continue"/>
                  <w:vAlign w:val="center"/>
                </w:tcPr>
                <w:p w14:paraId="61B02E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p>
              </w:tc>
              <w:tc>
                <w:tcPr>
                  <w:tcW w:w="673" w:type="pct"/>
                  <w:tcMar>
                    <w:top w:w="57" w:type="dxa"/>
                  </w:tcMar>
                  <w:vAlign w:val="center"/>
                </w:tcPr>
                <w:p w14:paraId="3EF4472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三开</w:t>
                  </w:r>
                </w:p>
              </w:tc>
              <w:tc>
                <w:tcPr>
                  <w:tcW w:w="683" w:type="pct"/>
                  <w:tcMar>
                    <w:top w:w="57" w:type="dxa"/>
                  </w:tcMar>
                  <w:vAlign w:val="center"/>
                </w:tcPr>
                <w:p w14:paraId="3C598F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4600</w:t>
                  </w:r>
                </w:p>
              </w:tc>
              <w:tc>
                <w:tcPr>
                  <w:tcW w:w="910" w:type="pct"/>
                  <w:tcMar>
                    <w:top w:w="57" w:type="dxa"/>
                  </w:tcMar>
                  <w:vAlign w:val="center"/>
                </w:tcPr>
                <w:p w14:paraId="52D122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431.8</w:t>
                  </w:r>
                </w:p>
              </w:tc>
              <w:tc>
                <w:tcPr>
                  <w:tcW w:w="910" w:type="pct"/>
                  <w:tcMar>
                    <w:top w:w="57" w:type="dxa"/>
                  </w:tcMar>
                  <w:vAlign w:val="center"/>
                </w:tcPr>
                <w:p w14:paraId="3C1778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365.1</w:t>
                  </w:r>
                </w:p>
              </w:tc>
              <w:tc>
                <w:tcPr>
                  <w:tcW w:w="1041" w:type="pct"/>
                  <w:tcMar>
                    <w:top w:w="57" w:type="dxa"/>
                  </w:tcMar>
                  <w:vAlign w:val="center"/>
                </w:tcPr>
                <w:p w14:paraId="64503F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4600</w:t>
                  </w:r>
                </w:p>
              </w:tc>
            </w:tr>
            <w:tr w14:paraId="76D87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Merge w:val="continue"/>
                  <w:vAlign w:val="center"/>
                </w:tcPr>
                <w:p w14:paraId="555461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p>
              </w:tc>
              <w:tc>
                <w:tcPr>
                  <w:tcW w:w="673" w:type="pct"/>
                  <w:tcMar>
                    <w:top w:w="57" w:type="dxa"/>
                  </w:tcMar>
                  <w:vAlign w:val="center"/>
                </w:tcPr>
                <w:p w14:paraId="25AEA8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四开</w:t>
                  </w:r>
                </w:p>
              </w:tc>
              <w:tc>
                <w:tcPr>
                  <w:tcW w:w="683" w:type="pct"/>
                  <w:tcMar>
                    <w:top w:w="57" w:type="dxa"/>
                  </w:tcMar>
                  <w:vAlign w:val="center"/>
                </w:tcPr>
                <w:p w14:paraId="0E397C0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s="Times New Roman"/>
                      <w:color w:val="auto"/>
                      <w:sz w:val="21"/>
                      <w:szCs w:val="21"/>
                      <w:highlight w:val="none"/>
                      <w:lang w:eastAsia="zh-CN"/>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6150</w:t>
                  </w:r>
                </w:p>
              </w:tc>
              <w:tc>
                <w:tcPr>
                  <w:tcW w:w="910" w:type="pct"/>
                  <w:tcMar>
                    <w:top w:w="57" w:type="dxa"/>
                  </w:tcMar>
                  <w:vAlign w:val="center"/>
                </w:tcPr>
                <w:p w14:paraId="191993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333.4</w:t>
                  </w:r>
                </w:p>
              </w:tc>
              <w:tc>
                <w:tcPr>
                  <w:tcW w:w="910" w:type="pct"/>
                  <w:tcMar>
                    <w:top w:w="57" w:type="dxa"/>
                  </w:tcMar>
                  <w:vAlign w:val="center"/>
                </w:tcPr>
                <w:p w14:paraId="785B86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273.1</w:t>
                  </w:r>
                </w:p>
              </w:tc>
              <w:tc>
                <w:tcPr>
                  <w:tcW w:w="1041" w:type="pct"/>
                  <w:tcMar>
                    <w:top w:w="57" w:type="dxa"/>
                  </w:tcMar>
                  <w:vAlign w:val="center"/>
                </w:tcPr>
                <w:p w14:paraId="4DFBE2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6150</w:t>
                  </w:r>
                </w:p>
              </w:tc>
            </w:tr>
            <w:tr w14:paraId="608305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Merge w:val="continue"/>
                  <w:vAlign w:val="center"/>
                </w:tcPr>
                <w:p w14:paraId="53BFDC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p>
              </w:tc>
              <w:tc>
                <w:tcPr>
                  <w:tcW w:w="673" w:type="pct"/>
                  <w:vMerge w:val="restart"/>
                  <w:tcMar>
                    <w:top w:w="57" w:type="dxa"/>
                  </w:tcMar>
                  <w:vAlign w:val="center"/>
                </w:tcPr>
                <w:p w14:paraId="3704D7B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五开</w:t>
                  </w:r>
                </w:p>
              </w:tc>
              <w:tc>
                <w:tcPr>
                  <w:tcW w:w="683" w:type="pct"/>
                  <w:tcMar>
                    <w:top w:w="57" w:type="dxa"/>
                  </w:tcMar>
                  <w:vAlign w:val="center"/>
                </w:tcPr>
                <w:p w14:paraId="5E88BE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s="Times New Roman"/>
                      <w:color w:val="auto"/>
                      <w:sz w:val="21"/>
                      <w:szCs w:val="21"/>
                      <w:highlight w:val="none"/>
                      <w:lang w:eastAsia="zh-CN"/>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7500</w:t>
                  </w:r>
                </w:p>
              </w:tc>
              <w:tc>
                <w:tcPr>
                  <w:tcW w:w="910" w:type="pct"/>
                  <w:tcMar>
                    <w:top w:w="57" w:type="dxa"/>
                  </w:tcMar>
                  <w:vAlign w:val="center"/>
                </w:tcPr>
                <w:p w14:paraId="4BE65F1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241.3</w:t>
                  </w:r>
                </w:p>
              </w:tc>
              <w:tc>
                <w:tcPr>
                  <w:tcW w:w="910" w:type="pct"/>
                  <w:tcMar>
                    <w:top w:w="57" w:type="dxa"/>
                  </w:tcMar>
                  <w:vAlign w:val="center"/>
                </w:tcPr>
                <w:p w14:paraId="187DA98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139.7</w:t>
                  </w:r>
                </w:p>
              </w:tc>
              <w:tc>
                <w:tcPr>
                  <w:tcW w:w="1041" w:type="pct"/>
                  <w:tcMar>
                    <w:top w:w="57" w:type="dxa"/>
                  </w:tcMar>
                  <w:vAlign w:val="center"/>
                </w:tcPr>
                <w:p w14:paraId="5BB1A2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7500</w:t>
                  </w:r>
                </w:p>
              </w:tc>
            </w:tr>
            <w:tr w14:paraId="4A830E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0" w:type="dxa"/>
                  <w:right w:w="57" w:type="dxa"/>
                </w:tblCellMar>
              </w:tblPrEx>
              <w:trPr>
                <w:trHeight w:val="283" w:hRule="atLeast"/>
                <w:jc w:val="center"/>
              </w:trPr>
              <w:tc>
                <w:tcPr>
                  <w:tcW w:w="781" w:type="pct"/>
                  <w:vMerge w:val="continue"/>
                  <w:vAlign w:val="center"/>
                </w:tcPr>
                <w:p w14:paraId="1A2D0D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highlight w:val="none"/>
                    </w:rPr>
                  </w:pPr>
                </w:p>
              </w:tc>
              <w:tc>
                <w:tcPr>
                  <w:tcW w:w="673" w:type="pct"/>
                  <w:vMerge w:val="continue"/>
                  <w:tcMar>
                    <w:top w:w="57" w:type="dxa"/>
                  </w:tcMar>
                  <w:vAlign w:val="center"/>
                </w:tcPr>
                <w:p w14:paraId="05D7FCB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s="Times New Roman"/>
                      <w:color w:val="auto"/>
                      <w:sz w:val="21"/>
                      <w:szCs w:val="21"/>
                      <w:highlight w:val="none"/>
                      <w:lang w:val="en-US" w:eastAsia="zh-CN"/>
                    </w:rPr>
                  </w:pPr>
                </w:p>
              </w:tc>
              <w:tc>
                <w:tcPr>
                  <w:tcW w:w="683" w:type="pct"/>
                  <w:shd w:val="clear" w:color="auto" w:fill="auto"/>
                  <w:tcMar>
                    <w:top w:w="57" w:type="dxa"/>
                  </w:tcMar>
                  <w:vAlign w:val="center"/>
                </w:tcPr>
                <w:p w14:paraId="7DA274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7980</w:t>
                  </w:r>
                </w:p>
              </w:tc>
              <w:tc>
                <w:tcPr>
                  <w:tcW w:w="910" w:type="pct"/>
                  <w:tcMar>
                    <w:top w:w="57" w:type="dxa"/>
                  </w:tcMar>
                  <w:vAlign w:val="center"/>
                </w:tcPr>
                <w:p w14:paraId="42270B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215.9</w:t>
                  </w:r>
                </w:p>
              </w:tc>
              <w:tc>
                <w:tcPr>
                  <w:tcW w:w="910" w:type="pct"/>
                  <w:tcMar>
                    <w:top w:w="57" w:type="dxa"/>
                  </w:tcMar>
                  <w:vAlign w:val="center"/>
                </w:tcPr>
                <w:p w14:paraId="68E0DB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168.3</w:t>
                  </w:r>
                </w:p>
              </w:tc>
              <w:tc>
                <w:tcPr>
                  <w:tcW w:w="1041" w:type="pct"/>
                  <w:shd w:val="clear" w:color="auto" w:fill="auto"/>
                  <w:tcMar>
                    <w:top w:w="57" w:type="dxa"/>
                  </w:tcMar>
                  <w:vAlign w:val="center"/>
                </w:tcPr>
                <w:p w14:paraId="13F1E6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7980</w:t>
                  </w:r>
                </w:p>
              </w:tc>
            </w:tr>
            <w:bookmarkEnd w:id="20"/>
          </w:tbl>
          <w:p w14:paraId="71FB4195">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③钻井设备</w:t>
            </w:r>
          </w:p>
          <w:p w14:paraId="4F0FE172">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钻井设备包括钻机、井架、钻井泵、柴油机、发电机等，主要钻井设备见表</w:t>
            </w:r>
            <w:r>
              <w:rPr>
                <w:rFonts w:hint="default" w:ascii="Times New Roman" w:hAnsi="Times New Roman" w:cs="Times New Roman"/>
                <w:color w:val="auto"/>
                <w:lang w:val="en-US" w:eastAsia="zh-CN"/>
              </w:rPr>
              <w:t>2-</w:t>
            </w:r>
            <w:r>
              <w:rPr>
                <w:rFonts w:hint="default" w:ascii="Times New Roman" w:hAnsi="Times New Roman" w:cs="Times New Roman"/>
                <w:color w:val="auto"/>
              </w:rPr>
              <w:t>4。</w:t>
            </w:r>
          </w:p>
          <w:p w14:paraId="2F48B70B">
            <w:pPr>
              <w:snapToGrid w:val="0"/>
              <w:spacing w:line="500" w:lineRule="exact"/>
              <w:jc w:val="center"/>
              <w:rPr>
                <w:rFonts w:hint="default" w:ascii="Times New Roman" w:hAnsi="Times New Roman" w:eastAsia="黑体" w:cs="Times New Roman"/>
                <w:color w:val="auto"/>
                <w:sz w:val="21"/>
                <w:szCs w:val="21"/>
              </w:rPr>
            </w:pPr>
            <w:bookmarkStart w:id="21" w:name="_Ref19636829"/>
            <w:r>
              <w:rPr>
                <w:rFonts w:hint="default" w:ascii="Times New Roman" w:hAnsi="Times New Roman" w:eastAsia="黑体" w:cs="Times New Roman"/>
                <w:color w:val="auto"/>
                <w:sz w:val="21"/>
                <w:szCs w:val="21"/>
              </w:rPr>
              <w:t>表</w:t>
            </w:r>
            <w:bookmarkEnd w:id="21"/>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4  主要钻井设备一览表</w:t>
            </w:r>
          </w:p>
          <w:tbl>
            <w:tblPr>
              <w:tblStyle w:val="25"/>
              <w:tblW w:w="765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2"/>
              <w:gridCol w:w="662"/>
              <w:gridCol w:w="400"/>
              <w:gridCol w:w="1163"/>
              <w:gridCol w:w="1312"/>
              <w:gridCol w:w="1150"/>
              <w:gridCol w:w="759"/>
              <w:gridCol w:w="1755"/>
            </w:tblGrid>
            <w:tr w14:paraId="10354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58E010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2225" w:type="dxa"/>
                  <w:gridSpan w:val="3"/>
                  <w:tcBorders>
                    <w:tl2br w:val="nil"/>
                    <w:tr2bl w:val="nil"/>
                  </w:tcBorders>
                  <w:noWrap w:val="0"/>
                  <w:vAlign w:val="center"/>
                </w:tcPr>
                <w:p w14:paraId="3ED71E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312" w:type="dxa"/>
                  <w:tcBorders>
                    <w:tl2br w:val="nil"/>
                    <w:tr2bl w:val="nil"/>
                  </w:tcBorders>
                  <w:noWrap w:val="0"/>
                  <w:vAlign w:val="center"/>
                </w:tcPr>
                <w:p w14:paraId="585681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型 号</w:t>
                  </w:r>
                </w:p>
              </w:tc>
              <w:tc>
                <w:tcPr>
                  <w:tcW w:w="1150" w:type="dxa"/>
                  <w:tcBorders>
                    <w:tl2br w:val="nil"/>
                    <w:tr2bl w:val="nil"/>
                  </w:tcBorders>
                  <w:noWrap w:val="0"/>
                  <w:vAlign w:val="center"/>
                </w:tcPr>
                <w:p w14:paraId="781346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载荷</w:t>
                  </w:r>
                </w:p>
                <w:p w14:paraId="2306EA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(kN)</w:t>
                  </w:r>
                </w:p>
              </w:tc>
              <w:tc>
                <w:tcPr>
                  <w:tcW w:w="759" w:type="dxa"/>
                  <w:tcBorders>
                    <w:tl2br w:val="nil"/>
                    <w:tr2bl w:val="nil"/>
                  </w:tcBorders>
                  <w:noWrap w:val="0"/>
                  <w:vAlign w:val="center"/>
                </w:tcPr>
                <w:p w14:paraId="78371A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功率</w:t>
                  </w:r>
                </w:p>
                <w:p w14:paraId="6517F3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(kW)</w:t>
                  </w:r>
                </w:p>
              </w:tc>
              <w:tc>
                <w:tcPr>
                  <w:tcW w:w="1755" w:type="dxa"/>
                  <w:tcBorders>
                    <w:tl2br w:val="nil"/>
                    <w:tr2bl w:val="nil"/>
                  </w:tcBorders>
                  <w:noWrap w:val="0"/>
                  <w:vAlign w:val="center"/>
                </w:tcPr>
                <w:p w14:paraId="67EE72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备注</w:t>
                  </w:r>
                </w:p>
              </w:tc>
            </w:tr>
            <w:tr w14:paraId="7B42F7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4EE2D3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w:t>
                  </w:r>
                </w:p>
              </w:tc>
              <w:tc>
                <w:tcPr>
                  <w:tcW w:w="2225" w:type="dxa"/>
                  <w:gridSpan w:val="3"/>
                  <w:tcBorders>
                    <w:tl2br w:val="nil"/>
                    <w:tr2bl w:val="nil"/>
                  </w:tcBorders>
                  <w:noWrap w:val="0"/>
                  <w:vAlign w:val="center"/>
                </w:tcPr>
                <w:p w14:paraId="5D4FC3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   机</w:t>
                  </w:r>
                </w:p>
              </w:tc>
              <w:tc>
                <w:tcPr>
                  <w:tcW w:w="1312" w:type="dxa"/>
                  <w:tcBorders>
                    <w:tl2br w:val="nil"/>
                    <w:tr2bl w:val="nil"/>
                  </w:tcBorders>
                  <w:noWrap w:val="0"/>
                  <w:vAlign w:val="center"/>
                </w:tcPr>
                <w:p w14:paraId="0878A8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ZJ90DB</w:t>
                  </w:r>
                </w:p>
              </w:tc>
              <w:tc>
                <w:tcPr>
                  <w:tcW w:w="1150" w:type="dxa"/>
                  <w:tcBorders>
                    <w:tl2br w:val="nil"/>
                    <w:tr2bl w:val="nil"/>
                  </w:tcBorders>
                  <w:noWrap w:val="0"/>
                  <w:vAlign w:val="center"/>
                </w:tcPr>
                <w:p w14:paraId="780EBC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钻深9000m</w:t>
                  </w:r>
                </w:p>
              </w:tc>
              <w:tc>
                <w:tcPr>
                  <w:tcW w:w="759" w:type="dxa"/>
                  <w:tcBorders>
                    <w:tl2br w:val="nil"/>
                    <w:tr2bl w:val="nil"/>
                  </w:tcBorders>
                  <w:noWrap w:val="0"/>
                  <w:vAlign w:val="center"/>
                </w:tcPr>
                <w:p w14:paraId="289C72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2A8CC9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净空高度≥10.5m</w:t>
                  </w:r>
                </w:p>
              </w:tc>
            </w:tr>
            <w:tr w14:paraId="2B1C7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31D2B6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w:t>
                  </w:r>
                </w:p>
              </w:tc>
              <w:tc>
                <w:tcPr>
                  <w:tcW w:w="2225" w:type="dxa"/>
                  <w:gridSpan w:val="3"/>
                  <w:tcBorders>
                    <w:tl2br w:val="nil"/>
                    <w:tr2bl w:val="nil"/>
                  </w:tcBorders>
                  <w:noWrap w:val="0"/>
                  <w:vAlign w:val="center"/>
                </w:tcPr>
                <w:p w14:paraId="133242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井   架</w:t>
                  </w:r>
                </w:p>
              </w:tc>
              <w:tc>
                <w:tcPr>
                  <w:tcW w:w="1312" w:type="dxa"/>
                  <w:tcBorders>
                    <w:tl2br w:val="nil"/>
                    <w:tr2bl w:val="nil"/>
                  </w:tcBorders>
                  <w:noWrap w:val="0"/>
                  <w:vAlign w:val="center"/>
                </w:tcPr>
                <w:p w14:paraId="55241F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JJ675/48-K</w:t>
                  </w:r>
                </w:p>
              </w:tc>
              <w:tc>
                <w:tcPr>
                  <w:tcW w:w="1150" w:type="dxa"/>
                  <w:tcBorders>
                    <w:tl2br w:val="nil"/>
                    <w:tr2bl w:val="nil"/>
                  </w:tcBorders>
                  <w:noWrap w:val="0"/>
                  <w:vAlign w:val="center"/>
                </w:tcPr>
                <w:p w14:paraId="722AC4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4525D2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D2458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103B0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6BB687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w:t>
                  </w:r>
                </w:p>
              </w:tc>
              <w:tc>
                <w:tcPr>
                  <w:tcW w:w="662" w:type="dxa"/>
                  <w:vMerge w:val="restart"/>
                  <w:tcBorders>
                    <w:tl2br w:val="nil"/>
                    <w:tr2bl w:val="nil"/>
                  </w:tcBorders>
                  <w:noWrap w:val="0"/>
                  <w:vAlign w:val="center"/>
                </w:tcPr>
                <w:p w14:paraId="52DEAE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提升</w:t>
                  </w:r>
                </w:p>
                <w:p w14:paraId="54D92B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系统</w:t>
                  </w:r>
                </w:p>
              </w:tc>
              <w:tc>
                <w:tcPr>
                  <w:tcW w:w="1563" w:type="dxa"/>
                  <w:gridSpan w:val="2"/>
                  <w:tcBorders>
                    <w:tl2br w:val="nil"/>
                    <w:tr2bl w:val="nil"/>
                  </w:tcBorders>
                  <w:noWrap w:val="0"/>
                  <w:vAlign w:val="center"/>
                </w:tcPr>
                <w:p w14:paraId="66C4F8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绞车</w:t>
                  </w:r>
                </w:p>
              </w:tc>
              <w:tc>
                <w:tcPr>
                  <w:tcW w:w="1312" w:type="dxa"/>
                  <w:tcBorders>
                    <w:tl2br w:val="nil"/>
                    <w:tr2bl w:val="nil"/>
                  </w:tcBorders>
                  <w:noWrap w:val="0"/>
                  <w:vAlign w:val="center"/>
                </w:tcPr>
                <w:p w14:paraId="66480F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JC-90DB</w:t>
                  </w:r>
                </w:p>
              </w:tc>
              <w:tc>
                <w:tcPr>
                  <w:tcW w:w="1150" w:type="dxa"/>
                  <w:tcBorders>
                    <w:tl2br w:val="nil"/>
                    <w:tr2bl w:val="nil"/>
                  </w:tcBorders>
                  <w:noWrap w:val="0"/>
                  <w:vAlign w:val="center"/>
                </w:tcPr>
                <w:p w14:paraId="08C53B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2940</w:t>
                  </w:r>
                </w:p>
              </w:tc>
              <w:tc>
                <w:tcPr>
                  <w:tcW w:w="759" w:type="dxa"/>
                  <w:tcBorders>
                    <w:tl2br w:val="nil"/>
                    <w:tr2bl w:val="nil"/>
                  </w:tcBorders>
                  <w:noWrap w:val="0"/>
                  <w:vAlign w:val="center"/>
                </w:tcPr>
                <w:p w14:paraId="5641A7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02FA2F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62D841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3A3DC4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F2CE9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22609B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天车</w:t>
                  </w:r>
                </w:p>
              </w:tc>
              <w:tc>
                <w:tcPr>
                  <w:tcW w:w="1312" w:type="dxa"/>
                  <w:tcBorders>
                    <w:tl2br w:val="nil"/>
                    <w:tr2bl w:val="nil"/>
                  </w:tcBorders>
                  <w:noWrap w:val="0"/>
                  <w:vAlign w:val="center"/>
                </w:tcPr>
                <w:p w14:paraId="289B28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TC-675</w:t>
                  </w:r>
                </w:p>
              </w:tc>
              <w:tc>
                <w:tcPr>
                  <w:tcW w:w="1150" w:type="dxa"/>
                  <w:tcBorders>
                    <w:tl2br w:val="nil"/>
                    <w:tr2bl w:val="nil"/>
                  </w:tcBorders>
                  <w:noWrap w:val="0"/>
                  <w:vAlign w:val="center"/>
                </w:tcPr>
                <w:p w14:paraId="1290DD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408321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5A4518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427830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0E609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FC12C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525ED5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游车</w:t>
                  </w:r>
                </w:p>
              </w:tc>
              <w:tc>
                <w:tcPr>
                  <w:tcW w:w="1312" w:type="dxa"/>
                  <w:tcBorders>
                    <w:tl2br w:val="nil"/>
                    <w:tr2bl w:val="nil"/>
                  </w:tcBorders>
                  <w:noWrap w:val="0"/>
                  <w:vAlign w:val="center"/>
                </w:tcPr>
                <w:p w14:paraId="16DE1C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YC-675</w:t>
                  </w:r>
                </w:p>
              </w:tc>
              <w:tc>
                <w:tcPr>
                  <w:tcW w:w="1150" w:type="dxa"/>
                  <w:tcBorders>
                    <w:tl2br w:val="nil"/>
                    <w:tr2bl w:val="nil"/>
                  </w:tcBorders>
                  <w:noWrap w:val="0"/>
                  <w:vAlign w:val="center"/>
                </w:tcPr>
                <w:p w14:paraId="31F2B1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0CADB4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3BC3E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64867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6EAD0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2634EA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24664E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大钩</w:t>
                  </w:r>
                </w:p>
              </w:tc>
              <w:tc>
                <w:tcPr>
                  <w:tcW w:w="1312" w:type="dxa"/>
                  <w:tcBorders>
                    <w:tl2br w:val="nil"/>
                    <w:tr2bl w:val="nil"/>
                  </w:tcBorders>
                  <w:noWrap w:val="0"/>
                  <w:vAlign w:val="center"/>
                </w:tcPr>
                <w:p w14:paraId="18BBF3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DG-675</w:t>
                  </w:r>
                </w:p>
              </w:tc>
              <w:tc>
                <w:tcPr>
                  <w:tcW w:w="1150" w:type="dxa"/>
                  <w:tcBorders>
                    <w:tl2br w:val="nil"/>
                    <w:tr2bl w:val="nil"/>
                  </w:tcBorders>
                  <w:noWrap w:val="0"/>
                  <w:vAlign w:val="center"/>
                </w:tcPr>
                <w:p w14:paraId="63940D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21BCDB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E983A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7EDA06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419C6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60FA2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3C21BC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水龙头</w:t>
                  </w:r>
                </w:p>
              </w:tc>
              <w:tc>
                <w:tcPr>
                  <w:tcW w:w="1312" w:type="dxa"/>
                  <w:tcBorders>
                    <w:tl2br w:val="nil"/>
                    <w:tr2bl w:val="nil"/>
                  </w:tcBorders>
                  <w:noWrap w:val="0"/>
                  <w:vAlign w:val="center"/>
                </w:tcPr>
                <w:p w14:paraId="564955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P-750</w:t>
                  </w:r>
                </w:p>
              </w:tc>
              <w:tc>
                <w:tcPr>
                  <w:tcW w:w="1150" w:type="dxa"/>
                  <w:tcBorders>
                    <w:tl2br w:val="nil"/>
                    <w:tr2bl w:val="nil"/>
                  </w:tcBorders>
                  <w:noWrap w:val="0"/>
                  <w:vAlign w:val="center"/>
                </w:tcPr>
                <w:p w14:paraId="6A1C10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3AF304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09094E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52.7MPa</w:t>
                  </w:r>
                </w:p>
              </w:tc>
            </w:tr>
            <w:tr w14:paraId="1BA0E8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5FA593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四</w:t>
                  </w:r>
                </w:p>
              </w:tc>
              <w:tc>
                <w:tcPr>
                  <w:tcW w:w="2225" w:type="dxa"/>
                  <w:gridSpan w:val="3"/>
                  <w:tcBorders>
                    <w:tl2br w:val="nil"/>
                    <w:tr2bl w:val="nil"/>
                  </w:tcBorders>
                  <w:noWrap w:val="0"/>
                  <w:vAlign w:val="center"/>
                </w:tcPr>
                <w:p w14:paraId="55DF1C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转  盘</w:t>
                  </w:r>
                </w:p>
              </w:tc>
              <w:tc>
                <w:tcPr>
                  <w:tcW w:w="1312" w:type="dxa"/>
                  <w:tcBorders>
                    <w:tl2br w:val="nil"/>
                    <w:tr2bl w:val="nil"/>
                  </w:tcBorders>
                  <w:noWrap w:val="0"/>
                  <w:vAlign w:val="center"/>
                </w:tcPr>
                <w:p w14:paraId="112742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ZP375H</w:t>
                  </w:r>
                </w:p>
              </w:tc>
              <w:tc>
                <w:tcPr>
                  <w:tcW w:w="1150" w:type="dxa"/>
                  <w:tcBorders>
                    <w:tl2br w:val="nil"/>
                    <w:tr2bl w:val="nil"/>
                  </w:tcBorders>
                  <w:noWrap w:val="0"/>
                  <w:vAlign w:val="center"/>
                </w:tcPr>
                <w:p w14:paraId="75F3D1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116627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7253C4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开口直径952.5mm</w:t>
                  </w:r>
                </w:p>
              </w:tc>
            </w:tr>
            <w:tr w14:paraId="5CECC7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73E9B5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五</w:t>
                  </w:r>
                </w:p>
              </w:tc>
              <w:tc>
                <w:tcPr>
                  <w:tcW w:w="2225" w:type="dxa"/>
                  <w:gridSpan w:val="3"/>
                  <w:tcBorders>
                    <w:tl2br w:val="nil"/>
                    <w:tr2bl w:val="nil"/>
                  </w:tcBorders>
                  <w:noWrap w:val="0"/>
                  <w:vAlign w:val="center"/>
                </w:tcPr>
                <w:p w14:paraId="133ED2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顶  驱</w:t>
                  </w:r>
                </w:p>
              </w:tc>
              <w:tc>
                <w:tcPr>
                  <w:tcW w:w="1312" w:type="dxa"/>
                  <w:tcBorders>
                    <w:tl2br w:val="nil"/>
                    <w:tr2bl w:val="nil"/>
                  </w:tcBorders>
                  <w:noWrap w:val="0"/>
                  <w:vAlign w:val="center"/>
                </w:tcPr>
                <w:p w14:paraId="64B3B9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DQ90BS</w:t>
                  </w:r>
                </w:p>
              </w:tc>
              <w:tc>
                <w:tcPr>
                  <w:tcW w:w="1150" w:type="dxa"/>
                  <w:tcBorders>
                    <w:tl2br w:val="nil"/>
                    <w:tr2bl w:val="nil"/>
                  </w:tcBorders>
                  <w:noWrap w:val="0"/>
                  <w:vAlign w:val="center"/>
                </w:tcPr>
                <w:p w14:paraId="4D39F1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6750</w:t>
                  </w:r>
                </w:p>
              </w:tc>
              <w:tc>
                <w:tcPr>
                  <w:tcW w:w="759" w:type="dxa"/>
                  <w:tcBorders>
                    <w:tl2br w:val="nil"/>
                    <w:tr2bl w:val="nil"/>
                  </w:tcBorders>
                  <w:noWrap w:val="0"/>
                  <w:vAlign w:val="center"/>
                </w:tcPr>
                <w:p w14:paraId="4D25E2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735</w:t>
                  </w:r>
                </w:p>
              </w:tc>
              <w:tc>
                <w:tcPr>
                  <w:tcW w:w="1755" w:type="dxa"/>
                  <w:tcBorders>
                    <w:tl2br w:val="nil"/>
                    <w:tr2bl w:val="nil"/>
                  </w:tcBorders>
                  <w:noWrap w:val="0"/>
                  <w:vAlign w:val="center"/>
                </w:tcPr>
                <w:p w14:paraId="2E76BC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全井使用</w:t>
                  </w:r>
                </w:p>
              </w:tc>
            </w:tr>
            <w:tr w14:paraId="323464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445E59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六</w:t>
                  </w:r>
                </w:p>
              </w:tc>
              <w:tc>
                <w:tcPr>
                  <w:tcW w:w="662" w:type="dxa"/>
                  <w:vMerge w:val="restart"/>
                  <w:tcBorders>
                    <w:tl2br w:val="nil"/>
                    <w:tr2bl w:val="nil"/>
                  </w:tcBorders>
                  <w:noWrap w:val="0"/>
                  <w:vAlign w:val="center"/>
                </w:tcPr>
                <w:p w14:paraId="6E4E57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循环系统配置</w:t>
                  </w:r>
                </w:p>
              </w:tc>
              <w:tc>
                <w:tcPr>
                  <w:tcW w:w="1563" w:type="dxa"/>
                  <w:gridSpan w:val="2"/>
                  <w:tcBorders>
                    <w:tl2br w:val="nil"/>
                    <w:tr2bl w:val="nil"/>
                  </w:tcBorders>
                  <w:noWrap w:val="0"/>
                  <w:vAlign w:val="center"/>
                </w:tcPr>
                <w:p w14:paraId="398B98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钻井泵1#</w:t>
                  </w:r>
                </w:p>
              </w:tc>
              <w:tc>
                <w:tcPr>
                  <w:tcW w:w="1312" w:type="dxa"/>
                  <w:tcBorders>
                    <w:tl2br w:val="nil"/>
                    <w:tr2bl w:val="nil"/>
                  </w:tcBorders>
                  <w:noWrap w:val="0"/>
                  <w:vAlign w:val="center"/>
                </w:tcPr>
                <w:p w14:paraId="3ECE40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F-2200HL</w:t>
                  </w:r>
                </w:p>
              </w:tc>
              <w:tc>
                <w:tcPr>
                  <w:tcW w:w="1150" w:type="dxa"/>
                  <w:tcBorders>
                    <w:tl2br w:val="nil"/>
                    <w:tr2bl w:val="nil"/>
                  </w:tcBorders>
                  <w:noWrap w:val="0"/>
                  <w:vAlign w:val="center"/>
                </w:tcPr>
                <w:p w14:paraId="254B4E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0554F4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1617</w:t>
                  </w:r>
                </w:p>
              </w:tc>
              <w:tc>
                <w:tcPr>
                  <w:tcW w:w="1755" w:type="dxa"/>
                  <w:tcBorders>
                    <w:tl2br w:val="nil"/>
                    <w:tr2bl w:val="nil"/>
                  </w:tcBorders>
                  <w:noWrap w:val="0"/>
                  <w:vAlign w:val="center"/>
                </w:tcPr>
                <w:p w14:paraId="16D0C1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52MPa</w:t>
                  </w:r>
                </w:p>
              </w:tc>
            </w:tr>
            <w:tr w14:paraId="2D5E0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DE1B5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6752F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311989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钻井泵2#</w:t>
                  </w:r>
                </w:p>
              </w:tc>
              <w:tc>
                <w:tcPr>
                  <w:tcW w:w="1312" w:type="dxa"/>
                  <w:tcBorders>
                    <w:tl2br w:val="nil"/>
                    <w:tr2bl w:val="nil"/>
                  </w:tcBorders>
                  <w:noWrap w:val="0"/>
                  <w:vAlign w:val="center"/>
                </w:tcPr>
                <w:p w14:paraId="3B3F5D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F-2200HL</w:t>
                  </w:r>
                </w:p>
              </w:tc>
              <w:tc>
                <w:tcPr>
                  <w:tcW w:w="1150" w:type="dxa"/>
                  <w:tcBorders>
                    <w:tl2br w:val="nil"/>
                    <w:tr2bl w:val="nil"/>
                  </w:tcBorders>
                  <w:noWrap w:val="0"/>
                  <w:vAlign w:val="center"/>
                </w:tcPr>
                <w:p w14:paraId="2C679D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511759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1617</w:t>
                  </w:r>
                </w:p>
              </w:tc>
              <w:tc>
                <w:tcPr>
                  <w:tcW w:w="1755" w:type="dxa"/>
                  <w:tcBorders>
                    <w:tl2br w:val="nil"/>
                    <w:tr2bl w:val="nil"/>
                  </w:tcBorders>
                  <w:noWrap w:val="0"/>
                  <w:vAlign w:val="center"/>
                </w:tcPr>
                <w:p w14:paraId="1A07D6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52MPa</w:t>
                  </w:r>
                </w:p>
              </w:tc>
            </w:tr>
            <w:tr w14:paraId="5D2D7A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B6CB3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3718A9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7C9F2F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钻井泵3#</w:t>
                  </w:r>
                </w:p>
              </w:tc>
              <w:tc>
                <w:tcPr>
                  <w:tcW w:w="1312" w:type="dxa"/>
                  <w:tcBorders>
                    <w:tl2br w:val="nil"/>
                    <w:tr2bl w:val="nil"/>
                  </w:tcBorders>
                  <w:noWrap w:val="0"/>
                  <w:vAlign w:val="center"/>
                </w:tcPr>
                <w:p w14:paraId="731D77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F-2200HL</w:t>
                  </w:r>
                </w:p>
              </w:tc>
              <w:tc>
                <w:tcPr>
                  <w:tcW w:w="1150" w:type="dxa"/>
                  <w:tcBorders>
                    <w:tl2br w:val="nil"/>
                    <w:tr2bl w:val="nil"/>
                  </w:tcBorders>
                  <w:noWrap w:val="0"/>
                  <w:vAlign w:val="center"/>
                </w:tcPr>
                <w:p w14:paraId="79EE5F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17F2F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1617</w:t>
                  </w:r>
                </w:p>
              </w:tc>
              <w:tc>
                <w:tcPr>
                  <w:tcW w:w="1755" w:type="dxa"/>
                  <w:tcBorders>
                    <w:tl2br w:val="nil"/>
                    <w:tr2bl w:val="nil"/>
                  </w:tcBorders>
                  <w:noWrap w:val="0"/>
                  <w:vAlign w:val="center"/>
                </w:tcPr>
                <w:p w14:paraId="1815D4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52MPa</w:t>
                  </w:r>
                </w:p>
              </w:tc>
            </w:tr>
            <w:tr w14:paraId="646A05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C2408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5E9E01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62886D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高压管汇</w:t>
                  </w:r>
                </w:p>
              </w:tc>
              <w:tc>
                <w:tcPr>
                  <w:tcW w:w="1312" w:type="dxa"/>
                  <w:tcBorders>
                    <w:tl2br w:val="nil"/>
                    <w:tr2bl w:val="nil"/>
                  </w:tcBorders>
                  <w:noWrap w:val="0"/>
                  <w:vAlign w:val="center"/>
                </w:tcPr>
                <w:p w14:paraId="7EA921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50" w:type="dxa"/>
                  <w:tcBorders>
                    <w:tl2br w:val="nil"/>
                    <w:tr2bl w:val="nil"/>
                  </w:tcBorders>
                  <w:noWrap w:val="0"/>
                  <w:vAlign w:val="center"/>
                </w:tcPr>
                <w:p w14:paraId="2613A1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32B057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4E0C1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pacing w:val="-20"/>
                      <w:sz w:val="21"/>
                      <w:szCs w:val="21"/>
                    </w:rPr>
                  </w:pPr>
                  <w:r>
                    <w:rPr>
                      <w:rFonts w:hint="default" w:ascii="Times New Roman" w:hAnsi="Times New Roman" w:eastAsia="宋体" w:cs="Times New Roman"/>
                      <w:color w:val="auto"/>
                      <w:sz w:val="21"/>
                      <w:szCs w:val="21"/>
                    </w:rPr>
                    <w:t>70MPa</w:t>
                  </w:r>
                </w:p>
              </w:tc>
            </w:tr>
            <w:tr w14:paraId="3A978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4DF121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2EA2B4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29D58E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钻井液罐</w:t>
                  </w:r>
                </w:p>
              </w:tc>
              <w:tc>
                <w:tcPr>
                  <w:tcW w:w="1312" w:type="dxa"/>
                  <w:tcBorders>
                    <w:tl2br w:val="nil"/>
                    <w:tr2bl w:val="nil"/>
                  </w:tcBorders>
                  <w:noWrap w:val="0"/>
                  <w:vAlign w:val="center"/>
                </w:tcPr>
                <w:p w14:paraId="7C1EF4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50" w:type="dxa"/>
                  <w:tcBorders>
                    <w:tl2br w:val="nil"/>
                    <w:tr2bl w:val="nil"/>
                  </w:tcBorders>
                  <w:noWrap w:val="0"/>
                  <w:vAlign w:val="center"/>
                </w:tcPr>
                <w:p w14:paraId="24EFFA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7B22F1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71F766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rPr>
                    <w:t>循环罐总容积≥660m</w:t>
                  </w:r>
                  <w:r>
                    <w:rPr>
                      <w:rFonts w:hint="default" w:ascii="Times New Roman" w:hAnsi="Times New Roman" w:eastAsia="宋体" w:cs="Times New Roman"/>
                      <w:color w:val="auto"/>
                      <w:sz w:val="21"/>
                      <w:szCs w:val="21"/>
                      <w:vertAlign w:val="superscript"/>
                    </w:rPr>
                    <w:t>3</w:t>
                  </w:r>
                  <w:r>
                    <w:rPr>
                      <w:rFonts w:hint="eastAsia" w:cs="Times New Roman"/>
                      <w:color w:val="auto"/>
                      <w:sz w:val="21"/>
                      <w:szCs w:val="21"/>
                      <w:vertAlign w:val="baseline"/>
                      <w:lang w:eastAsia="zh-CN"/>
                    </w:rPr>
                    <w:t>（</w:t>
                  </w:r>
                  <w:r>
                    <w:rPr>
                      <w:rFonts w:hint="eastAsia" w:cs="Times New Roman"/>
                      <w:color w:val="auto"/>
                      <w:sz w:val="21"/>
                      <w:szCs w:val="21"/>
                      <w:vertAlign w:val="baseline"/>
                      <w:lang w:val="en-US" w:eastAsia="zh-CN"/>
                    </w:rPr>
                    <w:t>14个50m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储罐</w:t>
                  </w:r>
                  <w:r>
                    <w:rPr>
                      <w:rFonts w:hint="eastAsia" w:cs="Times New Roman"/>
                      <w:color w:val="auto"/>
                      <w:sz w:val="21"/>
                      <w:szCs w:val="21"/>
                      <w:vertAlign w:val="baseline"/>
                      <w:lang w:eastAsia="zh-CN"/>
                    </w:rPr>
                    <w:t>）</w:t>
                  </w:r>
                </w:p>
                <w:p w14:paraId="0A9C10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rPr>
                    <w:t>储备罐总容积≥240m</w:t>
                  </w:r>
                  <w:r>
                    <w:rPr>
                      <w:rFonts w:hint="default" w:ascii="Times New Roman" w:hAnsi="Times New Roman" w:eastAsia="宋体" w:cs="Times New Roman"/>
                      <w:color w:val="auto"/>
                      <w:sz w:val="21"/>
                      <w:szCs w:val="21"/>
                      <w:vertAlign w:val="superscript"/>
                    </w:rPr>
                    <w:t>3</w:t>
                  </w:r>
                  <w:r>
                    <w:rPr>
                      <w:rFonts w:hint="eastAsia" w:cs="Times New Roman"/>
                      <w:color w:val="auto"/>
                      <w:sz w:val="21"/>
                      <w:szCs w:val="21"/>
                      <w:vertAlign w:val="baseline"/>
                      <w:lang w:eastAsia="zh-CN"/>
                    </w:rPr>
                    <w:t>（</w:t>
                  </w:r>
                  <w:r>
                    <w:rPr>
                      <w:rFonts w:hint="eastAsia" w:cs="Times New Roman"/>
                      <w:color w:val="auto"/>
                      <w:sz w:val="21"/>
                      <w:szCs w:val="21"/>
                      <w:vertAlign w:val="baseline"/>
                      <w:lang w:val="en-US" w:eastAsia="zh-CN"/>
                    </w:rPr>
                    <w:t>6个40m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储罐</w:t>
                  </w:r>
                  <w:r>
                    <w:rPr>
                      <w:rFonts w:hint="eastAsia" w:cs="Times New Roman"/>
                      <w:color w:val="auto"/>
                      <w:sz w:val="21"/>
                      <w:szCs w:val="21"/>
                      <w:vertAlign w:val="baseline"/>
                      <w:lang w:eastAsia="zh-CN"/>
                    </w:rPr>
                    <w:t>）</w:t>
                  </w:r>
                </w:p>
              </w:tc>
            </w:tr>
            <w:tr w14:paraId="07FEA1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3520F5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551E7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5EBA58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搅拌器</w:t>
                  </w:r>
                </w:p>
              </w:tc>
              <w:tc>
                <w:tcPr>
                  <w:tcW w:w="1312" w:type="dxa"/>
                  <w:tcBorders>
                    <w:tl2br w:val="nil"/>
                    <w:tr2bl w:val="nil"/>
                  </w:tcBorders>
                  <w:noWrap w:val="0"/>
                  <w:vAlign w:val="center"/>
                </w:tcPr>
                <w:p w14:paraId="6134E5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NJ-15</w:t>
                  </w:r>
                </w:p>
              </w:tc>
              <w:tc>
                <w:tcPr>
                  <w:tcW w:w="1150" w:type="dxa"/>
                  <w:tcBorders>
                    <w:tl2br w:val="nil"/>
                    <w:tr2bl w:val="nil"/>
                  </w:tcBorders>
                  <w:noWrap w:val="0"/>
                  <w:vAlign w:val="center"/>
                </w:tcPr>
                <w:p w14:paraId="74AC1C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叶片直径600mm</w:t>
                  </w:r>
                </w:p>
              </w:tc>
              <w:tc>
                <w:tcPr>
                  <w:tcW w:w="759" w:type="dxa"/>
                  <w:tcBorders>
                    <w:tl2br w:val="nil"/>
                    <w:tr2bl w:val="nil"/>
                  </w:tcBorders>
                  <w:noWrap w:val="0"/>
                  <w:vAlign w:val="center"/>
                </w:tcPr>
                <w:p w14:paraId="5A6439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074122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24个</w:t>
                  </w:r>
                </w:p>
              </w:tc>
            </w:tr>
            <w:tr w14:paraId="63E9B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715DC4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七</w:t>
                  </w:r>
                </w:p>
              </w:tc>
              <w:tc>
                <w:tcPr>
                  <w:tcW w:w="662" w:type="dxa"/>
                  <w:vMerge w:val="restart"/>
                  <w:tcBorders>
                    <w:tl2br w:val="nil"/>
                    <w:tr2bl w:val="nil"/>
                  </w:tcBorders>
                  <w:noWrap w:val="0"/>
                  <w:vAlign w:val="center"/>
                </w:tcPr>
                <w:p w14:paraId="78E8C1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钻机动力系统</w:t>
                  </w:r>
                </w:p>
              </w:tc>
              <w:tc>
                <w:tcPr>
                  <w:tcW w:w="1563" w:type="dxa"/>
                  <w:gridSpan w:val="2"/>
                  <w:tcBorders>
                    <w:tl2br w:val="nil"/>
                    <w:tr2bl w:val="nil"/>
                  </w:tcBorders>
                  <w:noWrap w:val="0"/>
                  <w:vAlign w:val="center"/>
                </w:tcPr>
                <w:p w14:paraId="60571A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柴油机1#</w:t>
                  </w:r>
                </w:p>
              </w:tc>
              <w:tc>
                <w:tcPr>
                  <w:tcW w:w="1312" w:type="dxa"/>
                  <w:tcBorders>
                    <w:tl2br w:val="nil"/>
                    <w:tr2bl w:val="nil"/>
                  </w:tcBorders>
                  <w:noWrap w:val="0"/>
                  <w:vAlign w:val="center"/>
                </w:tcPr>
                <w:p w14:paraId="45F345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G12V190PILG-3</w:t>
                  </w:r>
                </w:p>
              </w:tc>
              <w:tc>
                <w:tcPr>
                  <w:tcW w:w="1150" w:type="dxa"/>
                  <w:tcBorders>
                    <w:tl2br w:val="nil"/>
                    <w:tr2bl w:val="nil"/>
                  </w:tcBorders>
                  <w:noWrap w:val="0"/>
                  <w:vAlign w:val="center"/>
                </w:tcPr>
                <w:p w14:paraId="39C9EB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58DD43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w:t>
                  </w:r>
                </w:p>
              </w:tc>
              <w:tc>
                <w:tcPr>
                  <w:tcW w:w="1755" w:type="dxa"/>
                  <w:tcBorders>
                    <w:tl2br w:val="nil"/>
                    <w:tr2bl w:val="nil"/>
                  </w:tcBorders>
                  <w:noWrap w:val="0"/>
                  <w:vAlign w:val="center"/>
                </w:tcPr>
                <w:p w14:paraId="75DEC8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4574D9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3095D6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9DBF5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78F270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柴油机2#</w:t>
                  </w:r>
                </w:p>
              </w:tc>
              <w:tc>
                <w:tcPr>
                  <w:tcW w:w="1312" w:type="dxa"/>
                  <w:tcBorders>
                    <w:tl2br w:val="nil"/>
                    <w:tr2bl w:val="nil"/>
                  </w:tcBorders>
                  <w:noWrap w:val="0"/>
                  <w:vAlign w:val="center"/>
                </w:tcPr>
                <w:p w14:paraId="2F6247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G12V190PILG-3</w:t>
                  </w:r>
                </w:p>
              </w:tc>
              <w:tc>
                <w:tcPr>
                  <w:tcW w:w="1150" w:type="dxa"/>
                  <w:tcBorders>
                    <w:tl2br w:val="nil"/>
                    <w:tr2bl w:val="nil"/>
                  </w:tcBorders>
                  <w:noWrap w:val="0"/>
                  <w:vAlign w:val="center"/>
                </w:tcPr>
                <w:p w14:paraId="133151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0BC1D6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w:t>
                  </w:r>
                </w:p>
              </w:tc>
              <w:tc>
                <w:tcPr>
                  <w:tcW w:w="1755" w:type="dxa"/>
                  <w:tcBorders>
                    <w:tl2br w:val="nil"/>
                    <w:tr2bl w:val="nil"/>
                  </w:tcBorders>
                  <w:noWrap w:val="0"/>
                  <w:vAlign w:val="center"/>
                </w:tcPr>
                <w:p w14:paraId="2E1EA2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2C065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2FFC71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7304F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5BC3F5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柴油机3#</w:t>
                  </w:r>
                </w:p>
              </w:tc>
              <w:tc>
                <w:tcPr>
                  <w:tcW w:w="1312" w:type="dxa"/>
                  <w:tcBorders>
                    <w:tl2br w:val="nil"/>
                    <w:tr2bl w:val="nil"/>
                  </w:tcBorders>
                  <w:noWrap w:val="0"/>
                  <w:vAlign w:val="center"/>
                </w:tcPr>
                <w:p w14:paraId="5C529D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G12V190PILG-3</w:t>
                  </w:r>
                </w:p>
              </w:tc>
              <w:tc>
                <w:tcPr>
                  <w:tcW w:w="1150" w:type="dxa"/>
                  <w:tcBorders>
                    <w:tl2br w:val="nil"/>
                    <w:tr2bl w:val="nil"/>
                  </w:tcBorders>
                  <w:noWrap w:val="0"/>
                  <w:vAlign w:val="center"/>
                </w:tcPr>
                <w:p w14:paraId="72D1C2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229EEB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w:t>
                  </w:r>
                </w:p>
              </w:tc>
              <w:tc>
                <w:tcPr>
                  <w:tcW w:w="1755" w:type="dxa"/>
                  <w:tcBorders>
                    <w:tl2br w:val="nil"/>
                    <w:tr2bl w:val="nil"/>
                  </w:tcBorders>
                  <w:noWrap w:val="0"/>
                  <w:vAlign w:val="center"/>
                </w:tcPr>
                <w:p w14:paraId="558715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3853DF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733A7F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八</w:t>
                  </w:r>
                </w:p>
              </w:tc>
              <w:tc>
                <w:tcPr>
                  <w:tcW w:w="662" w:type="dxa"/>
                  <w:vMerge w:val="restart"/>
                  <w:tcBorders>
                    <w:tl2br w:val="nil"/>
                    <w:tr2bl w:val="nil"/>
                  </w:tcBorders>
                  <w:noWrap w:val="0"/>
                  <w:vAlign w:val="center"/>
                </w:tcPr>
                <w:p w14:paraId="0BC267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发电</w:t>
                  </w:r>
                </w:p>
                <w:p w14:paraId="74E422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机组</w:t>
                  </w:r>
                </w:p>
              </w:tc>
              <w:tc>
                <w:tcPr>
                  <w:tcW w:w="1563" w:type="dxa"/>
                  <w:gridSpan w:val="2"/>
                  <w:tcBorders>
                    <w:tl2br w:val="nil"/>
                    <w:tr2bl w:val="nil"/>
                  </w:tcBorders>
                  <w:noWrap w:val="0"/>
                  <w:vAlign w:val="center"/>
                </w:tcPr>
                <w:p w14:paraId="73CA82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发电机1#</w:t>
                  </w:r>
                </w:p>
              </w:tc>
              <w:tc>
                <w:tcPr>
                  <w:tcW w:w="1312" w:type="dxa"/>
                  <w:tcBorders>
                    <w:tl2br w:val="nil"/>
                    <w:tr2bl w:val="nil"/>
                  </w:tcBorders>
                  <w:noWrap w:val="0"/>
                  <w:vAlign w:val="center"/>
                </w:tcPr>
                <w:p w14:paraId="780057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C15</w:t>
                  </w:r>
                </w:p>
              </w:tc>
              <w:tc>
                <w:tcPr>
                  <w:tcW w:w="1150" w:type="dxa"/>
                  <w:tcBorders>
                    <w:tl2br w:val="nil"/>
                    <w:tr2bl w:val="nil"/>
                  </w:tcBorders>
                  <w:noWrap w:val="0"/>
                  <w:vAlign w:val="center"/>
                </w:tcPr>
                <w:p w14:paraId="32D9CF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2C3355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320</w:t>
                  </w:r>
                </w:p>
              </w:tc>
              <w:tc>
                <w:tcPr>
                  <w:tcW w:w="1755" w:type="dxa"/>
                  <w:tcBorders>
                    <w:tl2br w:val="nil"/>
                    <w:tr2bl w:val="nil"/>
                  </w:tcBorders>
                  <w:noWrap w:val="0"/>
                  <w:vAlign w:val="center"/>
                </w:tcPr>
                <w:p w14:paraId="520FD0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6087F9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12530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98C22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1335D2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发电机2#</w:t>
                  </w:r>
                </w:p>
              </w:tc>
              <w:tc>
                <w:tcPr>
                  <w:tcW w:w="1312" w:type="dxa"/>
                  <w:tcBorders>
                    <w:tl2br w:val="nil"/>
                    <w:tr2bl w:val="nil"/>
                  </w:tcBorders>
                  <w:noWrap w:val="0"/>
                  <w:vAlign w:val="center"/>
                </w:tcPr>
                <w:p w14:paraId="6EF909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G12V190ZLD1</w:t>
                  </w:r>
                </w:p>
              </w:tc>
              <w:tc>
                <w:tcPr>
                  <w:tcW w:w="1150" w:type="dxa"/>
                  <w:tcBorders>
                    <w:tl2br w:val="nil"/>
                    <w:tr2bl w:val="nil"/>
                  </w:tcBorders>
                  <w:noWrap w:val="0"/>
                  <w:vAlign w:val="center"/>
                </w:tcPr>
                <w:p w14:paraId="1E9AB0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7FFE98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w:t>
                  </w:r>
                </w:p>
              </w:tc>
              <w:tc>
                <w:tcPr>
                  <w:tcW w:w="1755" w:type="dxa"/>
                  <w:tcBorders>
                    <w:tl2br w:val="nil"/>
                    <w:tr2bl w:val="nil"/>
                  </w:tcBorders>
                  <w:noWrap w:val="0"/>
                  <w:vAlign w:val="center"/>
                </w:tcPr>
                <w:p w14:paraId="3ADEED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299B7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F55E2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F6889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1509D2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发电机3#</w:t>
                  </w:r>
                </w:p>
              </w:tc>
              <w:tc>
                <w:tcPr>
                  <w:tcW w:w="1312" w:type="dxa"/>
                  <w:tcBorders>
                    <w:tl2br w:val="nil"/>
                    <w:tr2bl w:val="nil"/>
                  </w:tcBorders>
                  <w:noWrap w:val="0"/>
                  <w:vAlign w:val="center"/>
                </w:tcPr>
                <w:p w14:paraId="594999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G12V190ZLD1-2</w:t>
                  </w:r>
                </w:p>
              </w:tc>
              <w:tc>
                <w:tcPr>
                  <w:tcW w:w="1150" w:type="dxa"/>
                  <w:tcBorders>
                    <w:tl2br w:val="nil"/>
                    <w:tr2bl w:val="nil"/>
                  </w:tcBorders>
                  <w:noWrap w:val="0"/>
                  <w:vAlign w:val="center"/>
                </w:tcPr>
                <w:p w14:paraId="15E78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04B1D4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1755" w:type="dxa"/>
                  <w:tcBorders>
                    <w:tl2br w:val="nil"/>
                    <w:tr2bl w:val="nil"/>
                  </w:tcBorders>
                  <w:noWrap w:val="0"/>
                  <w:vAlign w:val="center"/>
                </w:tcPr>
                <w:p w14:paraId="38EBCE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42794B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9F53E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7DCBC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3E7FEF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MCC房</w:t>
                  </w:r>
                </w:p>
              </w:tc>
              <w:tc>
                <w:tcPr>
                  <w:tcW w:w="1312" w:type="dxa"/>
                  <w:tcBorders>
                    <w:tl2br w:val="nil"/>
                    <w:tr2bl w:val="nil"/>
                  </w:tcBorders>
                  <w:noWrap w:val="0"/>
                  <w:vAlign w:val="center"/>
                </w:tcPr>
                <w:p w14:paraId="1AE6B8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HH70LDB</w:t>
                  </w:r>
                </w:p>
              </w:tc>
              <w:tc>
                <w:tcPr>
                  <w:tcW w:w="1150" w:type="dxa"/>
                  <w:tcBorders>
                    <w:tl2br w:val="nil"/>
                    <w:tr2bl w:val="nil"/>
                  </w:tcBorders>
                  <w:noWrap w:val="0"/>
                  <w:vAlign w:val="center"/>
                </w:tcPr>
                <w:p w14:paraId="474FB1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14F2CF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18C483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1栋</w:t>
                  </w:r>
                </w:p>
              </w:tc>
            </w:tr>
            <w:tr w14:paraId="09A16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164A79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九</w:t>
                  </w:r>
                </w:p>
              </w:tc>
              <w:tc>
                <w:tcPr>
                  <w:tcW w:w="662" w:type="dxa"/>
                  <w:vMerge w:val="restart"/>
                  <w:tcBorders>
                    <w:tl2br w:val="nil"/>
                    <w:tr2bl w:val="nil"/>
                  </w:tcBorders>
                  <w:noWrap w:val="0"/>
                  <w:vAlign w:val="center"/>
                </w:tcPr>
                <w:p w14:paraId="639143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钻机控制系统</w:t>
                  </w:r>
                </w:p>
              </w:tc>
              <w:tc>
                <w:tcPr>
                  <w:tcW w:w="1563" w:type="dxa"/>
                  <w:gridSpan w:val="2"/>
                  <w:tcBorders>
                    <w:tl2br w:val="nil"/>
                    <w:tr2bl w:val="nil"/>
                  </w:tcBorders>
                  <w:noWrap w:val="0"/>
                  <w:vAlign w:val="center"/>
                </w:tcPr>
                <w:p w14:paraId="183138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自动压风机</w:t>
                  </w:r>
                </w:p>
              </w:tc>
              <w:tc>
                <w:tcPr>
                  <w:tcW w:w="1312" w:type="dxa"/>
                  <w:tcBorders>
                    <w:tl2br w:val="nil"/>
                    <w:tr2bl w:val="nil"/>
                  </w:tcBorders>
                  <w:noWrap w:val="0"/>
                  <w:vAlign w:val="center"/>
                </w:tcPr>
                <w:p w14:paraId="0837F9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SPE306X</w:t>
                  </w:r>
                </w:p>
              </w:tc>
              <w:tc>
                <w:tcPr>
                  <w:tcW w:w="1150" w:type="dxa"/>
                  <w:tcBorders>
                    <w:tl2br w:val="nil"/>
                    <w:tr2bl w:val="nil"/>
                  </w:tcBorders>
                  <w:noWrap w:val="0"/>
                  <w:vAlign w:val="center"/>
                </w:tcPr>
                <w:p w14:paraId="569C03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1FF94B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5D6F8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/min</w:t>
                  </w:r>
                </w:p>
              </w:tc>
            </w:tr>
            <w:tr w14:paraId="4EB251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7BF4C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34A07A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6E3508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电动压风机</w:t>
                  </w:r>
                </w:p>
              </w:tc>
              <w:tc>
                <w:tcPr>
                  <w:tcW w:w="1312" w:type="dxa"/>
                  <w:tcBorders>
                    <w:tl2br w:val="nil"/>
                    <w:tr2bl w:val="nil"/>
                  </w:tcBorders>
                  <w:noWrap w:val="0"/>
                  <w:vAlign w:val="center"/>
                </w:tcPr>
                <w:p w14:paraId="2A664F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SPE306X</w:t>
                  </w:r>
                </w:p>
              </w:tc>
              <w:tc>
                <w:tcPr>
                  <w:tcW w:w="1150" w:type="dxa"/>
                  <w:tcBorders>
                    <w:tl2br w:val="nil"/>
                    <w:tr2bl w:val="nil"/>
                  </w:tcBorders>
                  <w:noWrap w:val="0"/>
                  <w:vAlign w:val="center"/>
                </w:tcPr>
                <w:p w14:paraId="25929D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10BE37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3263C4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/min</w:t>
                  </w:r>
                </w:p>
              </w:tc>
            </w:tr>
            <w:tr w14:paraId="47ABA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5AF497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十</w:t>
                  </w:r>
                </w:p>
              </w:tc>
              <w:tc>
                <w:tcPr>
                  <w:tcW w:w="662" w:type="dxa"/>
                  <w:vMerge w:val="restart"/>
                  <w:tcBorders>
                    <w:tl2br w:val="nil"/>
                    <w:tr2bl w:val="nil"/>
                  </w:tcBorders>
                  <w:noWrap w:val="0"/>
                  <w:vAlign w:val="center"/>
                </w:tcPr>
                <w:p w14:paraId="61F194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固控</w:t>
                  </w:r>
                </w:p>
                <w:p w14:paraId="312A57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系统</w:t>
                  </w:r>
                </w:p>
              </w:tc>
              <w:tc>
                <w:tcPr>
                  <w:tcW w:w="1563" w:type="dxa"/>
                  <w:gridSpan w:val="2"/>
                  <w:tcBorders>
                    <w:tl2br w:val="nil"/>
                    <w:tr2bl w:val="nil"/>
                  </w:tcBorders>
                  <w:noWrap w:val="0"/>
                  <w:vAlign w:val="center"/>
                </w:tcPr>
                <w:p w14:paraId="24BD05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振动筛</w:t>
                  </w:r>
                </w:p>
              </w:tc>
              <w:tc>
                <w:tcPr>
                  <w:tcW w:w="1312" w:type="dxa"/>
                  <w:tcBorders>
                    <w:tl2br w:val="nil"/>
                    <w:tr2bl w:val="nil"/>
                  </w:tcBorders>
                  <w:noWrap w:val="0"/>
                  <w:vAlign w:val="center"/>
                </w:tcPr>
                <w:p w14:paraId="1D8977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z w:val="21"/>
                      <w:szCs w:val="21"/>
                    </w:rPr>
                    <w:t>HS270-4P-PTS</w:t>
                  </w:r>
                </w:p>
              </w:tc>
              <w:tc>
                <w:tcPr>
                  <w:tcW w:w="1150" w:type="dxa"/>
                  <w:tcBorders>
                    <w:tl2br w:val="nil"/>
                    <w:tr2bl w:val="nil"/>
                  </w:tcBorders>
                  <w:noWrap w:val="0"/>
                  <w:vAlign w:val="center"/>
                </w:tcPr>
                <w:p w14:paraId="66FB3A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5143B8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C6F4B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4台</w:t>
                  </w:r>
                </w:p>
                <w:p w14:paraId="029081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(可使用筛布≥200目</w:t>
                  </w:r>
                  <w:r>
                    <w:rPr>
                      <w:rFonts w:hint="eastAsia" w:cs="Times New Roman"/>
                      <w:color w:val="auto"/>
                      <w:sz w:val="21"/>
                      <w:szCs w:val="21"/>
                      <w:lang w:eastAsia="zh-CN"/>
                    </w:rPr>
                    <w:t>）</w:t>
                  </w:r>
                </w:p>
              </w:tc>
            </w:tr>
            <w:tr w14:paraId="710331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D3606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5B2234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07FADF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除砂除泥</w:t>
                  </w:r>
                </w:p>
                <w:p w14:paraId="2A7796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一体机</w:t>
                  </w:r>
                </w:p>
              </w:tc>
              <w:tc>
                <w:tcPr>
                  <w:tcW w:w="1312" w:type="dxa"/>
                  <w:tcBorders>
                    <w:tl2br w:val="nil"/>
                    <w:tr2bl w:val="nil"/>
                  </w:tcBorders>
                  <w:noWrap w:val="0"/>
                  <w:vAlign w:val="center"/>
                </w:tcPr>
                <w:p w14:paraId="53FB8B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pacing w:val="4"/>
                      <w:sz w:val="21"/>
                      <w:szCs w:val="21"/>
                    </w:rPr>
                    <w:t>ZQJ-l/250X2</w:t>
                  </w:r>
                </w:p>
                <w:p w14:paraId="07E13A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pacing w:val="4"/>
                      <w:sz w:val="21"/>
                      <w:szCs w:val="21"/>
                    </w:rPr>
                    <w:t>-100X14-2</w:t>
                  </w:r>
                </w:p>
              </w:tc>
              <w:tc>
                <w:tcPr>
                  <w:tcW w:w="1150" w:type="dxa"/>
                  <w:tcBorders>
                    <w:tl2br w:val="nil"/>
                    <w:tr2bl w:val="nil"/>
                  </w:tcBorders>
                  <w:noWrap w:val="0"/>
                  <w:vAlign w:val="center"/>
                </w:tcPr>
                <w:p w14:paraId="050403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436E55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4D0B17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67B6E3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90BE2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37122A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5F6D3D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离心机</w:t>
                  </w:r>
                </w:p>
              </w:tc>
              <w:tc>
                <w:tcPr>
                  <w:tcW w:w="1312" w:type="dxa"/>
                  <w:tcBorders>
                    <w:tl2br w:val="nil"/>
                    <w:tr2bl w:val="nil"/>
                  </w:tcBorders>
                  <w:noWrap w:val="0"/>
                  <w:vAlign w:val="center"/>
                </w:tcPr>
                <w:p w14:paraId="351736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LW600×1000-N</w:t>
                  </w:r>
                </w:p>
              </w:tc>
              <w:tc>
                <w:tcPr>
                  <w:tcW w:w="1150" w:type="dxa"/>
                  <w:tcBorders>
                    <w:tl2br w:val="nil"/>
                    <w:tr2bl w:val="nil"/>
                  </w:tcBorders>
                  <w:noWrap w:val="0"/>
                  <w:vAlign w:val="center"/>
                </w:tcPr>
                <w:p w14:paraId="25E7EA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418A3B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75E02A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2台（高、低速）</w:t>
                  </w:r>
                </w:p>
              </w:tc>
            </w:tr>
            <w:tr w14:paraId="6DA74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7363D7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十一</w:t>
                  </w:r>
                </w:p>
              </w:tc>
              <w:tc>
                <w:tcPr>
                  <w:tcW w:w="662" w:type="dxa"/>
                  <w:vMerge w:val="restart"/>
                  <w:tcBorders>
                    <w:tl2br w:val="nil"/>
                    <w:tr2bl w:val="nil"/>
                  </w:tcBorders>
                  <w:noWrap w:val="0"/>
                  <w:vAlign w:val="center"/>
                </w:tcPr>
                <w:p w14:paraId="1EB433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加重</w:t>
                  </w:r>
                </w:p>
                <w:p w14:paraId="023CE8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w:t>
                  </w:r>
                </w:p>
              </w:tc>
              <w:tc>
                <w:tcPr>
                  <w:tcW w:w="1563" w:type="dxa"/>
                  <w:gridSpan w:val="2"/>
                  <w:tcBorders>
                    <w:tl2br w:val="nil"/>
                    <w:tr2bl w:val="nil"/>
                  </w:tcBorders>
                  <w:noWrap w:val="0"/>
                  <w:vAlign w:val="center"/>
                </w:tcPr>
                <w:p w14:paraId="6056A9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加重泵组</w:t>
                  </w:r>
                </w:p>
              </w:tc>
              <w:tc>
                <w:tcPr>
                  <w:tcW w:w="1312" w:type="dxa"/>
                  <w:tcBorders>
                    <w:tl2br w:val="nil"/>
                    <w:tr2bl w:val="nil"/>
                  </w:tcBorders>
                  <w:noWrap w:val="0"/>
                  <w:vAlign w:val="center"/>
                </w:tcPr>
                <w:p w14:paraId="4E8637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150NSP</w:t>
                  </w:r>
                </w:p>
              </w:tc>
              <w:tc>
                <w:tcPr>
                  <w:tcW w:w="1150" w:type="dxa"/>
                  <w:tcBorders>
                    <w:tl2br w:val="nil"/>
                    <w:tr2bl w:val="nil"/>
                  </w:tcBorders>
                  <w:noWrap w:val="0"/>
                  <w:vAlign w:val="center"/>
                </w:tcPr>
                <w:p w14:paraId="4F79D7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6953FF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07F859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低压、高压各1套</w:t>
                  </w:r>
                </w:p>
              </w:tc>
            </w:tr>
            <w:tr w14:paraId="2FD522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75B206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2191AD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704238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气动加重装置</w:t>
                  </w:r>
                </w:p>
              </w:tc>
              <w:tc>
                <w:tcPr>
                  <w:tcW w:w="1312" w:type="dxa"/>
                  <w:tcBorders>
                    <w:tl2br w:val="nil"/>
                    <w:tr2bl w:val="nil"/>
                  </w:tcBorders>
                  <w:noWrap w:val="0"/>
                  <w:vAlign w:val="center"/>
                </w:tcPr>
                <w:p w14:paraId="4F10D2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50" w:type="dxa"/>
                  <w:tcBorders>
                    <w:tl2br w:val="nil"/>
                    <w:tr2bl w:val="nil"/>
                  </w:tcBorders>
                  <w:noWrap w:val="0"/>
                  <w:vAlign w:val="center"/>
                </w:tcPr>
                <w:p w14:paraId="3009CF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569BB1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755" w:type="dxa"/>
                  <w:tcBorders>
                    <w:tl2br w:val="nil"/>
                    <w:tr2bl w:val="nil"/>
                  </w:tcBorders>
                  <w:noWrap w:val="0"/>
                  <w:vAlign w:val="center"/>
                </w:tcPr>
                <w:p w14:paraId="65D1F1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1套</w:t>
                  </w:r>
                </w:p>
              </w:tc>
            </w:tr>
            <w:tr w14:paraId="036AE4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45A42C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十二</w:t>
                  </w:r>
                </w:p>
              </w:tc>
              <w:tc>
                <w:tcPr>
                  <w:tcW w:w="662" w:type="dxa"/>
                  <w:vMerge w:val="restart"/>
                  <w:tcBorders>
                    <w:tl2br w:val="nil"/>
                    <w:tr2bl w:val="nil"/>
                  </w:tcBorders>
                  <w:noWrap w:val="0"/>
                  <w:vAlign w:val="center"/>
                </w:tcPr>
                <w:p w14:paraId="68F72B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井控系统</w:t>
                  </w:r>
                </w:p>
              </w:tc>
              <w:tc>
                <w:tcPr>
                  <w:tcW w:w="400" w:type="dxa"/>
                  <w:vMerge w:val="restart"/>
                  <w:tcBorders>
                    <w:tl2br w:val="nil"/>
                    <w:tr2bl w:val="nil"/>
                  </w:tcBorders>
                  <w:noWrap w:val="0"/>
                  <w:vAlign w:val="center"/>
                </w:tcPr>
                <w:p w14:paraId="19E3A6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二开</w:t>
                  </w:r>
                </w:p>
              </w:tc>
              <w:tc>
                <w:tcPr>
                  <w:tcW w:w="1163" w:type="dxa"/>
                  <w:tcBorders>
                    <w:tl2br w:val="nil"/>
                    <w:tr2bl w:val="nil"/>
                  </w:tcBorders>
                  <w:shd w:val="clear" w:color="auto" w:fill="auto"/>
                  <w:noWrap w:val="0"/>
                  <w:vAlign w:val="center"/>
                </w:tcPr>
                <w:p w14:paraId="54B817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793B62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FZ68-21</w:t>
                  </w:r>
                </w:p>
              </w:tc>
              <w:tc>
                <w:tcPr>
                  <w:tcW w:w="1150" w:type="dxa"/>
                  <w:tcBorders>
                    <w:tl2br w:val="nil"/>
                    <w:tr2bl w:val="nil"/>
                  </w:tcBorders>
                  <w:shd w:val="clear" w:color="auto" w:fill="auto"/>
                  <w:noWrap w:val="0"/>
                  <w:vAlign w:val="center"/>
                </w:tcPr>
                <w:p w14:paraId="542615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60B707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275DC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半封</w:t>
                  </w:r>
                </w:p>
              </w:tc>
            </w:tr>
            <w:tr w14:paraId="7064D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C3FD2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243821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30ED44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1DB607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539BCB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FZ68-21</w:t>
                  </w:r>
                </w:p>
              </w:tc>
              <w:tc>
                <w:tcPr>
                  <w:tcW w:w="1150" w:type="dxa"/>
                  <w:tcBorders>
                    <w:tl2br w:val="nil"/>
                    <w:tr2bl w:val="nil"/>
                  </w:tcBorders>
                  <w:shd w:val="clear" w:color="auto" w:fill="auto"/>
                  <w:noWrap w:val="0"/>
                  <w:vAlign w:val="center"/>
                </w:tcPr>
                <w:p w14:paraId="575774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16261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47F3CC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全封</w:t>
                  </w:r>
                </w:p>
              </w:tc>
            </w:tr>
            <w:tr w14:paraId="206533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B67AD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59A2D5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6E5127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296A4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节流管汇</w:t>
                  </w:r>
                </w:p>
              </w:tc>
              <w:tc>
                <w:tcPr>
                  <w:tcW w:w="1312" w:type="dxa"/>
                  <w:tcBorders>
                    <w:tl2br w:val="nil"/>
                    <w:tr2bl w:val="nil"/>
                  </w:tcBorders>
                  <w:shd w:val="clear" w:color="auto" w:fill="auto"/>
                  <w:noWrap w:val="0"/>
                  <w:vAlign w:val="center"/>
                </w:tcPr>
                <w:p w14:paraId="2E010F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JG-21</w:t>
                  </w:r>
                </w:p>
              </w:tc>
              <w:tc>
                <w:tcPr>
                  <w:tcW w:w="1150" w:type="dxa"/>
                  <w:tcBorders>
                    <w:tl2br w:val="nil"/>
                    <w:tr2bl w:val="nil"/>
                  </w:tcBorders>
                  <w:shd w:val="clear" w:color="auto" w:fill="auto"/>
                  <w:noWrap w:val="0"/>
                  <w:vAlign w:val="center"/>
                </w:tcPr>
                <w:p w14:paraId="56AB53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3A76D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2A64FC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7936F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550FD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5D1F66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308091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2E2FF6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压井管汇</w:t>
                  </w:r>
                </w:p>
              </w:tc>
              <w:tc>
                <w:tcPr>
                  <w:tcW w:w="1312" w:type="dxa"/>
                  <w:tcBorders>
                    <w:tl2br w:val="nil"/>
                    <w:tr2bl w:val="nil"/>
                  </w:tcBorders>
                  <w:shd w:val="clear" w:color="auto" w:fill="auto"/>
                  <w:noWrap w:val="0"/>
                  <w:vAlign w:val="center"/>
                </w:tcPr>
                <w:p w14:paraId="4F2EB1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YG-21</w:t>
                  </w:r>
                </w:p>
              </w:tc>
              <w:tc>
                <w:tcPr>
                  <w:tcW w:w="1150" w:type="dxa"/>
                  <w:tcBorders>
                    <w:tl2br w:val="nil"/>
                    <w:tr2bl w:val="nil"/>
                  </w:tcBorders>
                  <w:shd w:val="clear" w:color="auto" w:fill="auto"/>
                  <w:noWrap w:val="0"/>
                  <w:vAlign w:val="center"/>
                </w:tcPr>
                <w:p w14:paraId="392CD0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97788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44FD16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6410A8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0F9A8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1DD91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548EA3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4C3F0A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钻井四通</w:t>
                  </w:r>
                </w:p>
              </w:tc>
              <w:tc>
                <w:tcPr>
                  <w:tcW w:w="1312" w:type="dxa"/>
                  <w:tcBorders>
                    <w:tl2br w:val="nil"/>
                    <w:tr2bl w:val="nil"/>
                  </w:tcBorders>
                  <w:shd w:val="clear" w:color="auto" w:fill="auto"/>
                  <w:noWrap w:val="0"/>
                  <w:vAlign w:val="center"/>
                </w:tcPr>
                <w:p w14:paraId="4A398C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FS68-21</w:t>
                  </w:r>
                </w:p>
              </w:tc>
              <w:tc>
                <w:tcPr>
                  <w:tcW w:w="1150" w:type="dxa"/>
                  <w:tcBorders>
                    <w:tl2br w:val="nil"/>
                    <w:tr2bl w:val="nil"/>
                  </w:tcBorders>
                  <w:shd w:val="clear" w:color="auto" w:fill="auto"/>
                  <w:noWrap w:val="0"/>
                  <w:vAlign w:val="center"/>
                </w:tcPr>
                <w:p w14:paraId="0A5610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AD772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73683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597D7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8886E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B540D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7F6E7A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14ABB2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升高短节</w:t>
                  </w:r>
                </w:p>
              </w:tc>
              <w:tc>
                <w:tcPr>
                  <w:tcW w:w="1312" w:type="dxa"/>
                  <w:tcBorders>
                    <w:tl2br w:val="nil"/>
                    <w:tr2bl w:val="nil"/>
                  </w:tcBorders>
                  <w:shd w:val="clear" w:color="auto" w:fill="auto"/>
                  <w:noWrap w:val="0"/>
                  <w:vAlign w:val="center"/>
                </w:tcPr>
                <w:p w14:paraId="3AFFFB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68-21</w:t>
                  </w:r>
                </w:p>
              </w:tc>
              <w:tc>
                <w:tcPr>
                  <w:tcW w:w="1150" w:type="dxa"/>
                  <w:tcBorders>
                    <w:tl2br w:val="nil"/>
                    <w:tr2bl w:val="nil"/>
                  </w:tcBorders>
                  <w:shd w:val="clear" w:color="auto" w:fill="auto"/>
                  <w:noWrap w:val="0"/>
                  <w:vAlign w:val="center"/>
                </w:tcPr>
                <w:p w14:paraId="0D77FB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23F4D3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2D3DC9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6773D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0CAC7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98C7F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restart"/>
                  <w:tcBorders>
                    <w:tl2br w:val="nil"/>
                    <w:tr2bl w:val="nil"/>
                  </w:tcBorders>
                  <w:noWrap w:val="0"/>
                  <w:vAlign w:val="center"/>
                </w:tcPr>
                <w:p w14:paraId="23FBAF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三开</w:t>
                  </w:r>
                </w:p>
              </w:tc>
              <w:tc>
                <w:tcPr>
                  <w:tcW w:w="1163" w:type="dxa"/>
                  <w:tcBorders>
                    <w:tl2br w:val="nil"/>
                    <w:tr2bl w:val="nil"/>
                  </w:tcBorders>
                  <w:shd w:val="clear" w:color="auto" w:fill="auto"/>
                  <w:noWrap w:val="0"/>
                  <w:vAlign w:val="center"/>
                </w:tcPr>
                <w:p w14:paraId="276929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环形防喷器</w:t>
                  </w:r>
                </w:p>
              </w:tc>
              <w:tc>
                <w:tcPr>
                  <w:tcW w:w="1312" w:type="dxa"/>
                  <w:tcBorders>
                    <w:tl2br w:val="nil"/>
                    <w:tr2bl w:val="nil"/>
                  </w:tcBorders>
                  <w:shd w:val="clear" w:color="auto" w:fill="auto"/>
                  <w:noWrap w:val="0"/>
                  <w:vAlign w:val="center"/>
                </w:tcPr>
                <w:p w14:paraId="2618FB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FH54-35</w:t>
                  </w:r>
                </w:p>
              </w:tc>
              <w:tc>
                <w:tcPr>
                  <w:tcW w:w="1150" w:type="dxa"/>
                  <w:tcBorders>
                    <w:tl2br w:val="nil"/>
                    <w:tr2bl w:val="nil"/>
                  </w:tcBorders>
                  <w:shd w:val="clear" w:color="auto" w:fill="auto"/>
                  <w:noWrap w:val="0"/>
                  <w:vAlign w:val="center"/>
                </w:tcPr>
                <w:p w14:paraId="3FC8F8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51EA42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07298B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40A730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451721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246680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5036F8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1AEFAE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104021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FZ54-70</w:t>
                  </w:r>
                </w:p>
              </w:tc>
              <w:tc>
                <w:tcPr>
                  <w:tcW w:w="1150" w:type="dxa"/>
                  <w:tcBorders>
                    <w:tl2br w:val="nil"/>
                    <w:tr2bl w:val="nil"/>
                  </w:tcBorders>
                  <w:shd w:val="clear" w:color="auto" w:fill="auto"/>
                  <w:noWrap w:val="0"/>
                  <w:vAlign w:val="center"/>
                </w:tcPr>
                <w:p w14:paraId="064169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03CCBA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0897F0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全封</w:t>
                  </w:r>
                </w:p>
              </w:tc>
            </w:tr>
            <w:tr w14:paraId="5A1A20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41BD60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398310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5C6F9E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06AEBF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34F95B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FZ54-70</w:t>
                  </w:r>
                </w:p>
              </w:tc>
              <w:tc>
                <w:tcPr>
                  <w:tcW w:w="1150" w:type="dxa"/>
                  <w:tcBorders>
                    <w:tl2br w:val="nil"/>
                    <w:tr2bl w:val="nil"/>
                  </w:tcBorders>
                  <w:shd w:val="clear" w:color="auto" w:fill="auto"/>
                  <w:noWrap w:val="0"/>
                  <w:vAlign w:val="center"/>
                </w:tcPr>
                <w:p w14:paraId="34A47B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0F1229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E9BB8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半封</w:t>
                  </w:r>
                </w:p>
              </w:tc>
            </w:tr>
            <w:tr w14:paraId="726EB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10201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7433E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59E4DD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C2501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节流管汇</w:t>
                  </w:r>
                </w:p>
              </w:tc>
              <w:tc>
                <w:tcPr>
                  <w:tcW w:w="1312" w:type="dxa"/>
                  <w:tcBorders>
                    <w:tl2br w:val="nil"/>
                    <w:tr2bl w:val="nil"/>
                  </w:tcBorders>
                  <w:shd w:val="clear" w:color="auto" w:fill="auto"/>
                  <w:noWrap w:val="0"/>
                  <w:vAlign w:val="center"/>
                </w:tcPr>
                <w:p w14:paraId="395150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JG-70</w:t>
                  </w:r>
                </w:p>
              </w:tc>
              <w:tc>
                <w:tcPr>
                  <w:tcW w:w="1150" w:type="dxa"/>
                  <w:tcBorders>
                    <w:tl2br w:val="nil"/>
                    <w:tr2bl w:val="nil"/>
                  </w:tcBorders>
                  <w:shd w:val="clear" w:color="auto" w:fill="auto"/>
                  <w:noWrap w:val="0"/>
                  <w:vAlign w:val="center"/>
                </w:tcPr>
                <w:p w14:paraId="7DB099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7580D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E78B9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362E22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DF1A6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79D1B0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212B33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5C73F2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压井管汇</w:t>
                  </w:r>
                </w:p>
              </w:tc>
              <w:tc>
                <w:tcPr>
                  <w:tcW w:w="1312" w:type="dxa"/>
                  <w:tcBorders>
                    <w:tl2br w:val="nil"/>
                    <w:tr2bl w:val="nil"/>
                  </w:tcBorders>
                  <w:shd w:val="clear" w:color="auto" w:fill="auto"/>
                  <w:noWrap w:val="0"/>
                  <w:vAlign w:val="center"/>
                </w:tcPr>
                <w:p w14:paraId="4F5B79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YG-70</w:t>
                  </w:r>
                </w:p>
              </w:tc>
              <w:tc>
                <w:tcPr>
                  <w:tcW w:w="1150" w:type="dxa"/>
                  <w:tcBorders>
                    <w:tl2br w:val="nil"/>
                    <w:tr2bl w:val="nil"/>
                  </w:tcBorders>
                  <w:shd w:val="clear" w:color="auto" w:fill="auto"/>
                  <w:noWrap w:val="0"/>
                  <w:vAlign w:val="center"/>
                </w:tcPr>
                <w:p w14:paraId="770E7C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75589C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30D60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0B922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9B8A3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14E3E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0B31C4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04030D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钻井四通</w:t>
                  </w:r>
                </w:p>
              </w:tc>
              <w:tc>
                <w:tcPr>
                  <w:tcW w:w="1312" w:type="dxa"/>
                  <w:tcBorders>
                    <w:tl2br w:val="nil"/>
                    <w:tr2bl w:val="nil"/>
                  </w:tcBorders>
                  <w:shd w:val="clear" w:color="auto" w:fill="auto"/>
                  <w:noWrap w:val="0"/>
                  <w:vAlign w:val="center"/>
                </w:tcPr>
                <w:p w14:paraId="23BEC9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FS54-70</w:t>
                  </w:r>
                </w:p>
              </w:tc>
              <w:tc>
                <w:tcPr>
                  <w:tcW w:w="1150" w:type="dxa"/>
                  <w:tcBorders>
                    <w:tl2br w:val="nil"/>
                    <w:tr2bl w:val="nil"/>
                  </w:tcBorders>
                  <w:shd w:val="clear" w:color="auto" w:fill="auto"/>
                  <w:noWrap w:val="0"/>
                  <w:vAlign w:val="center"/>
                </w:tcPr>
                <w:p w14:paraId="3C16FD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1FAFCE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05208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6453AF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A7FBC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53FEF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7CCE3E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54440C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升高短节</w:t>
                  </w:r>
                </w:p>
              </w:tc>
              <w:tc>
                <w:tcPr>
                  <w:tcW w:w="1312" w:type="dxa"/>
                  <w:tcBorders>
                    <w:tl2br w:val="nil"/>
                    <w:tr2bl w:val="nil"/>
                  </w:tcBorders>
                  <w:shd w:val="clear" w:color="auto" w:fill="auto"/>
                  <w:noWrap w:val="0"/>
                  <w:vAlign w:val="center"/>
                </w:tcPr>
                <w:p w14:paraId="654854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54-70</w:t>
                  </w:r>
                </w:p>
              </w:tc>
              <w:tc>
                <w:tcPr>
                  <w:tcW w:w="1150" w:type="dxa"/>
                  <w:tcBorders>
                    <w:tl2br w:val="nil"/>
                    <w:tr2bl w:val="nil"/>
                  </w:tcBorders>
                  <w:shd w:val="clear" w:color="auto" w:fill="auto"/>
                  <w:noWrap w:val="0"/>
                  <w:vAlign w:val="center"/>
                </w:tcPr>
                <w:p w14:paraId="067D00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38662F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63527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0C6B5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97261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72A7C6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restart"/>
                  <w:tcBorders>
                    <w:tl2br w:val="nil"/>
                    <w:tr2bl w:val="nil"/>
                  </w:tcBorders>
                  <w:noWrap w:val="0"/>
                  <w:vAlign w:val="center"/>
                </w:tcPr>
                <w:p w14:paraId="31C584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四开</w:t>
                  </w:r>
                </w:p>
              </w:tc>
              <w:tc>
                <w:tcPr>
                  <w:tcW w:w="1163" w:type="dxa"/>
                  <w:tcBorders>
                    <w:tl2br w:val="nil"/>
                    <w:tr2bl w:val="nil"/>
                  </w:tcBorders>
                  <w:shd w:val="clear" w:color="auto" w:fill="auto"/>
                  <w:noWrap w:val="0"/>
                  <w:vAlign w:val="center"/>
                </w:tcPr>
                <w:p w14:paraId="24453B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环形防喷器</w:t>
                  </w:r>
                </w:p>
              </w:tc>
              <w:tc>
                <w:tcPr>
                  <w:tcW w:w="1312" w:type="dxa"/>
                  <w:tcBorders>
                    <w:tl2br w:val="nil"/>
                    <w:tr2bl w:val="nil"/>
                  </w:tcBorders>
                  <w:shd w:val="clear" w:color="auto" w:fill="auto"/>
                  <w:noWrap w:val="0"/>
                  <w:vAlign w:val="center"/>
                </w:tcPr>
                <w:p w14:paraId="79EB22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FH54-35</w:t>
                  </w:r>
                </w:p>
              </w:tc>
              <w:tc>
                <w:tcPr>
                  <w:tcW w:w="1150" w:type="dxa"/>
                  <w:tcBorders>
                    <w:tl2br w:val="nil"/>
                    <w:tr2bl w:val="nil"/>
                  </w:tcBorders>
                  <w:shd w:val="clear" w:color="auto" w:fill="auto"/>
                  <w:noWrap w:val="0"/>
                  <w:vAlign w:val="center"/>
                </w:tcPr>
                <w:p w14:paraId="640A7F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D3411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463114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2762AB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7B9548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581FDD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2292BE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7F29FC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749EC6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FZ54-70</w:t>
                  </w:r>
                </w:p>
              </w:tc>
              <w:tc>
                <w:tcPr>
                  <w:tcW w:w="1150" w:type="dxa"/>
                  <w:tcBorders>
                    <w:tl2br w:val="nil"/>
                    <w:tr2bl w:val="nil"/>
                  </w:tcBorders>
                  <w:shd w:val="clear" w:color="auto" w:fill="auto"/>
                  <w:noWrap w:val="0"/>
                  <w:vAlign w:val="center"/>
                </w:tcPr>
                <w:p w14:paraId="37A4BE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35B5CF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2178B5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剪切</w:t>
                  </w:r>
                </w:p>
              </w:tc>
            </w:tr>
            <w:tr w14:paraId="4275B4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760E6B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2D293F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2F3CD2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153B42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49FB7E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FZ54-70</w:t>
                  </w:r>
                </w:p>
              </w:tc>
              <w:tc>
                <w:tcPr>
                  <w:tcW w:w="1150" w:type="dxa"/>
                  <w:tcBorders>
                    <w:tl2br w:val="nil"/>
                    <w:tr2bl w:val="nil"/>
                  </w:tcBorders>
                  <w:shd w:val="clear" w:color="auto" w:fill="auto"/>
                  <w:noWrap w:val="0"/>
                  <w:vAlign w:val="center"/>
                </w:tcPr>
                <w:p w14:paraId="78BB1F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248780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4C6C02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全封</w:t>
                  </w:r>
                </w:p>
              </w:tc>
            </w:tr>
            <w:tr w14:paraId="31569B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411EB5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51244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48C525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304EC9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0089B4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FZ54-70</w:t>
                  </w:r>
                </w:p>
              </w:tc>
              <w:tc>
                <w:tcPr>
                  <w:tcW w:w="1150" w:type="dxa"/>
                  <w:tcBorders>
                    <w:tl2br w:val="nil"/>
                    <w:tr2bl w:val="nil"/>
                  </w:tcBorders>
                  <w:shd w:val="clear" w:color="auto" w:fill="auto"/>
                  <w:noWrap w:val="0"/>
                  <w:vAlign w:val="center"/>
                </w:tcPr>
                <w:p w14:paraId="5647E5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CA7C3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1CEF7D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半封</w:t>
                  </w:r>
                </w:p>
              </w:tc>
            </w:tr>
            <w:tr w14:paraId="0C445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6EC9EF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D9C62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71A644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0AB960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节流管汇</w:t>
                  </w:r>
                </w:p>
              </w:tc>
              <w:tc>
                <w:tcPr>
                  <w:tcW w:w="1312" w:type="dxa"/>
                  <w:tcBorders>
                    <w:tl2br w:val="nil"/>
                    <w:tr2bl w:val="nil"/>
                  </w:tcBorders>
                  <w:shd w:val="clear" w:color="auto" w:fill="auto"/>
                  <w:noWrap w:val="0"/>
                  <w:vAlign w:val="center"/>
                </w:tcPr>
                <w:p w14:paraId="3CA0CF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JG-70</w:t>
                  </w:r>
                </w:p>
              </w:tc>
              <w:tc>
                <w:tcPr>
                  <w:tcW w:w="1150" w:type="dxa"/>
                  <w:tcBorders>
                    <w:tl2br w:val="nil"/>
                    <w:tr2bl w:val="nil"/>
                  </w:tcBorders>
                  <w:shd w:val="clear" w:color="auto" w:fill="auto"/>
                  <w:noWrap w:val="0"/>
                  <w:vAlign w:val="center"/>
                </w:tcPr>
                <w:p w14:paraId="0F3CD8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1FF3A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4A7602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147964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2EA84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381E07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30C15C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4358F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压井管汇</w:t>
                  </w:r>
                </w:p>
              </w:tc>
              <w:tc>
                <w:tcPr>
                  <w:tcW w:w="1312" w:type="dxa"/>
                  <w:tcBorders>
                    <w:tl2br w:val="nil"/>
                    <w:tr2bl w:val="nil"/>
                  </w:tcBorders>
                  <w:shd w:val="clear" w:color="auto" w:fill="auto"/>
                  <w:noWrap w:val="0"/>
                  <w:vAlign w:val="center"/>
                </w:tcPr>
                <w:p w14:paraId="1838D5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YG-70</w:t>
                  </w:r>
                </w:p>
              </w:tc>
              <w:tc>
                <w:tcPr>
                  <w:tcW w:w="1150" w:type="dxa"/>
                  <w:tcBorders>
                    <w:tl2br w:val="nil"/>
                    <w:tr2bl w:val="nil"/>
                  </w:tcBorders>
                  <w:shd w:val="clear" w:color="auto" w:fill="auto"/>
                  <w:noWrap w:val="0"/>
                  <w:vAlign w:val="center"/>
                </w:tcPr>
                <w:p w14:paraId="123B7C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5460C1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80A03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4562D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4CBDA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C0FE2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1A4B48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2C5C87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钻井四通</w:t>
                  </w:r>
                </w:p>
              </w:tc>
              <w:tc>
                <w:tcPr>
                  <w:tcW w:w="1312" w:type="dxa"/>
                  <w:tcBorders>
                    <w:tl2br w:val="nil"/>
                    <w:tr2bl w:val="nil"/>
                  </w:tcBorders>
                  <w:shd w:val="clear" w:color="auto" w:fill="auto"/>
                  <w:noWrap w:val="0"/>
                  <w:vAlign w:val="center"/>
                </w:tcPr>
                <w:p w14:paraId="0B46E3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FS54-70</w:t>
                  </w:r>
                </w:p>
              </w:tc>
              <w:tc>
                <w:tcPr>
                  <w:tcW w:w="1150" w:type="dxa"/>
                  <w:tcBorders>
                    <w:tl2br w:val="nil"/>
                    <w:tr2bl w:val="nil"/>
                  </w:tcBorders>
                  <w:shd w:val="clear" w:color="auto" w:fill="auto"/>
                  <w:noWrap w:val="0"/>
                  <w:vAlign w:val="center"/>
                </w:tcPr>
                <w:p w14:paraId="6A7346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3B9830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3EBD6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7E4918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0CD0B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01BFC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11BEA9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BEB79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升高短节</w:t>
                  </w:r>
                </w:p>
              </w:tc>
              <w:tc>
                <w:tcPr>
                  <w:tcW w:w="1312" w:type="dxa"/>
                  <w:tcBorders>
                    <w:tl2br w:val="nil"/>
                    <w:tr2bl w:val="nil"/>
                  </w:tcBorders>
                  <w:shd w:val="clear" w:color="auto" w:fill="auto"/>
                  <w:noWrap w:val="0"/>
                  <w:vAlign w:val="center"/>
                </w:tcPr>
                <w:p w14:paraId="622F45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54-70</w:t>
                  </w:r>
                </w:p>
              </w:tc>
              <w:tc>
                <w:tcPr>
                  <w:tcW w:w="1150" w:type="dxa"/>
                  <w:tcBorders>
                    <w:tl2br w:val="nil"/>
                    <w:tr2bl w:val="nil"/>
                  </w:tcBorders>
                  <w:shd w:val="clear" w:color="auto" w:fill="auto"/>
                  <w:noWrap w:val="0"/>
                  <w:vAlign w:val="center"/>
                </w:tcPr>
                <w:p w14:paraId="4C500B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32A27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372A6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3D4462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7B70C2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5AB88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restart"/>
                  <w:tcBorders>
                    <w:tl2br w:val="nil"/>
                    <w:tr2bl w:val="nil"/>
                  </w:tcBorders>
                  <w:noWrap w:val="0"/>
                  <w:vAlign w:val="center"/>
                </w:tcPr>
                <w:p w14:paraId="632E01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五开</w:t>
                  </w:r>
                </w:p>
              </w:tc>
              <w:tc>
                <w:tcPr>
                  <w:tcW w:w="1163" w:type="dxa"/>
                  <w:tcBorders>
                    <w:tl2br w:val="nil"/>
                    <w:tr2bl w:val="nil"/>
                  </w:tcBorders>
                  <w:shd w:val="clear" w:color="auto" w:fill="auto"/>
                  <w:noWrap w:val="0"/>
                  <w:vAlign w:val="center"/>
                </w:tcPr>
                <w:p w14:paraId="425A52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旋转防喷器</w:t>
                  </w:r>
                </w:p>
              </w:tc>
              <w:tc>
                <w:tcPr>
                  <w:tcW w:w="1312" w:type="dxa"/>
                  <w:tcBorders>
                    <w:tl2br w:val="nil"/>
                    <w:tr2bl w:val="nil"/>
                  </w:tcBorders>
                  <w:shd w:val="clear" w:color="auto" w:fill="auto"/>
                  <w:noWrap w:val="0"/>
                  <w:vAlign w:val="center"/>
                </w:tcPr>
                <w:p w14:paraId="094BCA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rPr>
                    <w:t>XK35-17.5/35</w:t>
                  </w:r>
                </w:p>
              </w:tc>
              <w:tc>
                <w:tcPr>
                  <w:tcW w:w="1150" w:type="dxa"/>
                  <w:tcBorders>
                    <w:tl2br w:val="nil"/>
                    <w:tr2bl w:val="nil"/>
                  </w:tcBorders>
                  <w:shd w:val="clear" w:color="auto" w:fill="auto"/>
                  <w:noWrap w:val="0"/>
                  <w:vAlign w:val="center"/>
                </w:tcPr>
                <w:p w14:paraId="608184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3F4A19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658138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110F52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32D535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E4509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2A73EC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7E013D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环形防喷器</w:t>
                  </w:r>
                </w:p>
              </w:tc>
              <w:tc>
                <w:tcPr>
                  <w:tcW w:w="1312" w:type="dxa"/>
                  <w:tcBorders>
                    <w:tl2br w:val="nil"/>
                    <w:tr2bl w:val="nil"/>
                  </w:tcBorders>
                  <w:shd w:val="clear" w:color="auto" w:fill="auto"/>
                  <w:noWrap w:val="0"/>
                  <w:vAlign w:val="center"/>
                </w:tcPr>
                <w:p w14:paraId="72E87D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FH28-105</w:t>
                  </w:r>
                </w:p>
              </w:tc>
              <w:tc>
                <w:tcPr>
                  <w:tcW w:w="1150" w:type="dxa"/>
                  <w:tcBorders>
                    <w:tl2br w:val="nil"/>
                    <w:tr2bl w:val="nil"/>
                  </w:tcBorders>
                  <w:shd w:val="clear" w:color="auto" w:fill="auto"/>
                  <w:noWrap w:val="0"/>
                  <w:vAlign w:val="center"/>
                </w:tcPr>
                <w:p w14:paraId="7160BB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16B692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32AA1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7A3208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45D83D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D3855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3ACCD2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5B9023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55970E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FZ28-140</w:t>
                  </w:r>
                </w:p>
              </w:tc>
              <w:tc>
                <w:tcPr>
                  <w:tcW w:w="1150" w:type="dxa"/>
                  <w:tcBorders>
                    <w:tl2br w:val="nil"/>
                    <w:tr2bl w:val="nil"/>
                  </w:tcBorders>
                  <w:shd w:val="clear" w:color="auto" w:fill="auto"/>
                  <w:noWrap w:val="0"/>
                  <w:vAlign w:val="center"/>
                </w:tcPr>
                <w:p w14:paraId="3AF028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1B1C4A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0236D4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半封</w:t>
                  </w:r>
                </w:p>
              </w:tc>
            </w:tr>
            <w:tr w14:paraId="06199E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7E18DF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7FC8BC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71EADA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5213AB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单闸板防喷器</w:t>
                  </w:r>
                </w:p>
              </w:tc>
              <w:tc>
                <w:tcPr>
                  <w:tcW w:w="1312" w:type="dxa"/>
                  <w:tcBorders>
                    <w:tl2br w:val="nil"/>
                    <w:tr2bl w:val="nil"/>
                  </w:tcBorders>
                  <w:shd w:val="clear" w:color="auto" w:fill="auto"/>
                  <w:noWrap w:val="0"/>
                  <w:vAlign w:val="center"/>
                </w:tcPr>
                <w:p w14:paraId="6E0075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FZ28-140</w:t>
                  </w:r>
                </w:p>
              </w:tc>
              <w:tc>
                <w:tcPr>
                  <w:tcW w:w="1150" w:type="dxa"/>
                  <w:tcBorders>
                    <w:tl2br w:val="nil"/>
                    <w:tr2bl w:val="nil"/>
                  </w:tcBorders>
                  <w:shd w:val="clear" w:color="auto" w:fill="auto"/>
                  <w:noWrap w:val="0"/>
                  <w:vAlign w:val="center"/>
                </w:tcPr>
                <w:p w14:paraId="15105C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014781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A2C5D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剪切</w:t>
                  </w:r>
                </w:p>
              </w:tc>
            </w:tr>
            <w:tr w14:paraId="0703B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6850A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7EF77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73696A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327CD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双闸板防喷器</w:t>
                  </w:r>
                </w:p>
              </w:tc>
              <w:tc>
                <w:tcPr>
                  <w:tcW w:w="1312" w:type="dxa"/>
                  <w:tcBorders>
                    <w:tl2br w:val="nil"/>
                    <w:tr2bl w:val="nil"/>
                  </w:tcBorders>
                  <w:shd w:val="clear" w:color="auto" w:fill="auto"/>
                  <w:noWrap w:val="0"/>
                  <w:vAlign w:val="center"/>
                </w:tcPr>
                <w:p w14:paraId="154D3B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2FZ28-140</w:t>
                  </w:r>
                </w:p>
              </w:tc>
              <w:tc>
                <w:tcPr>
                  <w:tcW w:w="1150" w:type="dxa"/>
                  <w:tcBorders>
                    <w:tl2br w:val="nil"/>
                    <w:tr2bl w:val="nil"/>
                  </w:tcBorders>
                  <w:shd w:val="clear" w:color="auto" w:fill="auto"/>
                  <w:noWrap w:val="0"/>
                  <w:vAlign w:val="center"/>
                </w:tcPr>
                <w:p w14:paraId="058D5E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8CD05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727033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全封+半封</w:t>
                  </w:r>
                </w:p>
              </w:tc>
            </w:tr>
            <w:tr w14:paraId="62835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04BFF0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47DA6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2D55A5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4CA36C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节流管汇</w:t>
                  </w:r>
                </w:p>
              </w:tc>
              <w:tc>
                <w:tcPr>
                  <w:tcW w:w="1312" w:type="dxa"/>
                  <w:tcBorders>
                    <w:tl2br w:val="nil"/>
                    <w:tr2bl w:val="nil"/>
                  </w:tcBorders>
                  <w:shd w:val="clear" w:color="auto" w:fill="auto"/>
                  <w:noWrap w:val="0"/>
                  <w:vAlign w:val="center"/>
                </w:tcPr>
                <w:p w14:paraId="4C9DF1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JG-140</w:t>
                  </w:r>
                </w:p>
              </w:tc>
              <w:tc>
                <w:tcPr>
                  <w:tcW w:w="1150" w:type="dxa"/>
                  <w:tcBorders>
                    <w:tl2br w:val="nil"/>
                    <w:tr2bl w:val="nil"/>
                  </w:tcBorders>
                  <w:shd w:val="clear" w:color="auto" w:fill="auto"/>
                  <w:noWrap w:val="0"/>
                  <w:vAlign w:val="center"/>
                </w:tcPr>
                <w:p w14:paraId="43D32E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38A6C5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77679A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020C1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62C6C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39C0C1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5193F6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FB5D8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压井管汇</w:t>
                  </w:r>
                </w:p>
              </w:tc>
              <w:tc>
                <w:tcPr>
                  <w:tcW w:w="1312" w:type="dxa"/>
                  <w:tcBorders>
                    <w:tl2br w:val="nil"/>
                    <w:tr2bl w:val="nil"/>
                  </w:tcBorders>
                  <w:shd w:val="clear" w:color="auto" w:fill="auto"/>
                  <w:noWrap w:val="0"/>
                  <w:vAlign w:val="center"/>
                </w:tcPr>
                <w:p w14:paraId="0B1EB3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YG-140</w:t>
                  </w:r>
                </w:p>
              </w:tc>
              <w:tc>
                <w:tcPr>
                  <w:tcW w:w="1150" w:type="dxa"/>
                  <w:tcBorders>
                    <w:tl2br w:val="nil"/>
                    <w:tr2bl w:val="nil"/>
                  </w:tcBorders>
                  <w:shd w:val="clear" w:color="auto" w:fill="auto"/>
                  <w:noWrap w:val="0"/>
                  <w:vAlign w:val="center"/>
                </w:tcPr>
                <w:p w14:paraId="0893DC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465AF3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6BCFD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00646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468567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0D3BC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02968F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56EF5A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钻井四通（上）</w:t>
                  </w:r>
                </w:p>
              </w:tc>
              <w:tc>
                <w:tcPr>
                  <w:tcW w:w="1312" w:type="dxa"/>
                  <w:tcBorders>
                    <w:tl2br w:val="nil"/>
                    <w:tr2bl w:val="nil"/>
                  </w:tcBorders>
                  <w:shd w:val="clear" w:color="auto" w:fill="auto"/>
                  <w:noWrap w:val="0"/>
                  <w:vAlign w:val="center"/>
                </w:tcPr>
                <w:p w14:paraId="776011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JG-140</w:t>
                  </w:r>
                </w:p>
              </w:tc>
              <w:tc>
                <w:tcPr>
                  <w:tcW w:w="1150" w:type="dxa"/>
                  <w:tcBorders>
                    <w:tl2br w:val="nil"/>
                    <w:tr2bl w:val="nil"/>
                  </w:tcBorders>
                  <w:shd w:val="clear" w:color="auto" w:fill="auto"/>
                  <w:noWrap w:val="0"/>
                  <w:vAlign w:val="center"/>
                </w:tcPr>
                <w:p w14:paraId="2B97BA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319D8D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7DF8E1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0017D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78CA2D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6DA221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400" w:type="dxa"/>
                  <w:vMerge w:val="continue"/>
                  <w:tcBorders>
                    <w:tl2br w:val="nil"/>
                    <w:tr2bl w:val="nil"/>
                  </w:tcBorders>
                  <w:noWrap w:val="0"/>
                  <w:vAlign w:val="center"/>
                </w:tcPr>
                <w:p w14:paraId="1A35AF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63" w:type="dxa"/>
                  <w:tcBorders>
                    <w:tl2br w:val="nil"/>
                    <w:tr2bl w:val="nil"/>
                  </w:tcBorders>
                  <w:shd w:val="clear" w:color="auto" w:fill="auto"/>
                  <w:noWrap w:val="0"/>
                  <w:vAlign w:val="center"/>
                </w:tcPr>
                <w:p w14:paraId="65E835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钻井四通（下）</w:t>
                  </w:r>
                </w:p>
              </w:tc>
              <w:tc>
                <w:tcPr>
                  <w:tcW w:w="1312" w:type="dxa"/>
                  <w:tcBorders>
                    <w:tl2br w:val="nil"/>
                    <w:tr2bl w:val="nil"/>
                  </w:tcBorders>
                  <w:shd w:val="clear" w:color="auto" w:fill="auto"/>
                  <w:noWrap w:val="0"/>
                  <w:vAlign w:val="center"/>
                </w:tcPr>
                <w:p w14:paraId="36952B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YG-140</w:t>
                  </w:r>
                </w:p>
              </w:tc>
              <w:tc>
                <w:tcPr>
                  <w:tcW w:w="1150" w:type="dxa"/>
                  <w:tcBorders>
                    <w:tl2br w:val="nil"/>
                    <w:tr2bl w:val="nil"/>
                  </w:tcBorders>
                  <w:shd w:val="clear" w:color="auto" w:fill="auto"/>
                  <w:noWrap w:val="0"/>
                  <w:vAlign w:val="center"/>
                </w:tcPr>
                <w:p w14:paraId="02D131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5D4ED9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3E3E75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p>
              </w:tc>
            </w:tr>
            <w:tr w14:paraId="0D398D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B3D41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5C3AB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787645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控制装置</w:t>
                  </w:r>
                </w:p>
              </w:tc>
              <w:tc>
                <w:tcPr>
                  <w:tcW w:w="1312" w:type="dxa"/>
                  <w:tcBorders>
                    <w:tl2br w:val="nil"/>
                    <w:tr2bl w:val="nil"/>
                  </w:tcBorders>
                  <w:noWrap w:val="0"/>
                  <w:vAlign w:val="center"/>
                </w:tcPr>
                <w:p w14:paraId="33BC65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FKDQ1280-10</w:t>
                  </w:r>
                </w:p>
              </w:tc>
              <w:tc>
                <w:tcPr>
                  <w:tcW w:w="1150" w:type="dxa"/>
                  <w:tcBorders>
                    <w:tl2br w:val="nil"/>
                    <w:tr2bl w:val="nil"/>
                  </w:tcBorders>
                  <w:noWrap w:val="0"/>
                  <w:vAlign w:val="center"/>
                </w:tcPr>
                <w:p w14:paraId="10E4FD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2BC469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1套</w:t>
                  </w:r>
                </w:p>
              </w:tc>
              <w:tc>
                <w:tcPr>
                  <w:tcW w:w="1755" w:type="dxa"/>
                  <w:tcBorders>
                    <w:tl2br w:val="nil"/>
                    <w:tr2bl w:val="nil"/>
                  </w:tcBorders>
                  <w:noWrap w:val="0"/>
                  <w:vAlign w:val="center"/>
                </w:tcPr>
                <w:p w14:paraId="79ACF0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0F021F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9BF47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51D98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6FDBAC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司钻控制台</w:t>
                  </w:r>
                </w:p>
              </w:tc>
              <w:tc>
                <w:tcPr>
                  <w:tcW w:w="1312" w:type="dxa"/>
                  <w:tcBorders>
                    <w:tl2br w:val="nil"/>
                    <w:tr2bl w:val="nil"/>
                  </w:tcBorders>
                  <w:noWrap w:val="0"/>
                  <w:vAlign w:val="center"/>
                </w:tcPr>
                <w:p w14:paraId="694BF9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50" w:type="dxa"/>
                  <w:tcBorders>
                    <w:tl2br w:val="nil"/>
                    <w:tr2bl w:val="nil"/>
                  </w:tcBorders>
                  <w:noWrap w:val="0"/>
                  <w:vAlign w:val="center"/>
                </w:tcPr>
                <w:p w14:paraId="01CFEF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1EED17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1套</w:t>
                  </w:r>
                </w:p>
              </w:tc>
              <w:tc>
                <w:tcPr>
                  <w:tcW w:w="1755" w:type="dxa"/>
                  <w:tcBorders>
                    <w:tl2br w:val="nil"/>
                    <w:tr2bl w:val="nil"/>
                  </w:tcBorders>
                  <w:noWrap w:val="0"/>
                  <w:vAlign w:val="center"/>
                </w:tcPr>
                <w:p w14:paraId="3B2BC1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20CF59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2F0F54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40DE8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478C6B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节流控制箱</w:t>
                  </w:r>
                </w:p>
              </w:tc>
              <w:tc>
                <w:tcPr>
                  <w:tcW w:w="1312" w:type="dxa"/>
                  <w:tcBorders>
                    <w:tl2br w:val="nil"/>
                    <w:tr2bl w:val="nil"/>
                  </w:tcBorders>
                  <w:noWrap w:val="0"/>
                  <w:vAlign w:val="center"/>
                </w:tcPr>
                <w:p w14:paraId="297EEC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150" w:type="dxa"/>
                  <w:tcBorders>
                    <w:tl2br w:val="nil"/>
                    <w:tr2bl w:val="nil"/>
                  </w:tcBorders>
                  <w:noWrap w:val="0"/>
                  <w:vAlign w:val="center"/>
                </w:tcPr>
                <w:p w14:paraId="79F305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171902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1套</w:t>
                  </w:r>
                </w:p>
              </w:tc>
              <w:tc>
                <w:tcPr>
                  <w:tcW w:w="1755" w:type="dxa"/>
                  <w:tcBorders>
                    <w:tl2br w:val="nil"/>
                    <w:tr2bl w:val="nil"/>
                  </w:tcBorders>
                  <w:noWrap w:val="0"/>
                  <w:vAlign w:val="center"/>
                </w:tcPr>
                <w:p w14:paraId="36421B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r>
            <w:tr w14:paraId="52897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37A421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93BAC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tcBorders>
                    <w:tl2br w:val="nil"/>
                    <w:tr2bl w:val="nil"/>
                  </w:tcBorders>
                  <w:noWrap w:val="0"/>
                  <w:vAlign w:val="center"/>
                </w:tcPr>
                <w:p w14:paraId="3C7E0D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液气分离器</w:t>
                  </w:r>
                </w:p>
              </w:tc>
              <w:tc>
                <w:tcPr>
                  <w:tcW w:w="1312" w:type="dxa"/>
                  <w:tcBorders>
                    <w:tl2br w:val="nil"/>
                    <w:tr2bl w:val="nil"/>
                  </w:tcBorders>
                  <w:noWrap w:val="0"/>
                  <w:vAlign w:val="center"/>
                </w:tcPr>
                <w:p w14:paraId="5978C0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NFQ-1400</w:t>
                  </w:r>
                </w:p>
              </w:tc>
              <w:tc>
                <w:tcPr>
                  <w:tcW w:w="1150" w:type="dxa"/>
                  <w:tcBorders>
                    <w:tl2br w:val="nil"/>
                    <w:tr2bl w:val="nil"/>
                  </w:tcBorders>
                  <w:noWrap w:val="0"/>
                  <w:vAlign w:val="center"/>
                </w:tcPr>
                <w:p w14:paraId="0896EC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759" w:type="dxa"/>
                  <w:tcBorders>
                    <w:tl2br w:val="nil"/>
                    <w:tr2bl w:val="nil"/>
                  </w:tcBorders>
                  <w:noWrap w:val="0"/>
                  <w:vAlign w:val="center"/>
                </w:tcPr>
                <w:p w14:paraId="721845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1台</w:t>
                  </w:r>
                </w:p>
              </w:tc>
              <w:tc>
                <w:tcPr>
                  <w:tcW w:w="1755" w:type="dxa"/>
                  <w:tcBorders>
                    <w:tl2br w:val="nil"/>
                    <w:tr2bl w:val="nil"/>
                  </w:tcBorders>
                  <w:noWrap w:val="0"/>
                  <w:vAlign w:val="center"/>
                </w:tcPr>
                <w:p w14:paraId="5E64F5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处理量不低于7200m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/d，本体直径不小于1400m</w:t>
                  </w:r>
                </w:p>
              </w:tc>
            </w:tr>
            <w:tr w14:paraId="6C530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00BD38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十三</w:t>
                  </w:r>
                </w:p>
              </w:tc>
              <w:tc>
                <w:tcPr>
                  <w:tcW w:w="662" w:type="dxa"/>
                  <w:vMerge w:val="restart"/>
                  <w:tcBorders>
                    <w:tl2br w:val="nil"/>
                    <w:tr2bl w:val="nil"/>
                  </w:tcBorders>
                  <w:noWrap w:val="0"/>
                  <w:vAlign w:val="center"/>
                </w:tcPr>
                <w:p w14:paraId="6A5991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仪器仪表</w:t>
                  </w:r>
                </w:p>
              </w:tc>
              <w:tc>
                <w:tcPr>
                  <w:tcW w:w="1563" w:type="dxa"/>
                  <w:gridSpan w:val="2"/>
                  <w:tcBorders>
                    <w:tl2br w:val="nil"/>
                    <w:tr2bl w:val="nil"/>
                  </w:tcBorders>
                  <w:shd w:val="clear" w:color="auto" w:fill="auto"/>
                  <w:noWrap w:val="0"/>
                  <w:vAlign w:val="center"/>
                </w:tcPr>
                <w:p w14:paraId="4048BF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钻井参数仪表</w:t>
                  </w:r>
                </w:p>
              </w:tc>
              <w:tc>
                <w:tcPr>
                  <w:tcW w:w="1312" w:type="dxa"/>
                  <w:tcBorders>
                    <w:tl2br w:val="nil"/>
                    <w:tr2bl w:val="nil"/>
                  </w:tcBorders>
                  <w:shd w:val="clear" w:color="auto" w:fill="auto"/>
                  <w:noWrap w:val="0"/>
                  <w:vAlign w:val="center"/>
                </w:tcPr>
                <w:p w14:paraId="1D3CF2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M/D TOTCO</w:t>
                  </w:r>
                </w:p>
              </w:tc>
              <w:tc>
                <w:tcPr>
                  <w:tcW w:w="1150" w:type="dxa"/>
                  <w:tcBorders>
                    <w:tl2br w:val="nil"/>
                    <w:tr2bl w:val="nil"/>
                  </w:tcBorders>
                  <w:shd w:val="clear" w:color="auto" w:fill="auto"/>
                  <w:noWrap w:val="0"/>
                  <w:vAlign w:val="center"/>
                </w:tcPr>
                <w:p w14:paraId="78D31B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p>
              </w:tc>
              <w:tc>
                <w:tcPr>
                  <w:tcW w:w="759" w:type="dxa"/>
                  <w:tcBorders>
                    <w:tl2br w:val="nil"/>
                    <w:tr2bl w:val="nil"/>
                  </w:tcBorders>
                  <w:shd w:val="clear" w:color="auto" w:fill="auto"/>
                  <w:noWrap w:val="0"/>
                  <w:vAlign w:val="center"/>
                </w:tcPr>
                <w:p w14:paraId="1FE1C3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5DFC2A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p>
              </w:tc>
            </w:tr>
            <w:tr w14:paraId="5255AA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5D9773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1FECDF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vMerge w:val="restart"/>
                  <w:tcBorders>
                    <w:tl2br w:val="nil"/>
                    <w:tr2bl w:val="nil"/>
                  </w:tcBorders>
                  <w:shd w:val="clear" w:color="auto" w:fill="auto"/>
                  <w:noWrap w:val="0"/>
                  <w:vAlign w:val="center"/>
                </w:tcPr>
                <w:p w14:paraId="2F875F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测斜仪</w:t>
                  </w:r>
                </w:p>
              </w:tc>
              <w:tc>
                <w:tcPr>
                  <w:tcW w:w="1312" w:type="dxa"/>
                  <w:tcBorders>
                    <w:tl2br w:val="nil"/>
                    <w:tr2bl w:val="nil"/>
                  </w:tcBorders>
                  <w:shd w:val="clear" w:color="auto" w:fill="auto"/>
                  <w:noWrap w:val="0"/>
                  <w:vAlign w:val="center"/>
                </w:tcPr>
                <w:p w14:paraId="6E2BCF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自浮式单点测斜仪</w:t>
                  </w:r>
                </w:p>
              </w:tc>
              <w:tc>
                <w:tcPr>
                  <w:tcW w:w="1150" w:type="dxa"/>
                  <w:tcBorders>
                    <w:tl2br w:val="nil"/>
                    <w:tr2bl w:val="nil"/>
                  </w:tcBorders>
                  <w:shd w:val="clear" w:color="auto" w:fill="auto"/>
                  <w:noWrap w:val="0"/>
                  <w:vAlign w:val="center"/>
                </w:tcPr>
                <w:p w14:paraId="7A08D9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p>
              </w:tc>
              <w:tc>
                <w:tcPr>
                  <w:tcW w:w="759" w:type="dxa"/>
                  <w:tcBorders>
                    <w:tl2br w:val="nil"/>
                    <w:tr2bl w:val="nil"/>
                  </w:tcBorders>
                  <w:shd w:val="clear" w:color="auto" w:fill="auto"/>
                  <w:noWrap w:val="0"/>
                  <w:vAlign w:val="center"/>
                </w:tcPr>
                <w:p w14:paraId="577D79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2套</w:t>
                  </w:r>
                </w:p>
              </w:tc>
              <w:tc>
                <w:tcPr>
                  <w:tcW w:w="1755" w:type="dxa"/>
                  <w:tcBorders>
                    <w:tl2br w:val="nil"/>
                    <w:tr2bl w:val="nil"/>
                  </w:tcBorders>
                  <w:shd w:val="clear" w:color="auto" w:fill="auto"/>
                  <w:noWrap w:val="0"/>
                  <w:vAlign w:val="center"/>
                </w:tcPr>
                <w:p w14:paraId="5BCA55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p>
              </w:tc>
            </w:tr>
            <w:tr w14:paraId="202A0D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1D0FB0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08E9AB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vMerge w:val="continue"/>
                  <w:tcBorders>
                    <w:tl2br w:val="nil"/>
                    <w:tr2bl w:val="nil"/>
                  </w:tcBorders>
                  <w:noWrap w:val="0"/>
                  <w:vAlign w:val="center"/>
                </w:tcPr>
                <w:p w14:paraId="6E7FA1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312" w:type="dxa"/>
                  <w:tcBorders>
                    <w:tl2br w:val="nil"/>
                    <w:tr2bl w:val="nil"/>
                  </w:tcBorders>
                  <w:shd w:val="clear" w:color="auto" w:fill="auto"/>
                  <w:noWrap w:val="0"/>
                  <w:vAlign w:val="center"/>
                </w:tcPr>
                <w:p w14:paraId="596E8C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测斜仪</w:t>
                  </w:r>
                </w:p>
              </w:tc>
              <w:tc>
                <w:tcPr>
                  <w:tcW w:w="1150" w:type="dxa"/>
                  <w:tcBorders>
                    <w:tl2br w:val="nil"/>
                    <w:tr2bl w:val="nil"/>
                  </w:tcBorders>
                  <w:shd w:val="clear" w:color="auto" w:fill="auto"/>
                  <w:noWrap w:val="0"/>
                  <w:vAlign w:val="center"/>
                </w:tcPr>
                <w:p w14:paraId="2BC245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p>
              </w:tc>
              <w:tc>
                <w:tcPr>
                  <w:tcW w:w="759" w:type="dxa"/>
                  <w:tcBorders>
                    <w:tl2br w:val="nil"/>
                    <w:tr2bl w:val="nil"/>
                  </w:tcBorders>
                  <w:shd w:val="clear" w:color="auto" w:fill="auto"/>
                  <w:noWrap w:val="0"/>
                  <w:vAlign w:val="center"/>
                </w:tcPr>
                <w:p w14:paraId="7E12A2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1套</w:t>
                  </w:r>
                </w:p>
              </w:tc>
              <w:tc>
                <w:tcPr>
                  <w:tcW w:w="1755" w:type="dxa"/>
                  <w:tcBorders>
                    <w:tl2br w:val="nil"/>
                    <w:tr2bl w:val="nil"/>
                  </w:tcBorders>
                  <w:shd w:val="clear" w:color="auto" w:fill="auto"/>
                  <w:noWrap w:val="0"/>
                  <w:vAlign w:val="center"/>
                </w:tcPr>
                <w:p w14:paraId="1464B9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p>
              </w:tc>
            </w:tr>
            <w:tr w14:paraId="3C587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3153E0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十四</w:t>
                  </w:r>
                </w:p>
              </w:tc>
              <w:tc>
                <w:tcPr>
                  <w:tcW w:w="662" w:type="dxa"/>
                  <w:vMerge w:val="restart"/>
                  <w:tcBorders>
                    <w:tl2br w:val="nil"/>
                    <w:tr2bl w:val="nil"/>
                  </w:tcBorders>
                  <w:noWrap w:val="0"/>
                  <w:vAlign w:val="center"/>
                </w:tcPr>
                <w:p w14:paraId="36F67D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防硫设备</w:t>
                  </w:r>
                </w:p>
              </w:tc>
              <w:tc>
                <w:tcPr>
                  <w:tcW w:w="1563" w:type="dxa"/>
                  <w:gridSpan w:val="2"/>
                  <w:vMerge w:val="restart"/>
                  <w:tcBorders>
                    <w:tl2br w:val="nil"/>
                    <w:tr2bl w:val="nil"/>
                  </w:tcBorders>
                  <w:shd w:val="clear" w:color="auto" w:fill="auto"/>
                  <w:noWrap w:val="0"/>
                  <w:vAlign w:val="center"/>
                </w:tcPr>
                <w:p w14:paraId="6D8CBE1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t>
                  </w:r>
                  <w:r>
                    <w:rPr>
                      <w:rFonts w:hint="default" w:ascii="Times New Roman" w:hAnsi="Times New Roman" w:eastAsia="宋体" w:cs="Times New Roman"/>
                      <w:color w:val="auto"/>
                      <w:sz w:val="21"/>
                      <w:szCs w:val="21"/>
                      <w:vertAlign w:val="subscript"/>
                    </w:rPr>
                    <w:t>2</w:t>
                  </w:r>
                  <w:r>
                    <w:rPr>
                      <w:rFonts w:hint="default" w:ascii="Times New Roman" w:hAnsi="Times New Roman" w:eastAsia="宋体" w:cs="Times New Roman"/>
                      <w:color w:val="auto"/>
                      <w:sz w:val="21"/>
                      <w:szCs w:val="21"/>
                    </w:rPr>
                    <w:t>S监测仪</w:t>
                  </w:r>
                </w:p>
              </w:tc>
              <w:tc>
                <w:tcPr>
                  <w:tcW w:w="1312" w:type="dxa"/>
                  <w:tcBorders>
                    <w:tl2br w:val="nil"/>
                    <w:tr2bl w:val="nil"/>
                  </w:tcBorders>
                  <w:shd w:val="clear" w:color="auto" w:fill="auto"/>
                  <w:noWrap w:val="0"/>
                  <w:vAlign w:val="center"/>
                </w:tcPr>
                <w:p w14:paraId="0D09619C">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便携式</w:t>
                  </w:r>
                </w:p>
              </w:tc>
              <w:tc>
                <w:tcPr>
                  <w:tcW w:w="1150" w:type="dxa"/>
                  <w:tcBorders>
                    <w:tl2br w:val="nil"/>
                    <w:tr2bl w:val="nil"/>
                  </w:tcBorders>
                  <w:shd w:val="clear" w:color="auto" w:fill="auto"/>
                  <w:noWrap w:val="0"/>
                  <w:vAlign w:val="center"/>
                </w:tcPr>
                <w:p w14:paraId="0F9C0582">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190E4D12">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rPr>
                    <w:t>套</w:t>
                  </w:r>
                </w:p>
              </w:tc>
              <w:tc>
                <w:tcPr>
                  <w:tcW w:w="1755" w:type="dxa"/>
                  <w:tcBorders>
                    <w:tl2br w:val="nil"/>
                    <w:tr2bl w:val="nil"/>
                  </w:tcBorders>
                  <w:shd w:val="clear" w:color="auto" w:fill="auto"/>
                  <w:noWrap w:val="0"/>
                  <w:vAlign w:val="center"/>
                </w:tcPr>
                <w:p w14:paraId="2494C76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p>
              </w:tc>
            </w:tr>
            <w:tr w14:paraId="0C4B20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20F5F2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662" w:type="dxa"/>
                  <w:vMerge w:val="continue"/>
                  <w:tcBorders>
                    <w:tl2br w:val="nil"/>
                    <w:tr2bl w:val="nil"/>
                  </w:tcBorders>
                  <w:noWrap w:val="0"/>
                  <w:vAlign w:val="center"/>
                </w:tcPr>
                <w:p w14:paraId="4F4426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563" w:type="dxa"/>
                  <w:gridSpan w:val="2"/>
                  <w:vMerge w:val="continue"/>
                  <w:tcBorders>
                    <w:tl2br w:val="nil"/>
                    <w:tr2bl w:val="nil"/>
                  </w:tcBorders>
                  <w:noWrap w:val="0"/>
                  <w:vAlign w:val="center"/>
                </w:tcPr>
                <w:p w14:paraId="53BDB0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1312" w:type="dxa"/>
                  <w:tcBorders>
                    <w:tl2br w:val="nil"/>
                    <w:tr2bl w:val="nil"/>
                  </w:tcBorders>
                  <w:shd w:val="clear" w:color="auto" w:fill="auto"/>
                  <w:noWrap w:val="0"/>
                  <w:vAlign w:val="center"/>
                </w:tcPr>
                <w:p w14:paraId="25634750">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固定式</w:t>
                  </w:r>
                </w:p>
              </w:tc>
              <w:tc>
                <w:tcPr>
                  <w:tcW w:w="1150" w:type="dxa"/>
                  <w:tcBorders>
                    <w:tl2br w:val="nil"/>
                    <w:tr2bl w:val="nil"/>
                  </w:tcBorders>
                  <w:shd w:val="clear" w:color="auto" w:fill="auto"/>
                  <w:noWrap w:val="0"/>
                  <w:vAlign w:val="center"/>
                </w:tcPr>
                <w:p w14:paraId="7921019B">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p>
              </w:tc>
              <w:tc>
                <w:tcPr>
                  <w:tcW w:w="759" w:type="dxa"/>
                  <w:tcBorders>
                    <w:tl2br w:val="nil"/>
                    <w:tr2bl w:val="nil"/>
                  </w:tcBorders>
                  <w:shd w:val="clear" w:color="auto" w:fill="auto"/>
                  <w:noWrap w:val="0"/>
                  <w:vAlign w:val="center"/>
                </w:tcPr>
                <w:p w14:paraId="5E4488D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1套</w:t>
                  </w:r>
                </w:p>
              </w:tc>
              <w:tc>
                <w:tcPr>
                  <w:tcW w:w="1755" w:type="dxa"/>
                  <w:tcBorders>
                    <w:tl2br w:val="nil"/>
                    <w:tr2bl w:val="nil"/>
                  </w:tcBorders>
                  <w:shd w:val="clear" w:color="auto" w:fill="auto"/>
                  <w:noWrap w:val="0"/>
                  <w:vAlign w:val="center"/>
                </w:tcPr>
                <w:p w14:paraId="4196249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p>
              </w:tc>
            </w:tr>
            <w:tr w14:paraId="4DA82B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4D549A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十五</w:t>
                  </w:r>
                </w:p>
              </w:tc>
              <w:tc>
                <w:tcPr>
                  <w:tcW w:w="2225" w:type="dxa"/>
                  <w:gridSpan w:val="3"/>
                  <w:tcBorders>
                    <w:tl2br w:val="nil"/>
                    <w:tr2bl w:val="nil"/>
                  </w:tcBorders>
                  <w:shd w:val="clear" w:color="auto" w:fill="auto"/>
                  <w:noWrap w:val="0"/>
                  <w:vAlign w:val="center"/>
                </w:tcPr>
                <w:p w14:paraId="3B854A7E">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液压大钳</w:t>
                  </w:r>
                </w:p>
              </w:tc>
              <w:tc>
                <w:tcPr>
                  <w:tcW w:w="1312" w:type="dxa"/>
                  <w:tcBorders>
                    <w:tl2br w:val="nil"/>
                    <w:tr2bl w:val="nil"/>
                  </w:tcBorders>
                  <w:shd w:val="clear" w:color="auto" w:fill="auto"/>
                  <w:noWrap w:val="0"/>
                  <w:vAlign w:val="center"/>
                </w:tcPr>
                <w:p w14:paraId="249E88F0">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Q10Y-M</w:t>
                  </w:r>
                </w:p>
              </w:tc>
              <w:tc>
                <w:tcPr>
                  <w:tcW w:w="1150" w:type="dxa"/>
                  <w:tcBorders>
                    <w:tl2br w:val="nil"/>
                    <w:tr2bl w:val="nil"/>
                  </w:tcBorders>
                  <w:shd w:val="clear" w:color="auto" w:fill="auto"/>
                  <w:noWrap w:val="0"/>
                  <w:vAlign w:val="center"/>
                </w:tcPr>
                <w:p w14:paraId="486BE9AF">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759" w:type="dxa"/>
                  <w:tcBorders>
                    <w:tl2br w:val="nil"/>
                    <w:tr2bl w:val="nil"/>
                  </w:tcBorders>
                  <w:shd w:val="clear" w:color="auto" w:fill="auto"/>
                  <w:noWrap w:val="0"/>
                  <w:vAlign w:val="center"/>
                </w:tcPr>
                <w:p w14:paraId="14BF6FC5">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1 台</w:t>
                  </w:r>
                </w:p>
              </w:tc>
              <w:tc>
                <w:tcPr>
                  <w:tcW w:w="1755" w:type="dxa"/>
                  <w:tcBorders>
                    <w:tl2br w:val="nil"/>
                    <w:tr2bl w:val="nil"/>
                  </w:tcBorders>
                  <w:shd w:val="clear" w:color="auto" w:fill="auto"/>
                  <w:noWrap w:val="0"/>
                  <w:vAlign w:val="center"/>
                </w:tcPr>
                <w:p w14:paraId="76E753C3">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r>
            <w:tr w14:paraId="388C5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1F9E07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十六</w:t>
                  </w:r>
                </w:p>
              </w:tc>
              <w:tc>
                <w:tcPr>
                  <w:tcW w:w="2225" w:type="dxa"/>
                  <w:gridSpan w:val="3"/>
                  <w:tcBorders>
                    <w:tl2br w:val="nil"/>
                    <w:tr2bl w:val="nil"/>
                  </w:tcBorders>
                  <w:shd w:val="clear" w:color="auto" w:fill="auto"/>
                  <w:noWrap w:val="0"/>
                  <w:vAlign w:val="center"/>
                </w:tcPr>
                <w:p w14:paraId="3EF2729D">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柴油储罐</w:t>
                  </w:r>
                </w:p>
              </w:tc>
              <w:tc>
                <w:tcPr>
                  <w:tcW w:w="1312" w:type="dxa"/>
                  <w:tcBorders>
                    <w:tl2br w:val="nil"/>
                    <w:tr2bl w:val="nil"/>
                  </w:tcBorders>
                  <w:shd w:val="clear" w:color="auto" w:fill="auto"/>
                  <w:noWrap w:val="0"/>
                  <w:vAlign w:val="center"/>
                </w:tcPr>
                <w:p w14:paraId="23A5C7AF">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m³</w:t>
                  </w:r>
                </w:p>
              </w:tc>
              <w:tc>
                <w:tcPr>
                  <w:tcW w:w="1150" w:type="dxa"/>
                  <w:tcBorders>
                    <w:tl2br w:val="nil"/>
                    <w:tr2bl w:val="nil"/>
                  </w:tcBorders>
                  <w:shd w:val="clear" w:color="auto" w:fill="auto"/>
                  <w:noWrap w:val="0"/>
                  <w:vAlign w:val="center"/>
                </w:tcPr>
                <w:p w14:paraId="47C59EEA">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759" w:type="dxa"/>
                  <w:tcBorders>
                    <w:tl2br w:val="nil"/>
                    <w:tr2bl w:val="nil"/>
                  </w:tcBorders>
                  <w:shd w:val="clear" w:color="auto" w:fill="auto"/>
                  <w:noWrap w:val="0"/>
                  <w:vAlign w:val="center"/>
                </w:tcPr>
                <w:p w14:paraId="4CF21034">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1个</w:t>
                  </w:r>
                </w:p>
              </w:tc>
              <w:tc>
                <w:tcPr>
                  <w:tcW w:w="1755" w:type="dxa"/>
                  <w:tcBorders>
                    <w:tl2br w:val="nil"/>
                    <w:tr2bl w:val="nil"/>
                  </w:tcBorders>
                  <w:shd w:val="clear" w:color="auto" w:fill="auto"/>
                  <w:noWrap w:val="0"/>
                  <w:vAlign w:val="center"/>
                </w:tcPr>
                <w:p w14:paraId="769F7EC5">
                  <w:pPr>
                    <w:pStyle w:val="45"/>
                    <w:keepNext w:val="0"/>
                    <w:keepLines w:val="0"/>
                    <w:pageBreakBefore w:val="0"/>
                    <w:widowControl w:val="0"/>
                    <w:kinsoku/>
                    <w:wordWrap/>
                    <w:overflowPunct/>
                    <w:topLinePunct w:val="0"/>
                    <w:autoSpaceDE/>
                    <w:autoSpaceDN/>
                    <w:bidi w:val="0"/>
                    <w:adjustRightInd/>
                    <w:snapToGrid/>
                    <w:spacing w:line="260" w:lineRule="exact"/>
                    <w:contextualSpacing/>
                    <w:textAlignment w:val="auto"/>
                    <w:rPr>
                      <w:rFonts w:hint="default" w:ascii="Times New Roman" w:hAnsi="Times New Roman" w:eastAsia="宋体" w:cs="Times New Roman"/>
                      <w:color w:val="auto"/>
                      <w:kern w:val="0"/>
                      <w:sz w:val="21"/>
                      <w:szCs w:val="21"/>
                      <w:lang w:val="en-US" w:eastAsia="zh-CN" w:bidi="ar-SA"/>
                    </w:rPr>
                  </w:pPr>
                  <w:r>
                    <w:rPr>
                      <w:rFonts w:hint="eastAsia" w:cs="宋体" w:asciiTheme="minorEastAsia" w:hAnsiTheme="minorEastAsia" w:eastAsiaTheme="minorEastAsia"/>
                      <w:color w:val="auto"/>
                    </w:rPr>
                    <w:t>最大储量</w:t>
                  </w:r>
                  <w:r>
                    <w:rPr>
                      <w:rFonts w:cs="宋体" w:asciiTheme="minorEastAsia" w:hAnsiTheme="minorEastAsia" w:eastAsiaTheme="minorEastAsia"/>
                      <w:color w:val="auto"/>
                    </w:rPr>
                    <w:t>20</w:t>
                  </w:r>
                  <w:r>
                    <w:rPr>
                      <w:rFonts w:hint="eastAsia" w:cs="宋体" w:asciiTheme="minorEastAsia" w:hAnsiTheme="minorEastAsia" w:eastAsiaTheme="minorEastAsia"/>
                      <w:color w:val="auto"/>
                    </w:rPr>
                    <w:t>t</w:t>
                  </w:r>
                </w:p>
              </w:tc>
            </w:tr>
            <w:tr w14:paraId="3F2B30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restart"/>
                  <w:tcBorders>
                    <w:tl2br w:val="nil"/>
                    <w:tr2bl w:val="nil"/>
                  </w:tcBorders>
                  <w:noWrap w:val="0"/>
                  <w:vAlign w:val="center"/>
                </w:tcPr>
                <w:p w14:paraId="028F92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十七</w:t>
                  </w:r>
                </w:p>
              </w:tc>
              <w:tc>
                <w:tcPr>
                  <w:tcW w:w="2225" w:type="dxa"/>
                  <w:gridSpan w:val="3"/>
                  <w:tcBorders>
                    <w:tl2br w:val="nil"/>
                    <w:tr2bl w:val="nil"/>
                  </w:tcBorders>
                  <w:shd w:val="clear" w:color="auto" w:fill="auto"/>
                  <w:noWrap w:val="0"/>
                  <w:vAlign w:val="center"/>
                </w:tcPr>
                <w:p w14:paraId="3D6822B8">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Φ149.2mm钻杆死卡</w:t>
                  </w:r>
                </w:p>
              </w:tc>
              <w:tc>
                <w:tcPr>
                  <w:tcW w:w="1312" w:type="dxa"/>
                  <w:tcBorders>
                    <w:tl2br w:val="nil"/>
                    <w:tr2bl w:val="nil"/>
                  </w:tcBorders>
                  <w:shd w:val="clear" w:color="auto" w:fill="auto"/>
                  <w:noWrap w:val="0"/>
                  <w:vAlign w:val="center"/>
                </w:tcPr>
                <w:p w14:paraId="5A877E03">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1150" w:type="dxa"/>
                  <w:tcBorders>
                    <w:tl2br w:val="nil"/>
                    <w:tr2bl w:val="nil"/>
                  </w:tcBorders>
                  <w:shd w:val="clear" w:color="auto" w:fill="auto"/>
                  <w:noWrap w:val="0"/>
                  <w:vAlign w:val="center"/>
                </w:tcPr>
                <w:p w14:paraId="3F73E61B">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759" w:type="dxa"/>
                  <w:tcBorders>
                    <w:tl2br w:val="nil"/>
                    <w:tr2bl w:val="nil"/>
                  </w:tcBorders>
                  <w:shd w:val="clear" w:color="auto" w:fill="auto"/>
                  <w:noWrap w:val="0"/>
                  <w:vAlign w:val="center"/>
                </w:tcPr>
                <w:p w14:paraId="7738D300">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1个</w:t>
                  </w:r>
                </w:p>
              </w:tc>
              <w:tc>
                <w:tcPr>
                  <w:tcW w:w="1755" w:type="dxa"/>
                  <w:tcBorders>
                    <w:tl2br w:val="nil"/>
                    <w:tr2bl w:val="nil"/>
                  </w:tcBorders>
                  <w:shd w:val="clear" w:color="auto" w:fill="auto"/>
                  <w:noWrap w:val="0"/>
                  <w:vAlign w:val="center"/>
                </w:tcPr>
                <w:p w14:paraId="318BEE1A">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r>
            <w:tr w14:paraId="240A68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vMerge w:val="continue"/>
                  <w:tcBorders>
                    <w:tl2br w:val="nil"/>
                    <w:tr2bl w:val="nil"/>
                  </w:tcBorders>
                  <w:noWrap w:val="0"/>
                  <w:vAlign w:val="center"/>
                </w:tcPr>
                <w:p w14:paraId="2F8D25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szCs w:val="21"/>
                    </w:rPr>
                  </w:pPr>
                </w:p>
              </w:tc>
              <w:tc>
                <w:tcPr>
                  <w:tcW w:w="2225" w:type="dxa"/>
                  <w:gridSpan w:val="3"/>
                  <w:tcBorders>
                    <w:tl2br w:val="nil"/>
                    <w:tr2bl w:val="nil"/>
                  </w:tcBorders>
                  <w:shd w:val="clear" w:color="auto" w:fill="auto"/>
                  <w:noWrap w:val="0"/>
                  <w:vAlign w:val="center"/>
                </w:tcPr>
                <w:p w14:paraId="4F44EDD7">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Φ</w:t>
                  </w:r>
                  <w:r>
                    <w:rPr>
                      <w:rFonts w:hint="default" w:ascii="Times New Roman" w:hAnsi="Times New Roman" w:eastAsia="宋体" w:cs="Times New Roman"/>
                      <w:color w:val="auto"/>
                      <w:sz w:val="21"/>
                      <w:szCs w:val="21"/>
                      <w:lang w:val="en-US" w:eastAsia="zh-CN"/>
                    </w:rPr>
                    <w:t>127</w:t>
                  </w:r>
                  <w:r>
                    <w:rPr>
                      <w:rFonts w:hint="default" w:ascii="Times New Roman" w:hAnsi="Times New Roman" w:eastAsia="宋体" w:cs="Times New Roman"/>
                      <w:color w:val="auto"/>
                      <w:sz w:val="21"/>
                      <w:szCs w:val="21"/>
                    </w:rPr>
                    <w:t>mm钻杆死卡</w:t>
                  </w:r>
                </w:p>
              </w:tc>
              <w:tc>
                <w:tcPr>
                  <w:tcW w:w="1312" w:type="dxa"/>
                  <w:tcBorders>
                    <w:tl2br w:val="nil"/>
                    <w:tr2bl w:val="nil"/>
                  </w:tcBorders>
                  <w:shd w:val="clear" w:color="auto" w:fill="auto"/>
                  <w:noWrap w:val="0"/>
                  <w:vAlign w:val="center"/>
                </w:tcPr>
                <w:p w14:paraId="6D15BDBA">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1150" w:type="dxa"/>
                  <w:tcBorders>
                    <w:tl2br w:val="nil"/>
                    <w:tr2bl w:val="nil"/>
                  </w:tcBorders>
                  <w:shd w:val="clear" w:color="auto" w:fill="auto"/>
                  <w:noWrap w:val="0"/>
                  <w:vAlign w:val="center"/>
                </w:tcPr>
                <w:p w14:paraId="0CDDC2F4">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759" w:type="dxa"/>
                  <w:tcBorders>
                    <w:tl2br w:val="nil"/>
                    <w:tr2bl w:val="nil"/>
                  </w:tcBorders>
                  <w:shd w:val="clear" w:color="auto" w:fill="auto"/>
                  <w:noWrap w:val="0"/>
                  <w:vAlign w:val="center"/>
                </w:tcPr>
                <w:p w14:paraId="14B078AE">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1个</w:t>
                  </w:r>
                </w:p>
              </w:tc>
              <w:tc>
                <w:tcPr>
                  <w:tcW w:w="1755" w:type="dxa"/>
                  <w:tcBorders>
                    <w:tl2br w:val="nil"/>
                    <w:tr2bl w:val="nil"/>
                  </w:tcBorders>
                  <w:shd w:val="clear" w:color="auto" w:fill="auto"/>
                  <w:noWrap w:val="0"/>
                  <w:vAlign w:val="center"/>
                </w:tcPr>
                <w:p w14:paraId="14D0F2C8">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r>
            <w:tr w14:paraId="67AC0F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3D6A76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十八</w:t>
                  </w:r>
                </w:p>
              </w:tc>
              <w:tc>
                <w:tcPr>
                  <w:tcW w:w="2225" w:type="dxa"/>
                  <w:gridSpan w:val="3"/>
                  <w:tcBorders>
                    <w:tl2br w:val="nil"/>
                    <w:tr2bl w:val="nil"/>
                  </w:tcBorders>
                  <w:shd w:val="clear" w:color="auto" w:fill="auto"/>
                  <w:noWrap w:val="0"/>
                  <w:vAlign w:val="center"/>
                </w:tcPr>
                <w:p w14:paraId="2403F50A">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储水罐</w:t>
                  </w:r>
                </w:p>
              </w:tc>
              <w:tc>
                <w:tcPr>
                  <w:tcW w:w="1312" w:type="dxa"/>
                  <w:tcBorders>
                    <w:tl2br w:val="nil"/>
                    <w:tr2bl w:val="nil"/>
                  </w:tcBorders>
                  <w:shd w:val="clear" w:color="auto" w:fill="auto"/>
                  <w:noWrap w:val="0"/>
                  <w:vAlign w:val="center"/>
                </w:tcPr>
                <w:p w14:paraId="7823A8BA">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60m</w:t>
                  </w:r>
                  <w:r>
                    <w:rPr>
                      <w:rFonts w:hint="eastAsia" w:cs="Times New Roman"/>
                      <w:color w:val="auto"/>
                      <w:kern w:val="0"/>
                      <w:sz w:val="21"/>
                      <w:szCs w:val="21"/>
                      <w:vertAlign w:val="superscript"/>
                      <w:lang w:val="en-US" w:eastAsia="zh-CN" w:bidi="ar-SA"/>
                    </w:rPr>
                    <w:t>3</w:t>
                  </w:r>
                </w:p>
              </w:tc>
              <w:tc>
                <w:tcPr>
                  <w:tcW w:w="1150" w:type="dxa"/>
                  <w:tcBorders>
                    <w:tl2br w:val="nil"/>
                    <w:tr2bl w:val="nil"/>
                  </w:tcBorders>
                  <w:shd w:val="clear" w:color="auto" w:fill="auto"/>
                  <w:noWrap w:val="0"/>
                  <w:vAlign w:val="center"/>
                </w:tcPr>
                <w:p w14:paraId="7D08B26A">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759" w:type="dxa"/>
                  <w:tcBorders>
                    <w:tl2br w:val="nil"/>
                    <w:tr2bl w:val="nil"/>
                  </w:tcBorders>
                  <w:shd w:val="clear" w:color="auto" w:fill="auto"/>
                  <w:noWrap w:val="0"/>
                  <w:vAlign w:val="center"/>
                </w:tcPr>
                <w:p w14:paraId="23ECA980">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1个</w:t>
                  </w:r>
                </w:p>
              </w:tc>
              <w:tc>
                <w:tcPr>
                  <w:tcW w:w="1755" w:type="dxa"/>
                  <w:tcBorders>
                    <w:tl2br w:val="nil"/>
                    <w:tr2bl w:val="nil"/>
                  </w:tcBorders>
                  <w:shd w:val="clear" w:color="auto" w:fill="auto"/>
                  <w:noWrap w:val="0"/>
                  <w:vAlign w:val="center"/>
                </w:tcPr>
                <w:p w14:paraId="215E2986">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r>
            <w:tr w14:paraId="637611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2" w:type="dxa"/>
                  <w:tcBorders>
                    <w:tl2br w:val="nil"/>
                    <w:tr2bl w:val="nil"/>
                  </w:tcBorders>
                  <w:noWrap w:val="0"/>
                  <w:vAlign w:val="center"/>
                </w:tcPr>
                <w:p w14:paraId="7117E9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十九</w:t>
                  </w:r>
                </w:p>
              </w:tc>
              <w:tc>
                <w:tcPr>
                  <w:tcW w:w="2225" w:type="dxa"/>
                  <w:gridSpan w:val="3"/>
                  <w:tcBorders>
                    <w:tl2br w:val="nil"/>
                    <w:tr2bl w:val="nil"/>
                  </w:tcBorders>
                  <w:shd w:val="clear" w:color="auto" w:fill="auto"/>
                  <w:noWrap w:val="0"/>
                  <w:vAlign w:val="center"/>
                </w:tcPr>
                <w:p w14:paraId="1DBE6645">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岩屑储罐</w:t>
                  </w:r>
                </w:p>
              </w:tc>
              <w:tc>
                <w:tcPr>
                  <w:tcW w:w="1312" w:type="dxa"/>
                  <w:tcBorders>
                    <w:tl2br w:val="nil"/>
                    <w:tr2bl w:val="nil"/>
                  </w:tcBorders>
                  <w:shd w:val="clear" w:color="auto" w:fill="auto"/>
                  <w:noWrap w:val="0"/>
                  <w:vAlign w:val="center"/>
                </w:tcPr>
                <w:p w14:paraId="0D04FED1">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25m</w:t>
                  </w:r>
                  <w:r>
                    <w:rPr>
                      <w:rFonts w:hint="eastAsia" w:cs="Times New Roman"/>
                      <w:color w:val="auto"/>
                      <w:kern w:val="0"/>
                      <w:sz w:val="21"/>
                      <w:szCs w:val="21"/>
                      <w:vertAlign w:val="superscript"/>
                      <w:lang w:val="en-US" w:eastAsia="zh-CN" w:bidi="ar-SA"/>
                    </w:rPr>
                    <w:t>3</w:t>
                  </w:r>
                </w:p>
              </w:tc>
              <w:tc>
                <w:tcPr>
                  <w:tcW w:w="1150" w:type="dxa"/>
                  <w:tcBorders>
                    <w:tl2br w:val="nil"/>
                    <w:tr2bl w:val="nil"/>
                  </w:tcBorders>
                  <w:shd w:val="clear" w:color="auto" w:fill="auto"/>
                  <w:noWrap w:val="0"/>
                  <w:vAlign w:val="center"/>
                </w:tcPr>
                <w:p w14:paraId="411D8BE1">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p>
              </w:tc>
              <w:tc>
                <w:tcPr>
                  <w:tcW w:w="759" w:type="dxa"/>
                  <w:tcBorders>
                    <w:tl2br w:val="nil"/>
                    <w:tr2bl w:val="nil"/>
                  </w:tcBorders>
                  <w:shd w:val="clear" w:color="auto" w:fill="auto"/>
                  <w:noWrap w:val="0"/>
                  <w:vAlign w:val="center"/>
                </w:tcPr>
                <w:p w14:paraId="78D429ED">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both"/>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8个</w:t>
                  </w:r>
                </w:p>
              </w:tc>
              <w:tc>
                <w:tcPr>
                  <w:tcW w:w="1755" w:type="dxa"/>
                  <w:tcBorders>
                    <w:tl2br w:val="nil"/>
                    <w:tr2bl w:val="nil"/>
                  </w:tcBorders>
                  <w:shd w:val="clear" w:color="auto" w:fill="auto"/>
                  <w:noWrap w:val="0"/>
                  <w:vAlign w:val="center"/>
                </w:tcPr>
                <w:p w14:paraId="76994439">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cs="Times New Roman"/>
                      <w:color w:val="auto"/>
                      <w:kern w:val="0"/>
                      <w:sz w:val="21"/>
                      <w:szCs w:val="21"/>
                      <w:lang w:val="en-US" w:eastAsia="zh-CN" w:bidi="ar-SA"/>
                    </w:rPr>
                  </w:pPr>
                  <w:r>
                    <w:rPr>
                      <w:rFonts w:hint="eastAsia" w:cs="Times New Roman"/>
                      <w:color w:val="auto"/>
                      <w:kern w:val="0"/>
                      <w:sz w:val="21"/>
                      <w:szCs w:val="21"/>
                      <w:lang w:val="en-US" w:eastAsia="zh-CN" w:bidi="ar-SA"/>
                    </w:rPr>
                    <w:t>水基4个罐</w:t>
                  </w:r>
                </w:p>
                <w:p w14:paraId="04B9473E">
                  <w:pPr>
                    <w:pStyle w:val="10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油基4个罐</w:t>
                  </w:r>
                </w:p>
              </w:tc>
            </w:tr>
          </w:tbl>
          <w:p w14:paraId="1835D0C0">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（3）试油工程</w:t>
            </w:r>
          </w:p>
          <w:p w14:paraId="63961031">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在钻井施工完毕后对目的层进行试油作业。试油工程主要包括试油准备、储层改造和试油。</w:t>
            </w:r>
          </w:p>
          <w:p w14:paraId="0EF81BB8">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①试油准备</w:t>
            </w:r>
          </w:p>
          <w:p w14:paraId="5F4C153E">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试油准备主要进行通井、洗井和试压工作。通井时用钻杆或油管带通井规下入井内，检查套管是否有影响试油工具通过的弯曲和固体物质等；洗井使用泵注设备，利用洗井液，通过井内管柱内外循环，清除套管壁杂物等；试压用气体或液体介质，对地面流程、井口设备、井下套管等进行耐压程度检验。</w:t>
            </w:r>
          </w:p>
          <w:p w14:paraId="04D7DC98">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②储层改造</w:t>
            </w:r>
          </w:p>
          <w:p w14:paraId="3F05CF79">
            <w:pPr>
              <w:snapToGrid w:val="0"/>
              <w:spacing w:line="500" w:lineRule="exact"/>
              <w:ind w:firstLine="480" w:firstLineChars="200"/>
              <w:rPr>
                <w:rFonts w:hint="eastAsia" w:ascii="宋体" w:hAnsi="宋体" w:cs="宋体"/>
                <w:color w:val="auto"/>
              </w:rPr>
            </w:pPr>
            <w:r>
              <w:rPr>
                <w:rFonts w:hint="eastAsia" w:ascii="宋体" w:hAnsi="宋体" w:cs="宋体"/>
                <w:color w:val="auto"/>
              </w:rPr>
              <w:t>储层改造包括射孔和压裂两个工序。</w:t>
            </w:r>
          </w:p>
          <w:p w14:paraId="7BCD4CE6">
            <w:pPr>
              <w:numPr>
                <w:ilvl w:val="0"/>
                <w:numId w:val="3"/>
              </w:numPr>
              <w:snapToGrid w:val="0"/>
              <w:spacing w:line="500" w:lineRule="exact"/>
              <w:ind w:firstLine="480" w:firstLineChars="200"/>
              <w:rPr>
                <w:rFonts w:hint="eastAsia" w:ascii="宋体" w:hAnsi="宋体" w:cs="宋体"/>
                <w:color w:val="auto"/>
                <w:lang w:val="en-US" w:eastAsia="zh-CN"/>
              </w:rPr>
            </w:pPr>
            <w:r>
              <w:rPr>
                <w:rFonts w:hint="eastAsia" w:ascii="宋体" w:hAnsi="宋体" w:cs="宋体"/>
                <w:color w:val="auto"/>
                <w:lang w:val="en-US" w:eastAsia="zh-CN"/>
              </w:rPr>
              <w:t>射孔：</w:t>
            </w:r>
          </w:p>
          <w:p w14:paraId="65F822C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lang w:eastAsia="zh-CN"/>
              </w:rPr>
            </w:pPr>
            <w:r>
              <w:rPr>
                <w:rFonts w:hint="eastAsia" w:ascii="宋体" w:hAnsi="宋体" w:cs="宋体"/>
                <w:color w:val="auto"/>
              </w:rPr>
              <w:t>射孔时利用专用设备和射孔枪，对套管和井壁进行射孔，建立地层与井筒之间的通道</w:t>
            </w:r>
            <w:r>
              <w:rPr>
                <w:rFonts w:hint="eastAsia" w:ascii="宋体" w:hAnsi="宋体" w:cs="宋体"/>
                <w:color w:val="auto"/>
                <w:lang w:eastAsia="zh-CN"/>
              </w:rPr>
              <w:t>。</w:t>
            </w:r>
          </w:p>
          <w:p w14:paraId="5C8399F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lang w:eastAsia="zh-CN"/>
              </w:rPr>
            </w:pPr>
            <w:r>
              <w:rPr>
                <w:rFonts w:hint="eastAsia" w:ascii="宋体" w:hAnsi="宋体" w:cs="宋体"/>
                <w:color w:val="auto"/>
                <w:lang w:val="en-US" w:eastAsia="zh-CN"/>
              </w:rPr>
              <w:t>射孔</w:t>
            </w:r>
            <w:r>
              <w:rPr>
                <w:rFonts w:hint="eastAsia" w:ascii="宋体" w:hAnsi="宋体" w:cs="宋体"/>
                <w:color w:val="auto"/>
              </w:rPr>
              <w:t>工艺分为正压和负压工艺，用高密度射孔液使液柱压力高于地层压力的射孔为正压射孔；将井筒液面降低到一定深度，形成低于地层压力建立适当负压的射孔为负压射孔</w:t>
            </w:r>
            <w:r>
              <w:rPr>
                <w:rFonts w:hint="eastAsia" w:ascii="宋体" w:hAnsi="宋体" w:cs="宋体"/>
                <w:color w:val="auto"/>
                <w:lang w:eastAsia="zh-CN"/>
              </w:rPr>
              <w:t>。</w:t>
            </w:r>
            <w:r>
              <w:rPr>
                <w:rFonts w:hint="eastAsia" w:ascii="宋体" w:hAnsi="宋体" w:cs="宋体"/>
                <w:color w:val="auto"/>
                <w:lang w:val="en-US" w:eastAsia="zh-CN"/>
              </w:rPr>
              <w:t>本项目</w:t>
            </w:r>
            <w:r>
              <w:rPr>
                <w:rFonts w:hint="eastAsia" w:ascii="宋体" w:hAnsi="宋体" w:cs="宋体"/>
                <w:color w:val="auto"/>
              </w:rPr>
              <w:t>根据</w:t>
            </w:r>
            <w:r>
              <w:rPr>
                <w:rFonts w:hint="eastAsia" w:cs="Times New Roman"/>
                <w:color w:val="auto"/>
                <w:lang w:val="en-US" w:eastAsia="zh-CN"/>
              </w:rPr>
              <w:t>钻井时</w:t>
            </w:r>
            <w:r>
              <w:rPr>
                <w:rFonts w:hint="eastAsia" w:ascii="宋体" w:hAnsi="宋体" w:cs="宋体"/>
                <w:color w:val="auto"/>
              </w:rPr>
              <w:t>油层和流体的特性、</w:t>
            </w:r>
            <w:r>
              <w:rPr>
                <w:rFonts w:hint="eastAsia" w:cs="Times New Roman"/>
                <w:color w:val="auto"/>
                <w:lang w:val="en-US" w:eastAsia="zh-CN"/>
              </w:rPr>
              <w:t>获取岩心数据（孔隙度、渗透率）、地层矿化度等信息参数</w:t>
            </w:r>
            <w:r>
              <w:rPr>
                <w:rFonts w:hint="eastAsia" w:ascii="宋体" w:hAnsi="宋体" w:cs="宋体"/>
                <w:color w:val="auto"/>
              </w:rPr>
              <w:t>选择</w:t>
            </w:r>
            <w:r>
              <w:rPr>
                <w:rFonts w:hint="eastAsia" w:ascii="宋体" w:hAnsi="宋体" w:cs="宋体"/>
                <w:color w:val="auto"/>
                <w:lang w:val="en-US" w:eastAsia="zh-CN"/>
              </w:rPr>
              <w:t>确定</w:t>
            </w:r>
            <w:r>
              <w:rPr>
                <w:rFonts w:hint="eastAsia" w:ascii="宋体" w:hAnsi="宋体" w:cs="宋体"/>
                <w:color w:val="auto"/>
              </w:rPr>
              <w:t>射孔工艺</w:t>
            </w:r>
            <w:r>
              <w:rPr>
                <w:rFonts w:hint="eastAsia" w:ascii="宋体" w:hAnsi="宋体" w:cs="宋体"/>
                <w:color w:val="auto"/>
                <w:lang w:eastAsia="zh-CN"/>
              </w:rPr>
              <w:t>（</w:t>
            </w:r>
            <w:r>
              <w:rPr>
                <w:rFonts w:hint="eastAsia" w:ascii="宋体" w:hAnsi="宋体" w:cs="宋体"/>
                <w:color w:val="auto"/>
                <w:lang w:val="en-US" w:eastAsia="zh-CN"/>
              </w:rPr>
              <w:t>根据现场情况确定）</w:t>
            </w:r>
            <w:r>
              <w:rPr>
                <w:rFonts w:hint="eastAsia" w:ascii="宋体" w:hAnsi="宋体" w:cs="宋体"/>
                <w:color w:val="auto"/>
                <w:lang w:eastAsia="zh-CN"/>
              </w:rPr>
              <w:t>。</w:t>
            </w:r>
          </w:p>
          <w:p w14:paraId="2F20A6C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rPr>
            </w:pPr>
            <w:r>
              <w:rPr>
                <w:rFonts w:hint="eastAsia" w:ascii="宋体" w:hAnsi="宋体" w:cs="宋体"/>
                <w:color w:val="auto"/>
                <w:lang w:val="en-US" w:eastAsia="zh-CN"/>
              </w:rPr>
              <w:t>本项目使用射孔液，其成分由氯化钠、氯化镁等无机盐按密度要求配制，经</w:t>
            </w:r>
            <w:r>
              <w:rPr>
                <w:rFonts w:hint="eastAsia" w:cs="Times New Roman"/>
                <w:color w:val="auto"/>
                <w:lang w:val="en-US" w:eastAsia="zh-CN"/>
              </w:rPr>
              <w:t>油田公司固定配液站完成配制后由罐车拉运至井场使用，现场不配制，井场设有储罐对其进行储存（通常3天）。该射孔液特</w:t>
            </w:r>
            <w:r>
              <w:rPr>
                <w:rFonts w:hint="eastAsia" w:ascii="宋体" w:hAnsi="宋体" w:cs="宋体"/>
                <w:color w:val="auto"/>
                <w:lang w:val="en-US" w:eastAsia="zh-CN"/>
              </w:rPr>
              <w:t>性是通过静液柱压力调控地层与井内压差，防止井喷、射孔堵塞及地层损害。</w:t>
            </w:r>
            <w:r>
              <w:rPr>
                <w:rFonts w:hint="eastAsia" w:cs="Times New Roman"/>
                <w:color w:val="auto"/>
                <w:lang w:val="en-US" w:eastAsia="zh-CN"/>
              </w:rPr>
              <w:t>射孔结束后，进行压裂工序，射孔液随压裂返排液一起返排出井口进罐收集拉运至</w:t>
            </w:r>
            <w:r>
              <w:rPr>
                <w:rFonts w:hint="eastAsia" w:ascii="宋体" w:hAnsi="宋体" w:cs="宋体"/>
                <w:color w:val="auto"/>
                <w:lang w:val="en-US" w:eastAsia="zh-CN"/>
              </w:rPr>
              <w:t>采油一厂</w:t>
            </w:r>
            <w:r>
              <w:rPr>
                <w:rFonts w:hint="eastAsia" w:ascii="宋体" w:hAnsi="宋体" w:cs="宋体"/>
                <w:color w:val="auto"/>
              </w:rPr>
              <w:t>车89处理站</w:t>
            </w:r>
            <w:r>
              <w:rPr>
                <w:rFonts w:hint="eastAsia" w:cs="Times New Roman"/>
                <w:color w:val="auto"/>
                <w:lang w:val="en-US" w:eastAsia="zh-CN"/>
              </w:rPr>
              <w:t>处置。</w:t>
            </w:r>
          </w:p>
          <w:p w14:paraId="7464EE05">
            <w:pPr>
              <w:numPr>
                <w:ilvl w:val="0"/>
                <w:numId w:val="4"/>
              </w:numPr>
              <w:snapToGrid w:val="0"/>
              <w:spacing w:line="500" w:lineRule="exact"/>
              <w:ind w:firstLine="480" w:firstLineChars="200"/>
              <w:rPr>
                <w:rFonts w:hint="eastAsia" w:ascii="宋体" w:hAnsi="宋体" w:cs="宋体"/>
                <w:color w:val="auto"/>
              </w:rPr>
            </w:pPr>
            <w:r>
              <w:rPr>
                <w:rFonts w:hint="eastAsia" w:ascii="宋体" w:hAnsi="宋体" w:cs="宋体"/>
                <w:color w:val="auto"/>
                <w:lang w:val="en-US" w:eastAsia="zh-CN"/>
              </w:rPr>
              <w:t>压裂：</w:t>
            </w:r>
          </w:p>
          <w:p w14:paraId="68366A5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rPr>
            </w:pPr>
            <w:r>
              <w:rPr>
                <w:rFonts w:hint="eastAsia" w:ascii="宋体" w:hAnsi="宋体" w:cs="宋体"/>
                <w:color w:val="auto"/>
              </w:rPr>
              <w:t>压裂时用泵车将压裂液挤入油层，当把油层压出许多裂缝后加入支撑剂（如石英砂等），使其充填进裂缝，可有效提高油气层的渗透能力。停泵后，压裂返排液自喷返排至地面专用废液收集罐中，拉运至</w:t>
            </w:r>
            <w:r>
              <w:rPr>
                <w:rFonts w:hint="eastAsia" w:ascii="宋体" w:hAnsi="宋体" w:cs="宋体"/>
                <w:color w:val="auto"/>
                <w:lang w:val="en-US" w:eastAsia="zh-CN"/>
              </w:rPr>
              <w:t>采油一厂</w:t>
            </w:r>
            <w:r>
              <w:rPr>
                <w:rFonts w:hint="eastAsia" w:ascii="宋体" w:hAnsi="宋体" w:cs="宋体"/>
                <w:color w:val="auto"/>
              </w:rPr>
              <w:t>车89处理站处理。</w:t>
            </w:r>
            <w:r>
              <w:rPr>
                <w:rFonts w:hint="eastAsia" w:cs="Times New Roman"/>
                <w:color w:val="auto"/>
                <w:lang w:val="en-US" w:eastAsia="zh-CN" w:bidi="ar"/>
              </w:rPr>
              <w:t>本项目</w:t>
            </w:r>
            <w:r>
              <w:rPr>
                <w:rFonts w:hint="default" w:ascii="Times New Roman" w:hAnsi="Times New Roman" w:cs="Times New Roman"/>
                <w:color w:val="auto"/>
                <w:lang w:val="en-US" w:eastAsia="zh-CN" w:bidi="ar"/>
              </w:rPr>
              <w:t>主要压裂设备</w:t>
            </w:r>
            <w:r>
              <w:rPr>
                <w:rFonts w:hint="default" w:ascii="Times New Roman" w:hAnsi="Times New Roman" w:cs="Times New Roman"/>
                <w:color w:val="auto"/>
                <w:lang w:bidi="ar"/>
              </w:rPr>
              <w:t>见表</w:t>
            </w:r>
            <w:r>
              <w:rPr>
                <w:rFonts w:hint="default" w:ascii="Times New Roman" w:hAnsi="Times New Roman" w:cs="Times New Roman"/>
                <w:color w:val="auto"/>
                <w:lang w:val="en-US" w:eastAsia="zh-CN" w:bidi="ar"/>
              </w:rPr>
              <w:t>2-5</w:t>
            </w:r>
            <w:r>
              <w:rPr>
                <w:rFonts w:hint="default" w:ascii="Times New Roman" w:hAnsi="Times New Roman" w:cs="Times New Roman"/>
                <w:color w:val="auto"/>
                <w:lang w:bidi="ar"/>
              </w:rPr>
              <w:t>。</w:t>
            </w:r>
          </w:p>
          <w:p w14:paraId="0A9B6601">
            <w:pPr>
              <w:pStyle w:val="6"/>
              <w:rPr>
                <w:rFonts w:hint="default" w:ascii="Times New Roman" w:hAnsi="Times New Roman" w:eastAsia="黑体"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2-5</w:t>
            </w:r>
            <w:r>
              <w:rPr>
                <w:rFonts w:hint="default" w:ascii="Times New Roman" w:hAnsi="Times New Roman" w:cs="Times New Roman"/>
                <w:color w:val="auto"/>
              </w:rPr>
              <w:t xml:space="preserve">  压裂主要设备</w:t>
            </w:r>
            <w:r>
              <w:rPr>
                <w:rFonts w:hint="default" w:ascii="Times New Roman" w:hAnsi="Times New Roman" w:cs="Times New Roman"/>
                <w:color w:val="auto"/>
                <w:lang w:val="en-US" w:eastAsia="zh-CN"/>
              </w:rPr>
              <w:t>一览表</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2107"/>
              <w:gridCol w:w="1843"/>
              <w:gridCol w:w="2486"/>
            </w:tblGrid>
            <w:tr w14:paraId="4E067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Align w:val="center"/>
                </w:tcPr>
                <w:p w14:paraId="06A4DD47">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阶段</w:t>
                  </w:r>
                </w:p>
              </w:tc>
              <w:tc>
                <w:tcPr>
                  <w:tcW w:w="1385" w:type="pct"/>
                  <w:vAlign w:val="center"/>
                </w:tcPr>
                <w:p w14:paraId="7DC9A702">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设备名称</w:t>
                  </w:r>
                </w:p>
              </w:tc>
              <w:tc>
                <w:tcPr>
                  <w:tcW w:w="1211" w:type="pct"/>
                  <w:vAlign w:val="center"/>
                </w:tcPr>
                <w:p w14:paraId="3C18FD19">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主要型号</w:t>
                  </w:r>
                </w:p>
              </w:tc>
              <w:tc>
                <w:tcPr>
                  <w:tcW w:w="1634" w:type="pct"/>
                  <w:vAlign w:val="center"/>
                </w:tcPr>
                <w:p w14:paraId="25B28E36">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数量（台/座）</w:t>
                  </w:r>
                </w:p>
              </w:tc>
            </w:tr>
            <w:tr w14:paraId="4CB89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Merge w:val="restart"/>
                  <w:vAlign w:val="center"/>
                </w:tcPr>
                <w:p w14:paraId="6917A13D">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压裂</w:t>
                  </w:r>
                </w:p>
              </w:tc>
              <w:tc>
                <w:tcPr>
                  <w:tcW w:w="1385" w:type="pct"/>
                  <w:vAlign w:val="center"/>
                </w:tcPr>
                <w:p w14:paraId="4A918676">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压裂车</w:t>
                  </w:r>
                </w:p>
              </w:tc>
              <w:tc>
                <w:tcPr>
                  <w:tcW w:w="1211" w:type="pct"/>
                  <w:vAlign w:val="center"/>
                </w:tcPr>
                <w:p w14:paraId="4BE04CE2">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2500型</w:t>
                  </w:r>
                </w:p>
              </w:tc>
              <w:tc>
                <w:tcPr>
                  <w:tcW w:w="1634" w:type="pct"/>
                  <w:vAlign w:val="center"/>
                </w:tcPr>
                <w:p w14:paraId="76F26924">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8</w:t>
                  </w:r>
                </w:p>
              </w:tc>
            </w:tr>
            <w:tr w14:paraId="6C774D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Merge w:val="continue"/>
                  <w:vAlign w:val="center"/>
                </w:tcPr>
                <w:p w14:paraId="5FB7713A">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p>
              </w:tc>
              <w:tc>
                <w:tcPr>
                  <w:tcW w:w="1385" w:type="pct"/>
                  <w:vAlign w:val="center"/>
                </w:tcPr>
                <w:p w14:paraId="1B7FB090">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混砂车</w:t>
                  </w:r>
                </w:p>
              </w:tc>
              <w:tc>
                <w:tcPr>
                  <w:tcW w:w="1211" w:type="pct"/>
                  <w:vAlign w:val="center"/>
                </w:tcPr>
                <w:p w14:paraId="0CA54CC6">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634" w:type="pct"/>
                  <w:vAlign w:val="center"/>
                </w:tcPr>
                <w:p w14:paraId="3C7EEDD8">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w:t>
                  </w:r>
                </w:p>
              </w:tc>
            </w:tr>
            <w:tr w14:paraId="37DFF9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Merge w:val="continue"/>
                  <w:vAlign w:val="center"/>
                </w:tcPr>
                <w:p w14:paraId="37F2DB52">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p>
              </w:tc>
              <w:tc>
                <w:tcPr>
                  <w:tcW w:w="1385" w:type="pct"/>
                  <w:vAlign w:val="center"/>
                </w:tcPr>
                <w:p w14:paraId="7AD4AFED">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仪表车</w:t>
                  </w:r>
                </w:p>
              </w:tc>
              <w:tc>
                <w:tcPr>
                  <w:tcW w:w="1211" w:type="pct"/>
                  <w:vAlign w:val="center"/>
                </w:tcPr>
                <w:p w14:paraId="4C6E20D1">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634" w:type="pct"/>
                  <w:vAlign w:val="center"/>
                </w:tcPr>
                <w:p w14:paraId="37EDC65F">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w:t>
                  </w:r>
                </w:p>
              </w:tc>
            </w:tr>
            <w:tr w14:paraId="469923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Merge w:val="continue"/>
                  <w:vAlign w:val="center"/>
                </w:tcPr>
                <w:p w14:paraId="266775A3">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p>
              </w:tc>
              <w:tc>
                <w:tcPr>
                  <w:tcW w:w="1385" w:type="pct"/>
                  <w:vAlign w:val="center"/>
                </w:tcPr>
                <w:p w14:paraId="6A18C7D4">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砂罐车</w:t>
                  </w:r>
                </w:p>
              </w:tc>
              <w:tc>
                <w:tcPr>
                  <w:tcW w:w="1211" w:type="pct"/>
                  <w:vAlign w:val="center"/>
                </w:tcPr>
                <w:p w14:paraId="53B6F325">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634" w:type="pct"/>
                  <w:vAlign w:val="center"/>
                </w:tcPr>
                <w:p w14:paraId="2C9AB832">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3</w:t>
                  </w:r>
                </w:p>
              </w:tc>
            </w:tr>
            <w:tr w14:paraId="747CFD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Merge w:val="restart"/>
                  <w:vAlign w:val="center"/>
                </w:tcPr>
                <w:p w14:paraId="7BEABE04">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射孔</w:t>
                  </w:r>
                </w:p>
              </w:tc>
              <w:tc>
                <w:tcPr>
                  <w:tcW w:w="1385" w:type="pct"/>
                  <w:vAlign w:val="center"/>
                </w:tcPr>
                <w:p w14:paraId="7788A93E">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射孔车</w:t>
                  </w:r>
                </w:p>
              </w:tc>
              <w:tc>
                <w:tcPr>
                  <w:tcW w:w="1211" w:type="pct"/>
                  <w:vAlign w:val="center"/>
                </w:tcPr>
                <w:p w14:paraId="50D1B139">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634" w:type="pct"/>
                  <w:vAlign w:val="center"/>
                </w:tcPr>
                <w:p w14:paraId="1788C1BC">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w:t>
                  </w:r>
                </w:p>
              </w:tc>
            </w:tr>
            <w:tr w14:paraId="213EFA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0" w:type="pct"/>
                  <w:vMerge w:val="continue"/>
                  <w:vAlign w:val="center"/>
                </w:tcPr>
                <w:p w14:paraId="7A19A82D">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p>
              </w:tc>
              <w:tc>
                <w:tcPr>
                  <w:tcW w:w="1385" w:type="pct"/>
                  <w:vAlign w:val="center"/>
                </w:tcPr>
                <w:p w14:paraId="4555BF35">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射孔工具车</w:t>
                  </w:r>
                </w:p>
              </w:tc>
              <w:tc>
                <w:tcPr>
                  <w:tcW w:w="1211" w:type="pct"/>
                  <w:vAlign w:val="center"/>
                </w:tcPr>
                <w:p w14:paraId="05952DA6">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634" w:type="pct"/>
                  <w:vAlign w:val="center"/>
                </w:tcPr>
                <w:p w14:paraId="4704E12B">
                  <w:pPr>
                    <w:pStyle w:val="4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w:t>
                  </w:r>
                </w:p>
              </w:tc>
            </w:tr>
          </w:tbl>
          <w:p w14:paraId="1BE58C15">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③试油</w:t>
            </w:r>
          </w:p>
          <w:p w14:paraId="503BAFC9">
            <w:pPr>
              <w:snapToGrid w:val="0"/>
              <w:spacing w:line="500" w:lineRule="exact"/>
              <w:ind w:firstLine="480" w:firstLineChars="200"/>
              <w:rPr>
                <w:rFonts w:hint="default" w:ascii="Times New Roman" w:hAnsi="Times New Roman" w:eastAsia="宋体" w:cs="Times New Roman"/>
                <w:color w:val="auto"/>
                <w:lang w:val="en-US" w:eastAsia="zh-CN"/>
              </w:rPr>
            </w:pPr>
            <w:r>
              <w:rPr>
                <w:rFonts w:hint="default" w:ascii="Times New Roman" w:hAnsi="Times New Roman" w:cs="Times New Roman"/>
                <w:color w:val="auto"/>
              </w:rPr>
              <w:t>储层改造完成后方可进行试油作业，需在井口安装分离器，对获取的地层油、气、水进行取样。采出液进入地面储罐，最终由罐车拉运至采油一厂车89处理站，伴生气通过地面排气管线充分燃烧后放空。</w:t>
            </w:r>
            <w:r>
              <w:rPr>
                <w:rFonts w:hint="eastAsia" w:cs="Times New Roman"/>
                <w:color w:val="auto"/>
                <w:lang w:val="en-US" w:eastAsia="zh-CN"/>
              </w:rPr>
              <w:t>本项目</w:t>
            </w:r>
            <w:r>
              <w:rPr>
                <w:rFonts w:hint="default" w:ascii="Times New Roman" w:hAnsi="Times New Roman" w:cs="Times New Roman"/>
                <w:color w:val="auto"/>
                <w:lang w:val="en-US" w:eastAsia="zh-CN"/>
              </w:rPr>
              <w:t>主要试油设备见2-6。</w:t>
            </w:r>
          </w:p>
          <w:p w14:paraId="08DDF65E">
            <w:pPr>
              <w:pStyle w:val="6"/>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2-6  试油主要设备一览表</w:t>
            </w:r>
          </w:p>
          <w:tbl>
            <w:tblPr>
              <w:tblStyle w:val="25"/>
              <w:tblW w:w="491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596"/>
              <w:gridCol w:w="2001"/>
              <w:gridCol w:w="1968"/>
              <w:gridCol w:w="538"/>
              <w:gridCol w:w="665"/>
              <w:gridCol w:w="1715"/>
            </w:tblGrid>
            <w:tr w14:paraId="0DD65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5881E36E">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bookmarkStart w:id="22" w:name="OLE_LINK22" w:colFirst="0" w:colLast="5"/>
                  <w:r>
                    <w:rPr>
                      <w:rFonts w:hint="default" w:ascii="Times New Roman" w:hAnsi="Times New Roman" w:eastAsia="宋体" w:cs="Times New Roman"/>
                      <w:color w:val="auto"/>
                      <w:sz w:val="21"/>
                      <w:szCs w:val="21"/>
                      <w:lang w:val="zh-CN"/>
                    </w:rPr>
                    <w:t>序号</w:t>
                  </w:r>
                </w:p>
              </w:tc>
              <w:tc>
                <w:tcPr>
                  <w:tcW w:w="1337" w:type="pct"/>
                  <w:vAlign w:val="center"/>
                </w:tcPr>
                <w:p w14:paraId="16185C9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设备名称</w:t>
                  </w:r>
                </w:p>
              </w:tc>
              <w:tc>
                <w:tcPr>
                  <w:tcW w:w="1314" w:type="pct"/>
                  <w:vAlign w:val="center"/>
                </w:tcPr>
                <w:p w14:paraId="777E564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型号及规格</w:t>
                  </w:r>
                </w:p>
              </w:tc>
              <w:tc>
                <w:tcPr>
                  <w:tcW w:w="359" w:type="pct"/>
                  <w:vAlign w:val="center"/>
                </w:tcPr>
                <w:p w14:paraId="75C9DC1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单位</w:t>
                  </w:r>
                </w:p>
              </w:tc>
              <w:tc>
                <w:tcPr>
                  <w:tcW w:w="444" w:type="pct"/>
                  <w:vAlign w:val="center"/>
                </w:tcPr>
                <w:p w14:paraId="3410461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数量</w:t>
                  </w:r>
                </w:p>
              </w:tc>
              <w:tc>
                <w:tcPr>
                  <w:tcW w:w="1145" w:type="pct"/>
                  <w:vAlign w:val="center"/>
                </w:tcPr>
                <w:p w14:paraId="07C6DD3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备注</w:t>
                  </w:r>
                </w:p>
              </w:tc>
            </w:tr>
            <w:bookmarkEnd w:id="22"/>
            <w:tr w14:paraId="299C0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624140E">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337" w:type="pct"/>
                  <w:vAlign w:val="center"/>
                </w:tcPr>
                <w:p w14:paraId="1E44178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修井机</w:t>
                  </w:r>
                </w:p>
              </w:tc>
              <w:tc>
                <w:tcPr>
                  <w:tcW w:w="1314" w:type="pct"/>
                  <w:vAlign w:val="center"/>
                </w:tcPr>
                <w:p w14:paraId="38EB9BC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60t</w:t>
                  </w:r>
                </w:p>
              </w:tc>
              <w:tc>
                <w:tcPr>
                  <w:tcW w:w="359" w:type="pct"/>
                  <w:vAlign w:val="center"/>
                </w:tcPr>
                <w:p w14:paraId="26DC3DE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部</w:t>
                  </w:r>
                </w:p>
              </w:tc>
              <w:tc>
                <w:tcPr>
                  <w:tcW w:w="444" w:type="pct"/>
                  <w:vAlign w:val="center"/>
                </w:tcPr>
                <w:p w14:paraId="6ACB349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2D91044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47FB0E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73DBDE6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2</w:t>
                  </w:r>
                </w:p>
              </w:tc>
              <w:tc>
                <w:tcPr>
                  <w:tcW w:w="1337" w:type="pct"/>
                  <w:vAlign w:val="center"/>
                </w:tcPr>
                <w:p w14:paraId="603810D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试油井架</w:t>
                  </w:r>
                </w:p>
              </w:tc>
              <w:tc>
                <w:tcPr>
                  <w:tcW w:w="1314" w:type="pct"/>
                  <w:vAlign w:val="center"/>
                </w:tcPr>
                <w:p w14:paraId="273AE92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c>
                <w:tcPr>
                  <w:tcW w:w="359" w:type="pct"/>
                  <w:vAlign w:val="center"/>
                </w:tcPr>
                <w:p w14:paraId="4E67CA1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部</w:t>
                  </w:r>
                </w:p>
              </w:tc>
              <w:tc>
                <w:tcPr>
                  <w:tcW w:w="444" w:type="pct"/>
                  <w:vAlign w:val="center"/>
                </w:tcPr>
                <w:p w14:paraId="43E91CC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0DB51A2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2D27DC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7EA2B1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3</w:t>
                  </w:r>
                </w:p>
              </w:tc>
              <w:tc>
                <w:tcPr>
                  <w:tcW w:w="1337" w:type="pct"/>
                  <w:vAlign w:val="center"/>
                </w:tcPr>
                <w:p w14:paraId="44E0E2A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液压钳</w:t>
                  </w:r>
                </w:p>
              </w:tc>
              <w:tc>
                <w:tcPr>
                  <w:tcW w:w="1314" w:type="pct"/>
                  <w:vAlign w:val="center"/>
                </w:tcPr>
                <w:p w14:paraId="0DA91B6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600型或300型</w:t>
                  </w:r>
                </w:p>
              </w:tc>
              <w:tc>
                <w:tcPr>
                  <w:tcW w:w="359" w:type="pct"/>
                  <w:vAlign w:val="center"/>
                </w:tcPr>
                <w:p w14:paraId="1F646E0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台</w:t>
                  </w:r>
                </w:p>
              </w:tc>
              <w:tc>
                <w:tcPr>
                  <w:tcW w:w="444" w:type="pct"/>
                  <w:vAlign w:val="center"/>
                </w:tcPr>
                <w:p w14:paraId="1B4BFE8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54838A4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足够长的配套管线</w:t>
                  </w:r>
                </w:p>
              </w:tc>
            </w:tr>
            <w:tr w14:paraId="3F2182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45D5EF5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4</w:t>
                  </w:r>
                </w:p>
              </w:tc>
              <w:tc>
                <w:tcPr>
                  <w:tcW w:w="1337" w:type="pct"/>
                  <w:vAlign w:val="center"/>
                </w:tcPr>
                <w:p w14:paraId="1EE1634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方罐</w:t>
                  </w:r>
                </w:p>
              </w:tc>
              <w:tc>
                <w:tcPr>
                  <w:tcW w:w="1314" w:type="pct"/>
                  <w:vAlign w:val="center"/>
                </w:tcPr>
                <w:p w14:paraId="011EFF9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20m</w:t>
                  </w:r>
                  <w:r>
                    <w:rPr>
                      <w:rFonts w:hint="default" w:ascii="Times New Roman" w:hAnsi="Times New Roman" w:eastAsia="宋体" w:cs="Times New Roman"/>
                      <w:color w:val="auto"/>
                      <w:sz w:val="21"/>
                      <w:szCs w:val="21"/>
                      <w:vertAlign w:val="superscript"/>
                      <w:lang w:val="zh-CN"/>
                    </w:rPr>
                    <w:t>3</w:t>
                  </w:r>
                </w:p>
              </w:tc>
              <w:tc>
                <w:tcPr>
                  <w:tcW w:w="359" w:type="pct"/>
                  <w:vAlign w:val="center"/>
                </w:tcPr>
                <w:p w14:paraId="2C0E9F3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个</w:t>
                  </w:r>
                </w:p>
              </w:tc>
              <w:tc>
                <w:tcPr>
                  <w:tcW w:w="444" w:type="pct"/>
                  <w:vAlign w:val="center"/>
                </w:tcPr>
                <w:p w14:paraId="5FD3158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4</w:t>
                  </w:r>
                </w:p>
              </w:tc>
              <w:tc>
                <w:tcPr>
                  <w:tcW w:w="1145" w:type="pct"/>
                  <w:vAlign w:val="center"/>
                </w:tcPr>
                <w:p w14:paraId="4B49627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4A02C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2A6E1DA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5</w:t>
                  </w:r>
                </w:p>
              </w:tc>
              <w:tc>
                <w:tcPr>
                  <w:tcW w:w="1337" w:type="pct"/>
                  <w:vAlign w:val="center"/>
                </w:tcPr>
                <w:p w14:paraId="7C4CCE5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吊卡</w:t>
                  </w:r>
                </w:p>
              </w:tc>
              <w:tc>
                <w:tcPr>
                  <w:tcW w:w="1314" w:type="pct"/>
                  <w:vAlign w:val="center"/>
                </w:tcPr>
                <w:p w14:paraId="69FBB8D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Φ73.0mm/Φ88.9mm</w:t>
                  </w:r>
                </w:p>
              </w:tc>
              <w:tc>
                <w:tcPr>
                  <w:tcW w:w="359" w:type="pct"/>
                  <w:vAlign w:val="center"/>
                </w:tcPr>
                <w:p w14:paraId="0856543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只</w:t>
                  </w:r>
                </w:p>
              </w:tc>
              <w:tc>
                <w:tcPr>
                  <w:tcW w:w="444" w:type="pct"/>
                  <w:vAlign w:val="center"/>
                </w:tcPr>
                <w:p w14:paraId="57D1EB1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2/2</w:t>
                  </w:r>
                </w:p>
              </w:tc>
              <w:tc>
                <w:tcPr>
                  <w:tcW w:w="1145" w:type="pct"/>
                  <w:vAlign w:val="center"/>
                </w:tcPr>
                <w:p w14:paraId="0EC4312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50t</w:t>
                  </w:r>
                </w:p>
              </w:tc>
            </w:tr>
            <w:tr w14:paraId="0A5DF5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7F2CD0F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6</w:t>
                  </w:r>
                </w:p>
              </w:tc>
              <w:tc>
                <w:tcPr>
                  <w:tcW w:w="1337" w:type="pct"/>
                  <w:vAlign w:val="center"/>
                </w:tcPr>
                <w:p w14:paraId="5CBA8C9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吊环</w:t>
                  </w:r>
                </w:p>
              </w:tc>
              <w:tc>
                <w:tcPr>
                  <w:tcW w:w="1314" w:type="pct"/>
                  <w:vAlign w:val="center"/>
                </w:tcPr>
                <w:p w14:paraId="2E69201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SH-80</w:t>
                  </w:r>
                </w:p>
              </w:tc>
              <w:tc>
                <w:tcPr>
                  <w:tcW w:w="359" w:type="pct"/>
                  <w:vAlign w:val="center"/>
                </w:tcPr>
                <w:p w14:paraId="7AFDEDA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付</w:t>
                  </w:r>
                </w:p>
              </w:tc>
              <w:tc>
                <w:tcPr>
                  <w:tcW w:w="444" w:type="pct"/>
                  <w:vAlign w:val="center"/>
                </w:tcPr>
                <w:p w14:paraId="6ABC3C4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008684A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176CA5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21E77B8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7</w:t>
                  </w:r>
                </w:p>
              </w:tc>
              <w:tc>
                <w:tcPr>
                  <w:tcW w:w="1337" w:type="pct"/>
                  <w:vAlign w:val="center"/>
                </w:tcPr>
                <w:p w14:paraId="0B743B7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通管规</w:t>
                  </w:r>
                </w:p>
              </w:tc>
              <w:tc>
                <w:tcPr>
                  <w:tcW w:w="1314" w:type="pct"/>
                  <w:vAlign w:val="center"/>
                </w:tcPr>
                <w:p w14:paraId="60DC965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Φ73.0mm/58.0mm</w:t>
                  </w:r>
                </w:p>
              </w:tc>
              <w:tc>
                <w:tcPr>
                  <w:tcW w:w="359" w:type="pct"/>
                  <w:vAlign w:val="center"/>
                </w:tcPr>
                <w:p w14:paraId="72EEB7E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个</w:t>
                  </w:r>
                </w:p>
              </w:tc>
              <w:tc>
                <w:tcPr>
                  <w:tcW w:w="444" w:type="pct"/>
                  <w:vAlign w:val="center"/>
                </w:tcPr>
                <w:p w14:paraId="1D9529A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2</w:t>
                  </w:r>
                </w:p>
              </w:tc>
              <w:tc>
                <w:tcPr>
                  <w:tcW w:w="1145" w:type="pct"/>
                  <w:vAlign w:val="center"/>
                </w:tcPr>
                <w:p w14:paraId="07423D0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08786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087755E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8</w:t>
                  </w:r>
                </w:p>
              </w:tc>
              <w:tc>
                <w:tcPr>
                  <w:tcW w:w="1337" w:type="pct"/>
                  <w:vAlign w:val="center"/>
                </w:tcPr>
                <w:p w14:paraId="0834897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提升短节</w:t>
                  </w:r>
                </w:p>
              </w:tc>
              <w:tc>
                <w:tcPr>
                  <w:tcW w:w="1314" w:type="pct"/>
                  <w:vAlign w:val="center"/>
                </w:tcPr>
                <w:p w14:paraId="7682C7C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Φ88.9mm</w:t>
                  </w:r>
                </w:p>
              </w:tc>
              <w:tc>
                <w:tcPr>
                  <w:tcW w:w="359" w:type="pct"/>
                  <w:vAlign w:val="center"/>
                </w:tcPr>
                <w:p w14:paraId="1D6723C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套</w:t>
                  </w:r>
                </w:p>
              </w:tc>
              <w:tc>
                <w:tcPr>
                  <w:tcW w:w="444" w:type="pct"/>
                  <w:vAlign w:val="center"/>
                </w:tcPr>
                <w:p w14:paraId="4270DD91">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3B63E26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1572CD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7554F16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9</w:t>
                  </w:r>
                </w:p>
              </w:tc>
              <w:tc>
                <w:tcPr>
                  <w:tcW w:w="1337" w:type="pct"/>
                  <w:vAlign w:val="center"/>
                </w:tcPr>
                <w:p w14:paraId="384C8381">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调整短节</w:t>
                  </w:r>
                </w:p>
              </w:tc>
              <w:tc>
                <w:tcPr>
                  <w:tcW w:w="1314" w:type="pct"/>
                  <w:vAlign w:val="center"/>
                </w:tcPr>
                <w:p w14:paraId="6FCA04A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Φ73.0mm</w:t>
                  </w:r>
                </w:p>
              </w:tc>
              <w:tc>
                <w:tcPr>
                  <w:tcW w:w="359" w:type="pct"/>
                  <w:vAlign w:val="center"/>
                </w:tcPr>
                <w:p w14:paraId="2DFE8F0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m</w:t>
                  </w:r>
                </w:p>
              </w:tc>
              <w:tc>
                <w:tcPr>
                  <w:tcW w:w="444" w:type="pct"/>
                  <w:vAlign w:val="center"/>
                </w:tcPr>
                <w:p w14:paraId="14E10AE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2ACD7FA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207171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0F2289F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10</w:t>
                  </w:r>
                </w:p>
              </w:tc>
              <w:tc>
                <w:tcPr>
                  <w:tcW w:w="1337" w:type="pct"/>
                  <w:vAlign w:val="center"/>
                </w:tcPr>
                <w:p w14:paraId="6FCA80E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值班房</w:t>
                  </w:r>
                </w:p>
              </w:tc>
              <w:tc>
                <w:tcPr>
                  <w:tcW w:w="1314" w:type="pct"/>
                  <w:vAlign w:val="center"/>
                </w:tcPr>
                <w:p w14:paraId="095B1CF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c>
                <w:tcPr>
                  <w:tcW w:w="359" w:type="pct"/>
                  <w:vAlign w:val="center"/>
                </w:tcPr>
                <w:p w14:paraId="1A85658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套</w:t>
                  </w:r>
                </w:p>
              </w:tc>
              <w:tc>
                <w:tcPr>
                  <w:tcW w:w="444" w:type="pct"/>
                  <w:vAlign w:val="center"/>
                </w:tcPr>
                <w:p w14:paraId="72DF1B6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078400B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402E7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125EC44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11</w:t>
                  </w:r>
                </w:p>
              </w:tc>
              <w:tc>
                <w:tcPr>
                  <w:tcW w:w="1337" w:type="pct"/>
                  <w:vAlign w:val="center"/>
                </w:tcPr>
                <w:p w14:paraId="15B9309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发电房</w:t>
                  </w:r>
                </w:p>
              </w:tc>
              <w:tc>
                <w:tcPr>
                  <w:tcW w:w="1314" w:type="pct"/>
                  <w:vAlign w:val="center"/>
                </w:tcPr>
                <w:p w14:paraId="11FD1A4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c>
                <w:tcPr>
                  <w:tcW w:w="359" w:type="pct"/>
                  <w:vAlign w:val="center"/>
                </w:tcPr>
                <w:p w14:paraId="730153F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套</w:t>
                  </w:r>
                </w:p>
              </w:tc>
              <w:tc>
                <w:tcPr>
                  <w:tcW w:w="444" w:type="pct"/>
                  <w:vAlign w:val="center"/>
                </w:tcPr>
                <w:p w14:paraId="0654900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39495F6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储罐1个</w:t>
                  </w:r>
                </w:p>
              </w:tc>
            </w:tr>
            <w:tr w14:paraId="1F58B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08A7623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12</w:t>
                  </w:r>
                </w:p>
              </w:tc>
              <w:tc>
                <w:tcPr>
                  <w:tcW w:w="1337" w:type="pct"/>
                  <w:vAlign w:val="center"/>
                </w:tcPr>
                <w:p w14:paraId="4CA7A1D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柴油发电机</w:t>
                  </w:r>
                </w:p>
              </w:tc>
              <w:tc>
                <w:tcPr>
                  <w:tcW w:w="1314" w:type="pct"/>
                  <w:vAlign w:val="center"/>
                </w:tcPr>
                <w:p w14:paraId="28F5BDD1">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vAlign w:val="center"/>
                </w:tcPr>
                <w:p w14:paraId="28CCD06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台</w:t>
                  </w:r>
                </w:p>
              </w:tc>
              <w:tc>
                <w:tcPr>
                  <w:tcW w:w="444" w:type="pct"/>
                  <w:vAlign w:val="center"/>
                </w:tcPr>
                <w:p w14:paraId="184D66C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4966050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1648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7876AA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13</w:t>
                  </w:r>
                </w:p>
              </w:tc>
              <w:tc>
                <w:tcPr>
                  <w:tcW w:w="1337" w:type="pct"/>
                  <w:vAlign w:val="center"/>
                </w:tcPr>
                <w:p w14:paraId="3F2A50F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气液分离装置</w:t>
                  </w:r>
                </w:p>
              </w:tc>
              <w:tc>
                <w:tcPr>
                  <w:tcW w:w="1314" w:type="pct"/>
                  <w:vAlign w:val="center"/>
                </w:tcPr>
                <w:p w14:paraId="6E3311C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vAlign w:val="center"/>
                </w:tcPr>
                <w:p w14:paraId="79CDEE7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套</w:t>
                  </w:r>
                </w:p>
              </w:tc>
              <w:tc>
                <w:tcPr>
                  <w:tcW w:w="444" w:type="pct"/>
                  <w:vAlign w:val="center"/>
                </w:tcPr>
                <w:p w14:paraId="277B922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4FAF185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9DC7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73375F19">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14</w:t>
                  </w:r>
                </w:p>
              </w:tc>
              <w:tc>
                <w:tcPr>
                  <w:tcW w:w="1337" w:type="pct"/>
                  <w:vAlign w:val="center"/>
                </w:tcPr>
                <w:p w14:paraId="40623EBE">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泵车</w:t>
                  </w:r>
                </w:p>
              </w:tc>
              <w:tc>
                <w:tcPr>
                  <w:tcW w:w="1314" w:type="pct"/>
                  <w:vAlign w:val="center"/>
                </w:tcPr>
                <w:p w14:paraId="40FFCF0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700型</w:t>
                  </w:r>
                </w:p>
              </w:tc>
              <w:tc>
                <w:tcPr>
                  <w:tcW w:w="359" w:type="pct"/>
                  <w:vAlign w:val="center"/>
                </w:tcPr>
                <w:p w14:paraId="699A6A2E">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台</w:t>
                  </w:r>
                </w:p>
              </w:tc>
              <w:tc>
                <w:tcPr>
                  <w:tcW w:w="444" w:type="pct"/>
                  <w:vAlign w:val="center"/>
                </w:tcPr>
                <w:p w14:paraId="42BFAD91">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2D0268E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w:t>
                  </w:r>
                </w:p>
              </w:tc>
            </w:tr>
            <w:tr w14:paraId="6A63F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12EE3A4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15</w:t>
                  </w:r>
                </w:p>
              </w:tc>
              <w:tc>
                <w:tcPr>
                  <w:tcW w:w="1337" w:type="pct"/>
                  <w:vAlign w:val="center"/>
                </w:tcPr>
                <w:p w14:paraId="42FD04F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防喷器</w:t>
                  </w:r>
                </w:p>
              </w:tc>
              <w:tc>
                <w:tcPr>
                  <w:tcW w:w="1314" w:type="pct"/>
                  <w:vAlign w:val="center"/>
                </w:tcPr>
                <w:p w14:paraId="160C83E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vAlign w:val="center"/>
                </w:tcPr>
                <w:p w14:paraId="1357300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444" w:type="pct"/>
                  <w:vAlign w:val="center"/>
                </w:tcPr>
                <w:p w14:paraId="49A28BCD">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0159640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12D8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1194500D">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16</w:t>
                  </w:r>
                </w:p>
              </w:tc>
              <w:tc>
                <w:tcPr>
                  <w:tcW w:w="1337" w:type="pct"/>
                  <w:vAlign w:val="center"/>
                </w:tcPr>
                <w:p w14:paraId="69EB15BF">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放喷管及罐</w:t>
                  </w:r>
                </w:p>
              </w:tc>
              <w:tc>
                <w:tcPr>
                  <w:tcW w:w="1314" w:type="pct"/>
                  <w:vAlign w:val="center"/>
                </w:tcPr>
                <w:p w14:paraId="465AE743">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59" w:type="pct"/>
                  <w:vAlign w:val="center"/>
                </w:tcPr>
                <w:p w14:paraId="3B48FB65">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套</w:t>
                  </w:r>
                </w:p>
              </w:tc>
              <w:tc>
                <w:tcPr>
                  <w:tcW w:w="444" w:type="pct"/>
                  <w:vAlign w:val="center"/>
                </w:tcPr>
                <w:p w14:paraId="25A9AD35">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1</w:t>
                  </w:r>
                </w:p>
              </w:tc>
              <w:tc>
                <w:tcPr>
                  <w:tcW w:w="1145" w:type="pct"/>
                  <w:vAlign w:val="center"/>
                </w:tcPr>
                <w:p w14:paraId="42D4E9CE">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放喷罐1个，30m</w:t>
                  </w:r>
                  <w:r>
                    <w:rPr>
                      <w:rFonts w:hint="default" w:ascii="Times New Roman" w:hAnsi="Times New Roman" w:eastAsia="宋体" w:cs="Times New Roman"/>
                      <w:color w:val="auto"/>
                      <w:sz w:val="21"/>
                      <w:szCs w:val="21"/>
                      <w:vertAlign w:val="superscript"/>
                    </w:rPr>
                    <w:t>3</w:t>
                  </w:r>
                </w:p>
              </w:tc>
            </w:tr>
            <w:tr w14:paraId="3D76B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4E0999A5">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17</w:t>
                  </w:r>
                </w:p>
              </w:tc>
              <w:tc>
                <w:tcPr>
                  <w:tcW w:w="1337" w:type="pct"/>
                  <w:vAlign w:val="center"/>
                </w:tcPr>
                <w:p w14:paraId="674A50BD">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采油树</w:t>
                  </w:r>
                </w:p>
              </w:tc>
              <w:tc>
                <w:tcPr>
                  <w:tcW w:w="1314" w:type="pct"/>
                  <w:vAlign w:val="center"/>
                </w:tcPr>
                <w:p w14:paraId="655D034B">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59" w:type="pct"/>
                  <w:vAlign w:val="center"/>
                </w:tcPr>
                <w:p w14:paraId="741660D8">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套</w:t>
                  </w:r>
                </w:p>
              </w:tc>
              <w:tc>
                <w:tcPr>
                  <w:tcW w:w="444" w:type="pct"/>
                  <w:vAlign w:val="center"/>
                </w:tcPr>
                <w:p w14:paraId="4B93B990">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1</w:t>
                  </w:r>
                </w:p>
              </w:tc>
              <w:tc>
                <w:tcPr>
                  <w:tcW w:w="1145" w:type="pct"/>
                  <w:vAlign w:val="center"/>
                </w:tcPr>
                <w:p w14:paraId="2DBED4EC">
                  <w:pPr>
                    <w:keepNext w:val="0"/>
                    <w:keepLines w:val="0"/>
                    <w:pageBreakBefore w:val="0"/>
                    <w:widowControl w:val="0"/>
                    <w:kinsoku/>
                    <w:wordWrap/>
                    <w:overflowPunct/>
                    <w:topLinePunct w:val="0"/>
                    <w:autoSpaceDE/>
                    <w:autoSpaceDN/>
                    <w:bidi w:val="0"/>
                    <w:adjustRightInd/>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4A176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49AC0B6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18</w:t>
                  </w:r>
                </w:p>
              </w:tc>
              <w:tc>
                <w:tcPr>
                  <w:tcW w:w="1337" w:type="pct"/>
                  <w:vAlign w:val="center"/>
                </w:tcPr>
                <w:p w14:paraId="439C3E97">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w:t>
                  </w:r>
                  <w:r>
                    <w:rPr>
                      <w:rFonts w:hint="default" w:ascii="Times New Roman" w:hAnsi="Times New Roman" w:cs="Times New Roman"/>
                      <w:color w:val="auto"/>
                      <w:sz w:val="21"/>
                      <w:szCs w:val="21"/>
                      <w:vertAlign w:val="subscript"/>
                    </w:rPr>
                    <w:t>2</w:t>
                  </w:r>
                  <w:r>
                    <w:rPr>
                      <w:rFonts w:hint="default" w:ascii="Times New Roman" w:hAnsi="Times New Roman" w:cs="Times New Roman"/>
                      <w:color w:val="auto"/>
                      <w:sz w:val="21"/>
                      <w:szCs w:val="21"/>
                    </w:rPr>
                    <w:t>S气体监测仪</w:t>
                  </w:r>
                </w:p>
              </w:tc>
              <w:tc>
                <w:tcPr>
                  <w:tcW w:w="1314" w:type="pct"/>
                  <w:vAlign w:val="center"/>
                </w:tcPr>
                <w:p w14:paraId="2516E5E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59" w:type="pct"/>
                  <w:vAlign w:val="center"/>
                </w:tcPr>
                <w:p w14:paraId="0BED5D5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部</w:t>
                  </w:r>
                </w:p>
              </w:tc>
              <w:tc>
                <w:tcPr>
                  <w:tcW w:w="444" w:type="pct"/>
                  <w:vAlign w:val="center"/>
                </w:tcPr>
                <w:p w14:paraId="363F826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1</w:t>
                  </w:r>
                </w:p>
              </w:tc>
              <w:tc>
                <w:tcPr>
                  <w:tcW w:w="1145" w:type="pct"/>
                  <w:vAlign w:val="center"/>
                </w:tcPr>
                <w:p w14:paraId="2B379C1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3497A3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62FE4A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19</w:t>
                  </w:r>
                </w:p>
              </w:tc>
              <w:tc>
                <w:tcPr>
                  <w:tcW w:w="1337" w:type="pct"/>
                  <w:vAlign w:val="center"/>
                </w:tcPr>
                <w:p w14:paraId="0DD727D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可燃气体检测仪</w:t>
                  </w:r>
                </w:p>
              </w:tc>
              <w:tc>
                <w:tcPr>
                  <w:tcW w:w="1314" w:type="pct"/>
                  <w:vAlign w:val="center"/>
                </w:tcPr>
                <w:p w14:paraId="31D3A7A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59" w:type="pct"/>
                  <w:vAlign w:val="center"/>
                </w:tcPr>
                <w:p w14:paraId="2996DC3D">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部</w:t>
                  </w:r>
                </w:p>
              </w:tc>
              <w:tc>
                <w:tcPr>
                  <w:tcW w:w="444" w:type="pct"/>
                  <w:vAlign w:val="center"/>
                </w:tcPr>
                <w:p w14:paraId="73E64B6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1</w:t>
                  </w:r>
                </w:p>
              </w:tc>
              <w:tc>
                <w:tcPr>
                  <w:tcW w:w="1145" w:type="pct"/>
                  <w:vAlign w:val="center"/>
                </w:tcPr>
                <w:p w14:paraId="380887CF">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39F7A7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D72599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20</w:t>
                  </w:r>
                </w:p>
              </w:tc>
              <w:tc>
                <w:tcPr>
                  <w:tcW w:w="1337" w:type="pct"/>
                  <w:vAlign w:val="center"/>
                </w:tcPr>
                <w:p w14:paraId="66B0FDB8">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消防砂</w:t>
                  </w:r>
                </w:p>
              </w:tc>
              <w:tc>
                <w:tcPr>
                  <w:tcW w:w="1314" w:type="pct"/>
                  <w:vAlign w:val="center"/>
                </w:tcPr>
                <w:p w14:paraId="081109A0">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59" w:type="pct"/>
                  <w:vAlign w:val="center"/>
                </w:tcPr>
                <w:p w14:paraId="0735E72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p>
              </w:tc>
              <w:tc>
                <w:tcPr>
                  <w:tcW w:w="444" w:type="pct"/>
                  <w:vAlign w:val="center"/>
                </w:tcPr>
                <w:p w14:paraId="28AE719B">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0.5</w:t>
                  </w:r>
                </w:p>
              </w:tc>
              <w:tc>
                <w:tcPr>
                  <w:tcW w:w="1145" w:type="pct"/>
                  <w:vAlign w:val="center"/>
                </w:tcPr>
                <w:p w14:paraId="21DCCEAA">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3AD6B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66DAC0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21</w:t>
                  </w:r>
                </w:p>
              </w:tc>
              <w:tc>
                <w:tcPr>
                  <w:tcW w:w="1337" w:type="pct"/>
                  <w:vAlign w:val="center"/>
                </w:tcPr>
                <w:p w14:paraId="030C7FA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推车式干粉灭火器</w:t>
                  </w:r>
                </w:p>
              </w:tc>
              <w:tc>
                <w:tcPr>
                  <w:tcW w:w="1314" w:type="pct"/>
                  <w:vAlign w:val="center"/>
                </w:tcPr>
                <w:p w14:paraId="6C8EB57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MFZL35型</w:t>
                  </w:r>
                </w:p>
              </w:tc>
              <w:tc>
                <w:tcPr>
                  <w:tcW w:w="359" w:type="pct"/>
                  <w:vAlign w:val="center"/>
                </w:tcPr>
                <w:p w14:paraId="53E5473D">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具</w:t>
                  </w:r>
                </w:p>
              </w:tc>
              <w:tc>
                <w:tcPr>
                  <w:tcW w:w="444" w:type="pct"/>
                  <w:vAlign w:val="center"/>
                </w:tcPr>
                <w:p w14:paraId="5A35E0AE">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145" w:type="pct"/>
                  <w:vAlign w:val="center"/>
                </w:tcPr>
                <w:p w14:paraId="0D65F11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70290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0C926ED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22</w:t>
                  </w:r>
                </w:p>
              </w:tc>
              <w:tc>
                <w:tcPr>
                  <w:tcW w:w="1337" w:type="pct"/>
                  <w:vAlign w:val="center"/>
                </w:tcPr>
                <w:p w14:paraId="78671A53">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干粉灭火器</w:t>
                  </w:r>
                </w:p>
              </w:tc>
              <w:tc>
                <w:tcPr>
                  <w:tcW w:w="1314" w:type="pct"/>
                  <w:vAlign w:val="center"/>
                </w:tcPr>
                <w:p w14:paraId="50A91F94">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MFZL8型</w:t>
                  </w:r>
                </w:p>
              </w:tc>
              <w:tc>
                <w:tcPr>
                  <w:tcW w:w="359" w:type="pct"/>
                  <w:vAlign w:val="center"/>
                </w:tcPr>
                <w:p w14:paraId="2050F54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具</w:t>
                  </w:r>
                </w:p>
              </w:tc>
              <w:tc>
                <w:tcPr>
                  <w:tcW w:w="444" w:type="pct"/>
                  <w:vAlign w:val="center"/>
                </w:tcPr>
                <w:p w14:paraId="1154C3E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145" w:type="pct"/>
                  <w:vAlign w:val="center"/>
                </w:tcPr>
                <w:p w14:paraId="514FEB72">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2D6DD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98" w:type="pct"/>
                  <w:vAlign w:val="center"/>
                </w:tcPr>
                <w:p w14:paraId="3A0F29A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23</w:t>
                  </w:r>
                </w:p>
              </w:tc>
              <w:tc>
                <w:tcPr>
                  <w:tcW w:w="1337" w:type="pct"/>
                  <w:vAlign w:val="center"/>
                </w:tcPr>
                <w:p w14:paraId="184158A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废水储罐</w:t>
                  </w:r>
                </w:p>
              </w:tc>
              <w:tc>
                <w:tcPr>
                  <w:tcW w:w="1314" w:type="pct"/>
                  <w:vAlign w:val="center"/>
                </w:tcPr>
                <w:p w14:paraId="55D862E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60m</w:t>
                  </w:r>
                  <w:r>
                    <w:rPr>
                      <w:rFonts w:hint="eastAsia" w:cs="Times New Roman"/>
                      <w:color w:val="auto"/>
                      <w:sz w:val="21"/>
                      <w:szCs w:val="21"/>
                      <w:vertAlign w:val="superscript"/>
                      <w:lang w:val="en-US" w:eastAsia="zh-CN"/>
                    </w:rPr>
                    <w:t>3</w:t>
                  </w:r>
                </w:p>
              </w:tc>
              <w:tc>
                <w:tcPr>
                  <w:tcW w:w="359" w:type="pct"/>
                  <w:vAlign w:val="center"/>
                </w:tcPr>
                <w:p w14:paraId="34DB8045">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个</w:t>
                  </w:r>
                </w:p>
              </w:tc>
              <w:tc>
                <w:tcPr>
                  <w:tcW w:w="444" w:type="pct"/>
                  <w:vAlign w:val="center"/>
                </w:tcPr>
                <w:p w14:paraId="2AE4F5E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1145" w:type="pct"/>
                  <w:vAlign w:val="center"/>
                </w:tcPr>
                <w:p w14:paraId="42E384C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cs="Times New Roman"/>
                      <w:color w:val="auto"/>
                      <w:sz w:val="21"/>
                      <w:szCs w:val="21"/>
                    </w:rPr>
                  </w:pPr>
                </w:p>
              </w:tc>
            </w:tr>
          </w:tbl>
          <w:p w14:paraId="2BEB9EBC">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（4）完井</w:t>
            </w:r>
          </w:p>
          <w:p w14:paraId="09354B9F">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试油作业结束后，若油气产量显示该井具备商业开采价值，则对其进行关井，后期根据油田开发要求转为开采井，转产前应开展产能建设工程环境影响评价。如该井不具备开采价值，则对地面设施进行拆除，对井口按照《废弃井封井回填技术指南（试行）》进行封井作业，撤去所有生产设施，清理、平整井场。</w:t>
            </w:r>
          </w:p>
          <w:p w14:paraId="5CA2C483">
            <w:pPr>
              <w:snapToGrid w:val="0"/>
              <w:spacing w:line="500" w:lineRule="exact"/>
              <w:ind w:firstLine="482" w:firstLineChars="200"/>
              <w:rPr>
                <w:rFonts w:hint="default" w:ascii="Times New Roman" w:hAnsi="Times New Roman" w:cs="Times New Roman"/>
                <w:b/>
                <w:bCs/>
                <w:color w:val="auto"/>
              </w:rPr>
            </w:pPr>
            <w:r>
              <w:rPr>
                <w:rFonts w:hint="default" w:ascii="Times New Roman" w:hAnsi="Times New Roman" w:cs="Times New Roman"/>
                <w:b/>
                <w:bCs/>
                <w:color w:val="auto"/>
              </w:rPr>
              <w:t>2、施工周期及组织定员</w:t>
            </w:r>
          </w:p>
          <w:p w14:paraId="6B59C6CE">
            <w:pPr>
              <w:snapToGrid w:val="0"/>
              <w:spacing w:line="500" w:lineRule="exact"/>
              <w:ind w:firstLine="448" w:firstLineChars="200"/>
              <w:rPr>
                <w:rFonts w:hint="default" w:ascii="Times New Roman" w:hAnsi="Times New Roman" w:cs="Times New Roman"/>
                <w:color w:val="auto"/>
              </w:rPr>
            </w:pPr>
            <w:r>
              <w:rPr>
                <w:rFonts w:hint="eastAsia" w:cs="Times New Roman"/>
                <w:color w:val="auto"/>
                <w:spacing w:val="-8"/>
                <w:lang w:val="en-US" w:eastAsia="zh-CN"/>
              </w:rPr>
              <w:t>纳东1</w:t>
            </w:r>
            <w:r>
              <w:rPr>
                <w:rFonts w:hint="default" w:ascii="Times New Roman" w:hAnsi="Times New Roman" w:cs="Times New Roman"/>
                <w:color w:val="auto"/>
                <w:spacing w:val="-8"/>
              </w:rPr>
              <w:t>井钻井期</w:t>
            </w:r>
            <w:r>
              <w:rPr>
                <w:rFonts w:hint="eastAsia" w:cs="Times New Roman"/>
                <w:color w:val="auto"/>
                <w:spacing w:val="-8"/>
                <w:lang w:val="en-US" w:eastAsia="zh-CN"/>
              </w:rPr>
              <w:t>258</w:t>
            </w:r>
            <w:r>
              <w:rPr>
                <w:rFonts w:hint="default" w:ascii="Times New Roman" w:hAnsi="Times New Roman" w:cs="Times New Roman"/>
                <w:color w:val="auto"/>
                <w:spacing w:val="-8"/>
              </w:rPr>
              <w:t>天，</w:t>
            </w:r>
            <w:r>
              <w:rPr>
                <w:rFonts w:hint="default" w:ascii="Times New Roman" w:hAnsi="Times New Roman" w:cs="Times New Roman"/>
                <w:color w:val="auto"/>
              </w:rPr>
              <w:t>施工人数为35人。</w:t>
            </w:r>
            <w:r>
              <w:rPr>
                <w:rFonts w:hint="default" w:ascii="Times New Roman" w:hAnsi="Times New Roman" w:cs="Times New Roman"/>
                <w:color w:val="auto"/>
                <w:spacing w:val="-8"/>
              </w:rPr>
              <w:t>试油期为</w:t>
            </w:r>
            <w:r>
              <w:rPr>
                <w:rFonts w:hint="eastAsia" w:cs="Times New Roman"/>
                <w:color w:val="auto"/>
                <w:spacing w:val="-8"/>
                <w:lang w:val="en-US" w:eastAsia="zh-CN"/>
              </w:rPr>
              <w:t>240</w:t>
            </w:r>
            <w:r>
              <w:rPr>
                <w:rFonts w:hint="default" w:ascii="Times New Roman" w:hAnsi="Times New Roman" w:cs="Times New Roman"/>
                <w:color w:val="auto"/>
                <w:spacing w:val="-8"/>
              </w:rPr>
              <w:t>天</w:t>
            </w:r>
            <w:r>
              <w:rPr>
                <w:rFonts w:hint="default" w:ascii="Times New Roman" w:hAnsi="Times New Roman" w:cs="Times New Roman"/>
                <w:color w:val="auto"/>
                <w:spacing w:val="-4"/>
              </w:rPr>
              <w:t>，试油人数为2人。</w:t>
            </w:r>
          </w:p>
          <w:p w14:paraId="6E2CB848">
            <w:pPr>
              <w:snapToGrid w:val="0"/>
              <w:spacing w:line="500" w:lineRule="exact"/>
              <w:ind w:firstLine="482" w:firstLineChars="200"/>
              <w:rPr>
                <w:rFonts w:hint="default" w:ascii="Times New Roman" w:hAnsi="Times New Roman" w:cs="Times New Roman"/>
                <w:b/>
                <w:bCs/>
                <w:color w:val="auto"/>
              </w:rPr>
            </w:pPr>
            <w:r>
              <w:rPr>
                <w:rFonts w:hint="default" w:ascii="Times New Roman" w:hAnsi="Times New Roman" w:cs="Times New Roman"/>
                <w:b/>
                <w:bCs/>
                <w:color w:val="auto"/>
              </w:rPr>
              <w:t>3、能源物料消耗</w:t>
            </w:r>
          </w:p>
          <w:p w14:paraId="44A68E47">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本项目</w:t>
            </w:r>
            <w:r>
              <w:rPr>
                <w:rFonts w:hint="default" w:ascii="Times New Roman" w:hAnsi="Times New Roman" w:cs="Times New Roman"/>
                <w:color w:val="auto"/>
              </w:rPr>
              <w:t>施工期消耗的主要物料及能耗包括：钻井液、压裂液、柴油、新鲜水等，消耗情况见表</w:t>
            </w:r>
            <w:r>
              <w:rPr>
                <w:rFonts w:hint="default" w:ascii="Times New Roman" w:hAnsi="Times New Roman" w:cs="Times New Roman"/>
                <w:color w:val="auto"/>
                <w:lang w:val="en-US" w:eastAsia="zh-CN"/>
              </w:rPr>
              <w:t>2-</w:t>
            </w:r>
            <w:r>
              <w:rPr>
                <w:rFonts w:hint="default" w:ascii="Times New Roman" w:hAnsi="Times New Roman" w:cs="Times New Roman"/>
                <w:color w:val="auto"/>
              </w:rPr>
              <w:t>7。</w:t>
            </w:r>
            <w:bookmarkStart w:id="23" w:name="_Hlk15400228"/>
          </w:p>
          <w:bookmarkEnd w:id="23"/>
          <w:p w14:paraId="44AD17D4">
            <w:pPr>
              <w:snapToGrid w:val="0"/>
              <w:spacing w:line="50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表</w:t>
            </w:r>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7  施工期主要</w:t>
            </w:r>
            <w:r>
              <w:rPr>
                <w:rFonts w:hint="default" w:ascii="Times New Roman" w:hAnsi="Times New Roman" w:eastAsia="黑体" w:cs="Times New Roman"/>
                <w:color w:val="auto"/>
                <w:sz w:val="21"/>
                <w:szCs w:val="21"/>
                <w:lang w:val="en-US" w:eastAsia="zh-CN"/>
              </w:rPr>
              <w:t>消耗物料及</w:t>
            </w:r>
            <w:r>
              <w:rPr>
                <w:rFonts w:hint="default" w:ascii="Times New Roman" w:hAnsi="Times New Roman" w:eastAsia="黑体" w:cs="Times New Roman"/>
                <w:color w:val="auto"/>
                <w:sz w:val="21"/>
                <w:szCs w:val="21"/>
              </w:rPr>
              <w:t>能源用量一览表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907"/>
              <w:gridCol w:w="1141"/>
              <w:gridCol w:w="2975"/>
              <w:gridCol w:w="2567"/>
              <w:gridCol w:w="18"/>
            </w:tblGrid>
            <w:tr w14:paraId="42BFA5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gridAfter w:val="1"/>
                <w:wAfter w:w="11" w:type="pct"/>
                <w:trHeight w:val="397" w:hRule="atLeast"/>
              </w:trPr>
              <w:tc>
                <w:tcPr>
                  <w:tcW w:w="3301" w:type="pct"/>
                  <w:gridSpan w:val="3"/>
                  <w:vAlign w:val="center"/>
                </w:tcPr>
                <w:p w14:paraId="312D5E1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bookmarkStart w:id="24" w:name="_Hlk176174647"/>
                  <w:r>
                    <w:rPr>
                      <w:rFonts w:hint="default" w:ascii="Times New Roman" w:hAnsi="Times New Roman" w:cs="Times New Roman"/>
                      <w:color w:val="auto"/>
                      <w:sz w:val="21"/>
                      <w:szCs w:val="21"/>
                    </w:rPr>
                    <w:t>物料/能源名称</w:t>
                  </w:r>
                </w:p>
              </w:tc>
              <w:tc>
                <w:tcPr>
                  <w:tcW w:w="1687" w:type="pct"/>
                  <w:vAlign w:val="center"/>
                </w:tcPr>
                <w:p w14:paraId="7D9791E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使用量</w:t>
                  </w:r>
                </w:p>
              </w:tc>
            </w:tr>
            <w:tr w14:paraId="65F8C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596" w:type="pct"/>
                  <w:vMerge w:val="restart"/>
                  <w:vAlign w:val="center"/>
                </w:tcPr>
                <w:p w14:paraId="6DD5A2C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w:t>
                  </w:r>
                </w:p>
                <w:p w14:paraId="40521A2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材料</w:t>
                  </w:r>
                </w:p>
              </w:tc>
              <w:tc>
                <w:tcPr>
                  <w:tcW w:w="2705" w:type="pct"/>
                  <w:gridSpan w:val="2"/>
                  <w:vAlign w:val="center"/>
                </w:tcPr>
                <w:p w14:paraId="3684E76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水基钻井液（m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698" w:type="pct"/>
                  <w:gridSpan w:val="2"/>
                  <w:vAlign w:val="center"/>
                </w:tcPr>
                <w:p w14:paraId="4688C57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1824.30</w:t>
                  </w:r>
                </w:p>
              </w:tc>
            </w:tr>
            <w:tr w14:paraId="4FF8FD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596" w:type="pct"/>
                  <w:vMerge w:val="continue"/>
                  <w:vAlign w:val="center"/>
                </w:tcPr>
                <w:p w14:paraId="5E6A4EC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p>
              </w:tc>
              <w:tc>
                <w:tcPr>
                  <w:tcW w:w="2705" w:type="pct"/>
                  <w:gridSpan w:val="2"/>
                  <w:vAlign w:val="center"/>
                </w:tcPr>
                <w:p w14:paraId="7F04E92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油基钻井液</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698" w:type="pct"/>
                  <w:gridSpan w:val="2"/>
                  <w:vAlign w:val="center"/>
                </w:tcPr>
                <w:p w14:paraId="728E885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2761.70</w:t>
                  </w:r>
                </w:p>
              </w:tc>
            </w:tr>
            <w:tr w14:paraId="6CF2A5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596" w:type="pct"/>
                  <w:vMerge w:val="continue"/>
                  <w:vAlign w:val="center"/>
                </w:tcPr>
                <w:p w14:paraId="473114B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p>
              </w:tc>
              <w:tc>
                <w:tcPr>
                  <w:tcW w:w="2705" w:type="pct"/>
                  <w:gridSpan w:val="2"/>
                  <w:vAlign w:val="center"/>
                </w:tcPr>
                <w:p w14:paraId="33951B3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压裂液（m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698" w:type="pct"/>
                  <w:gridSpan w:val="2"/>
                  <w:vAlign w:val="center"/>
                </w:tcPr>
                <w:p w14:paraId="69A8C45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500.00</w:t>
                  </w:r>
                </w:p>
              </w:tc>
            </w:tr>
            <w:tr w14:paraId="2F666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596" w:type="pct"/>
                  <w:vMerge w:val="restart"/>
                  <w:vAlign w:val="center"/>
                </w:tcPr>
                <w:p w14:paraId="70DCD48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能源</w:t>
                  </w:r>
                </w:p>
              </w:tc>
              <w:tc>
                <w:tcPr>
                  <w:tcW w:w="749" w:type="pct"/>
                  <w:vMerge w:val="restart"/>
                  <w:vAlign w:val="center"/>
                </w:tcPr>
                <w:p w14:paraId="0FAE881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新鲜水</w:t>
                  </w:r>
                </w:p>
              </w:tc>
              <w:tc>
                <w:tcPr>
                  <w:tcW w:w="1955" w:type="pct"/>
                  <w:vAlign w:val="center"/>
                </w:tcPr>
                <w:p w14:paraId="00EF729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洗井用水（m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698" w:type="pct"/>
                  <w:gridSpan w:val="2"/>
                  <w:vAlign w:val="center"/>
                </w:tcPr>
                <w:p w14:paraId="641BEAA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300</w:t>
                  </w:r>
                  <w:r>
                    <w:rPr>
                      <w:rFonts w:hint="eastAsia" w:cs="Times New Roman"/>
                      <w:color w:val="auto"/>
                      <w:sz w:val="21"/>
                      <w:szCs w:val="21"/>
                      <w:lang w:val="en-US" w:eastAsia="zh-CN"/>
                    </w:rPr>
                    <w:t>.00</w:t>
                  </w:r>
                </w:p>
              </w:tc>
            </w:tr>
            <w:tr w14:paraId="59DB8C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596" w:type="pct"/>
                  <w:vMerge w:val="continue"/>
                  <w:vAlign w:val="center"/>
                </w:tcPr>
                <w:p w14:paraId="26996D8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p>
              </w:tc>
              <w:tc>
                <w:tcPr>
                  <w:tcW w:w="749" w:type="pct"/>
                  <w:vMerge w:val="continue"/>
                  <w:vAlign w:val="center"/>
                </w:tcPr>
                <w:p w14:paraId="5A97E97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p>
              </w:tc>
              <w:tc>
                <w:tcPr>
                  <w:tcW w:w="1955" w:type="pct"/>
                  <w:vAlign w:val="center"/>
                </w:tcPr>
                <w:p w14:paraId="53673F7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生活用水（m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c>
                <w:tcPr>
                  <w:tcW w:w="1698" w:type="pct"/>
                  <w:gridSpan w:val="2"/>
                  <w:vAlign w:val="center"/>
                </w:tcPr>
                <w:p w14:paraId="7232E91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180.6</w:t>
                  </w:r>
                </w:p>
              </w:tc>
            </w:tr>
            <w:tr w14:paraId="31276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596" w:type="pct"/>
                  <w:vMerge w:val="continue"/>
                  <w:vAlign w:val="center"/>
                </w:tcPr>
                <w:p w14:paraId="1927319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rPr>
                  </w:pPr>
                </w:p>
              </w:tc>
              <w:tc>
                <w:tcPr>
                  <w:tcW w:w="2705" w:type="pct"/>
                  <w:gridSpan w:val="2"/>
                  <w:vAlign w:val="center"/>
                </w:tcPr>
                <w:p w14:paraId="49460D1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柴油（t）</w:t>
                  </w:r>
                </w:p>
              </w:tc>
              <w:tc>
                <w:tcPr>
                  <w:tcW w:w="1698" w:type="pct"/>
                  <w:gridSpan w:val="2"/>
                  <w:vAlign w:val="center"/>
                </w:tcPr>
                <w:p w14:paraId="13BFE37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564.0</w:t>
                  </w:r>
                </w:p>
              </w:tc>
            </w:tr>
            <w:bookmarkEnd w:id="24"/>
          </w:tbl>
          <w:p w14:paraId="3710E992">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t>钻井液体系</w:t>
            </w:r>
          </w:p>
          <w:p w14:paraId="19D8BC36">
            <w:pPr>
              <w:snapToGrid w:val="0"/>
              <w:spacing w:line="500" w:lineRule="exact"/>
              <w:ind w:firstLine="480" w:firstLineChars="200"/>
              <w:rPr>
                <w:rFonts w:hint="default" w:ascii="Times New Roman" w:hAnsi="Times New Roman" w:cs="Times New Roman"/>
                <w:color w:val="auto"/>
              </w:rPr>
            </w:pPr>
            <w:bookmarkStart w:id="25" w:name="_Hlk183359743"/>
            <w:bookmarkStart w:id="26" w:name="_Hlk176173839"/>
            <w:bookmarkStart w:id="27" w:name="_Hlk167901113"/>
            <w:bookmarkStart w:id="28" w:name="_Hlk186373794"/>
            <w:r>
              <w:rPr>
                <w:rFonts w:hint="default" w:ascii="Times New Roman" w:hAnsi="Times New Roman" w:cs="Times New Roman"/>
                <w:color w:val="auto"/>
                <w:lang w:bidi="ar"/>
              </w:rPr>
              <w:t>根据建设单位提供的设计资料可知</w:t>
            </w:r>
            <w:bookmarkEnd w:id="25"/>
            <w:r>
              <w:rPr>
                <w:rFonts w:hint="default" w:ascii="Times New Roman" w:hAnsi="Times New Roman" w:cs="Times New Roman"/>
                <w:color w:val="auto"/>
                <w:lang w:bidi="ar"/>
              </w:rPr>
              <w:t>，</w:t>
            </w:r>
            <w:r>
              <w:rPr>
                <w:rFonts w:hint="eastAsia" w:cs="Times New Roman"/>
                <w:color w:val="auto"/>
                <w:lang w:val="en-US" w:eastAsia="zh-CN" w:bidi="ar"/>
              </w:rPr>
              <w:t>一开和二开</w:t>
            </w:r>
            <w:r>
              <w:rPr>
                <w:rFonts w:hint="default" w:ascii="Times New Roman" w:hAnsi="Times New Roman" w:cs="Times New Roman"/>
                <w:color w:val="auto"/>
              </w:rPr>
              <w:t>采用</w:t>
            </w:r>
            <w:r>
              <w:rPr>
                <w:rFonts w:hint="eastAsia" w:cs="Times New Roman"/>
                <w:color w:val="auto"/>
                <w:lang w:val="en-US" w:eastAsia="zh-CN"/>
              </w:rPr>
              <w:t>非磺化</w:t>
            </w:r>
            <w:r>
              <w:rPr>
                <w:rFonts w:hint="default" w:ascii="Times New Roman" w:hAnsi="Times New Roman" w:cs="Times New Roman"/>
                <w:color w:val="auto"/>
              </w:rPr>
              <w:t>水基钻井液</w:t>
            </w:r>
            <w:r>
              <w:rPr>
                <w:rFonts w:hint="default" w:ascii="Times New Roman" w:hAnsi="Times New Roman" w:cs="Times New Roman"/>
                <w:color w:val="auto"/>
                <w:lang w:eastAsia="zh-CN"/>
              </w:rPr>
              <w:t>，</w:t>
            </w:r>
            <w:r>
              <w:rPr>
                <w:rFonts w:hint="eastAsia" w:cs="Times New Roman"/>
                <w:color w:val="auto"/>
                <w:lang w:val="en-US" w:eastAsia="zh-CN"/>
              </w:rPr>
              <w:t>三开、四开和五开采用油基钻井液，其中水基钻井液</w:t>
            </w:r>
            <w:r>
              <w:rPr>
                <w:rFonts w:hint="default" w:ascii="Times New Roman" w:hAnsi="Times New Roman" w:cs="Times New Roman"/>
                <w:color w:val="auto"/>
              </w:rPr>
              <w:t>主要成分为</w:t>
            </w:r>
            <w:r>
              <w:rPr>
                <w:rFonts w:hint="eastAsia" w:cs="Times New Roman"/>
                <w:color w:val="auto"/>
                <w:lang w:val="en-US" w:eastAsia="zh-CN"/>
              </w:rPr>
              <w:t>水、</w:t>
            </w:r>
            <w:r>
              <w:rPr>
                <w:rFonts w:hint="default" w:ascii="Times New Roman" w:hAnsi="Times New Roman" w:cs="Times New Roman"/>
                <w:color w:val="auto"/>
              </w:rPr>
              <w:t>坂土、</w:t>
            </w:r>
            <w:r>
              <w:rPr>
                <w:rFonts w:hint="eastAsia" w:cs="Times New Roman"/>
                <w:color w:val="auto"/>
                <w:lang w:val="en-US" w:eastAsia="zh-CN"/>
              </w:rPr>
              <w:t>钾钙基有机盐</w:t>
            </w:r>
            <w:r>
              <w:rPr>
                <w:rFonts w:hint="default" w:ascii="Times New Roman" w:hAnsi="Times New Roman" w:cs="Times New Roman"/>
                <w:color w:val="auto"/>
              </w:rPr>
              <w:t>、重晶石等，</w:t>
            </w:r>
            <w:r>
              <w:rPr>
                <w:rFonts w:hint="eastAsia" w:cs="Times New Roman"/>
                <w:color w:val="auto"/>
                <w:lang w:val="en-US" w:eastAsia="zh-CN"/>
              </w:rPr>
              <w:t>油基钻井液主要成分为</w:t>
            </w:r>
            <w:r>
              <w:rPr>
                <w:rFonts w:ascii="Times New Roman" w:hAnsi="Times New Roman"/>
                <w:color w:val="auto"/>
              </w:rPr>
              <w:t>白油/柴油、氧化钙、氯化钙、重晶石等</w:t>
            </w:r>
            <w:r>
              <w:rPr>
                <w:rFonts w:hint="default" w:ascii="Times New Roman" w:hAnsi="Times New Roman" w:cs="Times New Roman"/>
                <w:color w:val="auto"/>
              </w:rPr>
              <w:t>。</w:t>
            </w:r>
          </w:p>
          <w:p w14:paraId="1AB46480">
            <w:pPr>
              <w:snapToGrid w:val="0"/>
              <w:spacing w:line="500" w:lineRule="exact"/>
              <w:ind w:firstLine="480" w:firstLineChars="200"/>
              <w:rPr>
                <w:rFonts w:hint="default" w:ascii="Times New Roman" w:hAnsi="Times New Roman" w:eastAsia="宋体" w:cs="Times New Roman"/>
                <w:color w:val="auto"/>
                <w:lang w:val="en-US" w:eastAsia="zh-CN"/>
              </w:rPr>
            </w:pPr>
            <w:r>
              <w:rPr>
                <w:rFonts w:hint="eastAsia" w:cs="Times New Roman"/>
                <w:color w:val="auto"/>
                <w:lang w:val="en-US" w:eastAsia="zh-CN"/>
              </w:rPr>
              <w:t>该钻井液在现场配制，井场设有若干钻井液储罐、储水罐以及储备罐等罐体；钻井过程中，因地层压力、温度、岩性可能变化，故需动态调整钻井液性能（如密度、流变性）；钻井液配制全程在储罐中完成；钻井液循环使用，并在使用过程中不断补充消耗的试剂。配制流程：基浆配制（坂土+水+少量试剂；白油/柴油+重晶石+少量试剂）→性能调节（增粘、降滤失、加重等）→循环维护（随钻补充添加试剂）→进罐回收。</w:t>
            </w:r>
            <w:r>
              <w:rPr>
                <w:rFonts w:hint="eastAsia" w:ascii="Times New Roman" w:hAnsi="Times New Roman"/>
                <w:color w:val="auto"/>
                <w:lang w:val="en-US" w:eastAsia="zh-CN"/>
              </w:rPr>
              <w:t>本项目</w:t>
            </w:r>
            <w:r>
              <w:rPr>
                <w:rFonts w:hint="default" w:ascii="Times New Roman" w:hAnsi="Times New Roman" w:cs="Times New Roman"/>
                <w:color w:val="auto"/>
              </w:rPr>
              <w:t>钻井液体系及用量见表</w:t>
            </w:r>
            <w:r>
              <w:rPr>
                <w:rFonts w:hint="default" w:ascii="Times New Roman" w:hAnsi="Times New Roman" w:cs="Times New Roman"/>
                <w:color w:val="auto"/>
                <w:lang w:val="en-US" w:eastAsia="zh-CN"/>
              </w:rPr>
              <w:t>2-8</w:t>
            </w:r>
            <w:r>
              <w:rPr>
                <w:rFonts w:hint="eastAsia" w:cs="Times New Roman"/>
                <w:color w:val="auto"/>
                <w:lang w:val="en-US" w:eastAsia="zh-CN"/>
              </w:rPr>
              <w:t>。</w:t>
            </w:r>
          </w:p>
          <w:bookmarkEnd w:id="26"/>
          <w:bookmarkEnd w:id="27"/>
          <w:p w14:paraId="474A6269">
            <w:pPr>
              <w:snapToGrid w:val="0"/>
              <w:spacing w:line="500" w:lineRule="exact"/>
              <w:jc w:val="center"/>
              <w:rPr>
                <w:rFonts w:hint="default" w:ascii="Times New Roman" w:hAnsi="Times New Roman" w:eastAsia="黑体" w:cs="Times New Roman"/>
                <w:color w:val="auto"/>
                <w:sz w:val="21"/>
                <w:szCs w:val="21"/>
              </w:rPr>
            </w:pPr>
            <w:bookmarkStart w:id="29" w:name="_Ref66721972"/>
            <w:bookmarkStart w:id="30" w:name="_Hlk176173812"/>
            <w:r>
              <w:rPr>
                <w:rFonts w:hint="default" w:ascii="Times New Roman" w:hAnsi="Times New Roman" w:eastAsia="黑体" w:cs="Times New Roman"/>
                <w:color w:val="auto"/>
                <w:sz w:val="21"/>
                <w:szCs w:val="21"/>
              </w:rPr>
              <w:t>表</w:t>
            </w:r>
            <w:bookmarkEnd w:id="29"/>
            <w:r>
              <w:rPr>
                <w:rFonts w:hint="default" w:ascii="Times New Roman" w:hAnsi="Times New Roman" w:eastAsia="黑体" w:cs="Times New Roman"/>
                <w:color w:val="auto"/>
                <w:sz w:val="21"/>
                <w:szCs w:val="21"/>
                <w:lang w:val="en-US" w:eastAsia="zh-CN"/>
              </w:rPr>
              <w:t>2-8</w:t>
            </w:r>
            <w:r>
              <w:rPr>
                <w:rFonts w:hint="default" w:ascii="Times New Roman" w:hAnsi="Times New Roman" w:eastAsia="黑体" w:cs="Times New Roman"/>
                <w:color w:val="auto"/>
                <w:sz w:val="21"/>
                <w:szCs w:val="21"/>
              </w:rPr>
              <w:t xml:space="preserve">  钻井液用量表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853"/>
              <w:gridCol w:w="1480"/>
              <w:gridCol w:w="1154"/>
              <w:gridCol w:w="1976"/>
              <w:gridCol w:w="2145"/>
            </w:tblGrid>
            <w:tr w14:paraId="623F24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1" w:type="pct"/>
                  <w:vAlign w:val="center"/>
                </w:tcPr>
                <w:p w14:paraId="37DDA612">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井号</w:t>
                  </w:r>
                </w:p>
              </w:tc>
              <w:tc>
                <w:tcPr>
                  <w:tcW w:w="972" w:type="pct"/>
                  <w:vAlign w:val="center"/>
                </w:tcPr>
                <w:p w14:paraId="17F3D37E">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钻井液性质</w:t>
                  </w:r>
                </w:p>
              </w:tc>
              <w:tc>
                <w:tcPr>
                  <w:tcW w:w="758" w:type="pct"/>
                  <w:vAlign w:val="center"/>
                </w:tcPr>
                <w:p w14:paraId="3A3E98D1">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开钻次序</w:t>
                  </w:r>
                </w:p>
              </w:tc>
              <w:tc>
                <w:tcPr>
                  <w:tcW w:w="1298" w:type="pct"/>
                  <w:vAlign w:val="center"/>
                </w:tcPr>
                <w:p w14:paraId="34F69B94">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钻井液体系</w:t>
                  </w:r>
                </w:p>
              </w:tc>
              <w:tc>
                <w:tcPr>
                  <w:tcW w:w="1409" w:type="pct"/>
                  <w:vAlign w:val="center"/>
                </w:tcPr>
                <w:p w14:paraId="3D87F809">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钻井液用量（m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r>
            <w:tr w14:paraId="261323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1" w:type="pct"/>
                  <w:vMerge w:val="restart"/>
                  <w:vAlign w:val="center"/>
                </w:tcPr>
                <w:p w14:paraId="75506C03">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纳东1</w:t>
                  </w:r>
                </w:p>
              </w:tc>
              <w:tc>
                <w:tcPr>
                  <w:tcW w:w="972" w:type="pct"/>
                  <w:vMerge w:val="restart"/>
                  <w:vAlign w:val="center"/>
                </w:tcPr>
                <w:p w14:paraId="2E256E90">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水基</w:t>
                  </w:r>
                </w:p>
              </w:tc>
              <w:tc>
                <w:tcPr>
                  <w:tcW w:w="758" w:type="pct"/>
                  <w:vAlign w:val="center"/>
                </w:tcPr>
                <w:p w14:paraId="21E1CFAD">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一开</w:t>
                  </w:r>
                </w:p>
              </w:tc>
              <w:tc>
                <w:tcPr>
                  <w:tcW w:w="1298" w:type="pct"/>
                  <w:vAlign w:val="center"/>
                </w:tcPr>
                <w:p w14:paraId="306AFE5F">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坂土-聚合物</w:t>
                  </w:r>
                </w:p>
              </w:tc>
              <w:tc>
                <w:tcPr>
                  <w:tcW w:w="1409" w:type="pct"/>
                  <w:vAlign w:val="center"/>
                </w:tcPr>
                <w:p w14:paraId="6DA6D8F3">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376.04</w:t>
                  </w:r>
                </w:p>
              </w:tc>
            </w:tr>
            <w:tr w14:paraId="24232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1" w:type="pct"/>
                  <w:vMerge w:val="continue"/>
                  <w:vAlign w:val="center"/>
                </w:tcPr>
                <w:p w14:paraId="436A9EEF">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972" w:type="pct"/>
                  <w:vMerge w:val="continue"/>
                  <w:vAlign w:val="center"/>
                </w:tcPr>
                <w:p w14:paraId="7E0D10A3">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758" w:type="pct"/>
                  <w:vAlign w:val="center"/>
                </w:tcPr>
                <w:p w14:paraId="37570BEE">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二开</w:t>
                  </w:r>
                </w:p>
              </w:tc>
              <w:tc>
                <w:tcPr>
                  <w:tcW w:w="1298" w:type="pct"/>
                  <w:vAlign w:val="center"/>
                </w:tcPr>
                <w:p w14:paraId="3341620C">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rPr>
                    <w:t>钾钙基有机盐</w:t>
                  </w:r>
                </w:p>
              </w:tc>
              <w:tc>
                <w:tcPr>
                  <w:tcW w:w="1409" w:type="pct"/>
                  <w:tcBorders>
                    <w:bottom w:val="single" w:color="auto" w:sz="4" w:space="0"/>
                  </w:tcBorders>
                  <w:vAlign w:val="center"/>
                </w:tcPr>
                <w:p w14:paraId="12288555">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1448.27</w:t>
                  </w:r>
                </w:p>
              </w:tc>
            </w:tr>
            <w:tr w14:paraId="59CCE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1" w:type="pct"/>
                  <w:vMerge w:val="continue"/>
                  <w:vAlign w:val="center"/>
                </w:tcPr>
                <w:p w14:paraId="1D715650">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972" w:type="pct"/>
                  <w:vMerge w:val="restart"/>
                  <w:vAlign w:val="center"/>
                </w:tcPr>
                <w:p w14:paraId="0BF5E2CC">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油基</w:t>
                  </w:r>
                </w:p>
              </w:tc>
              <w:tc>
                <w:tcPr>
                  <w:tcW w:w="758" w:type="pct"/>
                  <w:vAlign w:val="center"/>
                </w:tcPr>
                <w:p w14:paraId="34E11D96">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三开</w:t>
                  </w:r>
                </w:p>
              </w:tc>
              <w:tc>
                <w:tcPr>
                  <w:tcW w:w="1298" w:type="pct"/>
                  <w:vAlign w:val="center"/>
                </w:tcPr>
                <w:p w14:paraId="5D0D854A">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油基钻井液体系</w:t>
                  </w:r>
                </w:p>
              </w:tc>
              <w:tc>
                <w:tcPr>
                  <w:tcW w:w="1409" w:type="pct"/>
                  <w:tcBorders>
                    <w:top w:val="single" w:color="auto" w:sz="4" w:space="0"/>
                    <w:bottom w:val="single" w:color="auto" w:sz="4" w:space="0"/>
                  </w:tcBorders>
                  <w:vAlign w:val="center"/>
                </w:tcPr>
                <w:p w14:paraId="3BCD8E3B">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1172.30</w:t>
                  </w:r>
                </w:p>
              </w:tc>
            </w:tr>
            <w:tr w14:paraId="17993B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1" w:type="pct"/>
                  <w:vMerge w:val="continue"/>
                  <w:vAlign w:val="center"/>
                </w:tcPr>
                <w:p w14:paraId="5298AE47">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972" w:type="pct"/>
                  <w:vMerge w:val="continue"/>
                  <w:vAlign w:val="center"/>
                </w:tcPr>
                <w:p w14:paraId="032E00B1">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758" w:type="pct"/>
                  <w:vAlign w:val="center"/>
                </w:tcPr>
                <w:p w14:paraId="1483CC14">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四开</w:t>
                  </w:r>
                </w:p>
              </w:tc>
              <w:tc>
                <w:tcPr>
                  <w:tcW w:w="1298" w:type="pct"/>
                  <w:vAlign w:val="center"/>
                </w:tcPr>
                <w:p w14:paraId="3FA007AE">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油基钻井液体系</w:t>
                  </w:r>
                </w:p>
              </w:tc>
              <w:tc>
                <w:tcPr>
                  <w:tcW w:w="1409" w:type="pct"/>
                  <w:tcBorders>
                    <w:top w:val="single" w:color="auto" w:sz="4" w:space="0"/>
                    <w:bottom w:val="single" w:color="auto" w:sz="4" w:space="0"/>
                  </w:tcBorders>
                  <w:vAlign w:val="center"/>
                </w:tcPr>
                <w:p w14:paraId="66E7EC73">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924.89</w:t>
                  </w:r>
                </w:p>
              </w:tc>
            </w:tr>
            <w:tr w14:paraId="535CC0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1" w:type="pct"/>
                  <w:vMerge w:val="continue"/>
                  <w:vAlign w:val="center"/>
                </w:tcPr>
                <w:p w14:paraId="7DB12196">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972" w:type="pct"/>
                  <w:vMerge w:val="continue"/>
                  <w:vAlign w:val="center"/>
                </w:tcPr>
                <w:p w14:paraId="65923645">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rPr>
                  </w:pPr>
                </w:p>
              </w:tc>
              <w:tc>
                <w:tcPr>
                  <w:tcW w:w="758" w:type="pct"/>
                  <w:vAlign w:val="center"/>
                </w:tcPr>
                <w:p w14:paraId="5031B90F">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五开</w:t>
                  </w:r>
                </w:p>
              </w:tc>
              <w:tc>
                <w:tcPr>
                  <w:tcW w:w="1298" w:type="pct"/>
                  <w:vAlign w:val="center"/>
                </w:tcPr>
                <w:p w14:paraId="1D85A5BA">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油基钻井液体系</w:t>
                  </w:r>
                </w:p>
              </w:tc>
              <w:tc>
                <w:tcPr>
                  <w:tcW w:w="1409" w:type="pct"/>
                  <w:tcBorders>
                    <w:top w:val="single" w:color="auto" w:sz="4" w:space="0"/>
                  </w:tcBorders>
                  <w:vAlign w:val="center"/>
                </w:tcPr>
                <w:p w14:paraId="10052965">
                  <w:pPr>
                    <w:keepNext w:val="0"/>
                    <w:keepLines w:val="0"/>
                    <w:pageBreakBefore w:val="0"/>
                    <w:widowControl/>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664.52</w:t>
                  </w:r>
                </w:p>
              </w:tc>
            </w:tr>
            <w:bookmarkEnd w:id="28"/>
            <w:bookmarkEnd w:id="30"/>
          </w:tbl>
          <w:p w14:paraId="14242DAC">
            <w:pPr>
              <w:pStyle w:val="112"/>
              <w:numPr>
                <w:ilvl w:val="1"/>
                <w:numId w:val="0"/>
              </w:numPr>
              <w:bidi w:val="0"/>
              <w:ind w:left="0" w:leftChars="0" w:firstLine="420" w:firstLineChars="0"/>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lang w:val="en-US" w:eastAsia="zh-CN"/>
              </w:rPr>
              <w:t>压裂液</w:t>
            </w:r>
          </w:p>
          <w:p w14:paraId="18C299C3">
            <w:pPr>
              <w:pStyle w:val="111"/>
              <w:widowControl w:val="0"/>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本项目压裂液主要成分为羟丙基胍胶、氯化钾及过硫酸钠等，根据设计资料，压裂液使用量为</w:t>
            </w:r>
            <w:r>
              <w:rPr>
                <w:rFonts w:hint="eastAsia" w:cs="Times New Roman"/>
                <w:color w:val="auto"/>
                <w:lang w:val="en-US" w:eastAsia="zh-CN"/>
              </w:rPr>
              <w:t>5</w:t>
            </w:r>
            <w:r>
              <w:rPr>
                <w:rFonts w:hint="default" w:ascii="Times New Roman" w:hAnsi="Times New Roman" w:cs="Times New Roman"/>
                <w:color w:val="auto"/>
                <w:lang w:val="en-US" w:eastAsia="zh-CN"/>
              </w:rPr>
              <w:t>00m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cs="Times New Roman"/>
                <w:color w:val="auto"/>
                <w:lang w:val="en-US" w:eastAsia="zh-CN"/>
              </w:rPr>
              <w:t>该压裂液采用集中配置方式，在油田公司固定配液站完成预制，通过罐车运输至井场使用，现场不进行配制。</w:t>
            </w:r>
          </w:p>
          <w:p w14:paraId="51AE5A60">
            <w:pPr>
              <w:pStyle w:val="112"/>
              <w:numPr>
                <w:ilvl w:val="1"/>
                <w:numId w:val="0"/>
              </w:numPr>
              <w:bidi w:val="0"/>
              <w:ind w:left="0" w:leftChars="0" w:firstLine="420" w:firstLineChars="0"/>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3</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lang w:val="en-US" w:eastAsia="zh-CN"/>
              </w:rPr>
              <w:t>柴油</w:t>
            </w:r>
          </w:p>
          <w:p w14:paraId="1A644124">
            <w:pPr>
              <w:pStyle w:val="111"/>
              <w:widowControl w:val="0"/>
              <w:bidi w:val="0"/>
              <w:rPr>
                <w:rFonts w:hint="default" w:ascii="Times New Roman" w:hAnsi="Times New Roman" w:cs="Times New Roman"/>
                <w:color w:val="auto"/>
                <w:lang w:val="en-US" w:eastAsia="zh-CN"/>
              </w:rPr>
            </w:pPr>
            <w:r>
              <w:rPr>
                <w:rFonts w:hint="default" w:ascii="Times New Roman" w:hAnsi="Times New Roman" w:cs="Times New Roman"/>
                <w:color w:val="auto"/>
                <w:spacing w:val="-1"/>
              </w:rPr>
              <w:t>钻井</w:t>
            </w:r>
            <w:r>
              <w:rPr>
                <w:rFonts w:hint="default" w:ascii="Times New Roman" w:hAnsi="Times New Roman" w:cs="Times New Roman"/>
                <w:color w:val="auto"/>
                <w:spacing w:val="-1"/>
                <w:lang w:eastAsia="zh-CN"/>
              </w:rPr>
              <w:t>、</w:t>
            </w:r>
            <w:r>
              <w:rPr>
                <w:rFonts w:hint="default" w:ascii="Times New Roman" w:hAnsi="Times New Roman" w:cs="Times New Roman"/>
                <w:color w:val="auto"/>
                <w:spacing w:val="-1"/>
                <w:lang w:val="en-US" w:eastAsia="zh-CN"/>
              </w:rPr>
              <w:t>试油</w:t>
            </w:r>
            <w:r>
              <w:rPr>
                <w:rFonts w:hint="default" w:ascii="Times New Roman" w:hAnsi="Times New Roman" w:cs="Times New Roman"/>
                <w:color w:val="auto"/>
                <w:spacing w:val="-1"/>
              </w:rPr>
              <w:t>过程需使用柴油机和柴油发电机，消耗一定量的柴油</w:t>
            </w:r>
            <w:r>
              <w:rPr>
                <w:rFonts w:hint="default" w:ascii="Times New Roman" w:hAnsi="Times New Roman" w:cs="Times New Roman"/>
                <w:color w:val="auto"/>
                <w:spacing w:val="-3"/>
              </w:rPr>
              <w:t>。</w:t>
            </w:r>
            <w:r>
              <w:rPr>
                <w:rFonts w:hint="default" w:ascii="Times New Roman" w:hAnsi="Times New Roman" w:cs="Times New Roman"/>
                <w:color w:val="auto"/>
                <w:lang w:val="en-US" w:eastAsia="zh-CN"/>
              </w:rPr>
              <w:t>柴油从</w:t>
            </w:r>
            <w:r>
              <w:rPr>
                <w:rFonts w:hint="eastAsia" w:cs="Times New Roman"/>
                <w:color w:val="auto"/>
                <w:lang w:val="en-US" w:eastAsia="zh-CN"/>
              </w:rPr>
              <w:t>玛纳斯县</w:t>
            </w:r>
            <w:r>
              <w:rPr>
                <w:rFonts w:hint="default" w:ascii="Times New Roman" w:hAnsi="Times New Roman" w:cs="Times New Roman"/>
                <w:color w:val="auto"/>
                <w:lang w:val="en-US" w:eastAsia="zh-CN"/>
              </w:rPr>
              <w:t>拉运至井场，使用储罐储存，日常储存量为</w:t>
            </w:r>
            <w:r>
              <w:rPr>
                <w:rFonts w:hint="eastAsia" w:cs="Times New Roman"/>
                <w:color w:val="auto"/>
                <w:lang w:val="en-US" w:eastAsia="zh-CN"/>
              </w:rPr>
              <w:t>2</w:t>
            </w:r>
            <w:r>
              <w:rPr>
                <w:rFonts w:hint="default" w:ascii="Times New Roman" w:hAnsi="Times New Roman" w:cs="Times New Roman"/>
                <w:color w:val="auto"/>
                <w:lang w:val="en-US" w:eastAsia="zh-CN"/>
              </w:rPr>
              <w:t>0t。钻井期柴油平均消耗为2t/d▪井，试油期柴油平均消耗0.2t/d▪井，由此计算得项目钻井、试油过程柴油消耗总量为</w:t>
            </w:r>
            <w:r>
              <w:rPr>
                <w:rFonts w:hint="eastAsia" w:cs="Times New Roman"/>
                <w:color w:val="auto"/>
                <w:lang w:val="en-US" w:eastAsia="zh-CN"/>
              </w:rPr>
              <w:t>564</w:t>
            </w:r>
            <w:r>
              <w:rPr>
                <w:rFonts w:hint="default" w:ascii="Times New Roman" w:hAnsi="Times New Roman" w:cs="Times New Roman"/>
                <w:color w:val="auto"/>
                <w:lang w:val="en-US" w:eastAsia="zh-CN"/>
              </w:rPr>
              <w:t>t。</w:t>
            </w:r>
          </w:p>
          <w:p w14:paraId="1FCDF4F3">
            <w:pPr>
              <w:pStyle w:val="112"/>
              <w:numPr>
                <w:ilvl w:val="1"/>
                <w:numId w:val="0"/>
              </w:numPr>
              <w:bidi w:val="0"/>
              <w:ind w:left="0" w:leftChars="0" w:firstLine="420" w:firstLineChars="0"/>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lang w:val="en-US" w:eastAsia="zh-CN"/>
              </w:rPr>
              <w:t>洗井用水</w:t>
            </w:r>
          </w:p>
          <w:p w14:paraId="7FA989AA">
            <w:pPr>
              <w:pStyle w:val="111"/>
              <w:widowControl w:val="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据设计资料，项目洗井用水为300m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，新鲜水从</w:t>
            </w:r>
            <w:r>
              <w:rPr>
                <w:rFonts w:hint="eastAsia" w:cs="Times New Roman"/>
                <w:color w:val="auto"/>
                <w:lang w:val="en-US" w:eastAsia="zh-CN"/>
              </w:rPr>
              <w:t>玛纳斯县</w:t>
            </w:r>
            <w:r>
              <w:rPr>
                <w:rFonts w:hint="default" w:ascii="Times New Roman" w:hAnsi="Times New Roman" w:cs="Times New Roman"/>
                <w:color w:val="auto"/>
                <w:lang w:val="en-US" w:eastAsia="zh-CN"/>
              </w:rPr>
              <w:t>拉运至井场。</w:t>
            </w:r>
          </w:p>
          <w:p w14:paraId="70EC2EFC">
            <w:pPr>
              <w:pStyle w:val="112"/>
              <w:numPr>
                <w:ilvl w:val="1"/>
                <w:numId w:val="0"/>
              </w:numPr>
              <w:bidi w:val="0"/>
              <w:ind w:left="0" w:leftChars="0" w:firstLine="420" w:firstLineChars="0"/>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lang w:val="en-US" w:eastAsia="zh-CN"/>
              </w:rPr>
              <w:t>生活用水</w:t>
            </w:r>
          </w:p>
          <w:p w14:paraId="5F3CF6E2">
            <w:pPr>
              <w:pStyle w:val="111"/>
              <w:widowControl w:val="0"/>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本项目生活用水参照</w:t>
            </w:r>
            <w:r>
              <w:rPr>
                <w:rFonts w:hint="default" w:ascii="Times New Roman" w:hAnsi="Times New Roman" w:cs="Times New Roman"/>
                <w:color w:val="auto"/>
              </w:rPr>
              <w:t>《</w:t>
            </w:r>
            <w:r>
              <w:rPr>
                <w:rFonts w:hint="default" w:ascii="Times New Roman" w:hAnsi="Times New Roman" w:cs="Times New Roman"/>
                <w:color w:val="auto"/>
                <w:lang w:eastAsia="zh-CN"/>
              </w:rPr>
              <w:t>农村生活污水处理技术规范</w:t>
            </w:r>
            <w:r>
              <w:rPr>
                <w:rFonts w:hint="default" w:ascii="Times New Roman" w:hAnsi="Times New Roman" w:cs="Times New Roman"/>
                <w:color w:val="auto"/>
              </w:rPr>
              <w:t>》（DB65</w:t>
            </w:r>
            <w:r>
              <w:rPr>
                <w:rFonts w:hint="default" w:ascii="Times New Roman" w:hAnsi="Times New Roman" w:cs="Times New Roman"/>
                <w:color w:val="auto"/>
                <w:lang w:val="en-US" w:eastAsia="zh-CN"/>
              </w:rPr>
              <w:t>/</w:t>
            </w:r>
            <w:r>
              <w:rPr>
                <w:rFonts w:hint="default" w:ascii="Times New Roman" w:hAnsi="Times New Roman" w:cs="Times New Roman"/>
                <w:color w:val="auto"/>
              </w:rPr>
              <w:t>T4346—2021）</w:t>
            </w:r>
            <w:r>
              <w:rPr>
                <w:rFonts w:hint="default" w:ascii="Times New Roman" w:hAnsi="Times New Roman" w:cs="Times New Roman"/>
                <w:color w:val="auto"/>
                <w:lang w:val="en-US" w:eastAsia="zh-CN"/>
              </w:rPr>
              <w:t>附录A北疆</w:t>
            </w:r>
            <w:r>
              <w:rPr>
                <w:rFonts w:hint="eastAsia" w:cs="Times New Roman"/>
                <w:color w:val="auto"/>
                <w:lang w:val="en-US" w:eastAsia="zh-CN"/>
              </w:rPr>
              <w:t>天山北坡区</w:t>
            </w:r>
            <w:r>
              <w:rPr>
                <w:rFonts w:hint="default" w:ascii="Times New Roman" w:hAnsi="Times New Roman" w:cs="Times New Roman"/>
                <w:color w:val="auto"/>
                <w:lang w:val="en-US" w:eastAsia="zh-CN"/>
              </w:rPr>
              <w:t>用水定额</w:t>
            </w:r>
            <w:r>
              <w:rPr>
                <w:rFonts w:hint="default" w:ascii="Times New Roman" w:hAnsi="Times New Roman" w:cs="Times New Roman"/>
                <w:color w:val="auto"/>
              </w:rPr>
              <w:t>，</w:t>
            </w:r>
            <w:r>
              <w:rPr>
                <w:rFonts w:hint="default" w:ascii="Times New Roman" w:hAnsi="Times New Roman" w:cs="Times New Roman"/>
                <w:color w:val="auto"/>
                <w:lang w:val="en-US" w:eastAsia="zh-CN"/>
              </w:rPr>
              <w:t>生活用水系数为</w:t>
            </w:r>
            <w:r>
              <w:rPr>
                <w:rFonts w:hint="default" w:ascii="Times New Roman" w:hAnsi="Times New Roman" w:cs="Times New Roman"/>
                <w:color w:val="auto"/>
              </w:rPr>
              <w:t>20L/</w:t>
            </w:r>
            <w:r>
              <w:rPr>
                <w:rFonts w:hint="default" w:ascii="Times New Roman" w:hAnsi="Times New Roman" w:cs="Times New Roman"/>
                <w:color w:val="auto"/>
                <w:lang w:val="en-US" w:eastAsia="zh-CN"/>
              </w:rPr>
              <w:t>人▪</w:t>
            </w:r>
            <w:r>
              <w:rPr>
                <w:rFonts w:hint="default" w:ascii="Times New Roman" w:hAnsi="Times New Roman" w:cs="Times New Roman"/>
                <w:color w:val="auto"/>
              </w:rPr>
              <w:t>d，</w:t>
            </w:r>
            <w:r>
              <w:rPr>
                <w:rFonts w:hint="eastAsia" w:cs="Times New Roman"/>
                <w:color w:val="auto"/>
                <w:lang w:val="en-US" w:eastAsia="zh-CN"/>
              </w:rPr>
              <w:t>施工周期</w:t>
            </w:r>
            <w:r>
              <w:rPr>
                <w:rFonts w:hint="eastAsia" w:ascii="Times New Roman" w:hAnsi="Times New Roman" w:cs="Times New Roman"/>
                <w:color w:val="auto"/>
                <w:lang w:val="en-US" w:eastAsia="zh-CN"/>
              </w:rPr>
              <w:t>258</w:t>
            </w:r>
            <w:r>
              <w:rPr>
                <w:rFonts w:hint="default" w:ascii="Times New Roman" w:hAnsi="Times New Roman" w:cs="Times New Roman"/>
                <w:color w:val="auto"/>
                <w:lang w:val="en-US" w:eastAsia="zh-CN"/>
              </w:rPr>
              <w:t>d，施工人数为35人，则生活用水量约为</w:t>
            </w:r>
            <w:r>
              <w:rPr>
                <w:rFonts w:hint="eastAsia" w:ascii="Times New Roman" w:hAnsi="Times New Roman" w:cs="Times New Roman"/>
                <w:color w:val="auto"/>
                <w:lang w:val="en-US" w:eastAsia="zh-CN"/>
              </w:rPr>
              <w:t>180.6</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新鲜水从玛纳斯县拉运</w:t>
            </w:r>
            <w:r>
              <w:rPr>
                <w:rFonts w:hint="eastAsia" w:cs="Times New Roman"/>
                <w:color w:val="auto"/>
                <w:lang w:val="en-US" w:eastAsia="zh-CN"/>
              </w:rPr>
              <w:t>至生活营地</w:t>
            </w:r>
            <w:r>
              <w:rPr>
                <w:rFonts w:hint="default" w:ascii="Times New Roman" w:hAnsi="Times New Roman" w:cs="Times New Roman"/>
                <w:color w:val="auto"/>
                <w:lang w:val="en-US" w:eastAsia="zh-CN"/>
              </w:rPr>
              <w:t>。</w:t>
            </w:r>
          </w:p>
          <w:p w14:paraId="740A443A">
            <w:pPr>
              <w:pStyle w:val="111"/>
              <w:widowControl w:val="0"/>
              <w:bidi w:val="0"/>
              <w:rPr>
                <w:rFonts w:hint="default" w:ascii="Times New Roman" w:hAnsi="Times New Roman" w:cs="Times New Roman"/>
                <w:color w:val="auto"/>
                <w:lang w:val="en-US" w:eastAsia="zh-CN"/>
              </w:rPr>
            </w:pPr>
          </w:p>
          <w:p w14:paraId="6951C09F">
            <w:pPr>
              <w:pStyle w:val="111"/>
              <w:widowControl w:val="0"/>
              <w:bidi w:val="0"/>
              <w:rPr>
                <w:rFonts w:hint="default" w:ascii="Times New Roman" w:hAnsi="Times New Roman" w:cs="Times New Roman"/>
                <w:color w:val="auto"/>
                <w:lang w:val="en-US" w:eastAsia="zh-CN"/>
              </w:rPr>
            </w:pPr>
          </w:p>
          <w:p w14:paraId="4D34C2B4">
            <w:pPr>
              <w:pStyle w:val="111"/>
              <w:widowControl w:val="0"/>
              <w:bidi w:val="0"/>
              <w:rPr>
                <w:rFonts w:hint="default" w:ascii="Times New Roman" w:hAnsi="Times New Roman" w:cs="Times New Roman"/>
                <w:color w:val="auto"/>
                <w:lang w:val="en-US" w:eastAsia="zh-CN"/>
              </w:rPr>
            </w:pPr>
          </w:p>
          <w:p w14:paraId="0C0CF169">
            <w:pPr>
              <w:pStyle w:val="111"/>
              <w:widowControl w:val="0"/>
              <w:bidi w:val="0"/>
              <w:rPr>
                <w:rFonts w:hint="default" w:ascii="Times New Roman" w:hAnsi="Times New Roman" w:cs="Times New Roman"/>
                <w:color w:val="auto"/>
                <w:lang w:val="en-US" w:eastAsia="zh-CN"/>
              </w:rPr>
            </w:pPr>
          </w:p>
          <w:p w14:paraId="362D58FC">
            <w:pPr>
              <w:pStyle w:val="111"/>
              <w:widowControl w:val="0"/>
              <w:bidi w:val="0"/>
              <w:rPr>
                <w:rFonts w:hint="default" w:ascii="Times New Roman" w:hAnsi="Times New Roman" w:cs="Times New Roman"/>
                <w:color w:val="auto"/>
                <w:lang w:val="en-US" w:eastAsia="zh-CN"/>
              </w:rPr>
            </w:pPr>
          </w:p>
          <w:p w14:paraId="5D7732CE">
            <w:pPr>
              <w:pStyle w:val="111"/>
              <w:widowControl w:val="0"/>
              <w:bidi w:val="0"/>
              <w:rPr>
                <w:rFonts w:hint="default" w:ascii="Times New Roman" w:hAnsi="Times New Roman" w:cs="Times New Roman"/>
                <w:color w:val="auto"/>
                <w:lang w:val="en-US" w:eastAsia="zh-CN"/>
              </w:rPr>
            </w:pPr>
          </w:p>
          <w:p w14:paraId="2A828BF6">
            <w:pPr>
              <w:pStyle w:val="111"/>
              <w:widowControl w:val="0"/>
              <w:bidi w:val="0"/>
              <w:rPr>
                <w:rFonts w:hint="default" w:ascii="Times New Roman" w:hAnsi="Times New Roman" w:cs="Times New Roman"/>
                <w:color w:val="auto"/>
                <w:lang w:val="en-US" w:eastAsia="zh-CN"/>
              </w:rPr>
            </w:pPr>
          </w:p>
          <w:p w14:paraId="139987CA">
            <w:pPr>
              <w:pStyle w:val="111"/>
              <w:widowControl w:val="0"/>
              <w:bidi w:val="0"/>
              <w:rPr>
                <w:rFonts w:hint="default" w:ascii="Times New Roman" w:hAnsi="Times New Roman" w:cs="Times New Roman"/>
                <w:color w:val="auto"/>
                <w:lang w:val="en-US" w:eastAsia="zh-CN"/>
              </w:rPr>
            </w:pPr>
          </w:p>
          <w:p w14:paraId="0AAFE550">
            <w:pPr>
              <w:pStyle w:val="111"/>
              <w:widowControl w:val="0"/>
              <w:bidi w:val="0"/>
              <w:rPr>
                <w:rFonts w:hint="default" w:ascii="Times New Roman" w:hAnsi="Times New Roman" w:cs="Times New Roman"/>
                <w:color w:val="auto"/>
                <w:lang w:val="en-US" w:eastAsia="zh-CN"/>
              </w:rPr>
            </w:pPr>
          </w:p>
          <w:p w14:paraId="4A1AA0D0">
            <w:pPr>
              <w:pStyle w:val="111"/>
              <w:widowControl w:val="0"/>
              <w:bidi w:val="0"/>
              <w:rPr>
                <w:rFonts w:hint="default" w:ascii="Times New Roman" w:hAnsi="Times New Roman" w:cs="Times New Roman"/>
                <w:color w:val="auto"/>
                <w:lang w:val="en-US" w:eastAsia="zh-CN"/>
              </w:rPr>
            </w:pPr>
          </w:p>
          <w:p w14:paraId="50A49A24">
            <w:pPr>
              <w:pStyle w:val="111"/>
              <w:widowControl w:val="0"/>
              <w:bidi w:val="0"/>
              <w:rPr>
                <w:rFonts w:hint="default" w:ascii="Times New Roman" w:hAnsi="Times New Roman" w:cs="Times New Roman"/>
                <w:color w:val="auto"/>
                <w:lang w:val="en-US" w:eastAsia="zh-CN"/>
              </w:rPr>
            </w:pPr>
          </w:p>
          <w:p w14:paraId="5EE499E1">
            <w:pPr>
              <w:pStyle w:val="111"/>
              <w:widowControl w:val="0"/>
              <w:bidi w:val="0"/>
              <w:rPr>
                <w:rFonts w:hint="default" w:ascii="Times New Roman" w:hAnsi="Times New Roman" w:cs="Times New Roman"/>
                <w:color w:val="auto"/>
                <w:lang w:val="en-US" w:eastAsia="zh-CN"/>
              </w:rPr>
            </w:pPr>
          </w:p>
          <w:p w14:paraId="35E72F67">
            <w:pPr>
              <w:pStyle w:val="111"/>
              <w:widowControl w:val="0"/>
              <w:bidi w:val="0"/>
              <w:rPr>
                <w:rFonts w:hint="default" w:ascii="Times New Roman" w:hAnsi="Times New Roman" w:cs="Times New Roman"/>
                <w:color w:val="auto"/>
                <w:lang w:val="en-US" w:eastAsia="zh-CN"/>
              </w:rPr>
            </w:pPr>
          </w:p>
          <w:p w14:paraId="4B8D9C36">
            <w:pPr>
              <w:pStyle w:val="111"/>
              <w:widowControl w:val="0"/>
              <w:bidi w:val="0"/>
              <w:rPr>
                <w:rFonts w:hint="default" w:ascii="Times New Roman" w:hAnsi="Times New Roman" w:cs="Times New Roman"/>
                <w:color w:val="auto"/>
                <w:lang w:val="en-US" w:eastAsia="zh-CN"/>
              </w:rPr>
            </w:pPr>
          </w:p>
          <w:p w14:paraId="507B749B">
            <w:pPr>
              <w:pStyle w:val="111"/>
              <w:widowControl w:val="0"/>
              <w:bidi w:val="0"/>
              <w:rPr>
                <w:rFonts w:hint="default" w:ascii="Times New Roman" w:hAnsi="Times New Roman" w:cs="Times New Roman"/>
                <w:color w:val="auto"/>
                <w:lang w:val="en-US" w:eastAsia="zh-CN"/>
              </w:rPr>
            </w:pPr>
          </w:p>
        </w:tc>
      </w:tr>
      <w:tr w14:paraId="4AFC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698" w:type="dxa"/>
            <w:vAlign w:val="center"/>
          </w:tcPr>
          <w:p w14:paraId="3213070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其他</w:t>
            </w:r>
          </w:p>
        </w:tc>
        <w:tc>
          <w:tcPr>
            <w:tcW w:w="7824" w:type="dxa"/>
            <w:vAlign w:val="center"/>
          </w:tcPr>
          <w:p w14:paraId="1F20DE4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无</w:t>
            </w:r>
          </w:p>
        </w:tc>
      </w:tr>
    </w:tbl>
    <w:p w14:paraId="45B6521C">
      <w:pPr>
        <w:pStyle w:val="9"/>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E78DB41">
      <w:pPr>
        <w:pStyle w:val="2"/>
        <w:rPr>
          <w:rFonts w:hint="default" w:ascii="Times New Roman" w:hAnsi="Times New Roman" w:eastAsia="黑体" w:cs="Times New Roman"/>
          <w:b w:val="0"/>
          <w:bCs/>
          <w:color w:val="auto"/>
          <w:sz w:val="30"/>
          <w:szCs w:val="30"/>
        </w:rPr>
      </w:pPr>
      <w:bookmarkStart w:id="31" w:name="_Toc1728"/>
      <w:r>
        <w:rPr>
          <w:rFonts w:hint="default" w:ascii="Times New Roman" w:hAnsi="Times New Roman" w:eastAsia="黑体" w:cs="Times New Roman"/>
          <w:b w:val="0"/>
          <w:bCs/>
          <w:color w:val="auto"/>
          <w:sz w:val="30"/>
          <w:szCs w:val="30"/>
        </w:rPr>
        <w:t>三、生态环境现状、保护目标及评价标准</w:t>
      </w:r>
      <w:bookmarkEnd w:id="31"/>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7646"/>
      </w:tblGrid>
      <w:tr w14:paraId="3F86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D8039B5">
            <w:pPr>
              <w:snapToGrid w:val="0"/>
              <w:spacing w:line="500" w:lineRule="exact"/>
              <w:jc w:val="center"/>
              <w:rPr>
                <w:rFonts w:hint="default" w:ascii="Times New Roman" w:hAnsi="Times New Roman" w:cs="Times New Roman"/>
                <w:color w:val="auto"/>
              </w:rPr>
            </w:pPr>
            <w:r>
              <w:rPr>
                <w:rFonts w:hint="default" w:ascii="Times New Roman" w:hAnsi="Times New Roman" w:cs="Times New Roman"/>
                <w:color w:val="auto"/>
              </w:rPr>
              <w:t>生态环境现状</w:t>
            </w:r>
          </w:p>
        </w:tc>
        <w:tc>
          <w:tcPr>
            <w:tcW w:w="7646" w:type="dxa"/>
          </w:tcPr>
          <w:p w14:paraId="3B32C094">
            <w:pPr>
              <w:pStyle w:val="9"/>
              <w:rPr>
                <w:rFonts w:hint="default" w:ascii="Times New Roman" w:hAnsi="Times New Roman" w:cs="Times New Roman"/>
                <w:color w:val="auto"/>
              </w:rPr>
            </w:pPr>
            <w:r>
              <w:rPr>
                <w:rFonts w:hint="default" w:ascii="Times New Roman" w:hAnsi="Times New Roman" w:cs="Times New Roman"/>
                <w:color w:val="auto"/>
              </w:rPr>
              <w:t>1、主体功能区规划</w:t>
            </w:r>
          </w:p>
          <w:p w14:paraId="18E61FB8">
            <w:pPr>
              <w:pStyle w:val="51"/>
              <w:rPr>
                <w:rFonts w:hint="eastAsia"/>
                <w:color w:val="auto"/>
              </w:rPr>
            </w:pPr>
            <w:r>
              <w:rPr>
                <w:rFonts w:hint="eastAsia"/>
                <w:color w:val="auto"/>
              </w:rPr>
              <w:t>本项目所在地昌吉回族自治州玛纳斯县位于《新疆维吾尔自治区主体功能区规划》中国家层面重点开发区域——天山北坡地区。该区域位于全国“两横三纵”城市化战略格局中陆桥通道的西端，涉及23个县市，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p>
          <w:p w14:paraId="3D8D00A9">
            <w:pPr>
              <w:pStyle w:val="51"/>
              <w:rPr>
                <w:rFonts w:hint="eastAsia" w:cs="Times New Roman"/>
                <w:color w:val="auto"/>
                <w:lang w:val="en-US" w:eastAsia="zh-CN"/>
              </w:rPr>
            </w:pPr>
            <w:r>
              <w:rPr>
                <w:rFonts w:hint="eastAsia"/>
                <w:color w:val="auto"/>
              </w:rPr>
              <w:t>本项目为陆地石油勘探类项目，为石油天然气开发前进行的勘探活动，</w:t>
            </w:r>
            <w:r>
              <w:rPr>
                <w:rFonts w:hint="eastAsia" w:cs="宋体"/>
                <w:color w:val="auto"/>
              </w:rPr>
              <w:t>均为临时工程，</w:t>
            </w:r>
            <w:r>
              <w:rPr>
                <w:rFonts w:hint="eastAsia"/>
                <w:color w:val="auto"/>
              </w:rPr>
              <w:t>符合主体功能区的功能定位。</w:t>
            </w:r>
            <w:r>
              <w:rPr>
                <w:rFonts w:hint="eastAsia" w:cs="Times New Roman"/>
                <w:color w:val="auto"/>
                <w:lang w:val="en-US" w:eastAsia="zh-CN"/>
              </w:rPr>
              <w:t>本项目与新疆主体功能区划位置关系见</w:t>
            </w:r>
            <w:r>
              <w:rPr>
                <w:rFonts w:hint="eastAsia" w:cs="Times New Roman"/>
                <w:b/>
                <w:bCs/>
                <w:color w:val="auto"/>
                <w:lang w:val="en-US" w:eastAsia="zh-CN"/>
              </w:rPr>
              <w:t>附图8</w:t>
            </w:r>
            <w:r>
              <w:rPr>
                <w:rFonts w:hint="eastAsia" w:cs="Times New Roman"/>
                <w:color w:val="auto"/>
                <w:lang w:val="en-US" w:eastAsia="zh-CN"/>
              </w:rPr>
              <w:t>。</w:t>
            </w:r>
          </w:p>
          <w:p w14:paraId="58F3FFD9">
            <w:pPr>
              <w:pStyle w:val="9"/>
              <w:rPr>
                <w:rFonts w:hint="default" w:ascii="Times New Roman" w:hAnsi="Times New Roman" w:cs="Times New Roman"/>
                <w:color w:val="auto"/>
              </w:rPr>
            </w:pPr>
            <w:r>
              <w:rPr>
                <w:rFonts w:hint="default" w:ascii="Times New Roman" w:hAnsi="Times New Roman" w:cs="Times New Roman"/>
                <w:color w:val="auto"/>
              </w:rPr>
              <w:t>2、生态功能区划</w:t>
            </w:r>
          </w:p>
          <w:p w14:paraId="23AAFF20">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根据《新疆生态功能区划简表》，</w:t>
            </w:r>
            <w:r>
              <w:rPr>
                <w:rFonts w:hint="default"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所属生态功能区的主要生态服务功能、主要生态环境问题、主要保护目标和主要发展方向等内容详见表</w:t>
            </w:r>
            <w:r>
              <w:rPr>
                <w:rFonts w:hint="default" w:ascii="Times New Roman" w:hAnsi="Times New Roman" w:cs="Times New Roman"/>
                <w:b w:val="0"/>
                <w:bCs w:val="0"/>
                <w:color w:val="auto"/>
                <w:lang w:val="en-US" w:eastAsia="zh-CN"/>
              </w:rPr>
              <w:t>3-1</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val="en-US" w:eastAsia="zh-CN"/>
              </w:rPr>
              <w:t>本项目与生态功能</w:t>
            </w:r>
            <w:r>
              <w:rPr>
                <w:rFonts w:hint="default" w:ascii="Times New Roman" w:hAnsi="Times New Roman" w:cs="Times New Roman"/>
                <w:b w:val="0"/>
                <w:bCs w:val="0"/>
                <w:color w:val="auto"/>
                <w:szCs w:val="21"/>
              </w:rPr>
              <w:t>区划</w:t>
            </w:r>
            <w:r>
              <w:rPr>
                <w:rFonts w:hint="default" w:ascii="Times New Roman" w:hAnsi="Times New Roman" w:cs="Times New Roman"/>
                <w:b w:val="0"/>
                <w:bCs w:val="0"/>
                <w:color w:val="auto"/>
                <w:szCs w:val="21"/>
                <w:lang w:val="en-US" w:eastAsia="zh-CN"/>
              </w:rPr>
              <w:t>位置关系</w:t>
            </w:r>
            <w:r>
              <w:rPr>
                <w:rFonts w:hint="default" w:ascii="Times New Roman" w:hAnsi="Times New Roman" w:cs="Times New Roman"/>
                <w:b w:val="0"/>
                <w:bCs w:val="0"/>
                <w:color w:val="auto"/>
                <w:szCs w:val="21"/>
              </w:rPr>
              <w:t>见</w:t>
            </w:r>
            <w:r>
              <w:rPr>
                <w:rFonts w:hint="default" w:ascii="Times New Roman" w:hAnsi="Times New Roman" w:cs="Times New Roman"/>
                <w:b/>
                <w:bCs/>
                <w:color w:val="auto"/>
                <w:szCs w:val="21"/>
              </w:rPr>
              <w:t>附图</w:t>
            </w:r>
            <w:r>
              <w:rPr>
                <w:rFonts w:hint="eastAsia" w:ascii="Times New Roman" w:hAnsi="Times New Roman" w:cs="Times New Roman"/>
                <w:b/>
                <w:bCs/>
                <w:color w:val="auto"/>
                <w:szCs w:val="21"/>
                <w:lang w:val="en-US" w:eastAsia="zh-CN"/>
              </w:rPr>
              <w:t>9</w:t>
            </w:r>
            <w:r>
              <w:rPr>
                <w:rFonts w:hint="default" w:ascii="Times New Roman" w:hAnsi="Times New Roman" w:cs="Times New Roman"/>
                <w:b/>
                <w:bCs/>
                <w:color w:val="auto"/>
              </w:rPr>
              <w:t>。</w:t>
            </w:r>
          </w:p>
          <w:p w14:paraId="720A398D">
            <w:pPr>
              <w:pStyle w:val="6"/>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3-1</w:t>
            </w:r>
            <w:r>
              <w:rPr>
                <w:rFonts w:hint="default" w:ascii="Times New Roman" w:hAnsi="Times New Roman" w:cs="Times New Roman"/>
                <w:color w:val="auto"/>
              </w:rPr>
              <w:t xml:space="preserve">  生态功能区划简表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321"/>
              <w:gridCol w:w="5272"/>
            </w:tblGrid>
            <w:tr w14:paraId="421F75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564" w:type="pct"/>
                  <w:vMerge w:val="restart"/>
                  <w:vAlign w:val="center"/>
                </w:tcPr>
                <w:p w14:paraId="66794C78">
                  <w:pPr>
                    <w:pStyle w:val="36"/>
                    <w:rPr>
                      <w:rFonts w:hint="default" w:ascii="Times New Roman" w:hAnsi="Times New Roman" w:cs="Times New Roman"/>
                      <w:color w:val="auto"/>
                      <w:sz w:val="21"/>
                      <w:szCs w:val="21"/>
                    </w:rPr>
                  </w:pPr>
                  <w:bookmarkStart w:id="32" w:name="_Hlk3923160"/>
                  <w:r>
                    <w:rPr>
                      <w:rFonts w:hint="default" w:ascii="Times New Roman" w:hAnsi="Times New Roman" w:cs="Times New Roman"/>
                      <w:color w:val="auto"/>
                      <w:sz w:val="21"/>
                      <w:szCs w:val="21"/>
                    </w:rPr>
                    <w:t>生态功能分区单元</w:t>
                  </w:r>
                </w:p>
              </w:tc>
              <w:tc>
                <w:tcPr>
                  <w:tcW w:w="889" w:type="pct"/>
                  <w:vAlign w:val="center"/>
                </w:tcPr>
                <w:p w14:paraId="567792ED">
                  <w:pPr>
                    <w:pStyle w:val="36"/>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生态区</w:t>
                  </w:r>
                </w:p>
              </w:tc>
              <w:tc>
                <w:tcPr>
                  <w:tcW w:w="3547" w:type="pct"/>
                  <w:vAlign w:val="center"/>
                </w:tcPr>
                <w:p w14:paraId="444C6730">
                  <w:pPr>
                    <w:pStyle w:val="36"/>
                    <w:jc w:val="left"/>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Ⅲ 天山山地温性草原、森林生态区</w:t>
                  </w:r>
                </w:p>
              </w:tc>
            </w:tr>
            <w:tr w14:paraId="758DD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4" w:type="pct"/>
                  <w:vMerge w:val="continue"/>
                  <w:vAlign w:val="center"/>
                </w:tcPr>
                <w:p w14:paraId="4BDE3568">
                  <w:pPr>
                    <w:pStyle w:val="36"/>
                    <w:rPr>
                      <w:rFonts w:hint="default" w:ascii="Times New Roman" w:hAnsi="Times New Roman" w:cs="Times New Roman"/>
                      <w:color w:val="auto"/>
                      <w:sz w:val="21"/>
                      <w:szCs w:val="21"/>
                    </w:rPr>
                  </w:pPr>
                </w:p>
              </w:tc>
              <w:tc>
                <w:tcPr>
                  <w:tcW w:w="889" w:type="pct"/>
                  <w:vAlign w:val="center"/>
                </w:tcPr>
                <w:p w14:paraId="26B3A143">
                  <w:pPr>
                    <w:pStyle w:val="36"/>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生态亚区</w:t>
                  </w:r>
                </w:p>
              </w:tc>
              <w:tc>
                <w:tcPr>
                  <w:tcW w:w="3547" w:type="pct"/>
                  <w:vAlign w:val="center"/>
                </w:tcPr>
                <w:p w14:paraId="543E4FF2">
                  <w:pPr>
                    <w:pStyle w:val="36"/>
                    <w:jc w:val="left"/>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Ⅲ1 天山北坡针叶林、草甸水源涵养及草原牧业生态亚区</w:t>
                  </w:r>
                </w:p>
              </w:tc>
            </w:tr>
            <w:tr w14:paraId="48240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4" w:type="pct"/>
                  <w:vMerge w:val="continue"/>
                  <w:vAlign w:val="center"/>
                </w:tcPr>
                <w:p w14:paraId="5C9CAD23">
                  <w:pPr>
                    <w:pStyle w:val="36"/>
                    <w:rPr>
                      <w:rFonts w:hint="default" w:ascii="Times New Roman" w:hAnsi="Times New Roman" w:cs="Times New Roman"/>
                      <w:color w:val="auto"/>
                      <w:sz w:val="21"/>
                      <w:szCs w:val="21"/>
                    </w:rPr>
                  </w:pPr>
                </w:p>
              </w:tc>
              <w:tc>
                <w:tcPr>
                  <w:tcW w:w="889" w:type="pct"/>
                  <w:vAlign w:val="center"/>
                </w:tcPr>
                <w:p w14:paraId="01AB02F1">
                  <w:pPr>
                    <w:pStyle w:val="36"/>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生态功能区</w:t>
                  </w:r>
                </w:p>
              </w:tc>
              <w:tc>
                <w:tcPr>
                  <w:tcW w:w="3547" w:type="pct"/>
                  <w:vAlign w:val="center"/>
                </w:tcPr>
                <w:p w14:paraId="189C8842">
                  <w:pPr>
                    <w:pStyle w:val="36"/>
                    <w:jc w:val="left"/>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31．天山北坡中段低山丘陵煤炭资源开发、迹地恢复生态功能区</w:t>
                  </w:r>
                </w:p>
              </w:tc>
            </w:tr>
            <w:tr w14:paraId="28E33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3" w:type="pct"/>
                  <w:gridSpan w:val="2"/>
                  <w:vAlign w:val="center"/>
                </w:tcPr>
                <w:p w14:paraId="65F081B1">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主要生态服务功能</w:t>
                  </w:r>
                </w:p>
              </w:tc>
              <w:tc>
                <w:tcPr>
                  <w:tcW w:w="3547" w:type="pct"/>
                  <w:vAlign w:val="center"/>
                </w:tcPr>
                <w:p w14:paraId="56AC3E6A">
                  <w:pPr>
                    <w:pStyle w:val="36"/>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煤炭资源、土壤保持、冷季草场</w:t>
                  </w:r>
                </w:p>
              </w:tc>
            </w:tr>
            <w:tr w14:paraId="498CF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3" w:type="pct"/>
                  <w:gridSpan w:val="2"/>
                  <w:vAlign w:val="center"/>
                </w:tcPr>
                <w:p w14:paraId="5FE05132">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主要生态环境问题</w:t>
                  </w:r>
                </w:p>
              </w:tc>
              <w:tc>
                <w:tcPr>
                  <w:tcW w:w="3547" w:type="pct"/>
                  <w:vAlign w:val="center"/>
                </w:tcPr>
                <w:p w14:paraId="3B97CC7F">
                  <w:pPr>
                    <w:pStyle w:val="36"/>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煤层自燃、地表塌陷、地貌破坏、环境污染、草场植被退化、水土流失</w:t>
                  </w:r>
                </w:p>
              </w:tc>
            </w:tr>
            <w:tr w14:paraId="6D2A35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3" w:type="pct"/>
                  <w:gridSpan w:val="2"/>
                  <w:vAlign w:val="center"/>
                </w:tcPr>
                <w:p w14:paraId="40B054BA">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生态敏感因子敏感</w:t>
                  </w:r>
                </w:p>
                <w:p w14:paraId="47AF30E5">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程度</w:t>
                  </w:r>
                </w:p>
              </w:tc>
              <w:tc>
                <w:tcPr>
                  <w:tcW w:w="3547" w:type="pct"/>
                  <w:vAlign w:val="center"/>
                </w:tcPr>
                <w:p w14:paraId="26F3AC6A">
                  <w:pPr>
                    <w:pStyle w:val="36"/>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生物多样性及其生境高度敏感，土壤侵蚀轻度敏感</w:t>
                  </w:r>
                </w:p>
              </w:tc>
            </w:tr>
            <w:tr w14:paraId="175C25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3" w:type="pct"/>
                  <w:gridSpan w:val="2"/>
                  <w:vAlign w:val="center"/>
                </w:tcPr>
                <w:p w14:paraId="075624CB">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保护目标</w:t>
                  </w:r>
                </w:p>
              </w:tc>
              <w:tc>
                <w:tcPr>
                  <w:tcW w:w="3547" w:type="pct"/>
                  <w:vAlign w:val="center"/>
                </w:tcPr>
                <w:p w14:paraId="0ECE31E0">
                  <w:pPr>
                    <w:pStyle w:val="36"/>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保护煤炭资源、保护地貌和地表植被，防止泥石流和滑坡</w:t>
                  </w:r>
                </w:p>
              </w:tc>
            </w:tr>
            <w:tr w14:paraId="1198EA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3" w:type="pct"/>
                  <w:gridSpan w:val="2"/>
                  <w:vAlign w:val="center"/>
                </w:tcPr>
                <w:p w14:paraId="451F6799">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保护措施</w:t>
                  </w:r>
                </w:p>
              </w:tc>
              <w:tc>
                <w:tcPr>
                  <w:tcW w:w="3547" w:type="pct"/>
                  <w:vAlign w:val="center"/>
                </w:tcPr>
                <w:p w14:paraId="60D62010">
                  <w:pPr>
                    <w:pStyle w:val="36"/>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加强煤炭开发管理、草场减牧、煤田灭火、退耕还草</w:t>
                  </w:r>
                </w:p>
              </w:tc>
            </w:tr>
            <w:tr w14:paraId="290ECF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3" w:type="pct"/>
                  <w:gridSpan w:val="2"/>
                  <w:vAlign w:val="center"/>
                </w:tcPr>
                <w:p w14:paraId="326C8876">
                  <w:pPr>
                    <w:pStyle w:val="36"/>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适宜发展方向</w:t>
                  </w:r>
                </w:p>
              </w:tc>
              <w:tc>
                <w:tcPr>
                  <w:tcW w:w="3547" w:type="pct"/>
                  <w:vAlign w:val="center"/>
                </w:tcPr>
                <w:p w14:paraId="08BBD609">
                  <w:pPr>
                    <w:pStyle w:val="36"/>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规范开采矿产资源，发展生态无损的大型高效集约化煤炭工业基地，合理利用草地资源</w:t>
                  </w:r>
                </w:p>
              </w:tc>
            </w:tr>
            <w:bookmarkEnd w:id="32"/>
          </w:tbl>
          <w:p w14:paraId="629CB740">
            <w:pPr>
              <w:pStyle w:val="9"/>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auto"/>
              </w:rPr>
            </w:pPr>
            <w:bookmarkStart w:id="33" w:name="_Hlk136793903"/>
            <w:r>
              <w:rPr>
                <w:rFonts w:hint="default" w:ascii="Times New Roman" w:hAnsi="Times New Roman" w:cs="Times New Roman"/>
                <w:color w:val="auto"/>
              </w:rPr>
              <w:t>3、生态环境现状</w:t>
            </w:r>
          </w:p>
          <w:bookmarkEnd w:id="33"/>
          <w:p w14:paraId="312EF3A8">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（1）植被现状</w:t>
            </w:r>
          </w:p>
          <w:p w14:paraId="56B92F0B">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eastAsia="宋体" w:cs="Times New Roman"/>
                <w:b w:val="0"/>
                <w:bCs w:val="0"/>
                <w:color w:val="auto"/>
                <w:lang w:val="en-US" w:eastAsia="zh-CN"/>
              </w:rPr>
            </w:pPr>
            <w:r>
              <w:rPr>
                <w:rFonts w:hint="eastAsia" w:ascii="Times New Roman" w:hAnsi="Times New Roman" w:cs="Times New Roman"/>
                <w:b w:val="0"/>
                <w:bCs w:val="0"/>
                <w:color w:val="auto"/>
                <w:lang w:val="en-US" w:eastAsia="zh-CN"/>
              </w:rPr>
              <w:t>纳东1井井场及道路均位于一般耕地内，耕地种植作物为棉花，目前耕地内棉花苗长成，苗高约80cm。生活营地占用其他草地，植物有博乐绢蒿、小蓬；根据《新疆国家重点保护野生植物名录》（2022年）和《新疆维吾尔自治区重点保护野生植物名录》（2024年），据现场踏勘及资料收集可知，本项目临时占地范围内无国家及自治区级保护植物分布。</w:t>
            </w:r>
          </w:p>
          <w:p w14:paraId="31E9ACE4">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（2）野生动物现状</w:t>
            </w:r>
          </w:p>
          <w:p w14:paraId="211AC655">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本项目建设地点位于玛纳斯县白杨树庄村西南侧，区域分布有农田，受人为活动影响，项目区域无大型野生动物分布，仅生存着小型啮齿类动物，如</w:t>
            </w:r>
            <w:r>
              <w:rPr>
                <w:rFonts w:hint="default" w:ascii="Times New Roman" w:hAnsi="Times New Roman" w:cs="Times New Roman"/>
                <w:b w:val="0"/>
                <w:bCs w:val="0"/>
                <w:color w:val="auto"/>
                <w:lang w:val="en-US" w:eastAsia="zh-CN"/>
              </w:rPr>
              <w:t>鼠</w:t>
            </w:r>
            <w:r>
              <w:rPr>
                <w:rFonts w:hint="eastAsia" w:ascii="Times New Roman" w:hAnsi="Times New Roman" w:cs="Times New Roman"/>
                <w:b w:val="0"/>
                <w:bCs w:val="0"/>
                <w:color w:val="auto"/>
                <w:lang w:val="en-US" w:eastAsia="zh-CN"/>
              </w:rPr>
              <w:t>类、</w:t>
            </w:r>
            <w:r>
              <w:rPr>
                <w:rFonts w:hint="default" w:ascii="Times New Roman" w:hAnsi="Times New Roman" w:cs="Times New Roman"/>
                <w:b w:val="0"/>
                <w:bCs w:val="0"/>
                <w:color w:val="auto"/>
                <w:lang w:val="en-US" w:eastAsia="zh-CN"/>
              </w:rPr>
              <w:t>麻雀</w:t>
            </w:r>
            <w:r>
              <w:rPr>
                <w:rFonts w:hint="eastAsia" w:ascii="Times New Roman" w:hAnsi="Times New Roman" w:cs="Times New Roman"/>
                <w:b w:val="0"/>
                <w:bCs w:val="0"/>
                <w:color w:val="auto"/>
                <w:lang w:val="en-US" w:eastAsia="zh-CN"/>
              </w:rPr>
              <w:t>、燕子</w:t>
            </w:r>
            <w:r>
              <w:rPr>
                <w:rFonts w:hint="default" w:ascii="Times New Roman" w:hAnsi="Times New Roman" w:cs="Times New Roman"/>
                <w:b w:val="0"/>
                <w:bCs w:val="0"/>
                <w:color w:val="auto"/>
                <w:lang w:val="en-US" w:eastAsia="zh-CN"/>
              </w:rPr>
              <w:t>等。</w:t>
            </w:r>
          </w:p>
          <w:p w14:paraId="14D8712A">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本项目占地范围未见《国家重点保护野生动物名录》</w:t>
            </w:r>
            <w:r>
              <w:rPr>
                <w:rFonts w:hint="eastAsia" w:ascii="Times New Roman" w:hAnsi="Times New Roman" w:cs="Times New Roman"/>
                <w:b w:val="0"/>
                <w:bCs w:val="0"/>
                <w:color w:val="auto"/>
                <w:lang w:val="en-US" w:eastAsia="zh-CN"/>
              </w:rPr>
              <w:t>（2021年）</w:t>
            </w:r>
            <w:r>
              <w:rPr>
                <w:rFonts w:hint="default" w:ascii="Times New Roman" w:hAnsi="Times New Roman" w:cs="Times New Roman"/>
                <w:b w:val="0"/>
                <w:bCs w:val="0"/>
                <w:color w:val="auto"/>
                <w:lang w:val="en-US" w:eastAsia="zh-CN"/>
              </w:rPr>
              <w:t>及《新疆维吾尔自治区重点保护野生动物名录（20</w:t>
            </w:r>
            <w:r>
              <w:rPr>
                <w:rFonts w:hint="eastAsia" w:ascii="Times New Roman" w:hAnsi="Times New Roman" w:cs="Times New Roman"/>
                <w:b w:val="0"/>
                <w:bCs w:val="0"/>
                <w:color w:val="auto"/>
                <w:lang w:val="en-US" w:eastAsia="zh-CN"/>
              </w:rPr>
              <w:t>24</w:t>
            </w:r>
            <w:r>
              <w:rPr>
                <w:rFonts w:hint="default" w:ascii="Times New Roman" w:hAnsi="Times New Roman" w:cs="Times New Roman"/>
                <w:b w:val="0"/>
                <w:bCs w:val="0"/>
                <w:color w:val="auto"/>
                <w:lang w:val="en-US" w:eastAsia="zh-CN"/>
              </w:rPr>
              <w:t>年）》中保护野生动物分布。</w:t>
            </w:r>
          </w:p>
          <w:p w14:paraId="7C7B067B">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rPr>
            </w:pPr>
            <w:bookmarkStart w:id="34" w:name="_Hlk136793978"/>
            <w:r>
              <w:rPr>
                <w:rFonts w:hint="default" w:ascii="Times New Roman" w:hAnsi="Times New Roman" w:cs="Times New Roman"/>
                <w:b w:val="0"/>
                <w:bCs w:val="0"/>
                <w:color w:val="auto"/>
              </w:rPr>
              <w:t>（3）土地利用类型</w:t>
            </w:r>
          </w:p>
          <w:p w14:paraId="16B4A3C8">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rPr>
            </w:pPr>
            <w:bookmarkStart w:id="35" w:name="_Hlk168224186"/>
            <w:r>
              <w:rPr>
                <w:rFonts w:hint="default" w:ascii="Times New Roman" w:hAnsi="Times New Roman" w:cs="Times New Roman"/>
                <w:b w:val="0"/>
                <w:bCs w:val="0"/>
                <w:color w:val="auto"/>
              </w:rPr>
              <w:t>根据建设单位提供的土地利用类型叠图可知，</w:t>
            </w:r>
            <w:r>
              <w:rPr>
                <w:rFonts w:hint="eastAsia" w:ascii="Times New Roman" w:hAnsi="Times New Roman" w:cs="Times New Roman"/>
                <w:b w:val="0"/>
                <w:bCs w:val="0"/>
                <w:color w:val="auto"/>
                <w:lang w:val="en-US" w:eastAsia="zh-CN"/>
              </w:rPr>
              <w:t>纳东1</w:t>
            </w:r>
            <w:r>
              <w:rPr>
                <w:rFonts w:hint="default" w:ascii="Times New Roman" w:hAnsi="Times New Roman" w:cs="Times New Roman"/>
                <w:b w:val="0"/>
                <w:bCs w:val="0"/>
                <w:color w:val="auto"/>
              </w:rPr>
              <w:t>井临时占地范围内的土地利用类型为</w:t>
            </w:r>
            <w:bookmarkEnd w:id="35"/>
            <w:r>
              <w:rPr>
                <w:rFonts w:hint="eastAsia" w:ascii="Times New Roman" w:hAnsi="Times New Roman" w:cs="Times New Roman"/>
                <w:b w:val="0"/>
                <w:bCs w:val="0"/>
                <w:color w:val="auto"/>
                <w:lang w:val="en-US" w:eastAsia="zh-CN"/>
              </w:rPr>
              <w:t>一般耕地和其他草地</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lang w:val="en-US" w:eastAsia="zh-CN"/>
              </w:rPr>
              <w:t>本项目土地利用类型</w:t>
            </w:r>
            <w:r>
              <w:rPr>
                <w:rFonts w:hint="default" w:ascii="Times New Roman" w:hAnsi="Times New Roman" w:cs="Times New Roman"/>
                <w:b w:val="0"/>
                <w:bCs w:val="0"/>
                <w:color w:val="auto"/>
              </w:rPr>
              <w:t>见</w:t>
            </w:r>
            <w:r>
              <w:rPr>
                <w:rFonts w:hint="default" w:ascii="Times New Roman" w:hAnsi="Times New Roman" w:cs="Times New Roman"/>
                <w:b/>
                <w:bCs/>
                <w:color w:val="auto"/>
              </w:rPr>
              <w:t>附图</w:t>
            </w:r>
            <w:r>
              <w:rPr>
                <w:rFonts w:hint="eastAsia" w:ascii="Times New Roman" w:hAnsi="Times New Roman" w:cs="Times New Roman"/>
                <w:b/>
                <w:bCs/>
                <w:color w:val="auto"/>
                <w:lang w:val="en-US" w:eastAsia="zh-CN"/>
              </w:rPr>
              <w:t>10</w:t>
            </w:r>
            <w:r>
              <w:rPr>
                <w:rFonts w:hint="default" w:ascii="Times New Roman" w:hAnsi="Times New Roman" w:cs="Times New Roman"/>
                <w:b w:val="0"/>
                <w:bCs w:val="0"/>
                <w:color w:val="auto"/>
              </w:rPr>
              <w:t>。</w:t>
            </w:r>
          </w:p>
          <w:bookmarkEnd w:id="34"/>
          <w:p w14:paraId="2AFBF651">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（4）土地沙化现状</w:t>
            </w:r>
          </w:p>
          <w:p w14:paraId="3609C69C">
            <w:pPr>
              <w:pStyle w:val="9"/>
              <w:ind w:firstLine="480"/>
              <w:rPr>
                <w:rFonts w:hint="default" w:ascii="Times New Roman" w:hAnsi="Times New Roman"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本项目位于</w:t>
            </w:r>
            <w:r>
              <w:rPr>
                <w:rFonts w:hint="eastAsia" w:ascii="Times New Roman" w:hAnsi="Times New Roman" w:cs="Times New Roman"/>
                <w:b w:val="0"/>
                <w:bCs w:val="0"/>
                <w:color w:val="auto"/>
                <w:highlight w:val="none"/>
                <w:lang w:val="en-US" w:eastAsia="zh-CN"/>
              </w:rPr>
              <w:t>昌吉回族自治州玛纳斯县</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eastAsia="宋体" w:cs="Times New Roman"/>
                <w:b w:val="0"/>
                <w:bCs w:val="0"/>
                <w:color w:val="auto"/>
                <w:highlight w:val="none"/>
                <w:lang w:val="zh-CN" w:eastAsia="zh-CN"/>
              </w:rPr>
              <w:t>根据《新疆第</w:t>
            </w:r>
            <w:r>
              <w:rPr>
                <w:rFonts w:hint="default" w:ascii="Times New Roman" w:hAnsi="Times New Roman" w:eastAsia="宋体" w:cs="Times New Roman"/>
                <w:b w:val="0"/>
                <w:bCs w:val="0"/>
                <w:color w:val="auto"/>
                <w:highlight w:val="none"/>
                <w:lang w:val="en-US" w:eastAsia="zh-CN"/>
              </w:rPr>
              <w:t>六</w:t>
            </w:r>
            <w:r>
              <w:rPr>
                <w:rFonts w:hint="default" w:ascii="Times New Roman" w:hAnsi="Times New Roman" w:eastAsia="宋体" w:cs="Times New Roman"/>
                <w:b w:val="0"/>
                <w:bCs w:val="0"/>
                <w:color w:val="auto"/>
                <w:highlight w:val="none"/>
                <w:lang w:val="zh-CN" w:eastAsia="zh-CN"/>
              </w:rPr>
              <w:t>次沙化土地监测报告》，</w:t>
            </w:r>
            <w:r>
              <w:rPr>
                <w:rFonts w:hint="default" w:ascii="Times New Roman" w:hAnsi="Times New Roman" w:eastAsia="宋体" w:cs="Times New Roman"/>
                <w:b w:val="0"/>
                <w:bCs w:val="0"/>
                <w:color w:val="auto"/>
                <w:highlight w:val="none"/>
                <w:lang w:val="en-US" w:eastAsia="zh-CN"/>
              </w:rPr>
              <w:t>属于</w:t>
            </w:r>
            <w:r>
              <w:rPr>
                <w:rFonts w:hint="eastAsia" w:ascii="Times New Roman" w:hAnsi="Times New Roman" w:cs="Times New Roman"/>
                <w:b w:val="0"/>
                <w:bCs w:val="0"/>
                <w:color w:val="auto"/>
                <w:highlight w:val="none"/>
                <w:lang w:val="en-US" w:eastAsia="zh-CN"/>
              </w:rPr>
              <w:t>北疆沙漠自然地理单元——古尔班通古特沙漠</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古尔班通古特沙漠面积48695</w:t>
            </w:r>
            <w:r>
              <w:rPr>
                <w:rFonts w:hint="eastAsia" w:ascii="Times New Roman" w:hAnsi="Times New Roman" w:cs="Times New Roman"/>
                <w:b w:val="0"/>
                <w:bCs w:val="0"/>
                <w:color w:val="auto"/>
                <w:highlight w:val="none"/>
                <w:lang w:val="en-US" w:eastAsia="zh-CN"/>
              </w:rPr>
              <w:t>km</w:t>
            </w:r>
            <w:r>
              <w:rPr>
                <w:rFonts w:hint="eastAsia" w:ascii="Times New Roman" w:hAnsi="Times New Roman" w:cs="Times New Roman"/>
                <w:b w:val="0"/>
                <w:bCs w:val="0"/>
                <w:color w:val="auto"/>
                <w:highlight w:val="none"/>
                <w:vertAlign w:val="superscript"/>
                <w:lang w:val="en-US" w:eastAsia="zh-CN"/>
              </w:rPr>
              <w:t>2</w:t>
            </w:r>
            <w:r>
              <w:rPr>
                <w:rFonts w:hint="default" w:ascii="Times New Roman" w:hAnsi="Times New Roman" w:cs="Times New Roman"/>
                <w:b w:val="0"/>
                <w:bCs w:val="0"/>
                <w:color w:val="auto"/>
                <w:highlight w:val="none"/>
                <w:lang w:val="en-US" w:eastAsia="zh-CN"/>
              </w:rPr>
              <w:t>，占全疆沙漠的11.05%；沙漠中的沙化土地面积449.44万</w:t>
            </w:r>
            <w:r>
              <w:rPr>
                <w:rFonts w:hint="eastAsia" w:ascii="Times New Roman" w:hAnsi="Times New Roman" w:cs="Times New Roman"/>
                <w:b w:val="0"/>
                <w:bCs w:val="0"/>
                <w:color w:val="auto"/>
                <w:highlight w:val="none"/>
                <w:lang w:val="en-US" w:eastAsia="zh-CN"/>
              </w:rPr>
              <w:t>hm</w:t>
            </w:r>
            <w:r>
              <w:rPr>
                <w:rFonts w:hint="eastAsia" w:ascii="Times New Roman" w:hAnsi="Times New Roman" w:cs="Times New Roman"/>
                <w:b w:val="0"/>
                <w:bCs w:val="0"/>
                <w:color w:val="auto"/>
                <w:highlight w:val="none"/>
                <w:vertAlign w:val="superscript"/>
                <w:lang w:val="en-US" w:eastAsia="zh-CN"/>
              </w:rPr>
              <w:t>2</w:t>
            </w:r>
            <w:r>
              <w:rPr>
                <w:rFonts w:hint="default" w:ascii="Times New Roman" w:hAnsi="Times New Roman" w:cs="Times New Roman"/>
                <w:b w:val="0"/>
                <w:bCs w:val="0"/>
                <w:color w:val="auto"/>
                <w:highlight w:val="none"/>
                <w:lang w:val="en-US" w:eastAsia="zh-CN"/>
              </w:rPr>
              <w:t>，其中：流动沙地3.57万</w:t>
            </w:r>
            <w:r>
              <w:rPr>
                <w:rFonts w:hint="eastAsia" w:ascii="Times New Roman" w:hAnsi="Times New Roman" w:cs="Times New Roman"/>
                <w:b w:val="0"/>
                <w:bCs w:val="0"/>
                <w:color w:val="auto"/>
                <w:highlight w:val="none"/>
                <w:lang w:val="en-US" w:eastAsia="zh-CN"/>
              </w:rPr>
              <w:t>hm</w:t>
            </w:r>
            <w:r>
              <w:rPr>
                <w:rFonts w:hint="eastAsia" w:ascii="Times New Roman" w:hAnsi="Times New Roman" w:cs="Times New Roman"/>
                <w:b w:val="0"/>
                <w:bCs w:val="0"/>
                <w:color w:val="auto"/>
                <w:highlight w:val="none"/>
                <w:vertAlign w:val="superscript"/>
                <w:lang w:val="en-US" w:eastAsia="zh-CN"/>
              </w:rPr>
              <w:t>2</w:t>
            </w:r>
            <w:r>
              <w:rPr>
                <w:rFonts w:hint="default" w:ascii="Times New Roman" w:hAnsi="Times New Roman" w:cs="Times New Roman"/>
                <w:b w:val="0"/>
                <w:bCs w:val="0"/>
                <w:color w:val="auto"/>
                <w:highlight w:val="none"/>
                <w:lang w:val="en-US" w:eastAsia="zh-CN"/>
              </w:rPr>
              <w:t>，半固定沙地96.92万</w:t>
            </w:r>
            <w:r>
              <w:rPr>
                <w:rFonts w:hint="eastAsia" w:ascii="Times New Roman" w:hAnsi="Times New Roman" w:cs="Times New Roman"/>
                <w:b w:val="0"/>
                <w:bCs w:val="0"/>
                <w:color w:val="auto"/>
                <w:highlight w:val="none"/>
                <w:lang w:val="en-US" w:eastAsia="zh-CN"/>
              </w:rPr>
              <w:t>hm</w:t>
            </w:r>
            <w:r>
              <w:rPr>
                <w:rFonts w:hint="eastAsia" w:ascii="Times New Roman" w:hAnsi="Times New Roman" w:cs="Times New Roman"/>
                <w:b w:val="0"/>
                <w:bCs w:val="0"/>
                <w:color w:val="auto"/>
                <w:highlight w:val="none"/>
                <w:vertAlign w:val="superscript"/>
                <w:lang w:val="en-US" w:eastAsia="zh-CN"/>
              </w:rPr>
              <w:t>2</w:t>
            </w:r>
            <w:r>
              <w:rPr>
                <w:rFonts w:hint="default" w:ascii="Times New Roman" w:hAnsi="Times New Roman" w:cs="Times New Roman"/>
                <w:b w:val="0"/>
                <w:bCs w:val="0"/>
                <w:color w:val="auto"/>
                <w:highlight w:val="none"/>
                <w:lang w:val="en-US" w:eastAsia="zh-CN"/>
              </w:rPr>
              <w:t>，固定沙地344.54万</w:t>
            </w:r>
            <w:r>
              <w:rPr>
                <w:rFonts w:hint="eastAsia" w:ascii="Times New Roman" w:hAnsi="Times New Roman" w:cs="Times New Roman"/>
                <w:b w:val="0"/>
                <w:bCs w:val="0"/>
                <w:color w:val="auto"/>
                <w:highlight w:val="none"/>
                <w:lang w:val="en-US" w:eastAsia="zh-CN"/>
              </w:rPr>
              <w:t>hm</w:t>
            </w:r>
            <w:r>
              <w:rPr>
                <w:rFonts w:hint="eastAsia" w:ascii="Times New Roman" w:hAnsi="Times New Roman" w:cs="Times New Roman"/>
                <w:b w:val="0"/>
                <w:bCs w:val="0"/>
                <w:color w:val="auto"/>
                <w:highlight w:val="none"/>
                <w:vertAlign w:val="superscript"/>
                <w:lang w:val="en-US" w:eastAsia="zh-CN"/>
              </w:rPr>
              <w:t>2</w:t>
            </w:r>
            <w:r>
              <w:rPr>
                <w:rFonts w:hint="default" w:ascii="Times New Roman" w:hAnsi="Times New Roman" w:cs="Times New Roman"/>
                <w:b w:val="0"/>
                <w:bCs w:val="0"/>
                <w:color w:val="auto"/>
                <w:highlight w:val="none"/>
                <w:lang w:val="en-US" w:eastAsia="zh-CN"/>
              </w:rPr>
              <w:t>，沙化耕地4.41万</w:t>
            </w:r>
            <w:r>
              <w:rPr>
                <w:rFonts w:hint="eastAsia" w:ascii="Times New Roman" w:hAnsi="Times New Roman" w:cs="Times New Roman"/>
                <w:b w:val="0"/>
                <w:bCs w:val="0"/>
                <w:color w:val="auto"/>
                <w:highlight w:val="none"/>
                <w:lang w:val="en-US" w:eastAsia="zh-CN"/>
              </w:rPr>
              <w:t>hm</w:t>
            </w:r>
            <w:r>
              <w:rPr>
                <w:rFonts w:hint="eastAsia" w:ascii="Times New Roman" w:hAnsi="Times New Roman" w:cs="Times New Roman"/>
                <w:b w:val="0"/>
                <w:bCs w:val="0"/>
                <w:color w:val="auto"/>
                <w:highlight w:val="none"/>
                <w:vertAlign w:val="superscript"/>
                <w:lang w:val="en-US" w:eastAsia="zh-CN"/>
              </w:rPr>
              <w:t>2</w:t>
            </w:r>
            <w:r>
              <w:rPr>
                <w:rFonts w:hint="default" w:ascii="Times New Roman" w:hAnsi="Times New Roman" w:cs="Times New Roman"/>
                <w:b w:val="0"/>
                <w:bCs w:val="0"/>
                <w:color w:val="auto"/>
                <w:highlight w:val="none"/>
                <w:lang w:val="en-US" w:eastAsia="zh-CN"/>
              </w:rPr>
              <w:t>。</w:t>
            </w:r>
          </w:p>
          <w:p w14:paraId="1F253FEB">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本项目所在</w:t>
            </w:r>
            <w:r>
              <w:rPr>
                <w:rFonts w:hint="eastAsia" w:ascii="Times New Roman" w:hAnsi="Times New Roman" w:cs="Times New Roman"/>
                <w:b w:val="0"/>
                <w:bCs w:val="0"/>
                <w:color w:val="auto"/>
                <w:lang w:val="en-US" w:eastAsia="zh-CN"/>
              </w:rPr>
              <w:t>区域为非沙化土地</w:t>
            </w: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土地沙化类型见</w:t>
            </w:r>
            <w:r>
              <w:rPr>
                <w:rFonts w:hint="default" w:ascii="Times New Roman" w:hAnsi="Times New Roman" w:cs="Times New Roman"/>
                <w:b/>
                <w:bCs/>
                <w:color w:val="auto"/>
              </w:rPr>
              <w:t>附图</w:t>
            </w:r>
            <w:r>
              <w:rPr>
                <w:rFonts w:hint="default" w:ascii="Times New Roman" w:hAnsi="Times New Roman" w:cs="Times New Roman"/>
                <w:b/>
                <w:bCs/>
                <w:color w:val="auto"/>
                <w:lang w:val="en-US" w:eastAsia="zh-CN"/>
              </w:rPr>
              <w:t>1</w:t>
            </w:r>
            <w:r>
              <w:rPr>
                <w:rFonts w:hint="eastAsia" w:ascii="Times New Roman" w:hAnsi="Times New Roman" w:cs="Times New Roman"/>
                <w:b/>
                <w:bCs/>
                <w:color w:val="auto"/>
                <w:lang w:val="en-US" w:eastAsia="zh-CN"/>
              </w:rPr>
              <w:t>1</w:t>
            </w:r>
            <w:r>
              <w:rPr>
                <w:rFonts w:hint="default" w:ascii="Times New Roman" w:hAnsi="Times New Roman" w:cs="Times New Roman"/>
                <w:b w:val="0"/>
                <w:bCs w:val="0"/>
                <w:color w:val="auto"/>
              </w:rPr>
              <w:t>。</w:t>
            </w:r>
          </w:p>
          <w:p w14:paraId="5C6C14C6">
            <w:pPr>
              <w:pStyle w:val="9"/>
              <w:ind w:firstLine="480"/>
              <w:rPr>
                <w:rFonts w:hint="default" w:ascii="Times New Roman" w:hAnsi="Times New Roman" w:cs="Times New Roman"/>
                <w:b w:val="0"/>
                <w:bCs w:val="0"/>
                <w:color w:val="auto"/>
              </w:rPr>
            </w:pPr>
          </w:p>
          <w:p w14:paraId="7311E093">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（5）水土流失现状</w:t>
            </w:r>
          </w:p>
          <w:p w14:paraId="15110830">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根据《新疆维吾尔自治区昌吉回族自治州水土保持规划（2021-2030年）》，</w:t>
            </w:r>
            <w:r>
              <w:rPr>
                <w:rFonts w:hint="eastAsia"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部署</w:t>
            </w:r>
            <w:r>
              <w:rPr>
                <w:rFonts w:hint="eastAsia" w:ascii="Times New Roman" w:hAnsi="Times New Roman" w:cs="Times New Roman"/>
                <w:b w:val="0"/>
                <w:bCs w:val="0"/>
                <w:color w:val="auto"/>
                <w:lang w:val="en-US" w:eastAsia="zh-CN"/>
              </w:rPr>
              <w:t>勘探井纳东1井位于</w:t>
            </w:r>
            <w:r>
              <w:rPr>
                <w:rFonts w:hint="default" w:ascii="Times New Roman" w:hAnsi="Times New Roman" w:cs="Times New Roman"/>
                <w:b w:val="0"/>
                <w:bCs w:val="0"/>
                <w:color w:val="auto"/>
              </w:rPr>
              <w:t>玛纳斯县，该县水土流失重点预防区面积493km</w:t>
            </w:r>
            <w:r>
              <w:rPr>
                <w:rFonts w:hint="default" w:ascii="Times New Roman" w:hAnsi="Times New Roman" w:cs="Times New Roman"/>
                <w:b w:val="0"/>
                <w:bCs w:val="0"/>
                <w:color w:val="auto"/>
                <w:vertAlign w:val="superscript"/>
              </w:rPr>
              <w:t>2</w:t>
            </w:r>
            <w:r>
              <w:rPr>
                <w:rFonts w:hint="default" w:ascii="Times New Roman" w:hAnsi="Times New Roman" w:cs="Times New Roman"/>
                <w:b w:val="0"/>
                <w:bCs w:val="0"/>
                <w:color w:val="auto"/>
              </w:rPr>
              <w:t>，水土流失面积相对较小。</w:t>
            </w:r>
            <w:r>
              <w:rPr>
                <w:rFonts w:hint="eastAsia" w:ascii="Times New Roman" w:hAnsi="Times New Roman" w:cs="Times New Roman"/>
                <w:b w:val="0"/>
                <w:bCs w:val="0"/>
                <w:color w:val="auto"/>
                <w:lang w:val="en-US" w:eastAsia="zh-CN"/>
              </w:rPr>
              <w:t>该井</w:t>
            </w:r>
            <w:r>
              <w:rPr>
                <w:rFonts w:hint="default" w:ascii="Times New Roman" w:hAnsi="Times New Roman" w:cs="Times New Roman"/>
                <w:b w:val="0"/>
                <w:bCs w:val="0"/>
                <w:color w:val="auto"/>
              </w:rPr>
              <w:t>临时占地不在昌吉回族自治州水土流失重点预防区和重点治理区内。</w:t>
            </w:r>
            <w:r>
              <w:rPr>
                <w:rFonts w:hint="eastAsia" w:ascii="Times New Roman" w:hAnsi="Times New Roman" w:cs="Times New Roman"/>
                <w:b w:val="0"/>
                <w:bCs w:val="0"/>
                <w:color w:val="auto"/>
                <w:lang w:val="en-US" w:eastAsia="zh-CN"/>
              </w:rPr>
              <w:t>水土流失类型见</w:t>
            </w:r>
            <w:r>
              <w:rPr>
                <w:rFonts w:hint="default" w:ascii="Times New Roman" w:hAnsi="Times New Roman" w:cs="Times New Roman"/>
                <w:b/>
                <w:bCs/>
                <w:color w:val="auto"/>
                <w:lang w:val="en-US" w:eastAsia="zh-CN"/>
              </w:rPr>
              <w:t>附图1</w:t>
            </w:r>
            <w:r>
              <w:rPr>
                <w:rFonts w:hint="eastAsia" w:ascii="Times New Roman" w:hAnsi="Times New Roman" w:cs="Times New Roman"/>
                <w:b/>
                <w:bCs/>
                <w:color w:val="auto"/>
                <w:lang w:val="en-US" w:eastAsia="zh-CN"/>
              </w:rPr>
              <w:t>2</w:t>
            </w:r>
            <w:r>
              <w:rPr>
                <w:rFonts w:hint="default" w:ascii="Times New Roman" w:hAnsi="Times New Roman" w:cs="Times New Roman"/>
                <w:b w:val="0"/>
                <w:bCs w:val="0"/>
                <w:color w:val="auto"/>
              </w:rPr>
              <w:t>。</w:t>
            </w:r>
          </w:p>
          <w:p w14:paraId="5672C9EB">
            <w:pPr>
              <w:pStyle w:val="9"/>
              <w:rPr>
                <w:rFonts w:hint="default" w:ascii="Times New Roman" w:hAnsi="Times New Roman" w:cs="Times New Roman"/>
                <w:color w:val="auto"/>
                <w:highlight w:val="none"/>
              </w:rPr>
            </w:pPr>
            <w:r>
              <w:rPr>
                <w:rFonts w:hint="default" w:ascii="Times New Roman" w:hAnsi="Times New Roman" w:cs="Times New Roman"/>
                <w:color w:val="auto"/>
                <w:highlight w:val="none"/>
              </w:rPr>
              <w:t>4、区域环境质量现状</w:t>
            </w:r>
          </w:p>
          <w:p w14:paraId="0CB91B89">
            <w:pPr>
              <w:pStyle w:val="9"/>
              <w:ind w:firstLine="480"/>
              <w:rPr>
                <w:rFonts w:hint="default" w:ascii="Times New Roman" w:hAnsi="Times New Roman" w:cs="Times New Roman"/>
                <w:b w:val="0"/>
                <w:bCs w:val="0"/>
                <w:color w:val="auto"/>
                <w:highlight w:val="none"/>
              </w:rPr>
            </w:pPr>
            <w:bookmarkStart w:id="36" w:name="_Hlk136793645"/>
            <w:r>
              <w:rPr>
                <w:rFonts w:hint="default" w:ascii="Times New Roman" w:hAnsi="Times New Roman" w:cs="Times New Roman"/>
                <w:b w:val="0"/>
                <w:bCs w:val="0"/>
                <w:color w:val="auto"/>
                <w:highlight w:val="none"/>
              </w:rPr>
              <w:t>（1）环境空气质量现状调查</w:t>
            </w:r>
          </w:p>
          <w:bookmarkEnd w:id="36"/>
          <w:p w14:paraId="493297A7">
            <w:pPr>
              <w:pStyle w:val="9"/>
              <w:ind w:firstLine="480"/>
              <w:rPr>
                <w:rFonts w:hint="default" w:ascii="Times New Roman" w:hAnsi="Times New Roman" w:eastAsia="黑体" w:cs="Times New Roman"/>
                <w:color w:val="auto"/>
                <w:sz w:val="21"/>
                <w:szCs w:val="21"/>
              </w:rPr>
            </w:pPr>
            <w:r>
              <w:rPr>
                <w:rFonts w:hint="default" w:ascii="Times New Roman" w:hAnsi="Times New Roman" w:cs="Times New Roman"/>
                <w:b w:val="0"/>
                <w:bCs w:val="0"/>
                <w:color w:val="auto"/>
                <w:highlight w:val="none"/>
                <w:lang w:val="en-US" w:eastAsia="zh-CN"/>
              </w:rPr>
              <w:t>本</w:t>
            </w:r>
            <w:r>
              <w:rPr>
                <w:rFonts w:hint="default" w:ascii="Times New Roman" w:hAnsi="Times New Roman" w:cs="Times New Roman"/>
                <w:b w:val="0"/>
                <w:bCs w:val="0"/>
                <w:color w:val="auto"/>
                <w:highlight w:val="none"/>
              </w:rPr>
              <w:t>项目所在地为</w:t>
            </w:r>
            <w:r>
              <w:rPr>
                <w:rFonts w:hint="eastAsia" w:ascii="Times New Roman" w:hAnsi="Times New Roman" w:cs="Times New Roman"/>
                <w:b w:val="0"/>
                <w:bCs w:val="0"/>
                <w:color w:val="auto"/>
                <w:highlight w:val="none"/>
                <w:lang w:val="en-US" w:eastAsia="zh-CN"/>
              </w:rPr>
              <w:t>玛纳斯县</w:t>
            </w:r>
            <w:r>
              <w:rPr>
                <w:rFonts w:hint="default"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val="en-US" w:eastAsia="zh-CN"/>
              </w:rPr>
              <w:t>纳东1</w:t>
            </w:r>
            <w:r>
              <w:rPr>
                <w:rFonts w:hint="default" w:ascii="Times New Roman" w:hAnsi="Times New Roman" w:cs="Times New Roman"/>
                <w:b w:val="0"/>
                <w:bCs w:val="0"/>
                <w:color w:val="auto"/>
                <w:highlight w:val="none"/>
              </w:rPr>
              <w:t>井</w:t>
            </w:r>
            <w:r>
              <w:rPr>
                <w:rFonts w:hint="eastAsia" w:ascii="Times New Roman" w:hAnsi="Times New Roman" w:cs="Times New Roman"/>
                <w:b w:val="0"/>
                <w:bCs w:val="0"/>
                <w:color w:val="auto"/>
                <w:highlight w:val="none"/>
                <w:lang w:val="en-US" w:eastAsia="zh-CN"/>
              </w:rPr>
              <w:t>西</w:t>
            </w:r>
            <w:r>
              <w:rPr>
                <w:rFonts w:hint="default" w:ascii="Times New Roman" w:hAnsi="Times New Roman" w:cs="Times New Roman"/>
                <w:b w:val="0"/>
                <w:bCs w:val="0"/>
                <w:color w:val="auto"/>
                <w:highlight w:val="none"/>
              </w:rPr>
              <w:t>北距石河子市</w:t>
            </w:r>
            <w:r>
              <w:rPr>
                <w:rFonts w:hint="eastAsia" w:ascii="Times New Roman" w:hAnsi="Times New Roman" w:cs="Times New Roman"/>
                <w:b w:val="0"/>
                <w:bCs w:val="0"/>
                <w:color w:val="auto"/>
                <w:highlight w:val="none"/>
                <w:lang w:val="en-US" w:eastAsia="zh-CN"/>
              </w:rPr>
              <w:t>市区</w:t>
            </w:r>
            <w:r>
              <w:rPr>
                <w:rFonts w:hint="default" w:ascii="Times New Roman" w:hAnsi="Times New Roman" w:cs="Times New Roman"/>
                <w:b w:val="0"/>
                <w:bCs w:val="0"/>
                <w:color w:val="auto"/>
                <w:highlight w:val="none"/>
              </w:rPr>
              <w:t>约</w:t>
            </w:r>
            <w:r>
              <w:rPr>
                <w:rFonts w:hint="eastAsia" w:ascii="Times New Roman" w:hAnsi="Times New Roman" w:cs="Times New Roman"/>
                <w:b w:val="0"/>
                <w:bCs w:val="0"/>
                <w:color w:val="auto"/>
                <w:highlight w:val="none"/>
                <w:lang w:val="en-US" w:eastAsia="zh-CN"/>
              </w:rPr>
              <w:t>27</w:t>
            </w:r>
            <w:r>
              <w:rPr>
                <w:rFonts w:hint="default" w:ascii="Times New Roman" w:hAnsi="Times New Roman" w:cs="Times New Roman"/>
                <w:b w:val="0"/>
                <w:bCs w:val="0"/>
                <w:color w:val="auto"/>
                <w:highlight w:val="none"/>
              </w:rPr>
              <w:t>km</w:t>
            </w:r>
            <w:r>
              <w:rPr>
                <w:rFonts w:hint="eastAsia" w:ascii="Times New Roman" w:hAnsi="Times New Roman" w:cs="Times New Roman"/>
                <w:b w:val="0"/>
                <w:bCs w:val="0"/>
                <w:color w:val="auto"/>
                <w:highlight w:val="none"/>
                <w:lang w:eastAsia="zh-CN"/>
              </w:rPr>
              <w:t>，</w:t>
            </w:r>
            <w:r>
              <w:rPr>
                <w:rFonts w:hint="eastAsia" w:ascii="Times New Roman" w:hAnsi="Times New Roman" w:cs="Times New Roman"/>
                <w:b w:val="0"/>
                <w:bCs w:val="0"/>
                <w:color w:val="auto"/>
                <w:highlight w:val="none"/>
                <w:lang w:val="en-US" w:eastAsia="zh-CN"/>
              </w:rPr>
              <w:t>距离石河子市较近，本次评价引用中华人民共和国生态环境部环境工程评估中心发布的“环境空气质量模型技术支持服务系统”中距离本工程最近、且地形、气候条件相近的城市点—石河子市2024年的环境空气质量达标区判定数据，来说明工程</w:t>
            </w:r>
            <w:r>
              <w:rPr>
                <w:rFonts w:hint="eastAsia" w:ascii="Times New Roman" w:hAnsi="Times New Roman" w:cs="Times New Roman"/>
                <w:b w:val="0"/>
                <w:bCs w:val="0"/>
                <w:color w:val="auto"/>
                <w:lang w:val="en-US" w:eastAsia="zh-CN"/>
              </w:rPr>
              <w:t>所在区域的环境质量达标情况，</w:t>
            </w:r>
            <w:r>
              <w:rPr>
                <w:rFonts w:hint="default" w:ascii="Times New Roman" w:hAnsi="Times New Roman" w:cs="Times New Roman"/>
                <w:b w:val="0"/>
                <w:bCs w:val="0"/>
                <w:color w:val="auto"/>
              </w:rPr>
              <w:t>具体数据见表</w:t>
            </w:r>
            <w:r>
              <w:rPr>
                <w:rFonts w:hint="default" w:ascii="Times New Roman" w:hAnsi="Times New Roman" w:cs="Times New Roman"/>
                <w:b w:val="0"/>
                <w:bCs w:val="0"/>
                <w:color w:val="auto"/>
                <w:lang w:val="en-US" w:eastAsia="zh-CN"/>
              </w:rPr>
              <w:t>3-2</w:t>
            </w:r>
            <w:r>
              <w:rPr>
                <w:rFonts w:hint="default" w:ascii="Times New Roman" w:hAnsi="Times New Roman" w:cs="Times New Roman"/>
                <w:b w:val="0"/>
                <w:bCs w:val="0"/>
                <w:color w:val="auto"/>
              </w:rPr>
              <w:t>。</w:t>
            </w:r>
            <w:bookmarkStart w:id="37" w:name="_Ref21430043"/>
          </w:p>
          <w:p w14:paraId="34F0AAF3">
            <w:pPr>
              <w:pStyle w:val="9"/>
              <w:ind w:firstLine="42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default" w:ascii="Times New Roman" w:hAnsi="Times New Roman" w:eastAsia="黑体" w:cs="Times New Roman"/>
                <w:b w:val="0"/>
                <w:bCs w:val="0"/>
                <w:color w:val="auto"/>
                <w:sz w:val="21"/>
                <w:szCs w:val="21"/>
                <w:lang w:val="en-US" w:eastAsia="zh-CN"/>
              </w:rPr>
              <w:t>3-2</w:t>
            </w:r>
            <w:r>
              <w:rPr>
                <w:rFonts w:hint="default" w:ascii="Times New Roman" w:hAnsi="Times New Roman" w:eastAsia="黑体" w:cs="Times New Roman"/>
                <w:b w:val="0"/>
                <w:bCs w:val="0"/>
                <w:color w:val="auto"/>
                <w:sz w:val="21"/>
                <w:szCs w:val="21"/>
              </w:rPr>
              <w:t xml:space="preserve">  大气质量及评价结果一览表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030"/>
              <w:gridCol w:w="2178"/>
              <w:gridCol w:w="1189"/>
              <w:gridCol w:w="1189"/>
              <w:gridCol w:w="1070"/>
              <w:gridCol w:w="773"/>
            </w:tblGrid>
            <w:tr w14:paraId="799600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12" w:space="0"/>
                    <w:left w:val="nil"/>
                    <w:bottom w:val="single" w:color="auto" w:sz="6" w:space="0"/>
                    <w:right w:val="single" w:color="auto" w:sz="6" w:space="0"/>
                  </w:tcBorders>
                  <w:vAlign w:val="center"/>
                </w:tcPr>
                <w:p w14:paraId="0FDAF87C">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监测因子</w:t>
                  </w:r>
                </w:p>
              </w:tc>
              <w:tc>
                <w:tcPr>
                  <w:tcW w:w="1466" w:type="pct"/>
                  <w:tcBorders>
                    <w:top w:val="single" w:color="auto" w:sz="12" w:space="0"/>
                    <w:left w:val="single" w:color="auto" w:sz="6" w:space="0"/>
                    <w:bottom w:val="single" w:color="auto" w:sz="6" w:space="0"/>
                    <w:right w:val="single" w:color="auto" w:sz="6" w:space="0"/>
                  </w:tcBorders>
                  <w:vAlign w:val="center"/>
                </w:tcPr>
                <w:p w14:paraId="5E7B561B">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年评价指标</w:t>
                  </w:r>
                </w:p>
              </w:tc>
              <w:tc>
                <w:tcPr>
                  <w:tcW w:w="800" w:type="pct"/>
                  <w:tcBorders>
                    <w:top w:val="single" w:color="auto" w:sz="12" w:space="0"/>
                    <w:left w:val="single" w:color="auto" w:sz="6" w:space="0"/>
                    <w:bottom w:val="single" w:color="auto" w:sz="6" w:space="0"/>
                    <w:right w:val="single" w:color="auto" w:sz="6" w:space="0"/>
                  </w:tcBorders>
                  <w:vAlign w:val="center"/>
                </w:tcPr>
                <w:p w14:paraId="3CA33854">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标准值</w:t>
                  </w:r>
                </w:p>
                <w:p w14:paraId="5CB4C548">
                  <w:pPr>
                    <w:pStyle w:val="45"/>
                    <w:adjustRightInd w:val="0"/>
                    <w:snapToGrid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rPr>
                    <w:t>3</w:t>
                  </w:r>
                  <w:r>
                    <w:rPr>
                      <w:rFonts w:hint="default" w:ascii="Times New Roman" w:hAnsi="Times New Roman" w:cs="Times New Roman"/>
                      <w:color w:val="auto"/>
                      <w:sz w:val="21"/>
                      <w:szCs w:val="21"/>
                      <w:vertAlign w:val="baseline"/>
                      <w:lang w:val="en-US" w:eastAsia="zh-CN"/>
                    </w:rPr>
                    <w:t>)</w:t>
                  </w:r>
                </w:p>
              </w:tc>
              <w:tc>
                <w:tcPr>
                  <w:tcW w:w="800" w:type="pct"/>
                  <w:tcBorders>
                    <w:top w:val="single" w:color="auto" w:sz="12" w:space="0"/>
                    <w:left w:val="single" w:color="auto" w:sz="6" w:space="0"/>
                    <w:bottom w:val="single" w:color="auto" w:sz="6" w:space="0"/>
                    <w:right w:val="single" w:color="auto" w:sz="6" w:space="0"/>
                  </w:tcBorders>
                  <w:vAlign w:val="center"/>
                </w:tcPr>
                <w:p w14:paraId="1E014209">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现状浓度</w:t>
                  </w:r>
                </w:p>
                <w:p w14:paraId="314F15CF">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720" w:type="pct"/>
                  <w:tcBorders>
                    <w:top w:val="single" w:color="auto" w:sz="12" w:space="0"/>
                    <w:left w:val="single" w:color="auto" w:sz="6" w:space="0"/>
                    <w:bottom w:val="single" w:color="auto" w:sz="6" w:space="0"/>
                    <w:right w:val="single" w:color="auto" w:sz="6" w:space="0"/>
                  </w:tcBorders>
                  <w:vAlign w:val="center"/>
                </w:tcPr>
                <w:p w14:paraId="42046510">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占标率</w:t>
                  </w:r>
                </w:p>
                <w:p w14:paraId="3DA5FFDD">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21" w:type="pct"/>
                  <w:tcBorders>
                    <w:top w:val="single" w:color="auto" w:sz="12" w:space="0"/>
                    <w:left w:val="single" w:color="auto" w:sz="6" w:space="0"/>
                    <w:bottom w:val="single" w:color="auto" w:sz="6" w:space="0"/>
                    <w:right w:val="nil"/>
                  </w:tcBorders>
                  <w:vAlign w:val="center"/>
                </w:tcPr>
                <w:p w14:paraId="24558E17">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p w14:paraId="0138C2CE">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情况</w:t>
                  </w:r>
                </w:p>
              </w:tc>
            </w:tr>
            <w:tr w14:paraId="108558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6" w:space="0"/>
                    <w:left w:val="nil"/>
                    <w:bottom w:val="single" w:color="auto" w:sz="6" w:space="0"/>
                    <w:right w:val="single" w:color="auto" w:sz="6" w:space="0"/>
                  </w:tcBorders>
                  <w:vAlign w:val="center"/>
                </w:tcPr>
                <w:p w14:paraId="0A8BBFF3">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466" w:type="pct"/>
                  <w:tcBorders>
                    <w:top w:val="single" w:color="auto" w:sz="6" w:space="0"/>
                    <w:left w:val="single" w:color="auto" w:sz="6" w:space="0"/>
                    <w:bottom w:val="single" w:color="auto" w:sz="6" w:space="0"/>
                    <w:right w:val="single" w:color="auto" w:sz="6" w:space="0"/>
                  </w:tcBorders>
                  <w:vAlign w:val="center"/>
                </w:tcPr>
                <w:p w14:paraId="2E4F7D28">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年平均值</w:t>
                  </w:r>
                </w:p>
              </w:tc>
              <w:tc>
                <w:tcPr>
                  <w:tcW w:w="800" w:type="pct"/>
                  <w:tcBorders>
                    <w:top w:val="single" w:color="auto" w:sz="6" w:space="0"/>
                    <w:left w:val="single" w:color="auto" w:sz="6" w:space="0"/>
                    <w:bottom w:val="single" w:color="auto" w:sz="6" w:space="0"/>
                    <w:right w:val="single" w:color="auto" w:sz="6" w:space="0"/>
                  </w:tcBorders>
                  <w:vAlign w:val="center"/>
                </w:tcPr>
                <w:p w14:paraId="3A8143FE">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800" w:type="pct"/>
                  <w:tcBorders>
                    <w:top w:val="single" w:color="auto" w:sz="6" w:space="0"/>
                    <w:left w:val="single" w:color="auto" w:sz="6" w:space="0"/>
                    <w:bottom w:val="single" w:color="auto" w:sz="6" w:space="0"/>
                    <w:right w:val="single" w:color="auto" w:sz="6" w:space="0"/>
                  </w:tcBorders>
                  <w:vAlign w:val="center"/>
                </w:tcPr>
                <w:p w14:paraId="0C1A46A9">
                  <w:pPr>
                    <w:pStyle w:val="45"/>
                    <w:adjustRightInd w:val="0"/>
                    <w:snapToGrid w:val="0"/>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9</w:t>
                  </w:r>
                </w:p>
              </w:tc>
              <w:tc>
                <w:tcPr>
                  <w:tcW w:w="720" w:type="pct"/>
                  <w:tcBorders>
                    <w:top w:val="single" w:color="auto" w:sz="6" w:space="0"/>
                    <w:left w:val="single" w:color="auto" w:sz="6" w:space="0"/>
                    <w:bottom w:val="single" w:color="auto" w:sz="6" w:space="0"/>
                    <w:right w:val="single" w:color="auto" w:sz="6" w:space="0"/>
                  </w:tcBorders>
                  <w:vAlign w:val="center"/>
                </w:tcPr>
                <w:p w14:paraId="67157DA3">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w:t>
                  </w:r>
                </w:p>
              </w:tc>
              <w:tc>
                <w:tcPr>
                  <w:tcW w:w="521" w:type="pct"/>
                  <w:tcBorders>
                    <w:top w:val="single" w:color="auto" w:sz="6" w:space="0"/>
                    <w:left w:val="single" w:color="auto" w:sz="6" w:space="0"/>
                    <w:bottom w:val="single" w:color="auto" w:sz="6" w:space="0"/>
                    <w:right w:val="nil"/>
                  </w:tcBorders>
                  <w:vAlign w:val="center"/>
                </w:tcPr>
                <w:p w14:paraId="3E81B18E">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84641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6" w:space="0"/>
                    <w:left w:val="nil"/>
                    <w:bottom w:val="single" w:color="auto" w:sz="6" w:space="0"/>
                    <w:right w:val="single" w:color="auto" w:sz="6" w:space="0"/>
                  </w:tcBorders>
                  <w:vAlign w:val="center"/>
                </w:tcPr>
                <w:p w14:paraId="669463AD">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466" w:type="pct"/>
                  <w:tcBorders>
                    <w:top w:val="single" w:color="auto" w:sz="6" w:space="0"/>
                    <w:left w:val="single" w:color="auto" w:sz="6" w:space="0"/>
                    <w:bottom w:val="single" w:color="auto" w:sz="6" w:space="0"/>
                    <w:right w:val="single" w:color="auto" w:sz="6" w:space="0"/>
                  </w:tcBorders>
                  <w:vAlign w:val="center"/>
                </w:tcPr>
                <w:p w14:paraId="65C0DFED">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年平均值</w:t>
                  </w:r>
                </w:p>
              </w:tc>
              <w:tc>
                <w:tcPr>
                  <w:tcW w:w="800" w:type="pct"/>
                  <w:tcBorders>
                    <w:top w:val="single" w:color="auto" w:sz="6" w:space="0"/>
                    <w:left w:val="single" w:color="auto" w:sz="6" w:space="0"/>
                    <w:bottom w:val="single" w:color="auto" w:sz="6" w:space="0"/>
                    <w:right w:val="single" w:color="auto" w:sz="6" w:space="0"/>
                  </w:tcBorders>
                  <w:vAlign w:val="center"/>
                </w:tcPr>
                <w:p w14:paraId="335B7F82">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800" w:type="pct"/>
                  <w:tcBorders>
                    <w:top w:val="single" w:color="auto" w:sz="6" w:space="0"/>
                    <w:left w:val="single" w:color="auto" w:sz="6" w:space="0"/>
                    <w:bottom w:val="single" w:color="auto" w:sz="6" w:space="0"/>
                    <w:right w:val="single" w:color="auto" w:sz="6" w:space="0"/>
                  </w:tcBorders>
                  <w:vAlign w:val="center"/>
                </w:tcPr>
                <w:p w14:paraId="58377418">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22</w:t>
                  </w:r>
                </w:p>
              </w:tc>
              <w:tc>
                <w:tcPr>
                  <w:tcW w:w="720" w:type="pct"/>
                  <w:tcBorders>
                    <w:top w:val="single" w:color="auto" w:sz="6" w:space="0"/>
                    <w:left w:val="single" w:color="auto" w:sz="6" w:space="0"/>
                    <w:bottom w:val="single" w:color="auto" w:sz="6" w:space="0"/>
                    <w:right w:val="single" w:color="auto" w:sz="6" w:space="0"/>
                  </w:tcBorders>
                  <w:vAlign w:val="center"/>
                </w:tcPr>
                <w:p w14:paraId="626D9CB3">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55</w:t>
                  </w:r>
                </w:p>
              </w:tc>
              <w:tc>
                <w:tcPr>
                  <w:tcW w:w="521" w:type="pct"/>
                  <w:tcBorders>
                    <w:top w:val="single" w:color="auto" w:sz="6" w:space="0"/>
                    <w:left w:val="single" w:color="auto" w:sz="6" w:space="0"/>
                    <w:bottom w:val="single" w:color="auto" w:sz="6" w:space="0"/>
                    <w:right w:val="nil"/>
                  </w:tcBorders>
                  <w:vAlign w:val="center"/>
                </w:tcPr>
                <w:p w14:paraId="22217305">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169EC5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6" w:space="0"/>
                    <w:left w:val="nil"/>
                    <w:bottom w:val="single" w:color="auto" w:sz="6" w:space="0"/>
                    <w:right w:val="single" w:color="auto" w:sz="6" w:space="0"/>
                  </w:tcBorders>
                  <w:vAlign w:val="center"/>
                </w:tcPr>
                <w:p w14:paraId="3A3F9505">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466" w:type="pct"/>
                  <w:tcBorders>
                    <w:top w:val="single" w:color="auto" w:sz="6" w:space="0"/>
                    <w:left w:val="single" w:color="auto" w:sz="6" w:space="0"/>
                    <w:bottom w:val="single" w:color="auto" w:sz="6" w:space="0"/>
                    <w:right w:val="single" w:color="auto" w:sz="6" w:space="0"/>
                  </w:tcBorders>
                  <w:vAlign w:val="center"/>
                </w:tcPr>
                <w:p w14:paraId="3444BEDA">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年平均值</w:t>
                  </w:r>
                </w:p>
              </w:tc>
              <w:tc>
                <w:tcPr>
                  <w:tcW w:w="800" w:type="pct"/>
                  <w:tcBorders>
                    <w:top w:val="single" w:color="auto" w:sz="6" w:space="0"/>
                    <w:left w:val="single" w:color="auto" w:sz="6" w:space="0"/>
                    <w:bottom w:val="single" w:color="auto" w:sz="6" w:space="0"/>
                    <w:right w:val="single" w:color="auto" w:sz="6" w:space="0"/>
                  </w:tcBorders>
                  <w:vAlign w:val="center"/>
                </w:tcPr>
                <w:p w14:paraId="4C5A8976">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800" w:type="pct"/>
                  <w:tcBorders>
                    <w:top w:val="single" w:color="auto" w:sz="6" w:space="0"/>
                    <w:left w:val="single" w:color="auto" w:sz="6" w:space="0"/>
                    <w:bottom w:val="single" w:color="auto" w:sz="6" w:space="0"/>
                    <w:right w:val="single" w:color="auto" w:sz="6" w:space="0"/>
                  </w:tcBorders>
                  <w:vAlign w:val="center"/>
                </w:tcPr>
                <w:p w14:paraId="48584CA8">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70</w:t>
                  </w:r>
                </w:p>
              </w:tc>
              <w:tc>
                <w:tcPr>
                  <w:tcW w:w="720" w:type="pct"/>
                  <w:tcBorders>
                    <w:top w:val="single" w:color="auto" w:sz="6" w:space="0"/>
                    <w:left w:val="single" w:color="auto" w:sz="6" w:space="0"/>
                    <w:bottom w:val="single" w:color="auto" w:sz="6" w:space="0"/>
                    <w:right w:val="single" w:color="auto" w:sz="6" w:space="0"/>
                  </w:tcBorders>
                  <w:vAlign w:val="center"/>
                </w:tcPr>
                <w:p w14:paraId="7E81AC3C">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100</w:t>
                  </w:r>
                </w:p>
              </w:tc>
              <w:tc>
                <w:tcPr>
                  <w:tcW w:w="521" w:type="pct"/>
                  <w:tcBorders>
                    <w:top w:val="single" w:color="auto" w:sz="6" w:space="0"/>
                    <w:left w:val="single" w:color="auto" w:sz="6" w:space="0"/>
                    <w:bottom w:val="single" w:color="auto" w:sz="6" w:space="0"/>
                    <w:right w:val="nil"/>
                  </w:tcBorders>
                  <w:vAlign w:val="center"/>
                </w:tcPr>
                <w:p w14:paraId="4FB96684">
                  <w:pPr>
                    <w:pStyle w:val="45"/>
                    <w:adjustRightInd w:val="0"/>
                    <w:snapToGrid w:val="0"/>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r>
            <w:tr w14:paraId="0756C7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6" w:space="0"/>
                    <w:left w:val="nil"/>
                    <w:bottom w:val="single" w:color="auto" w:sz="6" w:space="0"/>
                    <w:right w:val="single" w:color="auto" w:sz="6" w:space="0"/>
                  </w:tcBorders>
                  <w:vAlign w:val="center"/>
                </w:tcPr>
                <w:p w14:paraId="6406AB2C">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466" w:type="pct"/>
                  <w:tcBorders>
                    <w:top w:val="single" w:color="auto" w:sz="6" w:space="0"/>
                    <w:left w:val="single" w:color="auto" w:sz="6" w:space="0"/>
                    <w:bottom w:val="single" w:color="auto" w:sz="6" w:space="0"/>
                    <w:right w:val="single" w:color="auto" w:sz="6" w:space="0"/>
                  </w:tcBorders>
                  <w:vAlign w:val="center"/>
                </w:tcPr>
                <w:p w14:paraId="6EE192C5">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年平均值</w:t>
                  </w:r>
                </w:p>
              </w:tc>
              <w:tc>
                <w:tcPr>
                  <w:tcW w:w="800" w:type="pct"/>
                  <w:tcBorders>
                    <w:top w:val="single" w:color="auto" w:sz="6" w:space="0"/>
                    <w:left w:val="single" w:color="auto" w:sz="6" w:space="0"/>
                    <w:bottom w:val="single" w:color="auto" w:sz="6" w:space="0"/>
                    <w:right w:val="single" w:color="auto" w:sz="6" w:space="0"/>
                  </w:tcBorders>
                  <w:vAlign w:val="center"/>
                </w:tcPr>
                <w:p w14:paraId="5EC87CF6">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w:t>
                  </w:r>
                </w:p>
              </w:tc>
              <w:tc>
                <w:tcPr>
                  <w:tcW w:w="800" w:type="pct"/>
                  <w:tcBorders>
                    <w:top w:val="single" w:color="auto" w:sz="6" w:space="0"/>
                    <w:left w:val="single" w:color="auto" w:sz="6" w:space="0"/>
                    <w:bottom w:val="single" w:color="auto" w:sz="6" w:space="0"/>
                    <w:right w:val="single" w:color="auto" w:sz="6" w:space="0"/>
                  </w:tcBorders>
                  <w:vAlign w:val="center"/>
                </w:tcPr>
                <w:p w14:paraId="4C6ECAB3">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43</w:t>
                  </w:r>
                </w:p>
              </w:tc>
              <w:tc>
                <w:tcPr>
                  <w:tcW w:w="720" w:type="pct"/>
                  <w:tcBorders>
                    <w:top w:val="single" w:color="auto" w:sz="6" w:space="0"/>
                    <w:left w:val="single" w:color="auto" w:sz="6" w:space="0"/>
                    <w:bottom w:val="single" w:color="auto" w:sz="6" w:space="0"/>
                    <w:right w:val="single" w:color="auto" w:sz="6" w:space="0"/>
                  </w:tcBorders>
                  <w:vAlign w:val="center"/>
                </w:tcPr>
                <w:p w14:paraId="51630CFE">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123</w:t>
                  </w:r>
                </w:p>
              </w:tc>
              <w:tc>
                <w:tcPr>
                  <w:tcW w:w="521" w:type="pct"/>
                  <w:tcBorders>
                    <w:top w:val="single" w:color="auto" w:sz="6" w:space="0"/>
                    <w:left w:val="single" w:color="auto" w:sz="6" w:space="0"/>
                    <w:bottom w:val="single" w:color="auto" w:sz="6" w:space="0"/>
                    <w:right w:val="nil"/>
                  </w:tcBorders>
                  <w:vAlign w:val="center"/>
                </w:tcPr>
                <w:p w14:paraId="5FF64F8D">
                  <w:pPr>
                    <w:pStyle w:val="45"/>
                    <w:adjustRightInd w:val="0"/>
                    <w:snapToGrid w:val="0"/>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r>
            <w:tr w14:paraId="73E36F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6" w:space="0"/>
                    <w:left w:val="nil"/>
                    <w:bottom w:val="single" w:color="auto" w:sz="6" w:space="0"/>
                    <w:right w:val="single" w:color="auto" w:sz="6" w:space="0"/>
                  </w:tcBorders>
                  <w:vAlign w:val="center"/>
                </w:tcPr>
                <w:p w14:paraId="274020DE">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w:t>
                  </w:r>
                </w:p>
              </w:tc>
              <w:tc>
                <w:tcPr>
                  <w:tcW w:w="1466" w:type="pct"/>
                  <w:tcBorders>
                    <w:top w:val="single" w:color="auto" w:sz="6" w:space="0"/>
                    <w:left w:val="single" w:color="auto" w:sz="6" w:space="0"/>
                    <w:bottom w:val="single" w:color="auto" w:sz="6" w:space="0"/>
                    <w:right w:val="single" w:color="auto" w:sz="6" w:space="0"/>
                  </w:tcBorders>
                  <w:vAlign w:val="center"/>
                </w:tcPr>
                <w:p w14:paraId="6239BBB7">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24小时平均第95百分位数</w:t>
                  </w:r>
                </w:p>
              </w:tc>
              <w:tc>
                <w:tcPr>
                  <w:tcW w:w="800" w:type="pct"/>
                  <w:tcBorders>
                    <w:top w:val="single" w:color="auto" w:sz="6" w:space="0"/>
                    <w:left w:val="single" w:color="auto" w:sz="6" w:space="0"/>
                    <w:bottom w:val="single" w:color="auto" w:sz="6" w:space="0"/>
                    <w:right w:val="single" w:color="auto" w:sz="6" w:space="0"/>
                  </w:tcBorders>
                  <w:vAlign w:val="center"/>
                </w:tcPr>
                <w:p w14:paraId="5BE337DE">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eastAsia" w:ascii="Times New Roman" w:hAnsi="Times New Roman" w:cs="Times New Roman"/>
                      <w:color w:val="auto"/>
                      <w:sz w:val="21"/>
                      <w:szCs w:val="21"/>
                      <w:vertAlign w:val="baseline"/>
                      <w:lang w:eastAsia="zh-CN"/>
                    </w:rPr>
                    <w:t>)</w:t>
                  </w:r>
                </w:p>
              </w:tc>
              <w:tc>
                <w:tcPr>
                  <w:tcW w:w="800" w:type="pct"/>
                  <w:tcBorders>
                    <w:top w:val="single" w:color="auto" w:sz="6" w:space="0"/>
                    <w:left w:val="single" w:color="auto" w:sz="6" w:space="0"/>
                    <w:bottom w:val="single" w:color="auto" w:sz="6" w:space="0"/>
                    <w:right w:val="single" w:color="auto" w:sz="6" w:space="0"/>
                  </w:tcBorders>
                  <w:vAlign w:val="center"/>
                </w:tcPr>
                <w:p w14:paraId="36E31811">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r>
                    <w:rPr>
                      <w:rFonts w:hint="eastAsia" w:ascii="Times New Roman" w:hAnsi="Times New Roman" w:cs="Times New Roman"/>
                      <w:color w:val="auto"/>
                      <w:sz w:val="21"/>
                      <w:szCs w:val="21"/>
                      <w:lang w:val="en-US" w:eastAsia="zh-CN"/>
                    </w:rPr>
                    <w:t>.8</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eastAsia" w:ascii="Times New Roman" w:hAnsi="Times New Roman" w:cs="Times New Roman"/>
                      <w:color w:val="auto"/>
                      <w:sz w:val="21"/>
                      <w:szCs w:val="21"/>
                      <w:vertAlign w:val="baseline"/>
                      <w:lang w:eastAsia="zh-CN"/>
                    </w:rPr>
                    <w:t>)</w:t>
                  </w:r>
                </w:p>
              </w:tc>
              <w:tc>
                <w:tcPr>
                  <w:tcW w:w="720" w:type="pct"/>
                  <w:tcBorders>
                    <w:top w:val="single" w:color="auto" w:sz="6" w:space="0"/>
                    <w:left w:val="single" w:color="auto" w:sz="6" w:space="0"/>
                    <w:bottom w:val="single" w:color="auto" w:sz="6" w:space="0"/>
                    <w:right w:val="single" w:color="auto" w:sz="6" w:space="0"/>
                  </w:tcBorders>
                  <w:vAlign w:val="center"/>
                </w:tcPr>
                <w:p w14:paraId="411F048A">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45</w:t>
                  </w:r>
                </w:p>
              </w:tc>
              <w:tc>
                <w:tcPr>
                  <w:tcW w:w="521" w:type="pct"/>
                  <w:tcBorders>
                    <w:top w:val="single" w:color="auto" w:sz="6" w:space="0"/>
                    <w:left w:val="single" w:color="auto" w:sz="6" w:space="0"/>
                    <w:bottom w:val="single" w:color="auto" w:sz="6" w:space="0"/>
                    <w:right w:val="nil"/>
                  </w:tcBorders>
                  <w:vAlign w:val="center"/>
                </w:tcPr>
                <w:p w14:paraId="5DFDFD18">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C03A2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694" w:type="pct"/>
                  <w:tcBorders>
                    <w:top w:val="single" w:color="auto" w:sz="6" w:space="0"/>
                    <w:left w:val="nil"/>
                    <w:bottom w:val="single" w:color="auto" w:sz="12" w:space="0"/>
                    <w:right w:val="single" w:color="auto" w:sz="6" w:space="0"/>
                  </w:tcBorders>
                  <w:vAlign w:val="center"/>
                </w:tcPr>
                <w:p w14:paraId="772D6CBC">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466" w:type="pct"/>
                  <w:tcBorders>
                    <w:top w:val="single" w:color="auto" w:sz="6" w:space="0"/>
                    <w:left w:val="single" w:color="auto" w:sz="6" w:space="0"/>
                    <w:bottom w:val="single" w:color="auto" w:sz="12" w:space="0"/>
                    <w:right w:val="single" w:color="auto" w:sz="6" w:space="0"/>
                  </w:tcBorders>
                  <w:vAlign w:val="center"/>
                </w:tcPr>
                <w:p w14:paraId="24B16282">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最大8小时平均第90百分位数</w:t>
                  </w:r>
                </w:p>
              </w:tc>
              <w:tc>
                <w:tcPr>
                  <w:tcW w:w="800" w:type="pct"/>
                  <w:tcBorders>
                    <w:top w:val="single" w:color="auto" w:sz="6" w:space="0"/>
                    <w:left w:val="single" w:color="auto" w:sz="6" w:space="0"/>
                    <w:bottom w:val="single" w:color="auto" w:sz="12" w:space="0"/>
                    <w:right w:val="single" w:color="auto" w:sz="6" w:space="0"/>
                  </w:tcBorders>
                  <w:vAlign w:val="center"/>
                </w:tcPr>
                <w:p w14:paraId="441CD298">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w:t>
                  </w:r>
                </w:p>
              </w:tc>
              <w:tc>
                <w:tcPr>
                  <w:tcW w:w="800" w:type="pct"/>
                  <w:tcBorders>
                    <w:top w:val="single" w:color="auto" w:sz="6" w:space="0"/>
                    <w:left w:val="single" w:color="auto" w:sz="6" w:space="0"/>
                    <w:bottom w:val="single" w:color="auto" w:sz="12" w:space="0"/>
                    <w:right w:val="single" w:color="auto" w:sz="6" w:space="0"/>
                  </w:tcBorders>
                  <w:vAlign w:val="center"/>
                </w:tcPr>
                <w:p w14:paraId="20C7E1FE">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128</w:t>
                  </w:r>
                </w:p>
              </w:tc>
              <w:tc>
                <w:tcPr>
                  <w:tcW w:w="720" w:type="pct"/>
                  <w:tcBorders>
                    <w:top w:val="single" w:color="auto" w:sz="6" w:space="0"/>
                    <w:left w:val="single" w:color="auto" w:sz="6" w:space="0"/>
                    <w:bottom w:val="single" w:color="auto" w:sz="12" w:space="0"/>
                    <w:right w:val="single" w:color="auto" w:sz="6" w:space="0"/>
                  </w:tcBorders>
                  <w:vAlign w:val="center"/>
                </w:tcPr>
                <w:p w14:paraId="2F359FC5">
                  <w:pPr>
                    <w:pStyle w:val="45"/>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80</w:t>
                  </w:r>
                </w:p>
              </w:tc>
              <w:tc>
                <w:tcPr>
                  <w:tcW w:w="521" w:type="pct"/>
                  <w:tcBorders>
                    <w:top w:val="single" w:color="auto" w:sz="6" w:space="0"/>
                    <w:left w:val="single" w:color="auto" w:sz="6" w:space="0"/>
                    <w:bottom w:val="single" w:color="auto" w:sz="12" w:space="0"/>
                    <w:right w:val="nil"/>
                  </w:tcBorders>
                  <w:vAlign w:val="center"/>
                </w:tcPr>
                <w:p w14:paraId="373F21E2">
                  <w:pPr>
                    <w:pStyle w:val="45"/>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bookmarkEnd w:id="37"/>
          </w:tbl>
          <w:p w14:paraId="3A074416">
            <w:pPr>
              <w:pStyle w:val="9"/>
              <w:ind w:firstLine="480"/>
              <w:rPr>
                <w:rFonts w:hint="default" w:ascii="Times New Roman" w:hAnsi="Times New Roman" w:eastAsia="宋体" w:cs="Times New Roman"/>
                <w:b w:val="0"/>
                <w:bCs w:val="0"/>
                <w:color w:val="auto"/>
                <w:lang w:val="en-US" w:eastAsia="zh-CN"/>
              </w:rPr>
            </w:pPr>
            <w:r>
              <w:rPr>
                <w:rFonts w:hint="eastAsia" w:ascii="Times New Roman" w:hAnsi="Times New Roman" w:cs="Times New Roman"/>
                <w:b w:val="0"/>
                <w:bCs w:val="0"/>
                <w:color w:val="auto"/>
                <w:lang w:val="en-US" w:eastAsia="zh-CN"/>
              </w:rPr>
              <w:t>由上表得出：项目区NO</w:t>
            </w:r>
            <w:r>
              <w:rPr>
                <w:rFonts w:hint="eastAsia" w:ascii="Times New Roman" w:hAnsi="Times New Roman" w:cs="Times New Roman"/>
                <w:b w:val="0"/>
                <w:bCs w:val="0"/>
                <w:color w:val="auto"/>
                <w:vertAlign w:val="subscript"/>
                <w:lang w:val="en-US" w:eastAsia="zh-CN"/>
              </w:rPr>
              <w:t>2</w:t>
            </w:r>
            <w:r>
              <w:rPr>
                <w:rFonts w:hint="eastAsia" w:ascii="Times New Roman" w:hAnsi="Times New Roman" w:cs="Times New Roman"/>
                <w:b w:val="0"/>
                <w:bCs w:val="0"/>
                <w:color w:val="auto"/>
                <w:lang w:val="en-US" w:eastAsia="zh-CN"/>
              </w:rPr>
              <w:t>、SO</w:t>
            </w:r>
            <w:r>
              <w:rPr>
                <w:rFonts w:hint="eastAsia" w:ascii="Times New Roman" w:hAnsi="Times New Roman" w:cs="Times New Roman"/>
                <w:b w:val="0"/>
                <w:bCs w:val="0"/>
                <w:color w:val="auto"/>
                <w:vertAlign w:val="subscript"/>
                <w:lang w:val="en-US" w:eastAsia="zh-CN"/>
              </w:rPr>
              <w:t>2</w:t>
            </w:r>
            <w:r>
              <w:rPr>
                <w:rFonts w:hint="eastAsia" w:ascii="Times New Roman" w:hAnsi="Times New Roman" w:cs="Times New Roman"/>
                <w:b w:val="0"/>
                <w:bCs w:val="0"/>
                <w:color w:val="auto"/>
                <w:lang w:val="en-US" w:eastAsia="zh-CN"/>
              </w:rPr>
              <w:t>、CO、O</w:t>
            </w:r>
            <w:r>
              <w:rPr>
                <w:rFonts w:hint="eastAsia" w:ascii="Times New Roman" w:hAnsi="Times New Roman" w:cs="Times New Roman"/>
                <w:b w:val="0"/>
                <w:bCs w:val="0"/>
                <w:color w:val="auto"/>
                <w:vertAlign w:val="subscript"/>
                <w:lang w:val="en-US" w:eastAsia="zh-CN"/>
              </w:rPr>
              <w:t>3</w:t>
            </w:r>
            <w:r>
              <w:rPr>
                <w:rFonts w:hint="eastAsia" w:ascii="Times New Roman" w:hAnsi="Times New Roman" w:cs="Times New Roman"/>
                <w:b w:val="0"/>
                <w:bCs w:val="0"/>
                <w:color w:val="auto"/>
                <w:lang w:val="en-US" w:eastAsia="zh-CN"/>
              </w:rPr>
              <w:t>监测结果均符合《环境空气质量标准》（GB3095-2012）二级标准，PM</w:t>
            </w:r>
            <w:r>
              <w:rPr>
                <w:rFonts w:hint="eastAsia" w:ascii="Times New Roman" w:hAnsi="Times New Roman" w:cs="Times New Roman"/>
                <w:b w:val="0"/>
                <w:bCs w:val="0"/>
                <w:color w:val="auto"/>
                <w:vertAlign w:val="subscript"/>
                <w:lang w:val="en-US" w:eastAsia="zh-CN"/>
              </w:rPr>
              <w:t>10</w:t>
            </w:r>
            <w:r>
              <w:rPr>
                <w:rFonts w:hint="eastAsia" w:ascii="Times New Roman" w:hAnsi="Times New Roman" w:cs="Times New Roman"/>
                <w:b w:val="0"/>
                <w:bCs w:val="0"/>
                <w:color w:val="auto"/>
                <w:lang w:val="en-US" w:eastAsia="zh-CN"/>
              </w:rPr>
              <w:t>和PM</w:t>
            </w:r>
            <w:r>
              <w:rPr>
                <w:rFonts w:hint="eastAsia" w:ascii="Times New Roman" w:hAnsi="Times New Roman" w:cs="Times New Roman"/>
                <w:b w:val="0"/>
                <w:bCs w:val="0"/>
                <w:color w:val="auto"/>
                <w:vertAlign w:val="subscript"/>
                <w:lang w:val="en-US" w:eastAsia="zh-CN"/>
              </w:rPr>
              <w:t>2.5</w:t>
            </w:r>
            <w:r>
              <w:rPr>
                <w:rFonts w:hint="eastAsia" w:ascii="Times New Roman" w:hAnsi="Times New Roman" w:cs="Times New Roman"/>
                <w:b w:val="0"/>
                <w:bCs w:val="0"/>
                <w:color w:val="auto"/>
                <w:vertAlign w:val="baseline"/>
                <w:lang w:val="en-US" w:eastAsia="zh-CN"/>
              </w:rPr>
              <w:t>监测结果超标</w:t>
            </w:r>
            <w:r>
              <w:rPr>
                <w:rFonts w:hint="eastAsia" w:ascii="Times New Roman" w:hAnsi="Times New Roman" w:cs="Times New Roman"/>
                <w:b w:val="0"/>
                <w:bCs w:val="0"/>
                <w:color w:val="auto"/>
                <w:lang w:val="en-US" w:eastAsia="zh-CN"/>
              </w:rPr>
              <w:t>，超标原因：石河子市面积小，工业源、生活源相对较为集中，在大雾天气更容易形成低空污染团，其次与风沙季节有关，项目所在区域为环境空气质量不达标区。</w:t>
            </w:r>
          </w:p>
          <w:p w14:paraId="76BE4FCE">
            <w:pPr>
              <w:pStyle w:val="9"/>
              <w:ind w:firstLine="480"/>
              <w:rPr>
                <w:rFonts w:hint="default" w:ascii="Times New Roman" w:hAnsi="Times New Roman" w:cs="Times New Roman"/>
                <w:b w:val="0"/>
                <w:bCs w:val="0"/>
                <w:color w:val="auto"/>
              </w:rPr>
            </w:pPr>
          </w:p>
          <w:p w14:paraId="1BFD2C3A">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（2）水环境质量现状调查</w:t>
            </w:r>
          </w:p>
          <w:p w14:paraId="5A96632B">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本项目</w:t>
            </w:r>
            <w:r>
              <w:rPr>
                <w:rFonts w:hint="eastAsia" w:ascii="Times New Roman" w:hAnsi="Times New Roman" w:cs="Times New Roman"/>
                <w:b w:val="0"/>
                <w:bCs w:val="0"/>
                <w:color w:val="auto"/>
                <w:lang w:val="en-US" w:eastAsia="zh-CN"/>
              </w:rPr>
              <w:t>西侧有地表</w:t>
            </w:r>
            <w:r>
              <w:rPr>
                <w:rFonts w:hint="default" w:ascii="Times New Roman" w:hAnsi="Times New Roman" w:cs="Times New Roman"/>
                <w:b w:val="0"/>
                <w:bCs w:val="0"/>
                <w:color w:val="auto"/>
              </w:rPr>
              <w:t>水</w:t>
            </w:r>
            <w:r>
              <w:rPr>
                <w:rFonts w:hint="eastAsia" w:ascii="Times New Roman" w:hAnsi="Times New Roman" w:cs="Times New Roman"/>
                <w:b w:val="0"/>
                <w:bCs w:val="0"/>
                <w:color w:val="auto"/>
                <w:lang w:val="en-US" w:eastAsia="zh-CN"/>
              </w:rPr>
              <w:t>体——塔西河，距离约1.9km，根据《中国新疆水环境功能区划》，该水体现状使用功能为农业用水，现状水质类别为Ⅲ类；东侧有地表水体——塔西河干渠，距离约454m，该渠为人工输水渠，主要功能是为区域农业生产及生态绿化提供水源。本项目</w:t>
            </w:r>
            <w:r>
              <w:rPr>
                <w:rFonts w:hint="default" w:ascii="Times New Roman" w:hAnsi="Times New Roman" w:cs="Times New Roman"/>
                <w:b w:val="0"/>
                <w:bCs w:val="0"/>
                <w:color w:val="auto"/>
              </w:rPr>
              <w:t>试油期产生的废水均不外排，项目与地表水体无任何水力联系，根据《环境影响评价技术导则 地表水环境》（HJ2.3-2018），本项目地表水评价等级为三级B，因此，本项目不进行地表水环境质量现状评价。</w:t>
            </w:r>
          </w:p>
          <w:p w14:paraId="56674801">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钻井期采用钻井液不落地工艺，钻井液循环利用，不会对地下水环境造成污染；参照《环境影响评价技术导则 地下水环境》（HJ 610-2016），本项目为Ⅳ类项目；无需对地下水环境质量现状进行评价。</w:t>
            </w:r>
          </w:p>
          <w:p w14:paraId="534230F8">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（3）声环境质量现状调查</w:t>
            </w:r>
          </w:p>
          <w:p w14:paraId="2D5D756F">
            <w:pPr>
              <w:pStyle w:val="9"/>
              <w:keepNext w:val="0"/>
              <w:keepLines w:val="0"/>
              <w:pageBreakBefore w:val="0"/>
              <w:widowControl/>
              <w:kinsoku/>
              <w:wordWrap/>
              <w:overflowPunct/>
              <w:topLinePunct w:val="0"/>
              <w:autoSpaceDE/>
              <w:autoSpaceDN/>
              <w:bidi w:val="0"/>
              <w:adjustRightInd/>
              <w:snapToGrid w:val="0"/>
              <w:ind w:firstLine="48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周边50m范围内无声环境保护目标，参照《建设项目环境影响报告表编制技术指南（污染影响类）</w:t>
            </w:r>
            <w:r>
              <w:rPr>
                <w:rFonts w:hint="eastAsia" w:ascii="Times New Roman" w:hAnsi="Times New Roman" w:cs="Times New Roman"/>
                <w:b w:val="0"/>
                <w:bCs w:val="0"/>
                <w:color w:val="auto"/>
                <w:lang w:eastAsia="zh-CN"/>
              </w:rPr>
              <w:t>（试行）》</w:t>
            </w:r>
            <w:r>
              <w:rPr>
                <w:rFonts w:hint="default" w:ascii="Times New Roman" w:hAnsi="Times New Roman" w:cs="Times New Roman"/>
                <w:b w:val="0"/>
                <w:bCs w:val="0"/>
                <w:color w:val="auto"/>
              </w:rPr>
              <w:t>相关要求，无需对声环境质量现状进行评价。</w:t>
            </w:r>
          </w:p>
          <w:p w14:paraId="756EE6E8">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（4）土壤环境质量现状调查</w:t>
            </w:r>
          </w:p>
          <w:p w14:paraId="3A9D4C57">
            <w:pPr>
              <w:pStyle w:val="32"/>
              <w:rPr>
                <w:rFonts w:hint="default" w:ascii="Times New Roman" w:hAnsi="Times New Roman" w:eastAsia="宋体" w:cs="Times New Roman"/>
                <w:color w:val="auto"/>
                <w:lang w:val="en-US" w:eastAsia="zh-CN"/>
              </w:rPr>
            </w:pPr>
            <w:r>
              <w:rPr>
                <w:rFonts w:hint="default" w:ascii="Times New Roman" w:hAnsi="Times New Roman" w:cs="Times New Roman"/>
                <w:color w:val="auto"/>
              </w:rPr>
              <w:t>参照《环境影响评价技术导则 土壤环境（试行）》（HJ964-2018），本项目为Ⅳ类项目，无需对土壤环境质量现状进行评价。</w:t>
            </w:r>
          </w:p>
        </w:tc>
      </w:tr>
      <w:tr w14:paraId="3CDE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6" w:type="dxa"/>
            <w:vAlign w:val="center"/>
          </w:tcPr>
          <w:p w14:paraId="2538D1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cs="Times New Roman"/>
                <w:color w:val="auto"/>
              </w:rPr>
            </w:pPr>
            <w:r>
              <w:rPr>
                <w:rFonts w:hint="default" w:ascii="Times New Roman" w:hAnsi="Times New Roman" w:cs="Times New Roman"/>
                <w:color w:val="auto"/>
              </w:rPr>
              <w:t>与项目有关的原有环境污染和生态破坏问题</w:t>
            </w:r>
          </w:p>
        </w:tc>
        <w:tc>
          <w:tcPr>
            <w:tcW w:w="7646" w:type="dxa"/>
            <w:vAlign w:val="center"/>
          </w:tcPr>
          <w:p w14:paraId="33F0EDC5">
            <w:pPr>
              <w:pStyle w:val="9"/>
              <w:ind w:firstLine="480"/>
              <w:rPr>
                <w:rFonts w:hint="default" w:ascii="Times New Roman" w:hAnsi="Times New Roman" w:cs="Times New Roman"/>
                <w:color w:val="auto"/>
              </w:rPr>
            </w:pPr>
            <w:r>
              <w:rPr>
                <w:rFonts w:hint="default" w:ascii="Times New Roman" w:hAnsi="Times New Roman" w:cs="Times New Roman"/>
                <w:b w:val="0"/>
                <w:bCs w:val="0"/>
                <w:color w:val="auto"/>
                <w:spacing w:val="-6"/>
                <w:sz w:val="24"/>
              </w:rPr>
              <w:t>本项目为新建项目，无与本项目有关的原有环境污染和生态破坏问题。</w:t>
            </w:r>
          </w:p>
        </w:tc>
      </w:tr>
      <w:tr w14:paraId="3445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6" w:type="dxa"/>
            <w:vAlign w:val="center"/>
          </w:tcPr>
          <w:p w14:paraId="3DF77CDE">
            <w:pPr>
              <w:snapToGrid w:val="0"/>
              <w:spacing w:line="500" w:lineRule="exact"/>
              <w:jc w:val="center"/>
              <w:rPr>
                <w:rFonts w:hint="default" w:ascii="Times New Roman" w:hAnsi="Times New Roman" w:cs="Times New Roman"/>
                <w:color w:val="auto"/>
              </w:rPr>
            </w:pPr>
            <w:r>
              <w:rPr>
                <w:rFonts w:hint="default" w:ascii="Times New Roman" w:hAnsi="Times New Roman" w:cs="Times New Roman"/>
                <w:color w:val="auto"/>
              </w:rPr>
              <w:t>生态环境保护目标</w:t>
            </w:r>
          </w:p>
        </w:tc>
        <w:tc>
          <w:tcPr>
            <w:tcW w:w="7646" w:type="dxa"/>
            <w:vAlign w:val="center"/>
          </w:tcPr>
          <w:p w14:paraId="196DE76F">
            <w:pPr>
              <w:pStyle w:val="32"/>
              <w:rPr>
                <w:rFonts w:hint="default" w:ascii="Times New Roman" w:hAnsi="Times New Roman" w:cs="Times New Roman"/>
                <w:color w:val="auto"/>
              </w:rPr>
            </w:pPr>
            <w:r>
              <w:rPr>
                <w:rFonts w:hint="default" w:ascii="Times New Roman" w:hAnsi="Times New Roman" w:cs="Times New Roman"/>
                <w:color w:val="auto"/>
              </w:rPr>
              <w:t>根据《建设项目环境影响报告表编制技术指南（生态影响类）</w:t>
            </w:r>
            <w:r>
              <w:rPr>
                <w:rFonts w:hint="eastAsia" w:ascii="Times New Roman" w:hAnsi="Times New Roman" w:cs="Times New Roman"/>
                <w:color w:val="auto"/>
                <w:lang w:eastAsia="zh-CN"/>
              </w:rPr>
              <w:t>（试行）》</w:t>
            </w:r>
            <w:r>
              <w:rPr>
                <w:rFonts w:hint="default" w:ascii="Times New Roman" w:hAnsi="Times New Roman" w:cs="Times New Roman"/>
                <w:color w:val="auto"/>
              </w:rPr>
              <w:t>，按照环境影响评价相关技术导则要求确定评价范围并识别环境保护目标。</w:t>
            </w:r>
            <w:r>
              <w:rPr>
                <w:rFonts w:hint="default" w:ascii="Times New Roman" w:hAnsi="Times New Roman" w:cs="Times New Roman"/>
                <w:color w:val="auto"/>
                <w:lang w:val="en-US" w:eastAsia="zh-CN"/>
              </w:rPr>
              <w:t>本项目</w:t>
            </w:r>
            <w:r>
              <w:rPr>
                <w:rFonts w:hint="default" w:ascii="Times New Roman" w:hAnsi="Times New Roman" w:cs="Times New Roman"/>
                <w:color w:val="auto"/>
              </w:rPr>
              <w:t>环境保护目标识别如下表所示。</w:t>
            </w:r>
          </w:p>
          <w:p w14:paraId="63022516">
            <w:pPr>
              <w:pStyle w:val="114"/>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3-3  环境保护目标识别</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2588"/>
              <w:gridCol w:w="1237"/>
              <w:gridCol w:w="2475"/>
            </w:tblGrid>
            <w:tr w14:paraId="76B25F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760" w:type="pct"/>
                  <w:vAlign w:val="center"/>
                </w:tcPr>
                <w:p w14:paraId="30C301AD">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环境要素</w:t>
                  </w:r>
                </w:p>
              </w:tc>
              <w:tc>
                <w:tcPr>
                  <w:tcW w:w="1741" w:type="pct"/>
                  <w:vAlign w:val="center"/>
                </w:tcPr>
                <w:p w14:paraId="6C680205">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判定依据</w:t>
                  </w:r>
                </w:p>
              </w:tc>
              <w:tc>
                <w:tcPr>
                  <w:tcW w:w="832" w:type="pct"/>
                  <w:shd w:val="clear" w:color="auto" w:fill="auto"/>
                  <w:vAlign w:val="center"/>
                </w:tcPr>
                <w:p w14:paraId="0C1EE95F">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评价范围</w:t>
                  </w:r>
                </w:p>
              </w:tc>
              <w:tc>
                <w:tcPr>
                  <w:tcW w:w="1665" w:type="pct"/>
                  <w:shd w:val="clear" w:color="auto" w:fill="auto"/>
                  <w:vAlign w:val="center"/>
                </w:tcPr>
                <w:p w14:paraId="7DBDB810">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环境保护目标</w:t>
                  </w:r>
                </w:p>
              </w:tc>
            </w:tr>
            <w:tr w14:paraId="53CC2C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62FBA21F">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w:t>
                  </w:r>
                </w:p>
              </w:tc>
              <w:tc>
                <w:tcPr>
                  <w:tcW w:w="1741" w:type="pct"/>
                  <w:shd w:val="clear" w:color="auto" w:fill="auto"/>
                  <w:vAlign w:val="center"/>
                </w:tcPr>
                <w:p w14:paraId="373E2A9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《环境影响评价技术导则 大气环境》（HJ2.2-2018）</w:t>
                  </w:r>
                </w:p>
              </w:tc>
              <w:tc>
                <w:tcPr>
                  <w:tcW w:w="832" w:type="pct"/>
                  <w:shd w:val="clear" w:color="auto" w:fill="auto"/>
                  <w:vAlign w:val="center"/>
                </w:tcPr>
                <w:p w14:paraId="1E86CBBE">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不设置评价范围</w:t>
                  </w:r>
                </w:p>
              </w:tc>
              <w:tc>
                <w:tcPr>
                  <w:tcW w:w="1665" w:type="pct"/>
                  <w:shd w:val="clear" w:color="auto" w:fill="auto"/>
                  <w:vAlign w:val="center"/>
                </w:tcPr>
                <w:p w14:paraId="0D43B2EA">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无</w:t>
                  </w:r>
                </w:p>
              </w:tc>
            </w:tr>
            <w:tr w14:paraId="42BE0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26D0B916">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地表水</w:t>
                  </w:r>
                </w:p>
              </w:tc>
              <w:tc>
                <w:tcPr>
                  <w:tcW w:w="1741" w:type="pct"/>
                  <w:shd w:val="clear" w:color="auto" w:fill="auto"/>
                  <w:vAlign w:val="center"/>
                </w:tcPr>
                <w:p w14:paraId="5689C90E">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参照《环境影响评价技术导则 地表水环境》（HJ2.3-2018）</w:t>
                  </w:r>
                </w:p>
              </w:tc>
              <w:tc>
                <w:tcPr>
                  <w:tcW w:w="832" w:type="pct"/>
                  <w:shd w:val="clear" w:color="auto" w:fill="auto"/>
                  <w:vAlign w:val="center"/>
                </w:tcPr>
                <w:p w14:paraId="5E14163A">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不设置评价范围</w:t>
                  </w:r>
                </w:p>
              </w:tc>
              <w:tc>
                <w:tcPr>
                  <w:tcW w:w="1665" w:type="pct"/>
                  <w:shd w:val="clear" w:color="auto" w:fill="auto"/>
                  <w:vAlign w:val="center"/>
                </w:tcPr>
                <w:p w14:paraId="3BD6179C">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color w:val="auto"/>
                      <w:sz w:val="21"/>
                      <w:szCs w:val="21"/>
                      <w:lang w:val="en-US" w:eastAsia="zh-CN"/>
                    </w:rPr>
                  </w:pPr>
                  <w:r>
                    <w:rPr>
                      <w:rFonts w:hint="eastAsia" w:cs="Times New Roman"/>
                      <w:color w:val="auto"/>
                      <w:sz w:val="21"/>
                      <w:szCs w:val="21"/>
                      <w:lang w:val="en-US" w:eastAsia="zh-CN"/>
                    </w:rPr>
                    <w:t>塔西河，位于项目西侧约1.9km；</w:t>
                  </w:r>
                </w:p>
                <w:p w14:paraId="5593825A">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color w:val="auto"/>
                      <w:sz w:val="21"/>
                      <w:szCs w:val="21"/>
                      <w:lang w:val="en-US" w:eastAsia="zh-CN"/>
                    </w:rPr>
                  </w:pPr>
                  <w:r>
                    <w:rPr>
                      <w:rFonts w:hint="default" w:cs="Times New Roman"/>
                      <w:color w:val="auto"/>
                      <w:sz w:val="21"/>
                      <w:szCs w:val="21"/>
                      <w:lang w:val="en-US" w:eastAsia="zh-CN"/>
                    </w:rPr>
                    <w:t>塔西河干渠，</w:t>
                  </w:r>
                  <w:r>
                    <w:rPr>
                      <w:rFonts w:hint="eastAsia" w:cs="Times New Roman"/>
                      <w:color w:val="auto"/>
                      <w:sz w:val="21"/>
                      <w:szCs w:val="21"/>
                      <w:lang w:val="en-US" w:eastAsia="zh-CN"/>
                    </w:rPr>
                    <w:t>位于项目东侧</w:t>
                  </w:r>
                  <w:r>
                    <w:rPr>
                      <w:rFonts w:hint="default" w:cs="Times New Roman"/>
                      <w:color w:val="auto"/>
                      <w:sz w:val="21"/>
                      <w:szCs w:val="21"/>
                      <w:lang w:val="en-US" w:eastAsia="zh-CN"/>
                    </w:rPr>
                    <w:t>约454m</w:t>
                  </w:r>
                </w:p>
              </w:tc>
            </w:tr>
            <w:tr w14:paraId="09D564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6C97078D">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w:t>
                  </w:r>
                </w:p>
              </w:tc>
              <w:tc>
                <w:tcPr>
                  <w:tcW w:w="1741" w:type="pct"/>
                  <w:shd w:val="clear" w:color="auto" w:fill="auto"/>
                  <w:vAlign w:val="center"/>
                </w:tcPr>
                <w:p w14:paraId="01B7EDE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参照《环境影响评价技术导则 地下水环境》（HJ610-2016）</w:t>
                  </w:r>
                </w:p>
              </w:tc>
              <w:tc>
                <w:tcPr>
                  <w:tcW w:w="832" w:type="pct"/>
                  <w:shd w:val="clear" w:color="auto" w:fill="auto"/>
                  <w:vAlign w:val="center"/>
                </w:tcPr>
                <w:p w14:paraId="044A8CB9">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不设置评价范围</w:t>
                  </w:r>
                </w:p>
              </w:tc>
              <w:tc>
                <w:tcPr>
                  <w:tcW w:w="1665" w:type="pct"/>
                  <w:shd w:val="clear" w:color="auto" w:fill="auto"/>
                  <w:vAlign w:val="center"/>
                </w:tcPr>
                <w:p w14:paraId="15DBABD1">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无</w:t>
                  </w:r>
                </w:p>
              </w:tc>
            </w:tr>
            <w:tr w14:paraId="545C9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3286E4F6">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声环境</w:t>
                  </w:r>
                </w:p>
              </w:tc>
              <w:tc>
                <w:tcPr>
                  <w:tcW w:w="1741" w:type="pct"/>
                  <w:shd w:val="clear" w:color="auto" w:fill="auto"/>
                  <w:vAlign w:val="center"/>
                </w:tcPr>
                <w:p w14:paraId="1C96A07E">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参照《环境影响评价技术导则 声环境》（HJ2.4-</w:t>
                  </w:r>
                  <w:r>
                    <w:rPr>
                      <w:color w:val="auto"/>
                    </w:rPr>
                    <w:t>2021</w:t>
                  </w:r>
                  <w:r>
                    <w:rPr>
                      <w:rFonts w:hint="eastAsia"/>
                      <w:color w:val="auto"/>
                    </w:rPr>
                    <w:t>）</w:t>
                  </w:r>
                </w:p>
              </w:tc>
              <w:tc>
                <w:tcPr>
                  <w:tcW w:w="832" w:type="pct"/>
                  <w:shd w:val="clear" w:color="auto" w:fill="auto"/>
                  <w:vAlign w:val="center"/>
                </w:tcPr>
                <w:p w14:paraId="77AD72DE">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井场外延200m范围</w:t>
                  </w:r>
                </w:p>
              </w:tc>
              <w:tc>
                <w:tcPr>
                  <w:tcW w:w="1665" w:type="pct"/>
                  <w:shd w:val="clear" w:color="auto" w:fill="auto"/>
                  <w:vAlign w:val="center"/>
                </w:tcPr>
                <w:p w14:paraId="64E6CB6C">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无</w:t>
                  </w:r>
                </w:p>
              </w:tc>
            </w:tr>
            <w:tr w14:paraId="3F016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4387FADF">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土壤</w:t>
                  </w:r>
                </w:p>
              </w:tc>
              <w:tc>
                <w:tcPr>
                  <w:tcW w:w="1741" w:type="pct"/>
                  <w:shd w:val="clear" w:color="auto" w:fill="auto"/>
                  <w:vAlign w:val="center"/>
                </w:tcPr>
                <w:p w14:paraId="5A275288">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参照《环境影响评价技术导则 土壤环境（试行）》（HJ964-2018）</w:t>
                  </w:r>
                </w:p>
              </w:tc>
              <w:tc>
                <w:tcPr>
                  <w:tcW w:w="832" w:type="pct"/>
                  <w:shd w:val="clear" w:color="auto" w:fill="auto"/>
                  <w:vAlign w:val="center"/>
                </w:tcPr>
                <w:p w14:paraId="61CF5B6E">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不设置评价范围</w:t>
                  </w:r>
                </w:p>
              </w:tc>
              <w:tc>
                <w:tcPr>
                  <w:tcW w:w="1665" w:type="pct"/>
                  <w:shd w:val="clear" w:color="auto" w:fill="auto"/>
                  <w:vAlign w:val="center"/>
                </w:tcPr>
                <w:p w14:paraId="04967079">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严格控制项目临时占地面积，表土妥善保存，施工结束后及时进行土地复垦工作</w:t>
                  </w:r>
                </w:p>
              </w:tc>
            </w:tr>
            <w:tr w14:paraId="675BE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092BDAB9">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w:t>
                  </w:r>
                </w:p>
              </w:tc>
              <w:tc>
                <w:tcPr>
                  <w:tcW w:w="1741" w:type="pct"/>
                  <w:shd w:val="clear" w:color="auto" w:fill="auto"/>
                  <w:vAlign w:val="center"/>
                </w:tcPr>
                <w:p w14:paraId="35213FF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参照《环境影响评价技术导则  陆地石油天然气开发建设项目》（</w:t>
                  </w:r>
                  <w:r>
                    <w:rPr>
                      <w:color w:val="auto"/>
                    </w:rPr>
                    <w:t>HJ 349—2023</w:t>
                  </w:r>
                  <w:r>
                    <w:rPr>
                      <w:rFonts w:hint="eastAsia"/>
                      <w:color w:val="auto"/>
                    </w:rPr>
                    <w:t>）</w:t>
                  </w:r>
                </w:p>
              </w:tc>
              <w:tc>
                <w:tcPr>
                  <w:tcW w:w="832" w:type="pct"/>
                  <w:shd w:val="clear" w:color="auto" w:fill="auto"/>
                  <w:vAlign w:val="center"/>
                </w:tcPr>
                <w:p w14:paraId="40364971">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井场周围50m范围探临道路两侧外延300m范围</w:t>
                  </w:r>
                </w:p>
              </w:tc>
              <w:tc>
                <w:tcPr>
                  <w:tcW w:w="1665" w:type="pct"/>
                  <w:shd w:val="clear" w:color="auto" w:fill="auto"/>
                  <w:vAlign w:val="center"/>
                </w:tcPr>
                <w:p w14:paraId="095D94C8">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pacing w:val="-6"/>
                      <w:kern w:val="0"/>
                      <w:sz w:val="21"/>
                      <w:szCs w:val="21"/>
                      <w:lang w:val="en-US" w:eastAsia="zh-CN" w:bidi="ar-SA"/>
                    </w:rPr>
                  </w:pPr>
                  <w:r>
                    <w:rPr>
                      <w:rFonts w:hint="default" w:ascii="Times New Roman" w:hAnsi="Times New Roman" w:eastAsia="宋体" w:cs="Times New Roman"/>
                      <w:color w:val="auto"/>
                      <w:spacing w:val="-6"/>
                      <w:sz w:val="21"/>
                      <w:szCs w:val="21"/>
                      <w:lang w:val="en-US" w:eastAsia="zh-CN"/>
                    </w:rPr>
                    <w:t>保护</w:t>
                  </w:r>
                  <w:r>
                    <w:rPr>
                      <w:rFonts w:hint="eastAsia" w:cs="Times New Roman"/>
                      <w:color w:val="auto"/>
                      <w:spacing w:val="-6"/>
                      <w:sz w:val="21"/>
                      <w:szCs w:val="21"/>
                      <w:lang w:val="en-US" w:eastAsia="zh-CN"/>
                    </w:rPr>
                    <w:t>项目周边一般耕地</w:t>
                  </w:r>
                  <w:r>
                    <w:rPr>
                      <w:rFonts w:hint="default" w:ascii="Times New Roman" w:hAnsi="Times New Roman" w:eastAsia="宋体" w:cs="Times New Roman"/>
                      <w:color w:val="auto"/>
                      <w:spacing w:val="-6"/>
                      <w:sz w:val="21"/>
                      <w:szCs w:val="21"/>
                      <w:lang w:val="en-US" w:eastAsia="zh-CN"/>
                    </w:rPr>
                    <w:t>范围内</w:t>
                  </w:r>
                  <w:r>
                    <w:rPr>
                      <w:rFonts w:hint="eastAsia" w:cs="Times New Roman"/>
                      <w:color w:val="auto"/>
                      <w:spacing w:val="-6"/>
                      <w:sz w:val="21"/>
                      <w:szCs w:val="21"/>
                      <w:lang w:val="en-US" w:eastAsia="zh-CN"/>
                    </w:rPr>
                    <w:t>植被</w:t>
                  </w:r>
                  <w:r>
                    <w:rPr>
                      <w:rFonts w:hint="default" w:ascii="Times New Roman" w:hAnsi="Times New Roman" w:eastAsia="宋体" w:cs="Times New Roman"/>
                      <w:color w:val="auto"/>
                      <w:spacing w:val="-6"/>
                      <w:sz w:val="21"/>
                      <w:szCs w:val="21"/>
                      <w:lang w:val="en-US" w:eastAsia="zh-CN"/>
                    </w:rPr>
                    <w:t>、土壤、严禁随意踩踏碾压、砍伐植被</w:t>
                  </w:r>
                </w:p>
              </w:tc>
            </w:tr>
            <w:tr w14:paraId="40C4B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60" w:type="pct"/>
                  <w:vAlign w:val="center"/>
                </w:tcPr>
                <w:p w14:paraId="26A00813">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环境风险</w:t>
                  </w:r>
                </w:p>
              </w:tc>
              <w:tc>
                <w:tcPr>
                  <w:tcW w:w="1741" w:type="pct"/>
                  <w:shd w:val="clear" w:color="auto" w:fill="auto"/>
                  <w:vAlign w:val="center"/>
                </w:tcPr>
                <w:p w14:paraId="04D7BA9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color w:val="auto"/>
                      <w:kern w:val="0"/>
                      <w:sz w:val="21"/>
                      <w:szCs w:val="21"/>
                      <w:lang w:val="en-US" w:eastAsia="zh-CN" w:bidi="ar-SA"/>
                    </w:rPr>
                  </w:pPr>
                  <w:r>
                    <w:rPr>
                      <w:rFonts w:hint="eastAsia"/>
                      <w:color w:val="auto"/>
                    </w:rPr>
                    <w:t>参照《建设项目环境风险评价技术导则》（HJ169-2018）</w:t>
                  </w:r>
                </w:p>
              </w:tc>
              <w:tc>
                <w:tcPr>
                  <w:tcW w:w="832" w:type="pct"/>
                  <w:shd w:val="clear" w:color="auto" w:fill="auto"/>
                  <w:vAlign w:val="center"/>
                </w:tcPr>
                <w:p w14:paraId="17040D0B">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不设置评价范围</w:t>
                  </w:r>
                </w:p>
              </w:tc>
              <w:tc>
                <w:tcPr>
                  <w:tcW w:w="1665" w:type="pct"/>
                  <w:shd w:val="clear" w:color="auto" w:fill="auto"/>
                  <w:vAlign w:val="center"/>
                </w:tcPr>
                <w:p w14:paraId="3011F5B1">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color w:val="auto"/>
                      <w:sz w:val="21"/>
                      <w:szCs w:val="21"/>
                      <w:lang w:val="en-US" w:eastAsia="zh-CN"/>
                    </w:rPr>
                  </w:pPr>
                  <w:r>
                    <w:rPr>
                      <w:rFonts w:hint="eastAsia" w:cs="Times New Roman"/>
                      <w:color w:val="auto"/>
                      <w:sz w:val="21"/>
                      <w:szCs w:val="21"/>
                      <w:lang w:val="en-US" w:eastAsia="zh-CN"/>
                    </w:rPr>
                    <w:t>塔西河，位于项目西侧约1.9km；</w:t>
                  </w:r>
                </w:p>
                <w:p w14:paraId="12A8516F">
                  <w:pPr>
                    <w:pStyle w:val="10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cs="Times New Roman"/>
                      <w:color w:val="auto"/>
                      <w:sz w:val="21"/>
                      <w:szCs w:val="21"/>
                      <w:lang w:val="en-US" w:eastAsia="zh-CN"/>
                    </w:rPr>
                    <w:t>塔西河干渠，</w:t>
                  </w:r>
                  <w:r>
                    <w:rPr>
                      <w:rFonts w:hint="eastAsia" w:cs="Times New Roman"/>
                      <w:color w:val="auto"/>
                      <w:sz w:val="21"/>
                      <w:szCs w:val="21"/>
                      <w:lang w:val="en-US" w:eastAsia="zh-CN"/>
                    </w:rPr>
                    <w:t>位于项目东侧</w:t>
                  </w:r>
                  <w:r>
                    <w:rPr>
                      <w:rFonts w:hint="default" w:cs="Times New Roman"/>
                      <w:color w:val="auto"/>
                      <w:sz w:val="21"/>
                      <w:szCs w:val="21"/>
                      <w:lang w:val="en-US" w:eastAsia="zh-CN"/>
                    </w:rPr>
                    <w:t>约454m</w:t>
                  </w:r>
                  <w:r>
                    <w:rPr>
                      <w:rFonts w:hint="eastAsia" w:cs="Times New Roman"/>
                      <w:color w:val="auto"/>
                      <w:sz w:val="21"/>
                      <w:szCs w:val="21"/>
                      <w:lang w:val="en-US" w:eastAsia="zh-CN"/>
                    </w:rPr>
                    <w:t>以及周边一般耕地。</w:t>
                  </w:r>
                </w:p>
              </w:tc>
            </w:tr>
          </w:tbl>
          <w:p w14:paraId="1C75723B">
            <w:pPr>
              <w:pStyle w:val="111"/>
              <w:widowControl w:val="0"/>
              <w:bidi w:val="0"/>
              <w:rPr>
                <w:rFonts w:hint="default" w:ascii="Times New Roman" w:hAnsi="Times New Roman" w:cs="Times New Roman"/>
                <w:color w:val="auto"/>
              </w:rPr>
            </w:pPr>
          </w:p>
        </w:tc>
      </w:tr>
      <w:tr w14:paraId="3278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6" w:type="dxa"/>
            <w:shd w:val="clear" w:color="auto" w:fill="auto"/>
            <w:vAlign w:val="center"/>
          </w:tcPr>
          <w:p w14:paraId="75B6FF5E">
            <w:pPr>
              <w:pStyle w:val="9"/>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eastAsia" w:ascii="Times New Roman" w:hAnsi="Times New Roman" w:cs="Times New Roman"/>
                <w:b w:val="0"/>
                <w:bCs w:val="0"/>
                <w:color w:val="auto"/>
                <w:kern w:val="0"/>
                <w:sz w:val="24"/>
                <w:szCs w:val="24"/>
                <w:lang w:val="en-US" w:eastAsia="zh-CN" w:bidi="ar-SA"/>
              </w:rPr>
            </w:pPr>
            <w:bookmarkStart w:id="38" w:name="_Hlk136793712"/>
            <w:r>
              <w:rPr>
                <w:rFonts w:hint="eastAsia" w:ascii="Times New Roman" w:hAnsi="Times New Roman" w:cs="Times New Roman"/>
                <w:b w:val="0"/>
                <w:bCs w:val="0"/>
                <w:color w:val="auto"/>
                <w:kern w:val="0"/>
                <w:sz w:val="24"/>
                <w:szCs w:val="24"/>
                <w:lang w:val="en-US" w:eastAsia="zh-CN" w:bidi="ar-SA"/>
              </w:rPr>
              <w:t>评价</w:t>
            </w:r>
          </w:p>
          <w:p w14:paraId="4FFF4695">
            <w:pPr>
              <w:pStyle w:val="9"/>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cs="Times New Roman"/>
                <w:b w:val="0"/>
                <w:bCs w:val="0"/>
                <w:color w:val="auto"/>
                <w:kern w:val="0"/>
                <w:sz w:val="24"/>
                <w:szCs w:val="24"/>
                <w:lang w:val="en-US" w:eastAsia="zh-CN" w:bidi="ar-SA"/>
              </w:rPr>
              <w:t>标准</w:t>
            </w:r>
          </w:p>
        </w:tc>
        <w:tc>
          <w:tcPr>
            <w:tcW w:w="7646" w:type="dxa"/>
            <w:vAlign w:val="center"/>
          </w:tcPr>
          <w:p w14:paraId="3C013DD9">
            <w:pPr>
              <w:pStyle w:val="110"/>
              <w:keepNext w:val="0"/>
              <w:keepLines w:val="0"/>
              <w:pageBreakBefore w:val="0"/>
              <w:widowControl w:val="0"/>
              <w:numPr>
                <w:ilvl w:val="0"/>
                <w:numId w:val="5"/>
              </w:numPr>
              <w:kinsoku/>
              <w:wordWrap/>
              <w:overflowPunct/>
              <w:topLinePunct w:val="0"/>
              <w:bidi w:val="0"/>
              <w:snapToGrid w:val="0"/>
              <w:spacing w:before="0" w:after="0"/>
              <w:textAlignment w:val="auto"/>
              <w:rPr>
                <w:rFonts w:hint="default" w:ascii="Times New Roman" w:hAnsi="Times New Roman" w:cs="Times New Roman"/>
                <w:color w:val="auto"/>
              </w:rPr>
            </w:pPr>
            <w:r>
              <w:rPr>
                <w:rFonts w:hint="default" w:ascii="Times New Roman" w:hAnsi="Times New Roman" w:cs="Times New Roman"/>
                <w:color w:val="auto"/>
              </w:rPr>
              <w:t>环境质量标准</w:t>
            </w:r>
          </w:p>
          <w:p w14:paraId="7994D79C">
            <w:pPr>
              <w:pStyle w:val="111"/>
              <w:keepNext w:val="0"/>
              <w:keepLines w:val="0"/>
              <w:pageBreakBefore w:val="0"/>
              <w:widowControl w:val="0"/>
              <w:kinsoku/>
              <w:wordWrap/>
              <w:overflowPunct/>
              <w:topLinePunct w:val="0"/>
              <w:bidi w:val="0"/>
              <w:snapToGrid w:val="0"/>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环境空气</w:t>
            </w:r>
            <w:r>
              <w:rPr>
                <w:rFonts w:hint="default" w:ascii="Times New Roman" w:hAnsi="Times New Roman" w:cs="Times New Roman"/>
                <w:color w:val="auto"/>
              </w:rPr>
              <w:t>基本污染物</w:t>
            </w:r>
            <w:r>
              <w:rPr>
                <w:rFonts w:hint="default" w:ascii="Times New Roman" w:hAnsi="Times New Roman" w:cs="Times New Roman"/>
                <w:color w:val="auto"/>
                <w:lang w:val="en-US" w:eastAsia="zh-CN"/>
              </w:rPr>
              <w:t>执行</w:t>
            </w:r>
            <w:r>
              <w:rPr>
                <w:rFonts w:hint="default" w:ascii="Times New Roman" w:hAnsi="Times New Roman" w:cs="Times New Roman"/>
                <w:color w:val="auto"/>
              </w:rPr>
              <w:t>《环境空气质量标准》（GB3095-2012）及修改单中二级标准</w:t>
            </w:r>
            <w:r>
              <w:rPr>
                <w:rFonts w:hint="default" w:ascii="Times New Roman" w:hAnsi="Times New Roman" w:cs="Times New Roman"/>
                <w:color w:val="auto"/>
                <w:lang w:eastAsia="zh-CN"/>
              </w:rPr>
              <w:t>。</w:t>
            </w:r>
          </w:p>
          <w:p w14:paraId="7A111127">
            <w:pPr>
              <w:pStyle w:val="110"/>
              <w:keepNext w:val="0"/>
              <w:keepLines w:val="0"/>
              <w:pageBreakBefore w:val="0"/>
              <w:widowControl w:val="0"/>
              <w:numPr>
                <w:ilvl w:val="0"/>
                <w:numId w:val="5"/>
              </w:numPr>
              <w:kinsoku/>
              <w:wordWrap/>
              <w:overflowPunct/>
              <w:topLinePunct w:val="0"/>
              <w:bidi w:val="0"/>
              <w:snapToGrid w:val="0"/>
              <w:spacing w:before="0" w:after="0"/>
              <w:textAlignment w:val="auto"/>
              <w:rPr>
                <w:rFonts w:hint="default" w:ascii="Times New Roman" w:hAnsi="Times New Roman" w:cs="Times New Roman"/>
                <w:color w:val="auto"/>
              </w:rPr>
            </w:pPr>
            <w:r>
              <w:rPr>
                <w:rFonts w:hint="default" w:ascii="Times New Roman" w:hAnsi="Times New Roman" w:cs="Times New Roman"/>
                <w:color w:val="auto"/>
              </w:rPr>
              <w:t>污染物排放标准</w:t>
            </w:r>
          </w:p>
          <w:p w14:paraId="6EF308C6">
            <w:pPr>
              <w:pStyle w:val="112"/>
              <w:keepNext w:val="0"/>
              <w:keepLines w:val="0"/>
              <w:pageBreakBefore w:val="0"/>
              <w:widowControl w:val="0"/>
              <w:numPr>
                <w:ilvl w:val="1"/>
                <w:numId w:val="5"/>
              </w:numPr>
              <w:kinsoku/>
              <w:wordWrap/>
              <w:overflowPunct/>
              <w:topLinePunct w:val="0"/>
              <w:bidi w:val="0"/>
              <w:snapToGrid w:val="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废气</w:t>
            </w:r>
          </w:p>
          <w:p w14:paraId="642816E2">
            <w:pPr>
              <w:pStyle w:val="111"/>
              <w:keepNext w:val="0"/>
              <w:keepLines w:val="0"/>
              <w:pageBreakBefore w:val="0"/>
              <w:widowControl w:val="0"/>
              <w:kinsoku/>
              <w:wordWrap/>
              <w:overflowPunct/>
              <w:topLinePunct w:val="0"/>
              <w:bidi w:val="0"/>
              <w:snapToGrid w:val="0"/>
              <w:textAlignment w:val="auto"/>
              <w:rPr>
                <w:rFonts w:hint="default" w:ascii="Times New Roman" w:hAnsi="Times New Roman" w:cs="Times New Roman"/>
                <w:color w:val="auto"/>
                <w:kern w:val="0"/>
                <w:sz w:val="24"/>
                <w:lang w:eastAsia="zh-CN" w:bidi="ar"/>
              </w:rPr>
            </w:pPr>
            <w:r>
              <w:rPr>
                <w:rFonts w:hint="default" w:ascii="Times New Roman" w:hAnsi="Times New Roman" w:cs="Times New Roman"/>
                <w:color w:val="auto"/>
              </w:rPr>
              <w:t>①</w:t>
            </w:r>
            <w:r>
              <w:rPr>
                <w:rFonts w:hint="eastAsia" w:cs="Times New Roman"/>
                <w:color w:val="auto"/>
                <w:lang w:val="en-US" w:eastAsia="zh-CN"/>
              </w:rPr>
              <w:t>施工</w:t>
            </w:r>
            <w:r>
              <w:rPr>
                <w:rFonts w:hint="default" w:ascii="Times New Roman" w:hAnsi="Times New Roman" w:cs="Times New Roman"/>
                <w:color w:val="auto"/>
                <w:lang w:val="en-US" w:eastAsia="zh-CN"/>
              </w:rPr>
              <w:t>扬尘执行</w:t>
            </w:r>
            <w:r>
              <w:rPr>
                <w:rFonts w:hint="default" w:ascii="Times New Roman" w:hAnsi="Times New Roman" w:cs="Times New Roman"/>
                <w:color w:val="auto"/>
                <w:kern w:val="0"/>
                <w:sz w:val="24"/>
                <w:lang w:bidi="ar"/>
              </w:rPr>
              <w:t>《大气污染物综合排放标准》（GB16297-1996）周界外浓度最高点限值，</w:t>
            </w:r>
            <w:r>
              <w:rPr>
                <w:rFonts w:hint="eastAsia" w:cs="Times New Roman"/>
                <w:color w:val="auto"/>
                <w:kern w:val="0"/>
                <w:sz w:val="24"/>
                <w:lang w:val="en-US" w:eastAsia="zh-CN" w:bidi="ar"/>
              </w:rPr>
              <w:t>颗粒物≤1</w:t>
            </w:r>
            <w:r>
              <w:rPr>
                <w:rFonts w:hint="default" w:ascii="Times New Roman" w:hAnsi="Times New Roman" w:cs="Times New Roman"/>
                <w:color w:val="auto"/>
                <w:kern w:val="0"/>
                <w:sz w:val="24"/>
                <w:lang w:bidi="ar"/>
              </w:rPr>
              <w:t>.0mg/m³</w:t>
            </w:r>
            <w:r>
              <w:rPr>
                <w:rFonts w:hint="default" w:ascii="Times New Roman" w:hAnsi="Times New Roman" w:cs="Times New Roman"/>
                <w:color w:val="auto"/>
                <w:kern w:val="0"/>
                <w:sz w:val="24"/>
                <w:lang w:eastAsia="zh-CN" w:bidi="ar"/>
              </w:rPr>
              <w:t>；</w:t>
            </w:r>
          </w:p>
          <w:p w14:paraId="43E15E3C">
            <w:pPr>
              <w:pStyle w:val="111"/>
              <w:keepNext w:val="0"/>
              <w:keepLines w:val="0"/>
              <w:pageBreakBefore w:val="0"/>
              <w:widowControl w:val="0"/>
              <w:kinsoku/>
              <w:wordWrap/>
              <w:overflowPunct/>
              <w:topLinePunct w:val="0"/>
              <w:bidi w:val="0"/>
              <w:snapToGrid w:val="0"/>
              <w:textAlignment w:val="auto"/>
              <w:rPr>
                <w:rFonts w:hint="eastAsia" w:ascii="Times New Roman" w:hAnsi="Times New Roman" w:eastAsia="宋体" w:cs="Times New Roman"/>
                <w:color w:val="auto"/>
                <w:lang w:eastAsia="zh-CN"/>
              </w:rPr>
            </w:pPr>
            <w:r>
              <w:rPr>
                <w:rFonts w:hint="default" w:ascii="Times New Roman" w:hAnsi="Times New Roman" w:cs="Times New Roman"/>
                <w:color w:val="auto"/>
              </w:rPr>
              <w:t>②</w:t>
            </w:r>
            <w:r>
              <w:rPr>
                <w:rFonts w:hint="eastAsia" w:cs="Times New Roman"/>
                <w:color w:val="auto"/>
                <w:lang w:val="en-US" w:eastAsia="zh-CN"/>
              </w:rPr>
              <w:t>车辆尾气、</w:t>
            </w:r>
            <w:r>
              <w:rPr>
                <w:rFonts w:hint="default" w:ascii="Times New Roman" w:hAnsi="Times New Roman" w:cs="Times New Roman"/>
                <w:color w:val="auto"/>
                <w:lang w:val="en-US" w:eastAsia="zh-CN"/>
              </w:rPr>
              <w:t>柴油机、发电机</w:t>
            </w:r>
            <w:r>
              <w:rPr>
                <w:rFonts w:hint="eastAsia" w:ascii="Times New Roman" w:hAnsi="Times New Roman" w:cs="Times New Roman"/>
                <w:color w:val="auto"/>
                <w:lang w:val="en-US" w:eastAsia="zh-CN"/>
              </w:rPr>
              <w:t>燃料燃烧烟气中二氧化硫、氮氧化物、颗粒物</w:t>
            </w:r>
            <w:r>
              <w:rPr>
                <w:rFonts w:hint="default" w:ascii="Times New Roman" w:hAnsi="Times New Roman" w:cs="Times New Roman"/>
                <w:color w:val="auto"/>
              </w:rPr>
              <w:t>执行《大气污染物综合排放标准》（GB16297-1996）</w:t>
            </w:r>
            <w:r>
              <w:rPr>
                <w:rFonts w:hint="eastAsia" w:ascii="Times New Roman" w:hAnsi="Times New Roman" w:cs="Times New Roman"/>
                <w:color w:val="auto"/>
                <w:lang w:val="en-US" w:eastAsia="zh-CN"/>
              </w:rPr>
              <w:t>周界外浓度最高点限值，</w:t>
            </w:r>
            <w:r>
              <w:rPr>
                <w:rFonts w:hint="eastAsia" w:cs="Times New Roman"/>
                <w:color w:val="auto"/>
                <w:lang w:val="en-US" w:eastAsia="zh-CN"/>
              </w:rPr>
              <w:t>二氧化硫≤0.40</w:t>
            </w:r>
            <w:r>
              <w:rPr>
                <w:rFonts w:hint="default" w:ascii="Times New Roman" w:hAnsi="Times New Roman" w:cs="Times New Roman"/>
                <w:color w:val="auto"/>
                <w:kern w:val="0"/>
                <w:sz w:val="24"/>
                <w:lang w:bidi="ar"/>
              </w:rPr>
              <w:t>mg/m³</w:t>
            </w:r>
            <w:r>
              <w:rPr>
                <w:rFonts w:hint="eastAsia" w:cs="Times New Roman"/>
                <w:color w:val="auto"/>
                <w:kern w:val="0"/>
                <w:sz w:val="24"/>
                <w:vertAlign w:val="baseline"/>
                <w:lang w:eastAsia="zh-CN" w:bidi="ar"/>
              </w:rPr>
              <w:t>、</w:t>
            </w:r>
            <w:r>
              <w:rPr>
                <w:rFonts w:hint="eastAsia" w:cs="Times New Roman"/>
                <w:color w:val="auto"/>
                <w:lang w:val="en-US" w:eastAsia="zh-CN"/>
              </w:rPr>
              <w:t>氮氧化物≤0.12</w:t>
            </w:r>
            <w:r>
              <w:rPr>
                <w:rFonts w:hint="default" w:ascii="Times New Roman" w:hAnsi="Times New Roman" w:cs="Times New Roman"/>
                <w:color w:val="auto"/>
                <w:kern w:val="0"/>
                <w:sz w:val="24"/>
                <w:lang w:bidi="ar"/>
              </w:rPr>
              <w:t>mg/m³</w:t>
            </w:r>
            <w:r>
              <w:rPr>
                <w:rFonts w:hint="eastAsia" w:cs="Times New Roman"/>
                <w:color w:val="auto"/>
                <w:lang w:val="en-US" w:eastAsia="zh-CN"/>
              </w:rPr>
              <w:t>、颗粒物≤1.0</w:t>
            </w:r>
            <w:r>
              <w:rPr>
                <w:rFonts w:hint="default" w:ascii="Times New Roman" w:hAnsi="Times New Roman" w:cs="Times New Roman"/>
                <w:color w:val="auto"/>
                <w:kern w:val="0"/>
                <w:sz w:val="24"/>
                <w:lang w:bidi="ar"/>
              </w:rPr>
              <w:t>mg/m³</w:t>
            </w:r>
            <w:r>
              <w:rPr>
                <w:rFonts w:hint="eastAsia" w:ascii="Times New Roman" w:hAnsi="Times New Roman" w:cs="Times New Roman"/>
                <w:color w:val="auto"/>
                <w:kern w:val="0"/>
                <w:sz w:val="24"/>
                <w:lang w:eastAsia="zh-CN" w:bidi="ar"/>
              </w:rPr>
              <w:t>；</w:t>
            </w:r>
          </w:p>
          <w:p w14:paraId="207C3C59">
            <w:pPr>
              <w:pStyle w:val="111"/>
              <w:keepNext w:val="0"/>
              <w:keepLines w:val="0"/>
              <w:pageBreakBefore w:val="0"/>
              <w:widowControl w:val="0"/>
              <w:kinsoku/>
              <w:wordWrap/>
              <w:overflowPunct/>
              <w:topLinePunct w:val="0"/>
              <w:bidi w:val="0"/>
              <w:snapToGrid w:val="0"/>
              <w:textAlignment w:val="auto"/>
              <w:rPr>
                <w:rFonts w:hint="eastAsia" w:ascii="Times New Roman" w:hAnsi="Times New Roman" w:eastAsia="宋体" w:cs="Times New Roman"/>
                <w:color w:val="auto"/>
                <w:lang w:eastAsia="zh-CN"/>
              </w:rPr>
            </w:pPr>
            <w:r>
              <w:rPr>
                <w:rFonts w:hint="eastAsia" w:cs="Times New Roman"/>
                <w:color w:val="auto"/>
                <w:lang w:val="en-US" w:eastAsia="zh-CN"/>
              </w:rPr>
              <w:t>③伴生气燃烧烟气中</w:t>
            </w:r>
            <w:r>
              <w:rPr>
                <w:rFonts w:hint="default" w:ascii="Times New Roman" w:hAnsi="Times New Roman" w:cs="Times New Roman"/>
                <w:b w:val="0"/>
                <w:bCs w:val="0"/>
                <w:color w:val="auto"/>
              </w:rPr>
              <w:t>非甲烷总烃</w:t>
            </w:r>
            <w:r>
              <w:rPr>
                <w:rFonts w:hint="eastAsia" w:ascii="Times New Roman" w:hAnsi="Times New Roman" w:cs="Times New Roman"/>
                <w:b w:val="0"/>
                <w:bCs w:val="0"/>
                <w:color w:val="auto"/>
                <w:lang w:val="en-US" w:eastAsia="zh-CN"/>
              </w:rPr>
              <w:t>执行</w:t>
            </w:r>
            <w:r>
              <w:rPr>
                <w:rFonts w:hint="default" w:ascii="Times New Roman" w:hAnsi="Times New Roman" w:cs="Times New Roman"/>
                <w:b w:val="0"/>
                <w:bCs w:val="0"/>
                <w:color w:val="auto"/>
              </w:rPr>
              <w:t>《陆上石油天然气开采工业大气污染物排放标准》（GB39728-2020）</w:t>
            </w:r>
            <w:r>
              <w:rPr>
                <w:rFonts w:hint="eastAsia" w:ascii="Times New Roman" w:hAnsi="Times New Roman" w:cs="Times New Roman"/>
                <w:b w:val="0"/>
                <w:bCs w:val="0"/>
                <w:color w:val="auto"/>
                <w:lang w:val="en-US" w:eastAsia="zh-CN"/>
              </w:rPr>
              <w:t>企业边界污染物控制</w:t>
            </w:r>
            <w:r>
              <w:rPr>
                <w:rFonts w:hint="default" w:ascii="Times New Roman" w:hAnsi="Times New Roman" w:cs="Times New Roman"/>
                <w:b w:val="0"/>
                <w:bCs w:val="0"/>
                <w:color w:val="auto"/>
              </w:rPr>
              <w:t>要求</w:t>
            </w:r>
            <w:r>
              <w:rPr>
                <w:rFonts w:hint="eastAsia" w:ascii="Times New Roman" w:hAnsi="Times New Roman" w:cs="Times New Roman"/>
                <w:b w:val="0"/>
                <w:bCs w:val="0"/>
                <w:color w:val="auto"/>
                <w:lang w:eastAsia="zh-CN"/>
              </w:rPr>
              <w:t>，</w:t>
            </w:r>
            <w:r>
              <w:rPr>
                <w:rFonts w:hint="eastAsia" w:cs="Times New Roman"/>
                <w:color w:val="auto"/>
                <w:lang w:val="en-US" w:eastAsia="zh-CN"/>
              </w:rPr>
              <w:t>非甲烷总烃≤4.0</w:t>
            </w:r>
            <w:r>
              <w:rPr>
                <w:rFonts w:hint="default" w:ascii="Times New Roman" w:hAnsi="Times New Roman" w:cs="Times New Roman"/>
                <w:color w:val="auto"/>
                <w:kern w:val="0"/>
                <w:sz w:val="24"/>
                <w:lang w:bidi="ar"/>
              </w:rPr>
              <w:t>mg/m³</w:t>
            </w:r>
            <w:r>
              <w:rPr>
                <w:rFonts w:hint="eastAsia" w:ascii="Times New Roman" w:hAnsi="Times New Roman" w:cs="Times New Roman"/>
                <w:color w:val="auto"/>
                <w:kern w:val="0"/>
                <w:sz w:val="24"/>
                <w:lang w:eastAsia="zh-CN" w:bidi="ar"/>
              </w:rPr>
              <w:t>；</w:t>
            </w:r>
            <w:r>
              <w:rPr>
                <w:rFonts w:hint="eastAsia" w:ascii="Times New Roman" w:hAnsi="Times New Roman" w:cs="Times New Roman"/>
                <w:color w:val="auto"/>
                <w:lang w:val="en-US" w:eastAsia="zh-CN"/>
              </w:rPr>
              <w:t>二氧化硫、氮氧化物、颗粒物</w:t>
            </w:r>
            <w:r>
              <w:rPr>
                <w:rFonts w:hint="default" w:ascii="Times New Roman" w:hAnsi="Times New Roman" w:cs="Times New Roman"/>
                <w:color w:val="auto"/>
              </w:rPr>
              <w:t>执行《大气污染物综合排放标准》（GB16297-1996）</w:t>
            </w:r>
            <w:r>
              <w:rPr>
                <w:rFonts w:hint="eastAsia" w:ascii="Times New Roman" w:hAnsi="Times New Roman" w:cs="Times New Roman"/>
                <w:color w:val="auto"/>
                <w:lang w:val="en-US" w:eastAsia="zh-CN"/>
              </w:rPr>
              <w:t>周界外浓度最高点限值，</w:t>
            </w:r>
            <w:r>
              <w:rPr>
                <w:rFonts w:hint="eastAsia" w:cs="Times New Roman"/>
                <w:color w:val="auto"/>
                <w:lang w:val="en-US" w:eastAsia="zh-CN"/>
              </w:rPr>
              <w:t>二氧化硫≤0.40</w:t>
            </w:r>
            <w:r>
              <w:rPr>
                <w:rFonts w:hint="default" w:ascii="Times New Roman" w:hAnsi="Times New Roman" w:cs="Times New Roman"/>
                <w:color w:val="auto"/>
                <w:kern w:val="0"/>
                <w:sz w:val="24"/>
                <w:lang w:bidi="ar"/>
              </w:rPr>
              <w:t>mg/m³</w:t>
            </w:r>
            <w:r>
              <w:rPr>
                <w:rFonts w:hint="eastAsia" w:cs="Times New Roman"/>
                <w:color w:val="auto"/>
                <w:kern w:val="0"/>
                <w:sz w:val="24"/>
                <w:vertAlign w:val="baseline"/>
                <w:lang w:eastAsia="zh-CN" w:bidi="ar"/>
              </w:rPr>
              <w:t>、</w:t>
            </w:r>
            <w:r>
              <w:rPr>
                <w:rFonts w:hint="eastAsia" w:cs="Times New Roman"/>
                <w:color w:val="auto"/>
                <w:lang w:val="en-US" w:eastAsia="zh-CN"/>
              </w:rPr>
              <w:t>氮氧化物≤0.12</w:t>
            </w:r>
            <w:r>
              <w:rPr>
                <w:rFonts w:hint="default" w:ascii="Times New Roman" w:hAnsi="Times New Roman" w:cs="Times New Roman"/>
                <w:color w:val="auto"/>
                <w:kern w:val="0"/>
                <w:sz w:val="24"/>
                <w:lang w:bidi="ar"/>
              </w:rPr>
              <w:t>mg/m³</w:t>
            </w:r>
            <w:r>
              <w:rPr>
                <w:rFonts w:hint="eastAsia" w:cs="Times New Roman"/>
                <w:color w:val="auto"/>
                <w:lang w:val="en-US" w:eastAsia="zh-CN"/>
              </w:rPr>
              <w:t>、颗粒物≤1.0</w:t>
            </w:r>
            <w:r>
              <w:rPr>
                <w:rFonts w:hint="default" w:ascii="Times New Roman" w:hAnsi="Times New Roman" w:cs="Times New Roman"/>
                <w:color w:val="auto"/>
                <w:kern w:val="0"/>
                <w:sz w:val="24"/>
                <w:lang w:bidi="ar"/>
              </w:rPr>
              <w:t>mg/m³</w:t>
            </w:r>
            <w:r>
              <w:rPr>
                <w:rFonts w:hint="eastAsia" w:ascii="Times New Roman" w:hAnsi="Times New Roman" w:cs="Times New Roman"/>
                <w:color w:val="auto"/>
                <w:kern w:val="0"/>
                <w:sz w:val="24"/>
                <w:lang w:eastAsia="zh-CN" w:bidi="ar"/>
              </w:rPr>
              <w:t>；</w:t>
            </w:r>
          </w:p>
          <w:p w14:paraId="5819DC6E">
            <w:pPr>
              <w:pStyle w:val="111"/>
              <w:keepNext w:val="0"/>
              <w:keepLines w:val="0"/>
              <w:pageBreakBefore w:val="0"/>
              <w:widowControl w:val="0"/>
              <w:kinsoku/>
              <w:wordWrap/>
              <w:overflowPunct/>
              <w:topLinePunct w:val="0"/>
              <w:bidi w:val="0"/>
              <w:snapToGrid w:val="0"/>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④采出液储存及装车过程的无组织废气中</w:t>
            </w:r>
            <w:r>
              <w:rPr>
                <w:rFonts w:hint="default" w:ascii="Times New Roman" w:hAnsi="Times New Roman" w:cs="Times New Roman"/>
                <w:b w:val="0"/>
                <w:bCs w:val="0"/>
                <w:color w:val="auto"/>
              </w:rPr>
              <w:t>非甲烷总烃</w:t>
            </w:r>
            <w:r>
              <w:rPr>
                <w:rFonts w:hint="eastAsia" w:ascii="Times New Roman" w:hAnsi="Times New Roman" w:cs="Times New Roman"/>
                <w:b w:val="0"/>
                <w:bCs w:val="0"/>
                <w:color w:val="auto"/>
                <w:lang w:val="en-US" w:eastAsia="zh-CN"/>
              </w:rPr>
              <w:t>执行</w:t>
            </w:r>
            <w:r>
              <w:rPr>
                <w:rFonts w:hint="default" w:ascii="Times New Roman" w:hAnsi="Times New Roman" w:cs="Times New Roman"/>
                <w:b w:val="0"/>
                <w:bCs w:val="0"/>
                <w:color w:val="auto"/>
              </w:rPr>
              <w:t>《陆上石油天然气开采工业大气污染物排放标准》（GB39728-2020）</w:t>
            </w:r>
            <w:r>
              <w:rPr>
                <w:rFonts w:hint="eastAsia" w:ascii="Times New Roman" w:hAnsi="Times New Roman" w:cs="Times New Roman"/>
                <w:b w:val="0"/>
                <w:bCs w:val="0"/>
                <w:color w:val="auto"/>
                <w:lang w:val="en-US" w:eastAsia="zh-CN"/>
              </w:rPr>
              <w:t>企业边界污染物控制</w:t>
            </w:r>
            <w:r>
              <w:rPr>
                <w:rFonts w:hint="default" w:ascii="Times New Roman" w:hAnsi="Times New Roman" w:cs="Times New Roman"/>
                <w:b w:val="0"/>
                <w:bCs w:val="0"/>
                <w:color w:val="auto"/>
              </w:rPr>
              <w:t>要求</w:t>
            </w:r>
            <w:r>
              <w:rPr>
                <w:rFonts w:hint="eastAsia" w:ascii="Times New Roman" w:hAnsi="Times New Roman" w:cs="Times New Roman"/>
                <w:b w:val="0"/>
                <w:bCs w:val="0"/>
                <w:color w:val="auto"/>
                <w:lang w:eastAsia="zh-CN"/>
              </w:rPr>
              <w:t>，</w:t>
            </w:r>
            <w:r>
              <w:rPr>
                <w:rFonts w:hint="eastAsia" w:cs="Times New Roman"/>
                <w:color w:val="auto"/>
                <w:lang w:val="en-US" w:eastAsia="zh-CN"/>
              </w:rPr>
              <w:t>非甲烷总烃≤4.0</w:t>
            </w:r>
            <w:r>
              <w:rPr>
                <w:rFonts w:hint="default" w:ascii="Times New Roman" w:hAnsi="Times New Roman" w:cs="Times New Roman"/>
                <w:color w:val="auto"/>
                <w:kern w:val="0"/>
                <w:sz w:val="24"/>
                <w:lang w:bidi="ar"/>
              </w:rPr>
              <w:t>mg/m³</w:t>
            </w:r>
            <w:r>
              <w:rPr>
                <w:rFonts w:hint="eastAsia" w:ascii="Times New Roman" w:hAnsi="Times New Roman" w:cs="Times New Roman"/>
                <w:color w:val="auto"/>
                <w:kern w:val="0"/>
                <w:sz w:val="24"/>
                <w:lang w:eastAsia="zh-CN" w:bidi="ar"/>
              </w:rPr>
              <w:t>；</w:t>
            </w:r>
          </w:p>
          <w:p w14:paraId="50680E56">
            <w:pPr>
              <w:pStyle w:val="111"/>
              <w:keepNext w:val="0"/>
              <w:keepLines w:val="0"/>
              <w:pageBreakBefore w:val="0"/>
              <w:widowControl w:val="0"/>
              <w:kinsoku/>
              <w:wordWrap/>
              <w:overflowPunct/>
              <w:topLinePunct w:val="0"/>
              <w:bidi w:val="0"/>
              <w:snapToGrid w:val="0"/>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⑤试油过程伴生气中硫化氢执行《恶臭污染物排放标准》（GB14554-93）新扩改建二级标准值，硫化氢≤0.06</w:t>
            </w:r>
            <w:r>
              <w:rPr>
                <w:rFonts w:hint="default" w:ascii="Times New Roman" w:hAnsi="Times New Roman" w:cs="Times New Roman"/>
                <w:color w:val="auto"/>
                <w:kern w:val="0"/>
                <w:sz w:val="24"/>
                <w:lang w:bidi="ar"/>
              </w:rPr>
              <w:t>mg/m³</w:t>
            </w:r>
            <w:r>
              <w:rPr>
                <w:rFonts w:hint="eastAsia" w:ascii="Times New Roman" w:hAnsi="Times New Roman" w:cs="Times New Roman"/>
                <w:color w:val="auto"/>
                <w:kern w:val="0"/>
                <w:sz w:val="24"/>
                <w:lang w:eastAsia="zh-CN" w:bidi="ar"/>
              </w:rPr>
              <w:t>。</w:t>
            </w:r>
          </w:p>
          <w:p w14:paraId="330827AF">
            <w:pPr>
              <w:pStyle w:val="112"/>
              <w:keepNext w:val="0"/>
              <w:keepLines w:val="0"/>
              <w:pageBreakBefore w:val="0"/>
              <w:widowControl w:val="0"/>
              <w:numPr>
                <w:ilvl w:val="1"/>
                <w:numId w:val="5"/>
              </w:numPr>
              <w:kinsoku/>
              <w:wordWrap/>
              <w:overflowPunct/>
              <w:topLinePunct w:val="0"/>
              <w:bidi w:val="0"/>
              <w:snapToGrid w:val="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噪声</w:t>
            </w:r>
          </w:p>
          <w:p w14:paraId="23623126">
            <w:pPr>
              <w:pStyle w:val="111"/>
              <w:keepNext w:val="0"/>
              <w:keepLines w:val="0"/>
              <w:pageBreakBefore w:val="0"/>
              <w:widowControl w:val="0"/>
              <w:kinsoku/>
              <w:wordWrap/>
              <w:overflowPunct/>
              <w:topLinePunct w:val="0"/>
              <w:bidi w:val="0"/>
              <w:snapToGrid w:val="0"/>
              <w:textAlignment w:val="auto"/>
              <w:rPr>
                <w:rFonts w:hint="eastAsia" w:cs="Times New Roman"/>
                <w:color w:val="auto"/>
                <w:lang w:eastAsia="zh-CN"/>
              </w:rPr>
            </w:pPr>
            <w:r>
              <w:rPr>
                <w:rFonts w:hint="default" w:ascii="Times New Roman" w:hAnsi="Times New Roman" w:cs="Times New Roman"/>
                <w:color w:val="auto"/>
              </w:rPr>
              <w:t>施工期噪声执行《建筑施工场界环境噪声排放标准》（GB12523-2011）</w:t>
            </w:r>
            <w:r>
              <w:rPr>
                <w:rFonts w:hint="eastAsia" w:cs="Times New Roman"/>
                <w:color w:val="auto"/>
                <w:lang w:eastAsia="zh-CN"/>
              </w:rPr>
              <w:t>。</w:t>
            </w:r>
          </w:p>
          <w:p w14:paraId="5026369E">
            <w:pPr>
              <w:pStyle w:val="112"/>
              <w:keepNext w:val="0"/>
              <w:keepLines w:val="0"/>
              <w:pageBreakBefore w:val="0"/>
              <w:widowControl w:val="0"/>
              <w:numPr>
                <w:ilvl w:val="1"/>
                <w:numId w:val="5"/>
              </w:numPr>
              <w:kinsoku/>
              <w:wordWrap/>
              <w:overflowPunct/>
              <w:topLinePunct w:val="0"/>
              <w:bidi w:val="0"/>
              <w:snapToGrid w:val="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固体废物</w:t>
            </w:r>
          </w:p>
          <w:p w14:paraId="7816C5A0">
            <w:pPr>
              <w:pStyle w:val="111"/>
              <w:keepNext w:val="0"/>
              <w:keepLines w:val="0"/>
              <w:pageBreakBefore w:val="0"/>
              <w:widowControl w:val="0"/>
              <w:kinsoku/>
              <w:wordWrap/>
              <w:overflowPunct/>
              <w:topLinePunct w:val="0"/>
              <w:bidi w:val="0"/>
              <w:snapToGrid w:val="0"/>
              <w:textAlignment w:val="auto"/>
              <w:rPr>
                <w:rFonts w:hint="default" w:ascii="Times New Roman" w:hAnsi="Times New Roman" w:cs="Times New Roman"/>
                <w:color w:val="auto"/>
              </w:rPr>
            </w:pPr>
            <w:r>
              <w:rPr>
                <w:rFonts w:hint="default" w:ascii="Times New Roman" w:hAnsi="Times New Roman" w:cs="Times New Roman"/>
                <w:color w:val="auto"/>
              </w:rPr>
              <w:t>①一般工业固废执行《一般工业固体废物贮存和填埋污染控制标准》（GB18599-2020）；</w:t>
            </w:r>
          </w:p>
          <w:p w14:paraId="2D65092F">
            <w:pPr>
              <w:pStyle w:val="111"/>
              <w:keepNext w:val="0"/>
              <w:keepLines w:val="0"/>
              <w:pageBreakBefore w:val="0"/>
              <w:widowControl w:val="0"/>
              <w:kinsoku/>
              <w:wordWrap/>
              <w:overflowPunct/>
              <w:topLinePunct w:val="0"/>
              <w:bidi w:val="0"/>
              <w:snapToGrid w:val="0"/>
              <w:textAlignment w:val="auto"/>
              <w:rPr>
                <w:rFonts w:hint="default" w:ascii="Times New Roman" w:hAnsi="Times New Roman" w:cs="Times New Roman"/>
                <w:color w:val="auto"/>
              </w:rPr>
            </w:pPr>
            <w:r>
              <w:rPr>
                <w:rFonts w:hint="default" w:ascii="Times New Roman" w:hAnsi="Times New Roman" w:cs="Times New Roman"/>
                <w:color w:val="auto"/>
              </w:rPr>
              <w:t>②危险废物执行《危险废物贮存污染控制标准》（GB18597-2023）、</w:t>
            </w:r>
          </w:p>
          <w:p w14:paraId="709C70A7">
            <w:pPr>
              <w:pStyle w:val="111"/>
              <w:keepNext w:val="0"/>
              <w:keepLines w:val="0"/>
              <w:pageBreakBefore w:val="0"/>
              <w:widowControl w:val="0"/>
              <w:kinsoku/>
              <w:wordWrap/>
              <w:overflowPunct/>
              <w:topLinePunct w:val="0"/>
              <w:bidi w:val="0"/>
              <w:snapToGrid w:val="0"/>
              <w:ind w:left="0" w:leftChars="0" w:firstLine="0" w:firstLineChars="0"/>
              <w:textAlignment w:val="auto"/>
              <w:rPr>
                <w:rFonts w:hint="default" w:ascii="Times New Roman" w:hAnsi="Times New Roman" w:cs="Times New Roman"/>
                <w:color w:val="auto"/>
                <w:lang w:eastAsia="zh-CN"/>
              </w:rPr>
            </w:pPr>
            <w:r>
              <w:rPr>
                <w:rFonts w:hint="default" w:ascii="Times New Roman" w:hAnsi="Times New Roman" w:cs="Times New Roman"/>
                <w:color w:val="auto"/>
              </w:rPr>
              <w:t>《危险废物收集 贮存 运输技术规范》（HJ2025-2012）、《危险废物管理计划和管理台账制定技术导则》（HJ1259-2022）</w:t>
            </w:r>
            <w:r>
              <w:rPr>
                <w:rFonts w:hint="default" w:ascii="Times New Roman" w:hAnsi="Times New Roman" w:cs="Times New Roman"/>
                <w:color w:val="auto"/>
                <w:lang w:eastAsia="zh-CN"/>
              </w:rPr>
              <w:t>。</w:t>
            </w:r>
          </w:p>
          <w:p w14:paraId="5D7F14C2">
            <w:pPr>
              <w:pStyle w:val="111"/>
              <w:keepNext w:val="0"/>
              <w:keepLines w:val="0"/>
              <w:pageBreakBefore w:val="0"/>
              <w:widowControl w:val="0"/>
              <w:kinsoku/>
              <w:wordWrap/>
              <w:overflowPunct/>
              <w:topLinePunct w:val="0"/>
              <w:bidi w:val="0"/>
              <w:snapToGrid w:val="0"/>
              <w:ind w:left="0" w:leftChars="0" w:firstLine="0" w:firstLineChars="0"/>
              <w:textAlignment w:val="auto"/>
              <w:rPr>
                <w:rFonts w:hint="default" w:ascii="Times New Roman" w:hAnsi="Times New Roman" w:cs="Times New Roman"/>
                <w:color w:val="auto"/>
                <w:lang w:val="en-US" w:eastAsia="zh-CN"/>
              </w:rPr>
            </w:pPr>
          </w:p>
        </w:tc>
      </w:tr>
      <w:bookmarkEnd w:id="38"/>
      <w:tr w14:paraId="15A7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6" w:type="dxa"/>
            <w:vAlign w:val="center"/>
          </w:tcPr>
          <w:p w14:paraId="1F4578F6">
            <w:pPr>
              <w:pStyle w:val="9"/>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其他</w:t>
            </w:r>
          </w:p>
        </w:tc>
        <w:tc>
          <w:tcPr>
            <w:tcW w:w="7646" w:type="dxa"/>
            <w:vAlign w:val="center"/>
          </w:tcPr>
          <w:p w14:paraId="5408117E">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cs="Times New Roman"/>
                <w:b/>
                <w:bCs/>
                <w:color w:val="auto"/>
              </w:rPr>
            </w:pPr>
            <w:r>
              <w:rPr>
                <w:rFonts w:hint="default" w:ascii="Times New Roman" w:hAnsi="Times New Roman" w:cs="Times New Roman"/>
                <w:b/>
                <w:bCs/>
                <w:color w:val="auto"/>
              </w:rPr>
              <w:t>总量控制指标：</w:t>
            </w:r>
          </w:p>
          <w:p w14:paraId="732B25C4">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本项目不涉及总量控制指标。</w:t>
            </w:r>
          </w:p>
        </w:tc>
      </w:tr>
    </w:tbl>
    <w:p w14:paraId="4E0B76BB">
      <w:pPr>
        <w:pStyle w:val="9"/>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B634BE2">
      <w:pPr>
        <w:pStyle w:val="2"/>
        <w:rPr>
          <w:rFonts w:hint="default" w:ascii="Times New Roman" w:hAnsi="Times New Roman" w:eastAsia="黑体" w:cs="Times New Roman"/>
          <w:b w:val="0"/>
          <w:bCs/>
          <w:color w:val="auto"/>
          <w:sz w:val="30"/>
          <w:szCs w:val="30"/>
          <w:highlight w:val="none"/>
        </w:rPr>
      </w:pPr>
      <w:bookmarkStart w:id="39" w:name="_Toc28843"/>
      <w:r>
        <w:rPr>
          <w:rFonts w:hint="default" w:ascii="Times New Roman" w:hAnsi="Times New Roman" w:eastAsia="黑体" w:cs="Times New Roman"/>
          <w:b w:val="0"/>
          <w:bCs/>
          <w:color w:val="auto"/>
          <w:sz w:val="30"/>
          <w:szCs w:val="30"/>
          <w:highlight w:val="none"/>
        </w:rPr>
        <w:t>四、生态环境影响分析</w:t>
      </w:r>
      <w:bookmarkEnd w:id="39"/>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450"/>
      </w:tblGrid>
      <w:tr w14:paraId="4423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62C4F6">
            <w:pPr>
              <w:pStyle w:val="9"/>
              <w:ind w:firstLine="0" w:firstLineChars="0"/>
              <w:rPr>
                <w:rFonts w:hint="default" w:ascii="Times New Roman" w:hAnsi="Times New Roman" w:cs="Times New Roman"/>
                <w:b w:val="0"/>
                <w:bCs w:val="0"/>
                <w:color w:val="auto"/>
              </w:rPr>
            </w:pPr>
            <w:r>
              <w:rPr>
                <w:rFonts w:hint="default" w:ascii="Times New Roman" w:hAnsi="Times New Roman" w:cs="Times New Roman"/>
                <w:b w:val="0"/>
                <w:bCs w:val="0"/>
                <w:color w:val="auto"/>
              </w:rPr>
              <w:t>施工期生态环境影响分析</w:t>
            </w:r>
          </w:p>
        </w:tc>
        <w:tc>
          <w:tcPr>
            <w:tcW w:w="7450" w:type="dxa"/>
          </w:tcPr>
          <w:p w14:paraId="172B037C">
            <w:pPr>
              <w:pStyle w:val="9"/>
              <w:rPr>
                <w:rFonts w:hint="default" w:ascii="Times New Roman" w:hAnsi="Times New Roman" w:cs="Times New Roman"/>
                <w:color w:val="auto"/>
              </w:rPr>
            </w:pPr>
            <w:bookmarkStart w:id="40" w:name="_Hlk136794071"/>
            <w:r>
              <w:rPr>
                <w:rFonts w:hint="default" w:ascii="Times New Roman" w:hAnsi="Times New Roman" w:cs="Times New Roman"/>
                <w:color w:val="auto"/>
              </w:rPr>
              <w:t>1、生态环境影响分析</w:t>
            </w:r>
          </w:p>
          <w:bookmarkEnd w:id="40"/>
          <w:p w14:paraId="68317819">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（1）工程占地</w:t>
            </w:r>
          </w:p>
          <w:p w14:paraId="4CD93EEF">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占地主要包括井场、</w:t>
            </w:r>
            <w:r>
              <w:rPr>
                <w:rFonts w:hint="eastAsia" w:ascii="Times New Roman" w:hAnsi="Times New Roman" w:cs="Times New Roman"/>
                <w:b w:val="0"/>
                <w:bCs w:val="0"/>
                <w:color w:val="auto"/>
                <w:lang w:eastAsia="zh-CN"/>
              </w:rPr>
              <w:t>探临道路</w:t>
            </w:r>
            <w:r>
              <w:rPr>
                <w:rFonts w:hint="eastAsia" w:ascii="Times New Roman" w:hAnsi="Times New Roman" w:cs="Times New Roman"/>
                <w:b w:val="0"/>
                <w:bCs w:val="0"/>
                <w:color w:val="auto"/>
                <w:lang w:val="en-US" w:eastAsia="zh-CN"/>
              </w:rPr>
              <w:t>和生活营地</w:t>
            </w:r>
            <w:r>
              <w:rPr>
                <w:rFonts w:hint="default" w:ascii="Times New Roman" w:hAnsi="Times New Roman" w:cs="Times New Roman"/>
                <w:b w:val="0"/>
                <w:bCs w:val="0"/>
                <w:color w:val="auto"/>
              </w:rPr>
              <w:t>，总占地面积</w:t>
            </w:r>
            <w:r>
              <w:rPr>
                <w:rFonts w:hint="eastAsia" w:ascii="Times New Roman" w:hAnsi="Times New Roman" w:cs="Times New Roman"/>
                <w:b w:val="0"/>
                <w:bCs w:val="0"/>
                <w:color w:val="auto"/>
                <w:lang w:val="en-US" w:eastAsia="zh-CN"/>
              </w:rPr>
              <w:t>22345</w:t>
            </w:r>
            <w:r>
              <w:rPr>
                <w:rFonts w:hint="default" w:ascii="Times New Roman" w:hAnsi="Times New Roman" w:cs="Times New Roman"/>
                <w:b w:val="0"/>
                <w:bCs w:val="0"/>
                <w:color w:val="auto"/>
              </w:rPr>
              <w:t>m</w:t>
            </w:r>
            <w:r>
              <w:rPr>
                <w:rFonts w:hint="default" w:ascii="Times New Roman" w:hAnsi="Times New Roman" w:cs="Times New Roman"/>
                <w:b w:val="0"/>
                <w:bCs w:val="0"/>
                <w:color w:val="auto"/>
                <w:vertAlign w:val="superscript"/>
              </w:rPr>
              <w:t>2</w:t>
            </w:r>
            <w:r>
              <w:rPr>
                <w:rFonts w:hint="default" w:ascii="Times New Roman" w:hAnsi="Times New Roman" w:cs="Times New Roman"/>
                <w:b w:val="0"/>
                <w:bCs w:val="0"/>
                <w:color w:val="auto"/>
              </w:rPr>
              <w:t>，</w:t>
            </w:r>
            <w:bookmarkStart w:id="41" w:name="_Hlk167562934"/>
            <w:r>
              <w:rPr>
                <w:rFonts w:hint="default" w:ascii="Times New Roman" w:hAnsi="Times New Roman" w:cs="Times New Roman"/>
                <w:b w:val="0"/>
                <w:bCs w:val="0"/>
                <w:color w:val="auto"/>
              </w:rPr>
              <w:t>均为临时占地，</w:t>
            </w:r>
            <w:bookmarkEnd w:id="41"/>
            <w:r>
              <w:rPr>
                <w:rFonts w:hint="eastAsia" w:ascii="Times New Roman" w:hAnsi="Times New Roman" w:cs="Times New Roman"/>
                <w:b w:val="0"/>
                <w:bCs w:val="0"/>
                <w:color w:val="auto"/>
                <w:lang w:val="en-US" w:eastAsia="zh-CN"/>
              </w:rPr>
              <w:t>其中井场和探临道路占地类型为一般耕地，为减少占用一般耕地，项目生活营地选择在井场北侧其他草地区域。项目临时</w:t>
            </w:r>
            <w:r>
              <w:rPr>
                <w:rFonts w:hint="default" w:ascii="Times New Roman" w:hAnsi="Times New Roman" w:cs="Times New Roman"/>
                <w:b w:val="0"/>
                <w:bCs w:val="0"/>
                <w:color w:val="auto"/>
              </w:rPr>
              <w:t>占地情况</w:t>
            </w:r>
            <w:r>
              <w:rPr>
                <w:rFonts w:hint="eastAsia" w:ascii="Times New Roman" w:hAnsi="Times New Roman" w:cs="Times New Roman"/>
                <w:b w:val="0"/>
                <w:bCs w:val="0"/>
                <w:color w:val="auto"/>
                <w:lang w:val="en-US" w:eastAsia="zh-CN"/>
              </w:rPr>
              <w:t>详</w:t>
            </w:r>
            <w:r>
              <w:rPr>
                <w:rFonts w:hint="default" w:ascii="Times New Roman" w:hAnsi="Times New Roman" w:cs="Times New Roman"/>
                <w:b w:val="0"/>
                <w:bCs w:val="0"/>
                <w:color w:val="auto"/>
              </w:rPr>
              <w:t>见表</w:t>
            </w:r>
            <w:r>
              <w:rPr>
                <w:rFonts w:hint="default" w:ascii="Times New Roman" w:hAnsi="Times New Roman" w:cs="Times New Roman"/>
                <w:b w:val="0"/>
                <w:bCs w:val="0"/>
                <w:color w:val="auto"/>
                <w:lang w:val="en-US" w:eastAsia="zh-CN"/>
              </w:rPr>
              <w:t>4-1</w:t>
            </w:r>
            <w:r>
              <w:rPr>
                <w:rFonts w:hint="default" w:ascii="Times New Roman" w:hAnsi="Times New Roman" w:cs="Times New Roman"/>
                <w:b w:val="0"/>
                <w:bCs w:val="0"/>
                <w:color w:val="auto"/>
              </w:rPr>
              <w:t>。</w:t>
            </w:r>
          </w:p>
          <w:p w14:paraId="45502739">
            <w:pPr>
              <w:pStyle w:val="6"/>
              <w:rPr>
                <w:rFonts w:hint="default" w:ascii="Times New Roman" w:hAnsi="Times New Roman" w:cs="Times New Roman"/>
                <w:color w:val="auto"/>
              </w:rPr>
            </w:pPr>
            <w:bookmarkStart w:id="42" w:name="_Ref67772631"/>
            <w:r>
              <w:rPr>
                <w:rFonts w:hint="default" w:ascii="Times New Roman" w:hAnsi="Times New Roman" w:cs="Times New Roman"/>
                <w:color w:val="auto"/>
              </w:rPr>
              <w:t>表</w:t>
            </w:r>
            <w:r>
              <w:rPr>
                <w:rFonts w:hint="default" w:ascii="Times New Roman" w:hAnsi="Times New Roman" w:cs="Times New Roman"/>
                <w:color w:val="auto"/>
                <w:lang w:val="en-US" w:eastAsia="zh-CN"/>
              </w:rPr>
              <w:t>4-1</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本项目</w:t>
            </w:r>
            <w:r>
              <w:rPr>
                <w:rFonts w:hint="default" w:ascii="Times New Roman" w:hAnsi="Times New Roman" w:cs="Times New Roman"/>
                <w:color w:val="auto"/>
              </w:rPr>
              <w:t>占地</w:t>
            </w:r>
            <w:r>
              <w:rPr>
                <w:rFonts w:hint="default" w:ascii="Times New Roman" w:hAnsi="Times New Roman" w:cs="Times New Roman"/>
                <w:color w:val="auto"/>
                <w:lang w:val="en-US" w:eastAsia="zh-CN"/>
              </w:rPr>
              <w:t>面积及土地利用类型</w:t>
            </w:r>
            <w:r>
              <w:rPr>
                <w:rFonts w:hint="default" w:ascii="Times New Roman" w:hAnsi="Times New Roman" w:cs="Times New Roman"/>
                <w:color w:val="auto"/>
              </w:rPr>
              <w:t>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1990"/>
              <w:gridCol w:w="2825"/>
              <w:gridCol w:w="2419"/>
            </w:tblGrid>
            <w:tr w14:paraId="491D66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375" w:type="pct"/>
                  <w:vAlign w:val="center"/>
                </w:tcPr>
                <w:p w14:paraId="2EFD8BB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rPr>
                  </w:pPr>
                  <w:bookmarkStart w:id="43" w:name="_Hlk180059234"/>
                  <w:r>
                    <w:rPr>
                      <w:rFonts w:hint="default" w:ascii="Times New Roman" w:hAnsi="Times New Roman" w:eastAsia="宋体" w:cs="Times New Roman"/>
                      <w:color w:val="auto"/>
                      <w:sz w:val="21"/>
                      <w:szCs w:val="21"/>
                      <w:lang w:val="en-US" w:eastAsia="zh-CN"/>
                    </w:rPr>
                    <w:t>项目占地</w:t>
                  </w:r>
                </w:p>
              </w:tc>
              <w:tc>
                <w:tcPr>
                  <w:tcW w:w="1952" w:type="pct"/>
                  <w:tcBorders>
                    <w:right w:val="single" w:color="auto" w:sz="4" w:space="0"/>
                  </w:tcBorders>
                  <w:vAlign w:val="center"/>
                </w:tcPr>
                <w:p w14:paraId="4B51855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占地</w:t>
                  </w:r>
                  <w:r>
                    <w:rPr>
                      <w:rFonts w:hint="default" w:ascii="Times New Roman" w:hAnsi="Times New Roman" w:eastAsia="宋体" w:cs="Times New Roman"/>
                      <w:color w:val="auto"/>
                      <w:sz w:val="21"/>
                      <w:szCs w:val="21"/>
                    </w:rPr>
                    <w:t>面积（m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w:t>
                  </w:r>
                </w:p>
              </w:tc>
              <w:tc>
                <w:tcPr>
                  <w:tcW w:w="1671" w:type="pct"/>
                  <w:tcBorders>
                    <w:left w:val="single" w:color="auto" w:sz="4" w:space="0"/>
                  </w:tcBorders>
                  <w:vAlign w:val="center"/>
                </w:tcPr>
                <w:p w14:paraId="4C56C6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土地利用类型</w:t>
                  </w:r>
                </w:p>
              </w:tc>
            </w:tr>
            <w:tr w14:paraId="7FE0A2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375" w:type="pct"/>
                  <w:vAlign w:val="center"/>
                </w:tcPr>
                <w:p w14:paraId="6DCA63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井场</w:t>
                  </w:r>
                </w:p>
              </w:tc>
              <w:tc>
                <w:tcPr>
                  <w:tcW w:w="1952" w:type="pct"/>
                  <w:tcBorders>
                    <w:right w:val="single" w:color="auto" w:sz="4" w:space="0"/>
                  </w:tcBorders>
                  <w:vAlign w:val="center"/>
                </w:tcPr>
                <w:p w14:paraId="51CA54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19004</w:t>
                  </w:r>
                </w:p>
              </w:tc>
              <w:tc>
                <w:tcPr>
                  <w:tcW w:w="1671" w:type="pct"/>
                  <w:tcBorders>
                    <w:left w:val="single" w:color="auto" w:sz="4" w:space="0"/>
                  </w:tcBorders>
                  <w:vAlign w:val="center"/>
                </w:tcPr>
                <w:p w14:paraId="546CB38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一般耕地</w:t>
                  </w:r>
                </w:p>
              </w:tc>
            </w:tr>
            <w:tr w14:paraId="2E4D45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375" w:type="pct"/>
                  <w:vAlign w:val="center"/>
                </w:tcPr>
                <w:p w14:paraId="45249AE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探临道路</w:t>
                  </w:r>
                </w:p>
              </w:tc>
              <w:tc>
                <w:tcPr>
                  <w:tcW w:w="1952" w:type="pct"/>
                  <w:tcBorders>
                    <w:right w:val="single" w:color="auto" w:sz="4" w:space="0"/>
                  </w:tcBorders>
                  <w:vAlign w:val="center"/>
                </w:tcPr>
                <w:p w14:paraId="2857C52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495</w:t>
                  </w:r>
                </w:p>
              </w:tc>
              <w:tc>
                <w:tcPr>
                  <w:tcW w:w="1671" w:type="pct"/>
                  <w:tcBorders>
                    <w:left w:val="single" w:color="auto" w:sz="4" w:space="0"/>
                  </w:tcBorders>
                  <w:shd w:val="clear" w:color="auto" w:fill="auto"/>
                  <w:vAlign w:val="center"/>
                </w:tcPr>
                <w:p w14:paraId="121A698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一般耕地</w:t>
                  </w:r>
                </w:p>
              </w:tc>
            </w:tr>
            <w:tr w14:paraId="7F2B5F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375" w:type="pct"/>
                  <w:vAlign w:val="center"/>
                </w:tcPr>
                <w:p w14:paraId="238969D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生活营地</w:t>
                  </w:r>
                </w:p>
              </w:tc>
              <w:tc>
                <w:tcPr>
                  <w:tcW w:w="1952" w:type="pct"/>
                  <w:tcBorders>
                    <w:right w:val="single" w:color="auto" w:sz="4" w:space="0"/>
                  </w:tcBorders>
                  <w:vAlign w:val="center"/>
                </w:tcPr>
                <w:p w14:paraId="5DCD187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2846</w:t>
                  </w:r>
                </w:p>
              </w:tc>
              <w:tc>
                <w:tcPr>
                  <w:tcW w:w="1671" w:type="pct"/>
                  <w:tcBorders>
                    <w:left w:val="single" w:color="auto" w:sz="4" w:space="0"/>
                  </w:tcBorders>
                  <w:shd w:val="clear" w:color="auto" w:fill="auto"/>
                  <w:vAlign w:val="center"/>
                </w:tcPr>
                <w:p w14:paraId="478866F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其他草地</w:t>
                  </w:r>
                </w:p>
              </w:tc>
            </w:tr>
            <w:tr w14:paraId="4ABCC5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375" w:type="pct"/>
                  <w:vAlign w:val="center"/>
                </w:tcPr>
                <w:p w14:paraId="4B90F7F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总计</w:t>
                  </w:r>
                </w:p>
              </w:tc>
              <w:tc>
                <w:tcPr>
                  <w:tcW w:w="1952" w:type="pct"/>
                  <w:tcBorders>
                    <w:right w:val="single" w:color="auto" w:sz="4" w:space="0"/>
                  </w:tcBorders>
                  <w:shd w:val="clear" w:color="auto" w:fill="auto"/>
                  <w:vAlign w:val="center"/>
                </w:tcPr>
                <w:p w14:paraId="7793DEF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22345</w:t>
                  </w:r>
                </w:p>
              </w:tc>
              <w:tc>
                <w:tcPr>
                  <w:tcW w:w="1671" w:type="pct"/>
                  <w:tcBorders>
                    <w:left w:val="single" w:color="auto" w:sz="4" w:space="0"/>
                  </w:tcBorders>
                  <w:shd w:val="clear" w:color="auto" w:fill="auto"/>
                  <w:vAlign w:val="center"/>
                </w:tcPr>
                <w:p w14:paraId="772E477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r>
            <w:bookmarkEnd w:id="42"/>
            <w:bookmarkEnd w:id="43"/>
          </w:tbl>
          <w:p w14:paraId="36C10F45">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（2）对植被的影响分析</w:t>
            </w:r>
          </w:p>
          <w:p w14:paraId="1E0E5149">
            <w:pPr>
              <w:pStyle w:val="9"/>
              <w:ind w:firstLine="480"/>
              <w:rPr>
                <w:rFonts w:hint="default" w:ascii="Times New Roman" w:hAnsi="Times New Roman" w:eastAsia="宋体" w:cs="Times New Roman"/>
                <w:b w:val="0"/>
                <w:bCs w:val="0"/>
                <w:color w:val="auto"/>
                <w:lang w:val="en-US" w:eastAsia="zh-CN"/>
              </w:rPr>
            </w:pPr>
            <w:r>
              <w:rPr>
                <w:rFonts w:hint="eastAsia" w:ascii="Times New Roman" w:hAnsi="Times New Roman" w:cs="Times New Roman"/>
                <w:b w:val="0"/>
                <w:bCs w:val="0"/>
                <w:color w:val="auto"/>
                <w:lang w:val="en-US" w:eastAsia="zh-CN"/>
              </w:rPr>
              <w:t>本项目井场及道路临时占地为一般耕地，种植作物为棉花；生活营地临时占地为其他草地，植物有博乐绢蒿、小蓬；</w:t>
            </w:r>
            <w:r>
              <w:rPr>
                <w:rFonts w:hint="default" w:ascii="Times New Roman" w:hAnsi="Times New Roman" w:cs="Times New Roman"/>
                <w:b w:val="0"/>
                <w:bCs w:val="0"/>
                <w:color w:val="auto"/>
              </w:rPr>
              <w:t>钻前工程建设及各施工阶段的人类活动</w:t>
            </w:r>
            <w:r>
              <w:rPr>
                <w:rFonts w:hint="eastAsia" w:ascii="Times New Roman" w:hAnsi="Times New Roman" w:cs="Times New Roman"/>
                <w:b w:val="0"/>
                <w:bCs w:val="0"/>
                <w:color w:val="auto"/>
                <w:lang w:val="en-US" w:eastAsia="zh-CN"/>
              </w:rPr>
              <w:t>会直接损毁占地范围内的农作物和野生植被，直接影响农作物减产和破坏地表植被，带来经济损失和影响植被初级生产力。在井场等设计阶段和选址过程中应合理设计尺寸，尽量减少临时占地面积；生活营地考虑避开临时占用一般耕地，施工过程中严格控制施工范围，限定施工机械及人员的活动范围，可有效减缓项目建设对周边耕地农作物及地表植被的影响。钻试结束后及时对临时占地进行清理平整，对临时占地范围进行复垦，使其恢复植被生长条件，避免影响下一轮耕作和区域植被恢复。</w:t>
            </w:r>
          </w:p>
          <w:p w14:paraId="5278B02F">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（3）对野生动物的影响分析</w:t>
            </w:r>
          </w:p>
          <w:p w14:paraId="509DFFE7">
            <w:pPr>
              <w:pStyle w:val="111"/>
              <w:widowControl w:val="0"/>
              <w:bidi w:val="0"/>
              <w:rPr>
                <w:rFonts w:hint="default" w:ascii="Times New Roman" w:hAnsi="Times New Roman" w:cs="Times New Roman"/>
                <w:color w:val="auto"/>
                <w:highlight w:val="none"/>
              </w:rPr>
            </w:pPr>
            <w:r>
              <w:rPr>
                <w:rFonts w:hint="eastAsia" w:cs="Times New Roman"/>
                <w:color w:val="auto"/>
                <w:highlight w:val="none"/>
                <w:lang w:val="en-US" w:eastAsia="zh-CN"/>
              </w:rPr>
              <w:t>本</w:t>
            </w:r>
            <w:r>
              <w:rPr>
                <w:rFonts w:hint="default" w:ascii="Times New Roman" w:hAnsi="Times New Roman" w:cs="Times New Roman"/>
                <w:color w:val="auto"/>
                <w:highlight w:val="none"/>
              </w:rPr>
              <w:t>项目的实施对野生动物生存环境、分布范围和种群数量的影响，主要分为直接影响和间接影响两个方面。直接影响主要表现为建设项目占地使野生动物的</w:t>
            </w:r>
            <w:r>
              <w:rPr>
                <w:rFonts w:hint="default" w:ascii="Times New Roman" w:hAnsi="Times New Roman" w:cs="Times New Roman"/>
                <w:color w:val="auto"/>
                <w:highlight w:val="none"/>
                <w:lang w:val="en-US" w:eastAsia="zh-CN"/>
              </w:rPr>
              <w:t>原有</w:t>
            </w:r>
            <w:r>
              <w:rPr>
                <w:rFonts w:hint="default" w:ascii="Times New Roman" w:hAnsi="Times New Roman" w:cs="Times New Roman"/>
                <w:color w:val="auto"/>
                <w:highlight w:val="none"/>
              </w:rPr>
              <w:t>生存环境被破坏或改变；间接影响主要表现为由于植被的减少或污染破坏而引起野生动物食物来源减少。钻试过程中，由于机械设备的轰鸣惊扰，人群活动的增加，项目区内的野生动物将远离施工现场，使区域内单位面积上的动物种群数量下降，原有的野生动物将逐渐避开人类活动的干扰迁至</w:t>
            </w:r>
            <w:r>
              <w:rPr>
                <w:rFonts w:hint="eastAsia" w:cs="Times New Roman"/>
                <w:color w:val="auto"/>
                <w:highlight w:val="none"/>
                <w:lang w:eastAsia="zh-CN"/>
              </w:rPr>
              <w:t>其他</w:t>
            </w:r>
            <w:r>
              <w:rPr>
                <w:rFonts w:hint="default" w:ascii="Times New Roman" w:hAnsi="Times New Roman" w:cs="Times New Roman"/>
                <w:color w:val="auto"/>
                <w:highlight w:val="none"/>
              </w:rPr>
              <w:t>区域，远离影响范围；施工期设备及车辆发出的噪声、人为活动会惊扰项目区附近的野生动物，影响其觅食、活动等行为。</w:t>
            </w:r>
          </w:p>
          <w:p w14:paraId="19FDA7E1">
            <w:pPr>
              <w:pStyle w:val="111"/>
              <w:widowControl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项目区及周边野生动物</w:t>
            </w:r>
            <w:r>
              <w:rPr>
                <w:rFonts w:hint="default" w:ascii="Times New Roman" w:hAnsi="Times New Roman" w:cs="Times New Roman"/>
                <w:color w:val="auto"/>
                <w:highlight w:val="none"/>
                <w:lang w:val="en-US" w:eastAsia="zh-CN"/>
              </w:rPr>
              <w:t>主要是小型</w:t>
            </w:r>
            <w:r>
              <w:rPr>
                <w:rFonts w:hint="default" w:ascii="Times New Roman" w:hAnsi="Times New Roman" w:cs="Times New Roman"/>
                <w:color w:val="auto"/>
                <w:highlight w:val="none"/>
              </w:rPr>
              <w:t>啮齿类</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爬行类</w:t>
            </w:r>
            <w:r>
              <w:rPr>
                <w:rFonts w:hint="default" w:ascii="Times New Roman" w:hAnsi="Times New Roman" w:cs="Times New Roman"/>
                <w:color w:val="auto"/>
                <w:highlight w:val="none"/>
              </w:rPr>
              <w:t>动物等</w:t>
            </w:r>
            <w:r>
              <w:rPr>
                <w:rFonts w:hint="default" w:ascii="Times New Roman" w:hAnsi="Times New Roman" w:cs="Times New Roman"/>
                <w:color w:val="auto"/>
                <w:highlight w:val="none"/>
                <w:lang w:val="en-US" w:eastAsia="zh-CN"/>
              </w:rPr>
              <w:t>和一些常见鸟类</w:t>
            </w:r>
            <w:r>
              <w:rPr>
                <w:rFonts w:hint="default" w:ascii="Times New Roman" w:hAnsi="Times New Roman" w:cs="Times New Roman"/>
                <w:color w:val="auto"/>
                <w:highlight w:val="none"/>
              </w:rPr>
              <w:t>，项目区不是野生动物的唯一栖息地，</w:t>
            </w:r>
            <w:r>
              <w:rPr>
                <w:rFonts w:hint="default" w:ascii="Times New Roman" w:hAnsi="Times New Roman" w:cs="Times New Roman"/>
                <w:color w:val="auto"/>
                <w:highlight w:val="none"/>
                <w:lang w:val="en-US" w:eastAsia="zh-CN"/>
              </w:rPr>
              <w:t>野生动物可迁移至周边类似的生境，且</w:t>
            </w:r>
            <w:r>
              <w:rPr>
                <w:rFonts w:hint="default" w:ascii="Times New Roman" w:hAnsi="Times New Roman" w:cs="Times New Roman"/>
                <w:color w:val="auto"/>
                <w:highlight w:val="none"/>
              </w:rPr>
              <w:t>工程占地面积较小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施工结束后，机械噪声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人类活动</w:t>
            </w:r>
            <w:r>
              <w:rPr>
                <w:rFonts w:hint="default" w:ascii="Times New Roman" w:hAnsi="Times New Roman" w:cs="Times New Roman"/>
                <w:color w:val="auto"/>
                <w:highlight w:val="none"/>
                <w:lang w:val="en-US" w:eastAsia="zh-CN"/>
              </w:rPr>
              <w:t>影响消失</w:t>
            </w:r>
            <w:r>
              <w:rPr>
                <w:rFonts w:hint="default" w:ascii="Times New Roman" w:hAnsi="Times New Roman" w:cs="Times New Roman"/>
                <w:color w:val="auto"/>
                <w:highlight w:val="none"/>
              </w:rPr>
              <w:t>。野生动物有可能逐渐返回原来的区域。故该建设项目对动物</w:t>
            </w:r>
            <w:r>
              <w:rPr>
                <w:rFonts w:hint="default" w:ascii="Times New Roman" w:hAnsi="Times New Roman" w:cs="Times New Roman"/>
                <w:color w:val="auto"/>
                <w:highlight w:val="none"/>
                <w:lang w:val="en-US" w:eastAsia="zh-CN"/>
              </w:rPr>
              <w:t>影响较小</w:t>
            </w:r>
            <w:r>
              <w:rPr>
                <w:rFonts w:hint="default" w:ascii="Times New Roman" w:hAnsi="Times New Roman" w:cs="Times New Roman"/>
                <w:color w:val="auto"/>
                <w:highlight w:val="none"/>
              </w:rPr>
              <w:t>。</w:t>
            </w:r>
          </w:p>
          <w:p w14:paraId="0C93D449">
            <w:pPr>
              <w:pStyle w:val="32"/>
              <w:rPr>
                <w:rFonts w:hint="default" w:ascii="Times New Roman" w:hAnsi="Times New Roman" w:cs="Times New Roman"/>
                <w:color w:val="auto"/>
                <w:highlight w:val="none"/>
              </w:rPr>
            </w:pPr>
            <w:bookmarkStart w:id="44" w:name="_Hlk140835968"/>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）土地沙化影响分析</w:t>
            </w:r>
          </w:p>
          <w:p w14:paraId="400150D2">
            <w:pPr>
              <w:pStyle w:val="32"/>
              <w:rPr>
                <w:rFonts w:hint="default" w:ascii="Times New Roman" w:hAnsi="Times New Roman" w:cs="Times New Roman"/>
                <w:color w:val="auto"/>
              </w:rPr>
            </w:pPr>
            <w:r>
              <w:rPr>
                <w:rFonts w:hint="default" w:ascii="Times New Roman" w:hAnsi="Times New Roman" w:cs="Times New Roman"/>
                <w:color w:val="auto"/>
                <w:highlight w:val="none"/>
              </w:rPr>
              <w:t>项目实施过程中将会破坏占地范围内的土壤表层稳定</w:t>
            </w:r>
            <w:r>
              <w:rPr>
                <w:rFonts w:hint="default" w:ascii="Times New Roman" w:hAnsi="Times New Roman" w:cs="Times New Roman"/>
                <w:color w:val="auto"/>
              </w:rPr>
              <w:t>结皮和地表植被，项目所在区域具有多风、降水量偏低等气候特征，地表稳定结皮被破坏后，在大风天气条件下，施工会使占地范围内的土地就地起沙，局部沙化趋势加重。但是由于项目占地范围较小，施工时间短，施工结束后对临时占地范围内场地进行平整和清理，尽量利用施工时产生的表层土对临时占地进行覆盖，</w:t>
            </w:r>
            <w:r>
              <w:rPr>
                <w:rFonts w:hint="eastAsia" w:ascii="Times New Roman" w:hAnsi="Times New Roman" w:cs="Times New Roman"/>
                <w:color w:val="auto"/>
                <w:lang w:val="en-US" w:eastAsia="zh-CN"/>
              </w:rPr>
              <w:t>恢复临时占用区域土壤肥力，便于后期农户进行农作物种植以及草地植被恢复。</w:t>
            </w:r>
            <w:r>
              <w:rPr>
                <w:rFonts w:hint="default" w:ascii="Times New Roman" w:hAnsi="Times New Roman" w:cs="Times New Roman"/>
                <w:color w:val="auto"/>
              </w:rPr>
              <w:t>综上所述，本项目对区域土地沙化影响不大。</w:t>
            </w:r>
          </w:p>
          <w:p w14:paraId="0774728F">
            <w:pPr>
              <w:pStyle w:val="32"/>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eastAsia="zh-CN"/>
              </w:rPr>
              <w:t>5</w:t>
            </w:r>
            <w:r>
              <w:rPr>
                <w:rFonts w:hint="default" w:ascii="Times New Roman" w:hAnsi="Times New Roman" w:cs="Times New Roman"/>
                <w:color w:val="auto"/>
              </w:rPr>
              <w:t>）水土流失影响分析</w:t>
            </w:r>
          </w:p>
          <w:p w14:paraId="33F1AB00">
            <w:pPr>
              <w:pStyle w:val="32"/>
              <w:rPr>
                <w:rFonts w:hint="default" w:ascii="Times New Roman" w:hAnsi="Times New Roman" w:cs="Times New Roman"/>
                <w:color w:val="auto"/>
              </w:rPr>
            </w:pPr>
            <w:r>
              <w:rPr>
                <w:rFonts w:hint="default" w:ascii="Times New Roman" w:hAnsi="Times New Roman" w:cs="Times New Roman"/>
                <w:color w:val="auto"/>
              </w:rPr>
              <w:t>本</w:t>
            </w:r>
            <w:r>
              <w:rPr>
                <w:rFonts w:hint="eastAsia" w:ascii="Times New Roman" w:hAnsi="Times New Roman" w:cs="Times New Roman"/>
                <w:color w:val="auto"/>
                <w:lang w:val="en-US" w:eastAsia="zh-CN"/>
              </w:rPr>
              <w:t>项目</w:t>
            </w:r>
            <w:r>
              <w:rPr>
                <w:rFonts w:hint="default" w:ascii="Times New Roman" w:hAnsi="Times New Roman" w:cs="Times New Roman"/>
                <w:color w:val="auto"/>
              </w:rPr>
              <w:t>钻前工程对井场场地平整、铺垫，对罐区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生活营地</w:t>
            </w:r>
            <w:r>
              <w:rPr>
                <w:rFonts w:hint="default" w:ascii="Times New Roman" w:hAnsi="Times New Roman" w:cs="Times New Roman"/>
                <w:color w:val="auto"/>
              </w:rPr>
              <w:t>及探临道路建设等施工过程会造成一定的水土流失。</w:t>
            </w:r>
            <w:r>
              <w:rPr>
                <w:rFonts w:hint="eastAsia" w:ascii="Times New Roman" w:hAnsi="Times New Roman" w:cs="Times New Roman"/>
                <w:color w:val="auto"/>
                <w:lang w:val="en-US" w:eastAsia="zh-CN"/>
              </w:rPr>
              <w:t>项目</w:t>
            </w:r>
            <w:r>
              <w:rPr>
                <w:rFonts w:hint="default" w:ascii="Times New Roman" w:hAnsi="Times New Roman" w:cs="Times New Roman"/>
                <w:color w:val="auto"/>
              </w:rPr>
              <w:t>的建设将对地表造成扰动，增大风蚀量。施工作业范围内的土壤地表表层遭到破坏，下层的粉细物质暴露在地层表面，在风力的作用下，风蚀量会明显加大，这种影响在短时间内不会完全恢复。但随着时间的推移，风蚀量会随着地表新保护层的逐渐形成而减弱。</w:t>
            </w:r>
          </w:p>
          <w:bookmarkEnd w:id="44"/>
          <w:p w14:paraId="00D366B4">
            <w:pPr>
              <w:pStyle w:val="32"/>
              <w:ind w:firstLine="482"/>
              <w:rPr>
                <w:rFonts w:hint="default" w:ascii="Times New Roman" w:hAnsi="Times New Roman" w:cs="Times New Roman"/>
                <w:color w:val="auto"/>
              </w:rPr>
            </w:pPr>
            <w:r>
              <w:rPr>
                <w:rFonts w:hint="default" w:ascii="Times New Roman" w:hAnsi="Times New Roman" w:cs="Times New Roman"/>
                <w:b/>
                <w:bCs/>
                <w:color w:val="auto"/>
                <w:lang w:val="en-US" w:eastAsia="zh-CN"/>
              </w:rPr>
              <w:t>2</w:t>
            </w:r>
            <w:r>
              <w:rPr>
                <w:rFonts w:hint="default" w:ascii="Times New Roman" w:hAnsi="Times New Roman" w:cs="Times New Roman"/>
                <w:b/>
                <w:bCs/>
                <w:color w:val="auto"/>
              </w:rPr>
              <w:t>、大气环境影响分析</w:t>
            </w:r>
          </w:p>
          <w:p w14:paraId="70BB2C28">
            <w:pPr>
              <w:pStyle w:val="111"/>
              <w:widowControl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本项目施工期</w:t>
            </w:r>
            <w:r>
              <w:rPr>
                <w:rFonts w:hint="default" w:ascii="Times New Roman" w:hAnsi="Times New Roman" w:cs="Times New Roman"/>
                <w:color w:val="auto"/>
                <w:highlight w:val="none"/>
              </w:rPr>
              <w:t>废气主要为施工扬尘、柴油机</w:t>
            </w:r>
            <w:r>
              <w:rPr>
                <w:rFonts w:hint="default" w:ascii="Times New Roman" w:hAnsi="Times New Roman" w:cs="Times New Roman"/>
                <w:color w:val="auto"/>
                <w:highlight w:val="none"/>
                <w:lang w:val="en-US" w:eastAsia="zh-CN"/>
              </w:rPr>
              <w:t>和</w:t>
            </w:r>
            <w:r>
              <w:rPr>
                <w:rFonts w:hint="default" w:ascii="Times New Roman" w:hAnsi="Times New Roman" w:cs="Times New Roman"/>
                <w:color w:val="auto"/>
                <w:highlight w:val="none"/>
              </w:rPr>
              <w:t>发电机燃料燃烧</w:t>
            </w:r>
            <w:r>
              <w:rPr>
                <w:rFonts w:hint="default" w:ascii="Times New Roman" w:hAnsi="Times New Roman" w:cs="Times New Roman"/>
                <w:color w:val="auto"/>
                <w:highlight w:val="none"/>
                <w:lang w:val="en-US" w:eastAsia="zh-CN"/>
              </w:rPr>
              <w:t>废</w:t>
            </w:r>
            <w:r>
              <w:rPr>
                <w:rFonts w:hint="default" w:ascii="Times New Roman" w:hAnsi="Times New Roman" w:cs="Times New Roman"/>
                <w:color w:val="auto"/>
                <w:highlight w:val="none"/>
              </w:rPr>
              <w:t>气、施工机械及车辆尾气、伴生气燃烧</w:t>
            </w:r>
            <w:r>
              <w:rPr>
                <w:rFonts w:hint="default" w:ascii="Times New Roman" w:hAnsi="Times New Roman" w:cs="Times New Roman"/>
                <w:color w:val="auto"/>
                <w:highlight w:val="none"/>
                <w:lang w:val="en-US" w:eastAsia="zh-CN"/>
              </w:rPr>
              <w:t>废气</w:t>
            </w:r>
            <w:r>
              <w:rPr>
                <w:rFonts w:hint="default" w:ascii="Times New Roman" w:hAnsi="Times New Roman" w:cs="Times New Roman"/>
                <w:color w:val="auto"/>
                <w:highlight w:val="none"/>
              </w:rPr>
              <w:t>、试油期采出液储存及装车过程中无组织逸散废气。</w:t>
            </w:r>
          </w:p>
          <w:p w14:paraId="700AF94D">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w:t>
            </w:r>
            <w:r>
              <w:rPr>
                <w:rFonts w:hint="default" w:ascii="Times New Roman" w:hAnsi="Times New Roman" w:cs="Times New Roman"/>
                <w:b w:val="0"/>
                <w:bCs w:val="0"/>
                <w:color w:val="auto"/>
                <w:lang w:val="en-US" w:eastAsia="zh-CN"/>
              </w:rPr>
              <w:t>1</w:t>
            </w:r>
            <w:r>
              <w:rPr>
                <w:rFonts w:hint="default" w:ascii="Times New Roman" w:hAnsi="Times New Roman" w:cs="Times New Roman"/>
                <w:b w:val="0"/>
                <w:bCs w:val="0"/>
                <w:color w:val="auto"/>
              </w:rPr>
              <w:t>）施工扬尘</w:t>
            </w:r>
          </w:p>
          <w:p w14:paraId="32BA7FF4">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本项目对场地平整、</w:t>
            </w:r>
            <w:r>
              <w:rPr>
                <w:rFonts w:hint="default" w:ascii="Times New Roman" w:hAnsi="Times New Roman" w:cs="Times New Roman"/>
                <w:b w:val="0"/>
                <w:bCs w:val="0"/>
                <w:color w:val="auto"/>
              </w:rPr>
              <w:t>井场、</w:t>
            </w:r>
            <w:r>
              <w:rPr>
                <w:rFonts w:hint="eastAsia" w:ascii="Times New Roman" w:hAnsi="Times New Roman" w:cs="Times New Roman"/>
                <w:b w:val="0"/>
                <w:bCs w:val="0"/>
                <w:color w:val="auto"/>
                <w:lang w:eastAsia="zh-CN"/>
              </w:rPr>
              <w:t>探临道路</w:t>
            </w:r>
            <w:r>
              <w:rPr>
                <w:rFonts w:hint="default" w:ascii="Times New Roman" w:hAnsi="Times New Roman" w:cs="Times New Roman"/>
                <w:b w:val="0"/>
                <w:bCs w:val="0"/>
                <w:color w:val="auto"/>
              </w:rPr>
              <w:t>等建设及施工运输车辆会产生扬尘，对周围大气环境产生一定的影响；施工期加强管理、对易起尘物料进行</w:t>
            </w:r>
            <w:r>
              <w:rPr>
                <w:rFonts w:hint="default" w:ascii="Times New Roman" w:hAnsi="Times New Roman" w:cs="Times New Roman"/>
                <w:b w:val="0"/>
                <w:bCs w:val="0"/>
                <w:color w:val="auto"/>
                <w:lang w:val="en-US" w:eastAsia="zh-CN"/>
              </w:rPr>
              <w:t>苫盖</w:t>
            </w:r>
            <w:r>
              <w:rPr>
                <w:rFonts w:hint="default" w:ascii="Times New Roman" w:hAnsi="Times New Roman" w:cs="Times New Roman"/>
                <w:b w:val="0"/>
                <w:bCs w:val="0"/>
                <w:color w:val="auto"/>
              </w:rPr>
              <w:t>、车辆低速慢行</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lang w:val="en-US" w:eastAsia="zh-CN"/>
              </w:rPr>
              <w:t>合理安排施工时间，避开大风天气进行施工</w:t>
            </w:r>
            <w:r>
              <w:rPr>
                <w:rFonts w:hint="default" w:ascii="Times New Roman" w:hAnsi="Times New Roman" w:cs="Times New Roman"/>
                <w:b w:val="0"/>
                <w:bCs w:val="0"/>
                <w:color w:val="auto"/>
              </w:rPr>
              <w:t>等措施</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扬尘随着施工期结束而消失，对周围大气环境</w:t>
            </w:r>
            <w:r>
              <w:rPr>
                <w:rFonts w:hint="default" w:ascii="Times New Roman" w:hAnsi="Times New Roman" w:cs="Times New Roman"/>
                <w:b w:val="0"/>
                <w:bCs w:val="0"/>
                <w:color w:val="auto"/>
                <w:lang w:val="en-US" w:eastAsia="zh-CN"/>
              </w:rPr>
              <w:t>影响较小</w:t>
            </w:r>
            <w:r>
              <w:rPr>
                <w:rFonts w:hint="default" w:ascii="Times New Roman" w:hAnsi="Times New Roman" w:cs="Times New Roman"/>
                <w:b w:val="0"/>
                <w:bCs w:val="0"/>
                <w:color w:val="auto"/>
              </w:rPr>
              <w:t>。</w:t>
            </w:r>
          </w:p>
          <w:p w14:paraId="2E7427CE">
            <w:pPr>
              <w:pStyle w:val="32"/>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eastAsia="zh-CN"/>
              </w:rPr>
              <w:t>2</w:t>
            </w:r>
            <w:r>
              <w:rPr>
                <w:rFonts w:hint="default" w:ascii="Times New Roman" w:hAnsi="Times New Roman" w:cs="Times New Roman"/>
                <w:color w:val="auto"/>
              </w:rPr>
              <w:t>）柴油机、发电机燃料燃烧烟气</w:t>
            </w:r>
          </w:p>
          <w:p w14:paraId="08C7223E">
            <w:pPr>
              <w:pStyle w:val="111"/>
              <w:widowControl w:val="0"/>
              <w:bidi w:val="0"/>
              <w:rPr>
                <w:rFonts w:hint="default" w:ascii="Times New Roman" w:hAnsi="Times New Roman" w:cs="Times New Roman"/>
                <w:color w:val="auto"/>
              </w:rPr>
            </w:pPr>
            <w:r>
              <w:rPr>
                <w:rFonts w:hint="default" w:ascii="Times New Roman" w:hAnsi="Times New Roman" w:cs="Times New Roman"/>
                <w:color w:val="auto"/>
              </w:rPr>
              <w:t>施工期井场动力系统设柴油机和柴油发电机为钻机及井场提供动力、电力和照明，消耗的燃料为柴油。根据设计资料，柴油消耗量为</w:t>
            </w:r>
            <w:r>
              <w:rPr>
                <w:rFonts w:hint="eastAsia" w:cs="Times New Roman"/>
                <w:color w:val="auto"/>
                <w:lang w:val="en-US" w:eastAsia="zh-CN"/>
              </w:rPr>
              <w:t>564</w:t>
            </w:r>
            <w:r>
              <w:rPr>
                <w:rFonts w:hint="default" w:ascii="Times New Roman" w:hAnsi="Times New Roman" w:cs="Times New Roman"/>
                <w:color w:val="auto"/>
                <w:lang w:val="en-US" w:eastAsia="zh-CN"/>
              </w:rPr>
              <w:t>t</w:t>
            </w:r>
            <w:r>
              <w:rPr>
                <w:rFonts w:hint="default" w:ascii="Times New Roman" w:hAnsi="Times New Roman" w:cs="Times New Roman"/>
                <w:color w:val="auto"/>
              </w:rPr>
              <w:t>。柴油燃烧产生</w:t>
            </w:r>
            <w:r>
              <w:rPr>
                <w:rFonts w:hint="default" w:ascii="Times New Roman" w:hAnsi="Times New Roman" w:cs="Times New Roman"/>
                <w:color w:val="auto"/>
                <w:lang w:val="en-US" w:eastAsia="zh-CN"/>
              </w:rPr>
              <w:t>的</w:t>
            </w:r>
            <w:r>
              <w:rPr>
                <w:rFonts w:hint="default" w:ascii="Times New Roman" w:hAnsi="Times New Roman" w:cs="Times New Roman"/>
                <w:color w:val="auto"/>
              </w:rPr>
              <w:t>烟气以无组织形式逸散，烟气中主要污染物为二氧化硫、氮氧化物及</w:t>
            </w:r>
            <w:r>
              <w:rPr>
                <w:rFonts w:hint="eastAsia" w:cs="Times New Roman"/>
                <w:color w:val="auto"/>
                <w:lang w:val="en-US" w:eastAsia="zh-CN"/>
              </w:rPr>
              <w:t>颗粒物</w:t>
            </w:r>
            <w:r>
              <w:rPr>
                <w:rFonts w:hint="default" w:ascii="Times New Roman" w:hAnsi="Times New Roman" w:cs="Times New Roman"/>
                <w:color w:val="auto"/>
              </w:rPr>
              <w:t>等。</w:t>
            </w:r>
            <w:r>
              <w:rPr>
                <w:rFonts w:hint="default" w:ascii="Times New Roman" w:hAnsi="Times New Roman" w:cs="Times New Roman"/>
                <w:color w:val="auto"/>
                <w:lang w:val="en-US" w:eastAsia="zh-CN"/>
              </w:rPr>
              <w:t>本</w:t>
            </w:r>
            <w:r>
              <w:rPr>
                <w:rFonts w:hint="default" w:ascii="Times New Roman" w:hAnsi="Times New Roman" w:cs="Times New Roman"/>
                <w:color w:val="auto"/>
              </w:rPr>
              <w:t>项目区地域空旷，周围扩散条件良好，且废气随施工的结束而消失。因此，对区域大气环境影响</w:t>
            </w:r>
            <w:r>
              <w:rPr>
                <w:rFonts w:hint="default" w:ascii="Times New Roman" w:hAnsi="Times New Roman" w:cs="Times New Roman"/>
                <w:color w:val="auto"/>
                <w:lang w:val="en-US" w:eastAsia="zh-CN"/>
              </w:rPr>
              <w:t>较小</w:t>
            </w:r>
            <w:r>
              <w:rPr>
                <w:rFonts w:hint="default" w:ascii="Times New Roman" w:hAnsi="Times New Roman" w:cs="Times New Roman"/>
                <w:color w:val="auto"/>
              </w:rPr>
              <w:t>。</w:t>
            </w:r>
          </w:p>
          <w:p w14:paraId="49845EF6">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w:t>
            </w:r>
            <w:r>
              <w:rPr>
                <w:rFonts w:hint="default" w:ascii="Times New Roman" w:hAnsi="Times New Roman" w:cs="Times New Roman"/>
                <w:b w:val="0"/>
                <w:bCs w:val="0"/>
                <w:color w:val="auto"/>
                <w:lang w:val="en-US" w:eastAsia="zh-CN"/>
              </w:rPr>
              <w:t>3</w:t>
            </w:r>
            <w:r>
              <w:rPr>
                <w:rFonts w:hint="default" w:ascii="Times New Roman" w:hAnsi="Times New Roman" w:cs="Times New Roman"/>
                <w:b w:val="0"/>
                <w:bCs w:val="0"/>
                <w:color w:val="auto"/>
              </w:rPr>
              <w:t>）施工机械及车辆尾气</w:t>
            </w:r>
          </w:p>
          <w:p w14:paraId="763BD6AF">
            <w:pPr>
              <w:pStyle w:val="9"/>
              <w:ind w:firstLine="480"/>
              <w:rPr>
                <w:rFonts w:hint="default" w:ascii="Times New Roman" w:hAnsi="Times New Roman" w:eastAsia="宋体" w:cs="Times New Roman"/>
                <w:b w:val="0"/>
                <w:bCs w:val="0"/>
                <w:color w:val="auto"/>
              </w:rPr>
            </w:pPr>
            <w:r>
              <w:rPr>
                <w:rFonts w:hint="default" w:ascii="Times New Roman" w:hAnsi="Times New Roman" w:cs="Times New Roman"/>
                <w:b w:val="0"/>
                <w:bCs w:val="0"/>
                <w:color w:val="auto"/>
              </w:rPr>
              <w:t>施工机械及车辆运行过程中会产生一定的尾气，对周围大气环境产生一定的影响；各类施工机械及施工车辆均采用符合国家标准的油品，定期对施工机械及车辆</w:t>
            </w:r>
            <w:r>
              <w:rPr>
                <w:rFonts w:hint="eastAsia" w:ascii="Times New Roman" w:hAnsi="Times New Roman" w:cs="Times New Roman"/>
                <w:b w:val="0"/>
                <w:bCs w:val="0"/>
                <w:color w:val="auto"/>
                <w:lang w:val="en-US" w:eastAsia="zh-CN"/>
              </w:rPr>
              <w:t>维护、</w:t>
            </w:r>
            <w:r>
              <w:rPr>
                <w:rFonts w:hint="default" w:ascii="Times New Roman" w:hAnsi="Times New Roman" w:cs="Times New Roman"/>
                <w:b w:val="0"/>
                <w:bCs w:val="0"/>
                <w:color w:val="auto"/>
              </w:rPr>
              <w:t>保养，保证施工机械及车辆正常运行，且废气随着施工期的结束而消失</w:t>
            </w:r>
            <w:r>
              <w:rPr>
                <w:rFonts w:hint="default" w:ascii="Times New Roman" w:hAnsi="Times New Roman" w:eastAsia="宋体" w:cs="Times New Roman"/>
                <w:b w:val="0"/>
                <w:bCs w:val="0"/>
                <w:color w:val="auto"/>
              </w:rPr>
              <w:t>，对周围大气环境影响</w:t>
            </w:r>
            <w:bookmarkStart w:id="45" w:name="OLE_LINK21"/>
            <w:r>
              <w:rPr>
                <w:rFonts w:hint="default" w:ascii="Times New Roman" w:hAnsi="Times New Roman" w:eastAsia="宋体" w:cs="Times New Roman"/>
                <w:b w:val="0"/>
                <w:bCs w:val="0"/>
                <w:color w:val="auto"/>
                <w:lang w:val="en-US" w:eastAsia="zh-CN"/>
              </w:rPr>
              <w:t>较小</w:t>
            </w:r>
            <w:bookmarkEnd w:id="45"/>
            <w:r>
              <w:rPr>
                <w:rFonts w:hint="default" w:ascii="Times New Roman" w:hAnsi="Times New Roman" w:eastAsia="宋体" w:cs="Times New Roman"/>
                <w:b w:val="0"/>
                <w:bCs w:val="0"/>
                <w:color w:val="auto"/>
              </w:rPr>
              <w:t>。</w:t>
            </w:r>
          </w:p>
          <w:p w14:paraId="19EC93F1">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（4）伴生气燃烧烟气</w:t>
            </w:r>
          </w:p>
          <w:p w14:paraId="23F452B4">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本项目为矿产资源地质勘探项目，目的是获取地层油气藏参数，</w:t>
            </w:r>
            <w:r>
              <w:rPr>
                <w:rFonts w:hint="default" w:ascii="Times New Roman" w:hAnsi="Times New Roman" w:cs="Times New Roman"/>
                <w:b w:val="0"/>
                <w:bCs w:val="0"/>
                <w:color w:val="auto"/>
                <w:lang w:val="en-US" w:eastAsia="zh-CN"/>
              </w:rPr>
              <w:t>为后期油气开发提供基础数据</w:t>
            </w:r>
            <w:r>
              <w:rPr>
                <w:rFonts w:hint="default" w:ascii="Times New Roman" w:hAnsi="Times New Roman" w:cs="Times New Roman"/>
                <w:b w:val="0"/>
                <w:bCs w:val="0"/>
                <w:color w:val="auto"/>
              </w:rPr>
              <w:t>，试油期产生的伴生气产量不稳定，不具备回收利</w:t>
            </w:r>
            <w:bookmarkStart w:id="46" w:name="_Hlk170206616"/>
            <w:r>
              <w:rPr>
                <w:rFonts w:hint="default" w:ascii="Times New Roman" w:hAnsi="Times New Roman" w:cs="Times New Roman"/>
                <w:b w:val="0"/>
                <w:bCs w:val="0"/>
                <w:color w:val="auto"/>
              </w:rPr>
              <w:t>用条件，</w:t>
            </w:r>
            <w:r>
              <w:rPr>
                <w:rFonts w:hint="eastAsia" w:ascii="Times New Roman" w:hAnsi="Times New Roman" w:cs="Times New Roman"/>
                <w:b w:val="0"/>
                <w:bCs w:val="0"/>
                <w:color w:val="auto"/>
                <w:lang w:val="en-US" w:eastAsia="zh-CN"/>
              </w:rPr>
              <w:t>经气液分离装置分离后，</w:t>
            </w:r>
            <w:r>
              <w:rPr>
                <w:rFonts w:hint="default" w:ascii="Times New Roman" w:hAnsi="Times New Roman" w:cs="Times New Roman"/>
                <w:b w:val="0"/>
                <w:bCs w:val="0"/>
                <w:color w:val="auto"/>
              </w:rPr>
              <w:t>通过排气管线</w:t>
            </w:r>
            <w:r>
              <w:rPr>
                <w:rFonts w:hint="eastAsia" w:ascii="Times New Roman" w:hAnsi="Times New Roman" w:cs="Times New Roman"/>
                <w:b w:val="0"/>
                <w:bCs w:val="0"/>
                <w:color w:val="auto"/>
                <w:lang w:val="en-US" w:eastAsia="zh-CN"/>
              </w:rPr>
              <w:t>自动点火</w:t>
            </w:r>
            <w:r>
              <w:rPr>
                <w:rFonts w:hint="default" w:ascii="Times New Roman" w:hAnsi="Times New Roman" w:cs="Times New Roman"/>
                <w:b w:val="0"/>
                <w:bCs w:val="0"/>
                <w:color w:val="auto"/>
              </w:rPr>
              <w:t>充分燃烧后放空，燃烧烟气的主要污染物为二氧化硫、氮氧化物、非甲烷总烃和颗粒物，</w:t>
            </w:r>
            <w:r>
              <w:rPr>
                <w:rFonts w:hint="eastAsia" w:ascii="Times New Roman" w:hAnsi="Times New Roman" w:cs="Times New Roman"/>
                <w:b w:val="0"/>
                <w:bCs w:val="0"/>
                <w:color w:val="auto"/>
                <w:lang w:val="en-US" w:eastAsia="zh-CN"/>
              </w:rPr>
              <w:t>排放各污染物中</w:t>
            </w:r>
            <w:r>
              <w:rPr>
                <w:rFonts w:hint="default" w:ascii="Times New Roman" w:hAnsi="Times New Roman" w:cs="Times New Roman"/>
                <w:b w:val="0"/>
                <w:bCs w:val="0"/>
                <w:color w:val="auto"/>
              </w:rPr>
              <w:t>非甲烷总烃应满足《陆上石油天然气开采工业大气污染物排放标准》（GB39728-2020）要求，其余污染物应满足《大气污染物综合排放标准》（GB16297-1996）相关要求。由于燃烧烟气属于阶段性排放，且随着试油结束而停止产生。井场周边无集中居民区，地域空旷、扩散条件良好，不会对周围大气环境产生明显不利影响。</w:t>
            </w:r>
          </w:p>
          <w:p w14:paraId="6F15882C">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（5）采出液储存及装车过程的无组织废气</w:t>
            </w:r>
          </w:p>
          <w:p w14:paraId="74191F97">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试油期产生的采出液暂存于地面储罐，由罐车定期拉运至采油一厂车89处理站，采出液在储存及装车过程中会产生无组织挥发烃类（以非甲烷总烃计）。本项目主要为探明区域油藏含油气性及规模，试油过程不确定性大，采出液产生情况无法确定，且采出液装载仅在试油期进行，随试油期结束而停止产生；项目周边地域空旷、扩散条件良好；试油期采出液储存及装车过程产生的无组织非甲烷总烃应符合《陆上石油天然气开采工业大气污染物排放标准》（GB39728-2020）中相关标准限值要求</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lang w:val="en-US" w:eastAsia="zh-CN"/>
              </w:rPr>
              <w:t>井场周边无大气环境保护目标，地域空旷、扩散条件良好，</w:t>
            </w:r>
            <w:r>
              <w:rPr>
                <w:rFonts w:hint="default" w:ascii="Times New Roman" w:hAnsi="Times New Roman" w:cs="Times New Roman"/>
                <w:b w:val="0"/>
                <w:bCs w:val="0"/>
                <w:color w:val="auto"/>
              </w:rPr>
              <w:t>不会对区域环境产生较大影响。</w:t>
            </w:r>
            <w:bookmarkStart w:id="47" w:name="_Hlk136794460"/>
          </w:p>
          <w:p w14:paraId="0219FD3B">
            <w:pPr>
              <w:pStyle w:val="9"/>
              <w:ind w:firstLine="480"/>
              <w:rPr>
                <w:rFonts w:hint="eastAsia"/>
                <w:b w:val="0"/>
                <w:bCs w:val="0"/>
                <w:color w:val="auto"/>
              </w:rPr>
            </w:pPr>
            <w:r>
              <w:rPr>
                <w:rFonts w:hint="eastAsia"/>
                <w:b w:val="0"/>
                <w:bCs w:val="0"/>
                <w:color w:val="auto"/>
              </w:rPr>
              <w:t>（</w:t>
            </w:r>
            <w:r>
              <w:rPr>
                <w:rFonts w:hint="eastAsia"/>
                <w:b w:val="0"/>
                <w:bCs w:val="0"/>
                <w:color w:val="auto"/>
                <w:lang w:val="en-US" w:eastAsia="zh-CN"/>
              </w:rPr>
              <w:t>6</w:t>
            </w:r>
            <w:r>
              <w:rPr>
                <w:rFonts w:hint="eastAsia"/>
                <w:b w:val="0"/>
                <w:bCs w:val="0"/>
                <w:color w:val="auto"/>
              </w:rPr>
              <w:t>）</w:t>
            </w:r>
            <w:r>
              <w:rPr>
                <w:rFonts w:hint="eastAsia"/>
                <w:b w:val="0"/>
                <w:bCs w:val="0"/>
                <w:color w:val="auto"/>
                <w:lang w:val="en-US" w:eastAsia="zh-CN"/>
              </w:rPr>
              <w:t>本</w:t>
            </w:r>
            <w:r>
              <w:rPr>
                <w:rFonts w:hint="eastAsia"/>
                <w:b w:val="0"/>
                <w:bCs w:val="0"/>
                <w:color w:val="auto"/>
              </w:rPr>
              <w:t>项目为油气矿产资源勘查，不确定油气藏中是否含硫化氢，按不利因素考虑，在试油过程中伴生气中可能含有少量的硫化氢，试油过程中可能通过阀门、法兰等连接件有少量的硫化氢逸散，井场配备有硫化氢监测仪，</w:t>
            </w:r>
            <w:r>
              <w:rPr>
                <w:rFonts w:hint="eastAsia"/>
                <w:b w:val="0"/>
                <w:bCs w:val="0"/>
                <w:color w:val="auto"/>
                <w:lang w:val="en-US" w:eastAsia="zh-CN"/>
              </w:rPr>
              <w:t>定期对井场硫化氢进行监测；</w:t>
            </w:r>
            <w:r>
              <w:rPr>
                <w:rFonts w:hint="eastAsia"/>
                <w:b w:val="0"/>
                <w:bCs w:val="0"/>
                <w:color w:val="auto"/>
              </w:rPr>
              <w:t>试油过程中伴生气主要通过排气管线燃烧放空，项目周围无大气环境保护目标，且地域空旷、扩散条件较好，不会对周围环境产生不利影响。</w:t>
            </w:r>
          </w:p>
          <w:bookmarkEnd w:id="46"/>
          <w:bookmarkEnd w:id="47"/>
          <w:p w14:paraId="1A55FB20">
            <w:pPr>
              <w:pStyle w:val="9"/>
              <w:rPr>
                <w:rFonts w:hint="default" w:ascii="Times New Roman" w:hAnsi="Times New Roman" w:cs="Times New Roman"/>
                <w:color w:val="auto"/>
              </w:rPr>
            </w:pPr>
            <w:bookmarkStart w:id="48" w:name="_Hlk136795076"/>
            <w:r>
              <w:rPr>
                <w:rFonts w:hint="default" w:ascii="Times New Roman" w:hAnsi="Times New Roman" w:cs="Times New Roman"/>
                <w:color w:val="auto"/>
                <w:lang w:val="en-US" w:eastAsia="zh-CN"/>
              </w:rPr>
              <w:t>3</w:t>
            </w:r>
            <w:r>
              <w:rPr>
                <w:rFonts w:hint="default" w:ascii="Times New Roman" w:hAnsi="Times New Roman" w:cs="Times New Roman"/>
                <w:color w:val="auto"/>
              </w:rPr>
              <w:t>、地表水环境影响分析</w:t>
            </w:r>
          </w:p>
          <w:bookmarkEnd w:id="48"/>
          <w:p w14:paraId="6F8FC553">
            <w:pPr>
              <w:pStyle w:val="9"/>
              <w:ind w:firstLine="480"/>
              <w:rPr>
                <w:rFonts w:hint="default" w:ascii="Times New Roman" w:hAnsi="Times New Roman" w:cs="Times New Roman"/>
                <w:b w:val="0"/>
                <w:bCs w:val="0"/>
                <w:color w:val="auto"/>
              </w:rPr>
            </w:pPr>
            <w:r>
              <w:rPr>
                <w:rFonts w:hint="default" w:ascii="Times New Roman" w:hAnsi="Times New Roman" w:eastAsia="宋体" w:cs="Times New Roman"/>
                <w:b w:val="0"/>
                <w:bCs w:val="0"/>
                <w:color w:val="auto"/>
                <w:lang w:val="en-US" w:eastAsia="zh-CN"/>
              </w:rPr>
              <w:t>本项目施工期</w:t>
            </w:r>
            <w:r>
              <w:rPr>
                <w:rFonts w:hint="default" w:ascii="Times New Roman" w:hAnsi="Times New Roman" w:eastAsia="宋体" w:cs="Times New Roman"/>
                <w:b w:val="0"/>
                <w:bCs w:val="0"/>
                <w:color w:val="auto"/>
              </w:rPr>
              <w:t>废</w:t>
            </w:r>
            <w:r>
              <w:rPr>
                <w:rFonts w:hint="default" w:ascii="Times New Roman" w:hAnsi="Times New Roman" w:eastAsia="宋体" w:cs="Times New Roman"/>
                <w:b w:val="0"/>
                <w:bCs w:val="0"/>
                <w:color w:val="auto"/>
                <w:lang w:val="en-US" w:eastAsia="zh-CN"/>
              </w:rPr>
              <w:t>水</w:t>
            </w:r>
            <w:r>
              <w:rPr>
                <w:rFonts w:hint="default" w:ascii="Times New Roman" w:hAnsi="Times New Roman" w:eastAsia="宋体" w:cs="Times New Roman"/>
                <w:b w:val="0"/>
                <w:bCs w:val="0"/>
                <w:color w:val="auto"/>
              </w:rPr>
              <w:t>主要为</w:t>
            </w:r>
            <w:r>
              <w:rPr>
                <w:rFonts w:hint="default" w:ascii="Times New Roman" w:hAnsi="Times New Roman" w:cs="Times New Roman"/>
                <w:b w:val="0"/>
                <w:bCs w:val="0"/>
                <w:color w:val="auto"/>
              </w:rPr>
              <w:t>生活污水和试油期废水</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lang w:val="en-US" w:eastAsia="zh-CN"/>
              </w:rPr>
              <w:t>洗井废水和压裂返排液</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w:t>
            </w:r>
          </w:p>
          <w:p w14:paraId="79920506">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（1）生活污水</w:t>
            </w:r>
          </w:p>
          <w:p w14:paraId="71D7AB64">
            <w:pPr>
              <w:pStyle w:val="9"/>
              <w:keepNext w:val="0"/>
              <w:keepLines w:val="0"/>
              <w:pageBreakBefore w:val="0"/>
              <w:kinsoku/>
              <w:wordWrap/>
              <w:overflowPunct/>
              <w:topLinePunct w:val="0"/>
              <w:autoSpaceDE/>
              <w:autoSpaceDN/>
              <w:bidi w:val="0"/>
              <w:adjustRightInd/>
              <w:spacing w:line="490" w:lineRule="exact"/>
              <w:ind w:firstLine="480"/>
              <w:textAlignment w:val="auto"/>
              <w:rPr>
                <w:rFonts w:hint="default" w:ascii="Times New Roman" w:hAnsi="Times New Roman" w:cs="Times New Roman"/>
                <w:b w:val="0"/>
                <w:bCs w:val="0"/>
                <w:color w:val="auto"/>
              </w:rPr>
            </w:pPr>
            <w:r>
              <w:rPr>
                <w:rFonts w:hint="eastAsia" w:ascii="Times New Roman" w:hAnsi="Times New Roman" w:cs="Times New Roman"/>
                <w:b w:val="0"/>
                <w:bCs w:val="0"/>
                <w:color w:val="auto"/>
                <w:highlight w:val="none"/>
                <w:lang w:val="en-US" w:eastAsia="zh-CN"/>
              </w:rPr>
              <w:t>本项目设生活营地，根据《新疆维吾尔自治区生活用水定额》，生活用水量取20L/d·人，则施工期间生活用水总量约为180.6m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；排水系数取0.8，则生活污水产生量约为144.48m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rPr>
              <w:t>施工人员产生的生活污水水质与居民生活污水相似，主要污染物浓度分别为化学需氧量（COD）350mg/L、氨氮（NH</w:t>
            </w:r>
            <w:r>
              <w:rPr>
                <w:rFonts w:hint="default" w:ascii="Times New Roman" w:hAnsi="Times New Roman" w:cs="Times New Roman"/>
                <w:b w:val="0"/>
                <w:bCs w:val="0"/>
                <w:color w:val="auto"/>
                <w:vertAlign w:val="subscript"/>
              </w:rPr>
              <w:t>3</w:t>
            </w:r>
            <w:r>
              <w:rPr>
                <w:rFonts w:hint="default" w:ascii="Times New Roman" w:hAnsi="Times New Roman" w:cs="Times New Roman"/>
                <w:b w:val="0"/>
                <w:bCs w:val="0"/>
                <w:color w:val="auto"/>
              </w:rPr>
              <w:t>-N）30mg/L、悬浮物（SS）200mg/L。</w:t>
            </w:r>
          </w:p>
          <w:p w14:paraId="10233C91">
            <w:pPr>
              <w:pStyle w:val="9"/>
              <w:keepNext w:val="0"/>
              <w:keepLines w:val="0"/>
              <w:pageBreakBefore w:val="0"/>
              <w:kinsoku/>
              <w:wordWrap/>
              <w:overflowPunct/>
              <w:topLinePunct w:val="0"/>
              <w:autoSpaceDE/>
              <w:autoSpaceDN/>
              <w:bidi w:val="0"/>
              <w:adjustRightInd/>
              <w:spacing w:line="490" w:lineRule="exact"/>
              <w:ind w:firstLine="48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该</w:t>
            </w:r>
            <w:r>
              <w:rPr>
                <w:rFonts w:hint="default" w:ascii="Times New Roman" w:hAnsi="Times New Roman" w:cs="Times New Roman"/>
                <w:b w:val="0"/>
                <w:bCs w:val="0"/>
                <w:color w:val="auto"/>
              </w:rPr>
              <w:t>生活营地内设置1座临时</w:t>
            </w:r>
            <w:r>
              <w:rPr>
                <w:rFonts w:hint="eastAsia" w:ascii="Times New Roman" w:hAnsi="Times New Roman" w:cs="Times New Roman"/>
                <w:b w:val="0"/>
                <w:bCs w:val="0"/>
                <w:color w:val="auto"/>
                <w:lang w:eastAsia="zh-CN"/>
              </w:rPr>
              <w:t>防渗储集池</w:t>
            </w:r>
            <w:r>
              <w:rPr>
                <w:rFonts w:hint="default" w:ascii="Times New Roman" w:hAnsi="Times New Roman" w:cs="Times New Roman"/>
                <w:b w:val="0"/>
                <w:bCs w:val="0"/>
                <w:color w:val="auto"/>
              </w:rPr>
              <w:t>，用于收集和暂存生活污水，</w:t>
            </w:r>
            <w:r>
              <w:rPr>
                <w:rFonts w:hint="eastAsia" w:ascii="Times New Roman" w:hAnsi="Times New Roman" w:cs="Times New Roman"/>
                <w:b w:val="0"/>
                <w:bCs w:val="0"/>
                <w:color w:val="auto"/>
                <w:lang w:eastAsia="zh-CN"/>
              </w:rPr>
              <w:t>防渗储集池</w:t>
            </w:r>
            <w:r>
              <w:rPr>
                <w:rFonts w:hint="default" w:ascii="Times New Roman" w:hAnsi="Times New Roman" w:cs="Times New Roman"/>
                <w:b w:val="0"/>
                <w:bCs w:val="0"/>
                <w:color w:val="auto"/>
              </w:rPr>
              <w:t>开挖后采用HDPE防渗膜铺垫防渗。</w:t>
            </w:r>
            <w:r>
              <w:rPr>
                <w:rFonts w:hint="default" w:ascii="Times New Roman" w:hAnsi="Times New Roman" w:cs="Times New Roman"/>
                <w:b w:val="0"/>
                <w:bCs w:val="0"/>
                <w:color w:val="auto"/>
                <w:lang w:val="en-US" w:eastAsia="zh-CN"/>
              </w:rPr>
              <w:t>施工人员产生的生活污水排入防渗收集池后由吸污车运至</w:t>
            </w:r>
            <w:r>
              <w:rPr>
                <w:rFonts w:hint="eastAsia" w:ascii="Times New Roman" w:hAnsi="Times New Roman" w:cs="Times New Roman"/>
                <w:b w:val="0"/>
                <w:bCs w:val="0"/>
                <w:color w:val="auto"/>
                <w:lang w:val="en-US" w:eastAsia="zh-CN"/>
              </w:rPr>
              <w:t>玛纳斯县城污水处理厂</w:t>
            </w:r>
            <w:r>
              <w:rPr>
                <w:rFonts w:hint="default" w:ascii="Times New Roman" w:hAnsi="Times New Roman" w:cs="Times New Roman"/>
                <w:b w:val="0"/>
                <w:bCs w:val="0"/>
                <w:color w:val="auto"/>
                <w:lang w:val="en-US" w:eastAsia="zh-CN"/>
              </w:rPr>
              <w:t>处置</w:t>
            </w: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rPr>
              <w:t>施工结束后，</w:t>
            </w:r>
            <w:r>
              <w:rPr>
                <w:rFonts w:hint="eastAsia" w:ascii="Times New Roman" w:hAnsi="Times New Roman" w:cs="Times New Roman"/>
                <w:b w:val="0"/>
                <w:bCs w:val="0"/>
                <w:color w:val="auto"/>
                <w:lang w:eastAsia="zh-CN"/>
              </w:rPr>
              <w:t>防渗储集池</w:t>
            </w:r>
            <w:r>
              <w:rPr>
                <w:rFonts w:hint="default" w:ascii="Times New Roman" w:hAnsi="Times New Roman" w:cs="Times New Roman"/>
                <w:b w:val="0"/>
                <w:bCs w:val="0"/>
                <w:color w:val="auto"/>
              </w:rPr>
              <w:t>占地及时清理并恢复原貌、防渗膜回收。</w:t>
            </w:r>
          </w:p>
          <w:p w14:paraId="330589E9">
            <w:pPr>
              <w:pStyle w:val="9"/>
              <w:keepNext w:val="0"/>
              <w:keepLines w:val="0"/>
              <w:pageBreakBefore w:val="0"/>
              <w:kinsoku/>
              <w:wordWrap/>
              <w:overflowPunct/>
              <w:topLinePunct w:val="0"/>
              <w:autoSpaceDE/>
              <w:autoSpaceDN/>
              <w:bidi w:val="0"/>
              <w:adjustRightInd/>
              <w:spacing w:line="490" w:lineRule="exact"/>
              <w:ind w:firstLine="480"/>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（2）试油废水</w:t>
            </w:r>
          </w:p>
          <w:p w14:paraId="76DF0F27">
            <w:pPr>
              <w:pStyle w:val="9"/>
              <w:keepNext w:val="0"/>
              <w:keepLines w:val="0"/>
              <w:pageBreakBefore w:val="0"/>
              <w:kinsoku/>
              <w:wordWrap/>
              <w:overflowPunct/>
              <w:topLinePunct w:val="0"/>
              <w:autoSpaceDE/>
              <w:autoSpaceDN/>
              <w:bidi w:val="0"/>
              <w:adjustRightInd/>
              <w:spacing w:line="490" w:lineRule="exact"/>
              <w:ind w:firstLine="480"/>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钻井期无生产废水产生，试油废水包括洗井废水和压裂返排液。洗井用水量300m</w:t>
            </w:r>
            <w:r>
              <w:rPr>
                <w:rFonts w:hint="default" w:ascii="Times New Roman" w:hAnsi="Times New Roman" w:cs="Times New Roman"/>
                <w:b w:val="0"/>
                <w:bCs w:val="0"/>
                <w:color w:val="000000" w:themeColor="text1"/>
                <w:vertAlign w:val="super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，全部返回井场设置的储罐内，洗井废水产生量为300m</w:t>
            </w:r>
            <w:r>
              <w:rPr>
                <w:rFonts w:hint="default" w:ascii="Times New Roman" w:hAnsi="Times New Roman" w:cs="Times New Roman"/>
                <w:b w:val="0"/>
                <w:bCs w:val="0"/>
                <w:color w:val="000000" w:themeColor="text1"/>
                <w:vertAlign w:val="super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，主要污染物为石油类和悬浮物等；压裂期间使用压裂液约</w:t>
            </w:r>
            <w:r>
              <w:rPr>
                <w:rFonts w:hint="eastAsia" w:ascii="Times New Roman" w:hAnsi="Times New Roman" w:cs="Times New Roman"/>
                <w:b w:val="0"/>
                <w:bCs w:val="0"/>
                <w:color w:val="000000" w:themeColor="text1"/>
                <w:lang w:val="en-US" w:eastAsia="zh-CN"/>
                <w14:textFill>
                  <w14:solidFill>
                    <w14:schemeClr w14:val="tx1"/>
                  </w14:solidFill>
                </w14:textFill>
              </w:rPr>
              <w:t>50</w:t>
            </w:r>
            <w:r>
              <w:rPr>
                <w:rFonts w:hint="default" w:ascii="Times New Roman" w:hAnsi="Times New Roman" w:cs="Times New Roman"/>
                <w:b w:val="0"/>
                <w:bCs w:val="0"/>
                <w:color w:val="000000" w:themeColor="text1"/>
                <w14:textFill>
                  <w14:solidFill>
                    <w14:schemeClr w14:val="tx1"/>
                  </w14:solidFill>
                </w14:textFill>
              </w:rPr>
              <w:t>0m</w:t>
            </w:r>
            <w:r>
              <w:rPr>
                <w:rFonts w:hint="default" w:ascii="Times New Roman" w:hAnsi="Times New Roman" w:cs="Times New Roman"/>
                <w:b w:val="0"/>
                <w:bCs w:val="0"/>
                <w:color w:val="000000" w:themeColor="text1"/>
                <w:vertAlign w:val="super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，根据同类项目施工数据可知，压裂液返排量约20%～50%，取最大值50%计算，则压裂返排液产生量约</w:t>
            </w:r>
            <w:r>
              <w:rPr>
                <w:rFonts w:hint="eastAsia" w:ascii="Times New Roman" w:hAnsi="Times New Roman" w:cs="Times New Roman"/>
                <w:b w:val="0"/>
                <w:bCs w:val="0"/>
                <w:color w:val="000000" w:themeColor="text1"/>
                <w:lang w:val="en-US" w:eastAsia="zh-CN"/>
                <w14:textFill>
                  <w14:solidFill>
                    <w14:schemeClr w14:val="tx1"/>
                  </w14:solidFill>
                </w14:textFill>
              </w:rPr>
              <w:t>25</w:t>
            </w:r>
            <w:r>
              <w:rPr>
                <w:rFonts w:hint="default" w:ascii="Times New Roman" w:hAnsi="Times New Roman" w:cs="Times New Roman"/>
                <w:b w:val="0"/>
                <w:bCs w:val="0"/>
                <w:color w:val="000000" w:themeColor="text1"/>
                <w14:textFill>
                  <w14:solidFill>
                    <w14:schemeClr w14:val="tx1"/>
                  </w14:solidFill>
                </w14:textFill>
              </w:rPr>
              <w:t>0m</w:t>
            </w:r>
            <w:r>
              <w:rPr>
                <w:rFonts w:hint="default" w:ascii="Times New Roman" w:hAnsi="Times New Roman" w:cs="Times New Roman"/>
                <w:b w:val="0"/>
                <w:bCs w:val="0"/>
                <w:color w:val="000000" w:themeColor="text1"/>
                <w:vertAlign w:val="super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，主要污染物为石油类、悬浮物等。洗井废水和压裂返排液经专用储罐收集后由罐车拉运至采油一厂车89处理站，</w:t>
            </w:r>
            <w:r>
              <w:rPr>
                <w:rFonts w:hint="eastAsia" w:ascii="Times New Roman" w:hAnsi="Times New Roman" w:cs="Times New Roman"/>
                <w:b w:val="0"/>
                <w:bCs w:val="0"/>
                <w:color w:val="000000" w:themeColor="text1"/>
                <w:lang w:val="en-US" w:eastAsia="zh-CN"/>
                <w14:textFill>
                  <w14:solidFill>
                    <w14:schemeClr w14:val="tx1"/>
                  </w14:solidFill>
                </w14:textFill>
              </w:rPr>
              <w:t>废水经该站污水处理系统处理后，根据回注区域渗透率不同，执行《碎屑岩油藏注水水质指标技术要求及分析方法》（SY/T5329-2022）中Ⅱ、Ⅲ级标准，</w:t>
            </w:r>
            <w:r>
              <w:rPr>
                <w:rFonts w:hint="default" w:ascii="Times New Roman" w:hAnsi="Times New Roman" w:cs="Times New Roman"/>
                <w:b w:val="0"/>
                <w:bCs w:val="0"/>
                <w:color w:val="000000" w:themeColor="text1"/>
                <w14:textFill>
                  <w14:solidFill>
                    <w14:schemeClr w14:val="tx1"/>
                  </w14:solidFill>
                </w14:textFill>
              </w:rPr>
              <w:t>全部回注油藏。</w:t>
            </w:r>
          </w:p>
          <w:p w14:paraId="6BA27329">
            <w:pPr>
              <w:pStyle w:val="9"/>
              <w:keepNext w:val="0"/>
              <w:keepLines w:val="0"/>
              <w:pageBreakBefore w:val="0"/>
              <w:kinsoku/>
              <w:wordWrap/>
              <w:overflowPunct/>
              <w:topLinePunct w:val="0"/>
              <w:autoSpaceDE/>
              <w:autoSpaceDN/>
              <w:bidi w:val="0"/>
              <w:adjustRightInd/>
              <w:spacing w:line="490" w:lineRule="exact"/>
              <w:ind w:firstLine="480"/>
              <w:textAlignment w:val="auto"/>
              <w:rPr>
                <w:rFonts w:hint="eastAsia" w:ascii="Times New Roman" w:hAnsi="Times New Roman" w:eastAsia="宋体" w:cs="Times New Roman"/>
                <w:b w:val="0"/>
                <w:bCs w:val="0"/>
                <w:color w:val="auto"/>
                <w:lang w:val="en-US" w:eastAsia="zh-CN"/>
              </w:rPr>
            </w:pPr>
            <w:r>
              <w:rPr>
                <w:rFonts w:hint="eastAsia" w:ascii="Times New Roman" w:hAnsi="Times New Roman" w:cs="Times New Roman"/>
                <w:b w:val="0"/>
                <w:bCs w:val="0"/>
                <w:color w:val="auto"/>
                <w:lang w:val="en-US" w:eastAsia="zh-CN"/>
              </w:rPr>
              <w:t>综上所述，施工期产生的废水不会对地表水环境产生影响。</w:t>
            </w:r>
          </w:p>
          <w:p w14:paraId="058C1D21">
            <w:pPr>
              <w:pStyle w:val="9"/>
              <w:keepNext w:val="0"/>
              <w:keepLines w:val="0"/>
              <w:pageBreakBefore w:val="0"/>
              <w:kinsoku/>
              <w:wordWrap/>
              <w:overflowPunct/>
              <w:topLinePunct w:val="0"/>
              <w:autoSpaceDE/>
              <w:autoSpaceDN/>
              <w:bidi w:val="0"/>
              <w:adjustRightInd/>
              <w:spacing w:line="490" w:lineRule="exact"/>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4</w:t>
            </w:r>
            <w:r>
              <w:rPr>
                <w:rFonts w:hint="default" w:ascii="Times New Roman" w:hAnsi="Times New Roman" w:cs="Times New Roman"/>
                <w:color w:val="auto"/>
              </w:rPr>
              <w:t>、地下水、土壤环境影响分析</w:t>
            </w:r>
          </w:p>
          <w:p w14:paraId="6B462326">
            <w:pPr>
              <w:pStyle w:val="32"/>
              <w:keepNext w:val="0"/>
              <w:keepLines w:val="0"/>
              <w:pageBreakBefore w:val="0"/>
              <w:kinsoku/>
              <w:wordWrap/>
              <w:overflowPunct/>
              <w:topLinePunct w:val="0"/>
              <w:autoSpaceDE/>
              <w:autoSpaceDN/>
              <w:bidi w:val="0"/>
              <w:adjustRightInd/>
              <w:spacing w:line="490" w:lineRule="exact"/>
              <w:textAlignment w:val="auto"/>
              <w:rPr>
                <w:rFonts w:hint="default" w:ascii="Times New Roman" w:hAnsi="Times New Roman" w:cs="Times New Roman"/>
                <w:color w:val="auto"/>
              </w:rPr>
            </w:pPr>
            <w:r>
              <w:rPr>
                <w:rFonts w:hint="default" w:ascii="Times New Roman" w:hAnsi="Times New Roman" w:cs="Times New Roman"/>
                <w:color w:val="auto"/>
              </w:rPr>
              <w:t>（1）地下水环境影响分析</w:t>
            </w:r>
          </w:p>
          <w:p w14:paraId="7EAAFA10">
            <w:pPr>
              <w:pStyle w:val="32"/>
              <w:keepNext w:val="0"/>
              <w:keepLines w:val="0"/>
              <w:pageBreakBefore w:val="0"/>
              <w:kinsoku/>
              <w:wordWrap/>
              <w:overflowPunct/>
              <w:topLinePunct w:val="0"/>
              <w:autoSpaceDE/>
              <w:autoSpaceDN/>
              <w:bidi w:val="0"/>
              <w:adjustRightInd/>
              <w:spacing w:line="490" w:lineRule="exact"/>
              <w:textAlignment w:val="auto"/>
              <w:rPr>
                <w:rFonts w:hint="eastAsia" w:ascii="Times New Roman" w:hAnsi="Times New Roman" w:cs="Times New Roman"/>
                <w:color w:val="auto"/>
                <w:lang w:val="en-US" w:eastAsia="zh-CN"/>
              </w:rPr>
            </w:pPr>
            <w:bookmarkStart w:id="49" w:name="_Hlk170208004"/>
            <w:bookmarkStart w:id="50" w:name="_Hlk170207859"/>
            <w:r>
              <w:rPr>
                <w:rFonts w:hint="eastAsia" w:ascii="Times New Roman" w:hAnsi="Times New Roman" w:cs="Times New Roman"/>
                <w:color w:val="auto"/>
                <w:lang w:val="en-US" w:eastAsia="zh-CN"/>
              </w:rPr>
              <w:t>井场柴油储罐、采出液储罐、废水储罐、发电机、材料堆场、水基钻井岩屑专用方罐、油基钻井岩屑储罐底部和危废暂存点等关键区域均采用防渗膜防渗。钻井采用下套管注水泥固井的完井方式进行水泥固井，表层套管的深度为550m，对含水层进行了固封处理，可有效保护地下水层；试油目的层与地下水处于不同层系，在施工过程中确保套管下入指定深度，可有效避免钻试工程对地下水环境的影响。</w:t>
            </w:r>
          </w:p>
          <w:bookmarkEnd w:id="49"/>
          <w:bookmarkEnd w:id="50"/>
          <w:p w14:paraId="527D6DE4">
            <w:pPr>
              <w:pStyle w:val="32"/>
              <w:keepNext w:val="0"/>
              <w:keepLines w:val="0"/>
              <w:pageBreakBefore w:val="0"/>
              <w:kinsoku/>
              <w:wordWrap/>
              <w:overflowPunct/>
              <w:topLinePunct w:val="0"/>
              <w:autoSpaceDE/>
              <w:autoSpaceDN/>
              <w:bidi w:val="0"/>
              <w:adjustRightInd/>
              <w:spacing w:line="490" w:lineRule="exact"/>
              <w:textAlignment w:val="auto"/>
              <w:rPr>
                <w:rFonts w:hint="default" w:ascii="Times New Roman" w:hAnsi="Times New Roman" w:cs="Times New Roman"/>
                <w:color w:val="auto"/>
              </w:rPr>
            </w:pPr>
            <w:r>
              <w:rPr>
                <w:rFonts w:hint="default" w:ascii="Times New Roman" w:hAnsi="Times New Roman" w:cs="Times New Roman"/>
                <w:color w:val="auto"/>
              </w:rPr>
              <w:t>（2）土壤环境影响分析</w:t>
            </w:r>
          </w:p>
          <w:p w14:paraId="1BFF07B5">
            <w:pPr>
              <w:pStyle w:val="32"/>
              <w:keepNext w:val="0"/>
              <w:keepLines w:val="0"/>
              <w:pageBreakBefore w:val="0"/>
              <w:kinsoku/>
              <w:wordWrap/>
              <w:overflowPunct/>
              <w:topLinePunct w:val="0"/>
              <w:autoSpaceDE/>
              <w:autoSpaceDN/>
              <w:bidi w:val="0"/>
              <w:adjustRightInd/>
              <w:spacing w:line="490" w:lineRule="exact"/>
              <w:textAlignment w:val="auto"/>
              <w:rPr>
                <w:rFonts w:hint="eastAsia" w:ascii="Times New Roman" w:hAnsi="Times New Roman" w:cs="Times New Roman"/>
                <w:color w:val="auto"/>
              </w:rPr>
            </w:pPr>
            <w:bookmarkStart w:id="51" w:name="_Hlk183038239"/>
            <w:r>
              <w:rPr>
                <w:rFonts w:hint="eastAsia" w:ascii="Times New Roman" w:hAnsi="Times New Roman" w:cs="Times New Roman"/>
                <w:color w:val="auto"/>
              </w:rPr>
              <w:t>施工过程中不可避免的会对土壤造成人为扰动，产生破坏性影响。井场等临时占地，施工材料堆积、挖掘、</w:t>
            </w:r>
            <w:r>
              <w:rPr>
                <w:rFonts w:hint="eastAsia" w:ascii="Times New Roman" w:hAnsi="Times New Roman" w:cs="Times New Roman"/>
                <w:color w:val="auto"/>
                <w:lang w:eastAsia="zh-CN"/>
              </w:rPr>
              <w:t>碾压</w:t>
            </w:r>
            <w:r>
              <w:rPr>
                <w:rFonts w:hint="eastAsia" w:ascii="Times New Roman" w:hAnsi="Times New Roman" w:cs="Times New Roman"/>
                <w:color w:val="auto"/>
              </w:rPr>
              <w:t>、踩踏等均会改变原有的土壤结构和理化性质，导致土壤紧实度增高，土壤团粒结构破坏等，进而影响土壤肥力。另外施工过程中，各类机械设备若发生燃油滴漏的情况，也有可能对沿线土壤造成一定的污染影响。</w:t>
            </w:r>
          </w:p>
          <w:p w14:paraId="2DDD700C">
            <w:pPr>
              <w:pStyle w:val="32"/>
              <w:rPr>
                <w:rFonts w:hint="eastAsia" w:ascii="Times New Roman" w:hAnsi="Times New Roman" w:cs="Times New Roman"/>
                <w:color w:val="auto"/>
              </w:rPr>
            </w:pPr>
            <w:r>
              <w:rPr>
                <w:rFonts w:hint="eastAsia" w:ascii="Times New Roman" w:hAnsi="Times New Roman" w:cs="Times New Roman"/>
                <w:color w:val="auto"/>
              </w:rPr>
              <w:t>施工结束后，随着施工设备和人员的撤离，临时占地得到释放，项目建设对原有的土壤结构和理化性质影响不大。施工期严格控制施工作业范围，施工机械及施工车辆禁止在耕地内随意行驶，禁止将废水、固体废物排至项目区及周边</w:t>
            </w:r>
            <w:r>
              <w:rPr>
                <w:rFonts w:hint="eastAsia" w:ascii="Times New Roman" w:hAnsi="Times New Roman" w:cs="Times New Roman"/>
                <w:color w:val="auto"/>
                <w:lang w:val="en-US" w:eastAsia="zh-CN"/>
              </w:rPr>
              <w:t>耕地</w:t>
            </w:r>
            <w:r>
              <w:rPr>
                <w:rFonts w:hint="eastAsia" w:ascii="Times New Roman" w:hAnsi="Times New Roman" w:cs="Times New Roman"/>
                <w:color w:val="auto"/>
              </w:rPr>
              <w:t>。</w:t>
            </w:r>
          </w:p>
          <w:p w14:paraId="21D76546">
            <w:pPr>
              <w:pStyle w:val="32"/>
              <w:rPr>
                <w:rFonts w:hint="eastAsia" w:ascii="Times New Roman" w:hAnsi="Times New Roman" w:cs="Times New Roman"/>
                <w:color w:val="auto"/>
              </w:rPr>
            </w:pPr>
            <w:r>
              <w:rPr>
                <w:rFonts w:hint="eastAsia" w:ascii="Times New Roman" w:hAnsi="Times New Roman" w:cs="Times New Roman"/>
                <w:color w:val="auto"/>
              </w:rPr>
              <w:t>采取上述措施后，施工期间不会对周围土壤环境产生明显影响。</w:t>
            </w:r>
          </w:p>
          <w:bookmarkEnd w:id="51"/>
          <w:p w14:paraId="4097A065">
            <w:pPr>
              <w:pStyle w:val="9"/>
              <w:rPr>
                <w:rFonts w:hint="default" w:ascii="Times New Roman" w:hAnsi="Times New Roman" w:cs="Times New Roman"/>
                <w:color w:val="auto"/>
              </w:rPr>
            </w:pPr>
            <w:r>
              <w:rPr>
                <w:rFonts w:hint="default" w:ascii="Times New Roman" w:hAnsi="Times New Roman" w:cs="Times New Roman"/>
                <w:color w:val="auto"/>
                <w:lang w:val="en-US" w:eastAsia="zh-CN"/>
              </w:rPr>
              <w:t>5</w:t>
            </w:r>
            <w:r>
              <w:rPr>
                <w:rFonts w:hint="default" w:ascii="Times New Roman" w:hAnsi="Times New Roman" w:cs="Times New Roman"/>
                <w:color w:val="auto"/>
              </w:rPr>
              <w:t>、声环境影响分析</w:t>
            </w:r>
          </w:p>
          <w:p w14:paraId="53D53FED">
            <w:pPr>
              <w:pStyle w:val="32"/>
              <w:rPr>
                <w:rFonts w:hint="default" w:ascii="Times New Roman" w:hAnsi="Times New Roman" w:cs="Times New Roman"/>
                <w:color w:val="auto"/>
              </w:rPr>
            </w:pPr>
            <w:r>
              <w:rPr>
                <w:rFonts w:hint="default" w:ascii="Times New Roman" w:hAnsi="Times New Roman" w:cs="Times New Roman"/>
                <w:color w:val="auto"/>
                <w:lang w:val="en-US" w:eastAsia="zh-CN"/>
              </w:rPr>
              <w:t>本项目</w:t>
            </w:r>
            <w:r>
              <w:rPr>
                <w:rFonts w:hint="default" w:ascii="Times New Roman" w:hAnsi="Times New Roman" w:cs="Times New Roman"/>
                <w:color w:val="auto"/>
              </w:rPr>
              <w:t>施工期噪声源</w:t>
            </w:r>
            <w:r>
              <w:rPr>
                <w:rFonts w:hint="default" w:ascii="Times New Roman" w:hAnsi="Times New Roman" w:cs="Times New Roman"/>
                <w:color w:val="auto"/>
                <w:lang w:val="en-US" w:eastAsia="zh-CN"/>
              </w:rPr>
              <w:t>主要为</w:t>
            </w:r>
            <w:r>
              <w:rPr>
                <w:rFonts w:hint="default" w:ascii="Times New Roman" w:hAnsi="Times New Roman" w:cs="Times New Roman"/>
                <w:color w:val="auto"/>
              </w:rPr>
              <w:t>柴油发电机、柴油机、钻井液循环泵和压裂车等各类施工机械，源强一般为85～110dB（A），基础减振降噪效果约为10dB（A）</w:t>
            </w:r>
            <w:r>
              <w:rPr>
                <w:rFonts w:hint="default" w:ascii="Times New Roman" w:hAnsi="Times New Roman" w:cs="Times New Roman"/>
                <w:color w:val="auto"/>
                <w:lang w:eastAsia="zh-CN"/>
              </w:rPr>
              <w:t>。</w:t>
            </w:r>
            <w:r>
              <w:rPr>
                <w:rFonts w:hint="default" w:ascii="Times New Roman" w:hAnsi="Times New Roman" w:cs="Times New Roman"/>
                <w:color w:val="auto"/>
              </w:rPr>
              <w:t>根据现场调查，声环境评价范围内没有固定居住人群等声敏感目标，不会造成扰民现象，施工期的噪声仅对施工人员产生影响。</w:t>
            </w:r>
            <w:bookmarkStart w:id="52" w:name="_Hlk163506224"/>
            <w:r>
              <w:rPr>
                <w:rFonts w:hint="default" w:ascii="Times New Roman" w:hAnsi="Times New Roman" w:cs="Times New Roman"/>
                <w:color w:val="auto"/>
              </w:rPr>
              <w:t>施工期噪声源及特性见表</w:t>
            </w:r>
            <w:r>
              <w:rPr>
                <w:rFonts w:hint="default" w:ascii="Times New Roman" w:hAnsi="Times New Roman" w:cs="Times New Roman"/>
                <w:color w:val="auto"/>
                <w:lang w:val="en-US" w:eastAsia="zh-CN"/>
              </w:rPr>
              <w:t>4-2</w:t>
            </w:r>
            <w:r>
              <w:rPr>
                <w:rFonts w:hint="default" w:ascii="Times New Roman" w:hAnsi="Times New Roman" w:cs="Times New Roman"/>
                <w:color w:val="auto"/>
              </w:rPr>
              <w:t>。</w:t>
            </w:r>
          </w:p>
          <w:p w14:paraId="370259F7">
            <w:pPr>
              <w:pStyle w:val="9"/>
              <w:ind w:firstLine="42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default" w:ascii="Times New Roman" w:hAnsi="Times New Roman" w:eastAsia="黑体" w:cs="Times New Roman"/>
                <w:b w:val="0"/>
                <w:bCs w:val="0"/>
                <w:color w:val="auto"/>
                <w:sz w:val="21"/>
                <w:szCs w:val="21"/>
                <w:lang w:val="en-US" w:eastAsia="zh-CN"/>
              </w:rPr>
              <w:t>4-2</w:t>
            </w:r>
            <w:r>
              <w:rPr>
                <w:rFonts w:hint="default" w:ascii="Times New Roman" w:hAnsi="Times New Roman" w:eastAsia="黑体" w:cs="Times New Roman"/>
                <w:b w:val="0"/>
                <w:bCs w:val="0"/>
                <w:color w:val="auto"/>
                <w:sz w:val="21"/>
                <w:szCs w:val="21"/>
              </w:rPr>
              <w:t xml:space="preserve">  施工期主要噪声源强特性</w:t>
            </w:r>
            <w:r>
              <w:rPr>
                <w:rFonts w:hint="default" w:ascii="Times New Roman" w:hAnsi="Times New Roman" w:eastAsia="黑体" w:cs="Times New Roman"/>
                <w:b w:val="0"/>
                <w:bCs w:val="0"/>
                <w:color w:val="auto"/>
                <w:sz w:val="21"/>
                <w:szCs w:val="21"/>
                <w:lang w:val="en-US" w:eastAsia="zh-CN"/>
              </w:rPr>
              <w:t xml:space="preserve">    </w:t>
            </w:r>
            <w:r>
              <w:rPr>
                <w:rFonts w:hint="default" w:ascii="Times New Roman" w:hAnsi="Times New Roman" w:eastAsia="黑体" w:cs="Times New Roman"/>
                <w:b w:val="0"/>
                <w:bCs w:val="0"/>
                <w:color w:val="auto"/>
                <w:sz w:val="21"/>
                <w:szCs w:val="21"/>
              </w:rPr>
              <w:t>单位：dB(A)</w:t>
            </w:r>
          </w:p>
          <w:tbl>
            <w:tblPr>
              <w:tblStyle w:val="109"/>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703"/>
              <w:gridCol w:w="1176"/>
              <w:gridCol w:w="566"/>
              <w:gridCol w:w="995"/>
              <w:gridCol w:w="707"/>
              <w:gridCol w:w="1032"/>
              <w:gridCol w:w="1066"/>
              <w:gridCol w:w="989"/>
            </w:tblGrid>
            <w:tr w14:paraId="12F2F0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Align w:val="center"/>
                </w:tcPr>
                <w:p w14:paraId="70421DA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时段</w:t>
                  </w:r>
                </w:p>
              </w:tc>
              <w:tc>
                <w:tcPr>
                  <w:tcW w:w="812" w:type="pct"/>
                  <w:vAlign w:val="center"/>
                </w:tcPr>
                <w:p w14:paraId="3378E0CB">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噪声设备</w:t>
                  </w:r>
                </w:p>
              </w:tc>
              <w:tc>
                <w:tcPr>
                  <w:tcW w:w="391" w:type="pct"/>
                  <w:vAlign w:val="center"/>
                </w:tcPr>
                <w:p w14:paraId="3F54A416">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数量</w:t>
                  </w:r>
                </w:p>
              </w:tc>
              <w:tc>
                <w:tcPr>
                  <w:tcW w:w="687" w:type="pct"/>
                  <w:vAlign w:val="center"/>
                </w:tcPr>
                <w:p w14:paraId="2D27BFC1">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单台源强</w:t>
                  </w:r>
                </w:p>
              </w:tc>
              <w:tc>
                <w:tcPr>
                  <w:tcW w:w="488" w:type="pct"/>
                  <w:vAlign w:val="center"/>
                </w:tcPr>
                <w:p w14:paraId="68F407D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距声源</w:t>
                  </w:r>
                </w:p>
              </w:tc>
              <w:tc>
                <w:tcPr>
                  <w:tcW w:w="713" w:type="pct"/>
                  <w:vAlign w:val="center"/>
                </w:tcPr>
                <w:p w14:paraId="74DD637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噪声特性</w:t>
                  </w:r>
                </w:p>
              </w:tc>
              <w:tc>
                <w:tcPr>
                  <w:tcW w:w="736" w:type="pct"/>
                  <w:vAlign w:val="center"/>
                </w:tcPr>
                <w:p w14:paraId="6C3E04C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排放时间</w:t>
                  </w:r>
                </w:p>
              </w:tc>
              <w:tc>
                <w:tcPr>
                  <w:tcW w:w="683" w:type="pct"/>
                  <w:vAlign w:val="center"/>
                </w:tcPr>
                <w:p w14:paraId="224A2ED2">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声源种类</w:t>
                  </w:r>
                </w:p>
              </w:tc>
            </w:tr>
            <w:tr w14:paraId="0661F0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restart"/>
                  <w:vAlign w:val="center"/>
                </w:tcPr>
                <w:p w14:paraId="73743DE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钻井期</w:t>
                  </w:r>
                </w:p>
              </w:tc>
              <w:tc>
                <w:tcPr>
                  <w:tcW w:w="812" w:type="pct"/>
                  <w:vAlign w:val="center"/>
                </w:tcPr>
                <w:p w14:paraId="4D776CFB">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钻机</w:t>
                  </w:r>
                </w:p>
              </w:tc>
              <w:tc>
                <w:tcPr>
                  <w:tcW w:w="391" w:type="pct"/>
                  <w:vAlign w:val="center"/>
                </w:tcPr>
                <w:p w14:paraId="799CBD82">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w:t>
                  </w:r>
                </w:p>
              </w:tc>
              <w:tc>
                <w:tcPr>
                  <w:tcW w:w="687" w:type="pct"/>
                  <w:vAlign w:val="center"/>
                </w:tcPr>
                <w:p w14:paraId="0D1F2CC0">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90</w:t>
                  </w:r>
                </w:p>
              </w:tc>
              <w:tc>
                <w:tcPr>
                  <w:tcW w:w="488" w:type="pct"/>
                  <w:vAlign w:val="center"/>
                </w:tcPr>
                <w:p w14:paraId="0004736F">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45CD06D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658C7C0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597F5EBA">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6C29FA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continue"/>
                  <w:vAlign w:val="center"/>
                </w:tcPr>
                <w:p w14:paraId="764B53B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812" w:type="pct"/>
                  <w:vAlign w:val="center"/>
                </w:tcPr>
                <w:p w14:paraId="42D78CB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泥浆泵</w:t>
                  </w:r>
                </w:p>
              </w:tc>
              <w:tc>
                <w:tcPr>
                  <w:tcW w:w="391" w:type="pct"/>
                  <w:vAlign w:val="center"/>
                </w:tcPr>
                <w:p w14:paraId="623E1E6C">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2</w:t>
                  </w:r>
                </w:p>
              </w:tc>
              <w:tc>
                <w:tcPr>
                  <w:tcW w:w="687" w:type="pct"/>
                  <w:vAlign w:val="center"/>
                </w:tcPr>
                <w:p w14:paraId="0421FC31">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90</w:t>
                  </w:r>
                </w:p>
              </w:tc>
              <w:tc>
                <w:tcPr>
                  <w:tcW w:w="488" w:type="pct"/>
                  <w:vAlign w:val="center"/>
                </w:tcPr>
                <w:p w14:paraId="26D486F2">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4249ACA8">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1F71927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630C5BC8">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2C7F6C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continue"/>
                  <w:vAlign w:val="center"/>
                </w:tcPr>
                <w:p w14:paraId="21712C22">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812" w:type="pct"/>
                  <w:vAlign w:val="center"/>
                </w:tcPr>
                <w:p w14:paraId="0DB6DC83">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振动筛</w:t>
                  </w:r>
                </w:p>
              </w:tc>
              <w:tc>
                <w:tcPr>
                  <w:tcW w:w="391" w:type="pct"/>
                  <w:vAlign w:val="center"/>
                </w:tcPr>
                <w:p w14:paraId="3B363DFF">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3</w:t>
                  </w:r>
                </w:p>
              </w:tc>
              <w:tc>
                <w:tcPr>
                  <w:tcW w:w="687" w:type="pct"/>
                  <w:vAlign w:val="center"/>
                </w:tcPr>
                <w:p w14:paraId="2AF5202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100</w:t>
                  </w:r>
                </w:p>
              </w:tc>
              <w:tc>
                <w:tcPr>
                  <w:tcW w:w="488" w:type="pct"/>
                  <w:vAlign w:val="center"/>
                </w:tcPr>
                <w:p w14:paraId="18DF3AB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46DBF09E">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7EAAC672">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788BF693">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64A1F3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continue"/>
                  <w:vAlign w:val="center"/>
                </w:tcPr>
                <w:p w14:paraId="2F77F0E6">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812" w:type="pct"/>
                  <w:vAlign w:val="center"/>
                </w:tcPr>
                <w:p w14:paraId="2761842B">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柴油发电机</w:t>
                  </w:r>
                </w:p>
              </w:tc>
              <w:tc>
                <w:tcPr>
                  <w:tcW w:w="391" w:type="pct"/>
                  <w:vAlign w:val="center"/>
                </w:tcPr>
                <w:p w14:paraId="63182C9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2</w:t>
                  </w:r>
                </w:p>
              </w:tc>
              <w:tc>
                <w:tcPr>
                  <w:tcW w:w="687" w:type="pct"/>
                  <w:vAlign w:val="center"/>
                </w:tcPr>
                <w:p w14:paraId="31730421">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85</w:t>
                  </w:r>
                </w:p>
              </w:tc>
              <w:tc>
                <w:tcPr>
                  <w:tcW w:w="488" w:type="pct"/>
                  <w:vAlign w:val="center"/>
                </w:tcPr>
                <w:p w14:paraId="2472421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4E5DB5CF">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7C14970B">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3CF380D3">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2F258D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continue"/>
                  <w:vAlign w:val="center"/>
                </w:tcPr>
                <w:p w14:paraId="341A533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812" w:type="pct"/>
                  <w:vAlign w:val="center"/>
                </w:tcPr>
                <w:p w14:paraId="70F6DC5C">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柴油机</w:t>
                  </w:r>
                </w:p>
              </w:tc>
              <w:tc>
                <w:tcPr>
                  <w:tcW w:w="391" w:type="pct"/>
                  <w:vAlign w:val="center"/>
                </w:tcPr>
                <w:p w14:paraId="4970B9E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4</w:t>
                  </w:r>
                </w:p>
              </w:tc>
              <w:tc>
                <w:tcPr>
                  <w:tcW w:w="687" w:type="pct"/>
                  <w:vAlign w:val="center"/>
                </w:tcPr>
                <w:p w14:paraId="0498656E">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95</w:t>
                  </w:r>
                </w:p>
              </w:tc>
              <w:tc>
                <w:tcPr>
                  <w:tcW w:w="488" w:type="pct"/>
                  <w:vAlign w:val="center"/>
                </w:tcPr>
                <w:p w14:paraId="6577DB4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4223A348">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6C3BEA5A">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519A7FCC">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2D28B7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restart"/>
                  <w:vAlign w:val="center"/>
                </w:tcPr>
                <w:p w14:paraId="4EBBD40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试油期</w:t>
                  </w:r>
                </w:p>
              </w:tc>
              <w:tc>
                <w:tcPr>
                  <w:tcW w:w="812" w:type="pct"/>
                  <w:vAlign w:val="center"/>
                </w:tcPr>
                <w:p w14:paraId="16C1926B">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压裂车</w:t>
                  </w:r>
                </w:p>
              </w:tc>
              <w:tc>
                <w:tcPr>
                  <w:tcW w:w="391" w:type="pct"/>
                  <w:vAlign w:val="center"/>
                </w:tcPr>
                <w:p w14:paraId="1B1ADB1B">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8</w:t>
                  </w:r>
                </w:p>
              </w:tc>
              <w:tc>
                <w:tcPr>
                  <w:tcW w:w="687" w:type="pct"/>
                  <w:vAlign w:val="center"/>
                </w:tcPr>
                <w:p w14:paraId="7054522E">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100</w:t>
                  </w:r>
                </w:p>
              </w:tc>
              <w:tc>
                <w:tcPr>
                  <w:tcW w:w="488" w:type="pct"/>
                  <w:vAlign w:val="center"/>
                </w:tcPr>
                <w:p w14:paraId="6DE1917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01966BA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02ACD56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3B830A23">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5EE0C1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continue"/>
                  <w:vAlign w:val="center"/>
                </w:tcPr>
                <w:p w14:paraId="0E15298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812" w:type="pct"/>
                  <w:vAlign w:val="center"/>
                </w:tcPr>
                <w:p w14:paraId="5CE7136E">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射孔车</w:t>
                  </w:r>
                </w:p>
              </w:tc>
              <w:tc>
                <w:tcPr>
                  <w:tcW w:w="391" w:type="pct"/>
                  <w:vAlign w:val="center"/>
                </w:tcPr>
                <w:p w14:paraId="27E158AD">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w:t>
                  </w:r>
                </w:p>
              </w:tc>
              <w:tc>
                <w:tcPr>
                  <w:tcW w:w="687" w:type="pct"/>
                  <w:vAlign w:val="center"/>
                </w:tcPr>
                <w:p w14:paraId="0B13A60A">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100</w:t>
                  </w:r>
                </w:p>
              </w:tc>
              <w:tc>
                <w:tcPr>
                  <w:tcW w:w="488" w:type="pct"/>
                  <w:vAlign w:val="center"/>
                </w:tcPr>
                <w:p w14:paraId="0BD5822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1m</w:t>
                  </w:r>
                </w:p>
              </w:tc>
              <w:tc>
                <w:tcPr>
                  <w:tcW w:w="713" w:type="pct"/>
                  <w:vAlign w:val="center"/>
                </w:tcPr>
                <w:p w14:paraId="18EF1F09">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机械</w:t>
                  </w:r>
                </w:p>
              </w:tc>
              <w:tc>
                <w:tcPr>
                  <w:tcW w:w="736" w:type="pct"/>
                  <w:vAlign w:val="center"/>
                </w:tcPr>
                <w:p w14:paraId="28866254">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昼夜连续</w:t>
                  </w:r>
                </w:p>
              </w:tc>
              <w:tc>
                <w:tcPr>
                  <w:tcW w:w="683" w:type="pct"/>
                  <w:vAlign w:val="center"/>
                </w:tcPr>
                <w:p w14:paraId="467703FC">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固定声源</w:t>
                  </w:r>
                </w:p>
              </w:tc>
            </w:tr>
            <w:tr w14:paraId="7186F7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6" w:type="pct"/>
                  <w:vMerge w:val="continue"/>
                  <w:vAlign w:val="center"/>
                </w:tcPr>
                <w:p w14:paraId="12D46E05">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812" w:type="pct"/>
                  <w:shd w:val="clear" w:color="auto" w:fill="auto"/>
                  <w:vAlign w:val="center"/>
                </w:tcPr>
                <w:p w14:paraId="1A0E6020">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柴油发电机</w:t>
                  </w:r>
                </w:p>
              </w:tc>
              <w:tc>
                <w:tcPr>
                  <w:tcW w:w="391" w:type="pct"/>
                  <w:vAlign w:val="center"/>
                </w:tcPr>
                <w:p w14:paraId="41D2EF08">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w:t>
                  </w:r>
                </w:p>
              </w:tc>
              <w:tc>
                <w:tcPr>
                  <w:tcW w:w="687" w:type="pct"/>
                  <w:vAlign w:val="center"/>
                </w:tcPr>
                <w:p w14:paraId="144091B1">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85</w:t>
                  </w:r>
                </w:p>
              </w:tc>
              <w:tc>
                <w:tcPr>
                  <w:tcW w:w="488" w:type="pct"/>
                  <w:vAlign w:val="center"/>
                </w:tcPr>
                <w:p w14:paraId="13F6159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1m</w:t>
                  </w:r>
                </w:p>
              </w:tc>
              <w:tc>
                <w:tcPr>
                  <w:tcW w:w="713" w:type="pct"/>
                  <w:shd w:val="clear" w:color="auto" w:fill="auto"/>
                  <w:vAlign w:val="center"/>
                </w:tcPr>
                <w:p w14:paraId="61C726B3">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机械</w:t>
                  </w:r>
                </w:p>
              </w:tc>
              <w:tc>
                <w:tcPr>
                  <w:tcW w:w="736" w:type="pct"/>
                  <w:shd w:val="clear" w:color="auto" w:fill="auto"/>
                  <w:vAlign w:val="center"/>
                </w:tcPr>
                <w:p w14:paraId="5FF9F0FC">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昼夜连续</w:t>
                  </w:r>
                </w:p>
              </w:tc>
              <w:tc>
                <w:tcPr>
                  <w:tcW w:w="683" w:type="pct"/>
                  <w:shd w:val="clear" w:color="auto" w:fill="auto"/>
                  <w:vAlign w:val="center"/>
                </w:tcPr>
                <w:p w14:paraId="342CC307">
                  <w:pPr>
                    <w:pStyle w:val="4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固定声源</w:t>
                  </w:r>
                </w:p>
              </w:tc>
            </w:tr>
          </w:tbl>
          <w:p w14:paraId="6F74B49D">
            <w:pPr>
              <w:pStyle w:val="32"/>
              <w:rPr>
                <w:rFonts w:hint="default" w:ascii="Times New Roman" w:hAnsi="Times New Roman" w:cs="Times New Roman"/>
                <w:color w:val="auto"/>
              </w:rPr>
            </w:pPr>
            <w:r>
              <w:rPr>
                <w:rFonts w:hint="default" w:ascii="Times New Roman" w:hAnsi="Times New Roman" w:cs="Times New Roman"/>
                <w:color w:val="auto"/>
              </w:rPr>
              <w:t>施工过程不同类型施工机械在不同距离处的噪声预测值见</w:t>
            </w:r>
            <w:r>
              <w:rPr>
                <w:rFonts w:hint="eastAsia" w:ascii="Times New Roman" w:hAnsi="Times New Roman" w:cs="Times New Roman"/>
                <w:color w:val="auto"/>
                <w:lang w:val="en-US" w:eastAsia="zh-CN"/>
              </w:rPr>
              <w:t>表4-3</w:t>
            </w:r>
            <w:r>
              <w:rPr>
                <w:rFonts w:hint="default" w:ascii="Times New Roman" w:hAnsi="Times New Roman" w:cs="Times New Roman"/>
                <w:color w:val="auto"/>
              </w:rPr>
              <w:t>。</w:t>
            </w:r>
          </w:p>
          <w:p w14:paraId="6BAE5F3C">
            <w:pPr>
              <w:pStyle w:val="9"/>
              <w:ind w:firstLine="420"/>
              <w:jc w:val="center"/>
              <w:rPr>
                <w:rFonts w:hint="default" w:ascii="Times New Roman" w:hAnsi="Times New Roman" w:eastAsia="黑体" w:cs="Times New Roman"/>
                <w:b w:val="0"/>
                <w:bCs w:val="0"/>
                <w:color w:val="auto"/>
                <w:sz w:val="21"/>
                <w:szCs w:val="21"/>
              </w:rPr>
            </w:pPr>
          </w:p>
          <w:p w14:paraId="3A5DD1EA">
            <w:pPr>
              <w:pStyle w:val="9"/>
              <w:ind w:firstLine="420"/>
              <w:jc w:val="center"/>
              <w:rPr>
                <w:rFonts w:hint="default" w:ascii="Times New Roman" w:hAnsi="Times New Roman" w:eastAsia="黑体" w:cs="Times New Roman"/>
                <w:b w:val="0"/>
                <w:bCs w:val="0"/>
                <w:color w:val="auto"/>
                <w:sz w:val="21"/>
                <w:szCs w:val="21"/>
              </w:rPr>
            </w:pPr>
          </w:p>
          <w:p w14:paraId="19C60964">
            <w:pPr>
              <w:pStyle w:val="9"/>
              <w:ind w:firstLine="420"/>
              <w:jc w:val="center"/>
              <w:rPr>
                <w:rFonts w:hint="default" w:ascii="Times New Roman" w:hAnsi="Times New Roman" w:eastAsia="黑体" w:cs="Times New Roman"/>
                <w:b w:val="0"/>
                <w:bCs w:val="0"/>
                <w:color w:val="auto"/>
                <w:sz w:val="21"/>
                <w:szCs w:val="21"/>
              </w:rPr>
            </w:pPr>
          </w:p>
          <w:p w14:paraId="3B8977C4">
            <w:pPr>
              <w:pStyle w:val="9"/>
              <w:ind w:firstLine="42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default" w:ascii="Times New Roman" w:hAnsi="Times New Roman" w:eastAsia="黑体" w:cs="Times New Roman"/>
                <w:b w:val="0"/>
                <w:bCs w:val="0"/>
                <w:color w:val="auto"/>
                <w:sz w:val="21"/>
                <w:szCs w:val="21"/>
                <w:lang w:val="en-US" w:eastAsia="zh-CN"/>
              </w:rPr>
              <w:t>4-3</w:t>
            </w:r>
            <w:r>
              <w:rPr>
                <w:rFonts w:hint="default" w:ascii="Times New Roman" w:hAnsi="Times New Roman" w:eastAsia="黑体" w:cs="Times New Roman"/>
                <w:b w:val="0"/>
                <w:bCs w:val="0"/>
                <w:color w:val="auto"/>
                <w:sz w:val="21"/>
                <w:szCs w:val="21"/>
              </w:rPr>
              <w:t xml:space="preserve">  各种施工机械在不同距离的噪声预测值    单位：dB（A）</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15"/>
              <w:gridCol w:w="441"/>
              <w:gridCol w:w="451"/>
              <w:gridCol w:w="352"/>
              <w:gridCol w:w="352"/>
              <w:gridCol w:w="352"/>
              <w:gridCol w:w="352"/>
              <w:gridCol w:w="352"/>
              <w:gridCol w:w="352"/>
              <w:gridCol w:w="352"/>
              <w:gridCol w:w="352"/>
              <w:gridCol w:w="352"/>
              <w:gridCol w:w="352"/>
              <w:gridCol w:w="441"/>
              <w:gridCol w:w="441"/>
              <w:gridCol w:w="441"/>
              <w:gridCol w:w="442"/>
              <w:gridCol w:w="442"/>
            </w:tblGrid>
            <w:tr w14:paraId="10204F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23C46B8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距离（m）</w:t>
                  </w:r>
                </w:p>
              </w:tc>
              <w:tc>
                <w:tcPr>
                  <w:tcW w:w="304" w:type="pct"/>
                  <w:vAlign w:val="center"/>
                </w:tcPr>
                <w:p w14:paraId="415CEA69">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源强</w:t>
                  </w:r>
                </w:p>
              </w:tc>
              <w:tc>
                <w:tcPr>
                  <w:tcW w:w="311" w:type="pct"/>
                  <w:vAlign w:val="center"/>
                </w:tcPr>
                <w:p w14:paraId="2499A0F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基础减振后</w:t>
                  </w:r>
                </w:p>
              </w:tc>
              <w:tc>
                <w:tcPr>
                  <w:tcW w:w="243" w:type="pct"/>
                  <w:vAlign w:val="center"/>
                </w:tcPr>
                <w:p w14:paraId="34C160B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243" w:type="pct"/>
                  <w:vAlign w:val="center"/>
                </w:tcPr>
                <w:p w14:paraId="79A7909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243" w:type="pct"/>
                  <w:vAlign w:val="center"/>
                </w:tcPr>
                <w:p w14:paraId="2C63ABD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243" w:type="pct"/>
                  <w:vAlign w:val="center"/>
                </w:tcPr>
                <w:p w14:paraId="06C4BBB7">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w:t>
                  </w:r>
                </w:p>
              </w:tc>
              <w:tc>
                <w:tcPr>
                  <w:tcW w:w="243" w:type="pct"/>
                  <w:vAlign w:val="center"/>
                </w:tcPr>
                <w:p w14:paraId="4462161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243" w:type="pct"/>
                  <w:vAlign w:val="center"/>
                </w:tcPr>
                <w:p w14:paraId="01F5B26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30</w:t>
                  </w:r>
                </w:p>
              </w:tc>
              <w:tc>
                <w:tcPr>
                  <w:tcW w:w="243" w:type="pct"/>
                  <w:vAlign w:val="center"/>
                </w:tcPr>
                <w:p w14:paraId="49C977D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w:t>
                  </w:r>
                </w:p>
              </w:tc>
              <w:tc>
                <w:tcPr>
                  <w:tcW w:w="243" w:type="pct"/>
                  <w:vAlign w:val="center"/>
                </w:tcPr>
                <w:p w14:paraId="5107B1A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50</w:t>
                  </w:r>
                </w:p>
              </w:tc>
              <w:tc>
                <w:tcPr>
                  <w:tcW w:w="243" w:type="pct"/>
                  <w:vAlign w:val="center"/>
                </w:tcPr>
                <w:p w14:paraId="2F371AC7">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60</w:t>
                  </w:r>
                </w:p>
              </w:tc>
              <w:tc>
                <w:tcPr>
                  <w:tcW w:w="243" w:type="pct"/>
                  <w:vAlign w:val="center"/>
                </w:tcPr>
                <w:p w14:paraId="700B063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80</w:t>
                  </w:r>
                </w:p>
              </w:tc>
              <w:tc>
                <w:tcPr>
                  <w:tcW w:w="304" w:type="pct"/>
                  <w:vAlign w:val="center"/>
                </w:tcPr>
                <w:p w14:paraId="71FAD947">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100</w:t>
                  </w:r>
                </w:p>
              </w:tc>
              <w:tc>
                <w:tcPr>
                  <w:tcW w:w="304" w:type="pct"/>
                  <w:vAlign w:val="center"/>
                </w:tcPr>
                <w:p w14:paraId="3F6E5C8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120</w:t>
                  </w:r>
                </w:p>
              </w:tc>
              <w:tc>
                <w:tcPr>
                  <w:tcW w:w="304" w:type="pct"/>
                  <w:vAlign w:val="center"/>
                </w:tcPr>
                <w:p w14:paraId="07E0518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140</w:t>
                  </w:r>
                </w:p>
              </w:tc>
              <w:tc>
                <w:tcPr>
                  <w:tcW w:w="304" w:type="pct"/>
                  <w:vAlign w:val="center"/>
                </w:tcPr>
                <w:p w14:paraId="43A4818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160</w:t>
                  </w:r>
                </w:p>
              </w:tc>
              <w:tc>
                <w:tcPr>
                  <w:tcW w:w="304" w:type="pct"/>
                  <w:vAlign w:val="center"/>
                </w:tcPr>
                <w:p w14:paraId="19092D6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200</w:t>
                  </w:r>
                </w:p>
              </w:tc>
            </w:tr>
            <w:tr w14:paraId="09EB4C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42A4C40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钻机</w:t>
                  </w:r>
                </w:p>
              </w:tc>
              <w:tc>
                <w:tcPr>
                  <w:tcW w:w="304" w:type="pct"/>
                  <w:vAlign w:val="center"/>
                </w:tcPr>
                <w:p w14:paraId="4600115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90</w:t>
                  </w:r>
                </w:p>
              </w:tc>
              <w:tc>
                <w:tcPr>
                  <w:tcW w:w="311" w:type="pct"/>
                  <w:vAlign w:val="center"/>
                </w:tcPr>
                <w:p w14:paraId="0BA6DCB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80</w:t>
                  </w:r>
                </w:p>
              </w:tc>
              <w:tc>
                <w:tcPr>
                  <w:tcW w:w="243" w:type="pct"/>
                  <w:vAlign w:val="center"/>
                </w:tcPr>
                <w:p w14:paraId="1B6D968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66</w:t>
                  </w:r>
                </w:p>
              </w:tc>
              <w:tc>
                <w:tcPr>
                  <w:tcW w:w="243" w:type="pct"/>
                  <w:vAlign w:val="center"/>
                </w:tcPr>
                <w:p w14:paraId="5635325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60</w:t>
                  </w:r>
                </w:p>
              </w:tc>
              <w:tc>
                <w:tcPr>
                  <w:tcW w:w="243" w:type="pct"/>
                  <w:vAlign w:val="center"/>
                </w:tcPr>
                <w:p w14:paraId="51D8A69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56</w:t>
                  </w:r>
                </w:p>
              </w:tc>
              <w:tc>
                <w:tcPr>
                  <w:tcW w:w="243" w:type="pct"/>
                  <w:vAlign w:val="center"/>
                </w:tcPr>
                <w:p w14:paraId="7F7AF1A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54</w:t>
                  </w:r>
                </w:p>
              </w:tc>
              <w:tc>
                <w:tcPr>
                  <w:tcW w:w="243" w:type="pct"/>
                  <w:vAlign w:val="center"/>
                </w:tcPr>
                <w:p w14:paraId="2A95598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52</w:t>
                  </w:r>
                </w:p>
              </w:tc>
              <w:tc>
                <w:tcPr>
                  <w:tcW w:w="243" w:type="pct"/>
                  <w:vAlign w:val="center"/>
                </w:tcPr>
                <w:p w14:paraId="3E97686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50</w:t>
                  </w:r>
                </w:p>
              </w:tc>
              <w:tc>
                <w:tcPr>
                  <w:tcW w:w="243" w:type="pct"/>
                  <w:vAlign w:val="center"/>
                </w:tcPr>
                <w:p w14:paraId="518E112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243" w:type="pct"/>
                  <w:vAlign w:val="center"/>
                </w:tcPr>
                <w:p w14:paraId="5234490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46</w:t>
                  </w:r>
                </w:p>
              </w:tc>
              <w:tc>
                <w:tcPr>
                  <w:tcW w:w="243" w:type="pct"/>
                  <w:vAlign w:val="center"/>
                </w:tcPr>
                <w:p w14:paraId="3AE1644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44</w:t>
                  </w:r>
                </w:p>
              </w:tc>
              <w:tc>
                <w:tcPr>
                  <w:tcW w:w="243" w:type="pct"/>
                  <w:vAlign w:val="center"/>
                </w:tcPr>
                <w:p w14:paraId="73D2065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42</w:t>
                  </w:r>
                </w:p>
              </w:tc>
              <w:tc>
                <w:tcPr>
                  <w:tcW w:w="304" w:type="pct"/>
                  <w:vAlign w:val="center"/>
                </w:tcPr>
                <w:p w14:paraId="5B49F0B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w:t>
                  </w:r>
                </w:p>
              </w:tc>
              <w:tc>
                <w:tcPr>
                  <w:tcW w:w="304" w:type="pct"/>
                  <w:vAlign w:val="center"/>
                </w:tcPr>
                <w:p w14:paraId="3EA3ECC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38</w:t>
                  </w:r>
                </w:p>
              </w:tc>
              <w:tc>
                <w:tcPr>
                  <w:tcW w:w="304" w:type="pct"/>
                  <w:vAlign w:val="center"/>
                </w:tcPr>
                <w:p w14:paraId="31BE66E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37</w:t>
                  </w:r>
                </w:p>
              </w:tc>
              <w:tc>
                <w:tcPr>
                  <w:tcW w:w="304" w:type="pct"/>
                  <w:vAlign w:val="center"/>
                </w:tcPr>
                <w:p w14:paraId="707E8DF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36</w:t>
                  </w:r>
                </w:p>
              </w:tc>
              <w:tc>
                <w:tcPr>
                  <w:tcW w:w="304" w:type="pct"/>
                  <w:vAlign w:val="center"/>
                </w:tcPr>
                <w:p w14:paraId="421A66E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34</w:t>
                  </w:r>
                </w:p>
              </w:tc>
            </w:tr>
            <w:tr w14:paraId="37DD8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22D5DEB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泥浆泵</w:t>
                  </w:r>
                </w:p>
              </w:tc>
              <w:tc>
                <w:tcPr>
                  <w:tcW w:w="304" w:type="pct"/>
                  <w:vAlign w:val="center"/>
                </w:tcPr>
                <w:p w14:paraId="01CD1AA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93</w:t>
                  </w:r>
                </w:p>
              </w:tc>
              <w:tc>
                <w:tcPr>
                  <w:tcW w:w="311" w:type="pct"/>
                  <w:vAlign w:val="center"/>
                </w:tcPr>
                <w:p w14:paraId="3485015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8</w:t>
                  </w:r>
                  <w:r>
                    <w:rPr>
                      <w:rFonts w:hint="default" w:ascii="Times New Roman" w:hAnsi="Times New Roman" w:cs="Times New Roman"/>
                      <w:color w:val="auto"/>
                      <w:sz w:val="18"/>
                      <w:szCs w:val="18"/>
                      <w:lang w:val="en-US" w:eastAsia="zh-CN"/>
                    </w:rPr>
                    <w:t>3</w:t>
                  </w:r>
                </w:p>
              </w:tc>
              <w:tc>
                <w:tcPr>
                  <w:tcW w:w="243" w:type="pct"/>
                  <w:vAlign w:val="center"/>
                </w:tcPr>
                <w:p w14:paraId="6D90492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79</w:t>
                  </w:r>
                </w:p>
              </w:tc>
              <w:tc>
                <w:tcPr>
                  <w:tcW w:w="243" w:type="pct"/>
                  <w:vAlign w:val="center"/>
                </w:tcPr>
                <w:p w14:paraId="535468D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73</w:t>
                  </w:r>
                </w:p>
              </w:tc>
              <w:tc>
                <w:tcPr>
                  <w:tcW w:w="243" w:type="pct"/>
                  <w:vAlign w:val="center"/>
                </w:tcPr>
                <w:p w14:paraId="6847C99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69</w:t>
                  </w:r>
                </w:p>
              </w:tc>
              <w:tc>
                <w:tcPr>
                  <w:tcW w:w="243" w:type="pct"/>
                  <w:vAlign w:val="center"/>
                </w:tcPr>
                <w:p w14:paraId="250C8D0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67</w:t>
                  </w:r>
                </w:p>
              </w:tc>
              <w:tc>
                <w:tcPr>
                  <w:tcW w:w="243" w:type="pct"/>
                  <w:vAlign w:val="center"/>
                </w:tcPr>
                <w:p w14:paraId="6D8A243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65</w:t>
                  </w:r>
                </w:p>
              </w:tc>
              <w:tc>
                <w:tcPr>
                  <w:tcW w:w="243" w:type="pct"/>
                  <w:vAlign w:val="center"/>
                </w:tcPr>
                <w:p w14:paraId="679C75C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63</w:t>
                  </w:r>
                </w:p>
              </w:tc>
              <w:tc>
                <w:tcPr>
                  <w:tcW w:w="243" w:type="pct"/>
                  <w:vAlign w:val="center"/>
                </w:tcPr>
                <w:p w14:paraId="785F0977">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61</w:t>
                  </w:r>
                </w:p>
              </w:tc>
              <w:tc>
                <w:tcPr>
                  <w:tcW w:w="243" w:type="pct"/>
                  <w:vAlign w:val="center"/>
                </w:tcPr>
                <w:p w14:paraId="70FB009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59</w:t>
                  </w:r>
                </w:p>
              </w:tc>
              <w:tc>
                <w:tcPr>
                  <w:tcW w:w="243" w:type="pct"/>
                  <w:vAlign w:val="center"/>
                </w:tcPr>
                <w:p w14:paraId="685232C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57</w:t>
                  </w:r>
                </w:p>
              </w:tc>
              <w:tc>
                <w:tcPr>
                  <w:tcW w:w="243" w:type="pct"/>
                  <w:vAlign w:val="center"/>
                </w:tcPr>
                <w:p w14:paraId="34724C9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55</w:t>
                  </w:r>
                </w:p>
              </w:tc>
              <w:tc>
                <w:tcPr>
                  <w:tcW w:w="304" w:type="pct"/>
                  <w:vAlign w:val="center"/>
                </w:tcPr>
                <w:p w14:paraId="1FF0157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53</w:t>
                  </w:r>
                </w:p>
              </w:tc>
              <w:tc>
                <w:tcPr>
                  <w:tcW w:w="304" w:type="pct"/>
                  <w:vAlign w:val="center"/>
                </w:tcPr>
                <w:p w14:paraId="5874584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51</w:t>
                  </w:r>
                </w:p>
              </w:tc>
              <w:tc>
                <w:tcPr>
                  <w:tcW w:w="304" w:type="pct"/>
                  <w:vAlign w:val="center"/>
                </w:tcPr>
                <w:p w14:paraId="026CC5F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50</w:t>
                  </w:r>
                </w:p>
              </w:tc>
              <w:tc>
                <w:tcPr>
                  <w:tcW w:w="304" w:type="pct"/>
                  <w:vAlign w:val="center"/>
                </w:tcPr>
                <w:p w14:paraId="21F434F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49</w:t>
                  </w:r>
                </w:p>
              </w:tc>
              <w:tc>
                <w:tcPr>
                  <w:tcW w:w="304" w:type="pct"/>
                  <w:vAlign w:val="center"/>
                </w:tcPr>
                <w:p w14:paraId="30A1524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47</w:t>
                  </w:r>
                </w:p>
              </w:tc>
            </w:tr>
            <w:tr w14:paraId="6A1FB4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497685A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振动筛</w:t>
                  </w:r>
                </w:p>
              </w:tc>
              <w:tc>
                <w:tcPr>
                  <w:tcW w:w="304" w:type="pct"/>
                  <w:vAlign w:val="center"/>
                </w:tcPr>
                <w:p w14:paraId="62F3076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311" w:type="pct"/>
                  <w:vAlign w:val="center"/>
                </w:tcPr>
                <w:p w14:paraId="2070C8A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95</w:t>
                  </w:r>
                </w:p>
              </w:tc>
              <w:tc>
                <w:tcPr>
                  <w:tcW w:w="243" w:type="pct"/>
                  <w:vAlign w:val="center"/>
                </w:tcPr>
                <w:p w14:paraId="21CF53C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81</w:t>
                  </w:r>
                </w:p>
              </w:tc>
              <w:tc>
                <w:tcPr>
                  <w:tcW w:w="243" w:type="pct"/>
                  <w:vAlign w:val="center"/>
                </w:tcPr>
                <w:p w14:paraId="29CE360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75</w:t>
                  </w:r>
                </w:p>
              </w:tc>
              <w:tc>
                <w:tcPr>
                  <w:tcW w:w="243" w:type="pct"/>
                  <w:vAlign w:val="center"/>
                </w:tcPr>
                <w:p w14:paraId="66FBE65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71</w:t>
                  </w:r>
                </w:p>
              </w:tc>
              <w:tc>
                <w:tcPr>
                  <w:tcW w:w="243" w:type="pct"/>
                  <w:vAlign w:val="center"/>
                </w:tcPr>
                <w:p w14:paraId="68BF6C3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69</w:t>
                  </w:r>
                </w:p>
              </w:tc>
              <w:tc>
                <w:tcPr>
                  <w:tcW w:w="243" w:type="pct"/>
                  <w:vAlign w:val="center"/>
                </w:tcPr>
                <w:p w14:paraId="12A876E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67</w:t>
                  </w:r>
                </w:p>
              </w:tc>
              <w:tc>
                <w:tcPr>
                  <w:tcW w:w="243" w:type="pct"/>
                  <w:vAlign w:val="center"/>
                </w:tcPr>
                <w:p w14:paraId="63E6DA87">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243" w:type="pct"/>
                  <w:vAlign w:val="center"/>
                </w:tcPr>
                <w:p w14:paraId="2A5A5FF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63</w:t>
                  </w:r>
                </w:p>
              </w:tc>
              <w:tc>
                <w:tcPr>
                  <w:tcW w:w="243" w:type="pct"/>
                  <w:vAlign w:val="center"/>
                </w:tcPr>
                <w:p w14:paraId="6821127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61</w:t>
                  </w:r>
                </w:p>
              </w:tc>
              <w:tc>
                <w:tcPr>
                  <w:tcW w:w="243" w:type="pct"/>
                  <w:vAlign w:val="center"/>
                </w:tcPr>
                <w:p w14:paraId="57CD9FB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59</w:t>
                  </w:r>
                </w:p>
              </w:tc>
              <w:tc>
                <w:tcPr>
                  <w:tcW w:w="243" w:type="pct"/>
                  <w:vAlign w:val="center"/>
                </w:tcPr>
                <w:p w14:paraId="067421F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57</w:t>
                  </w:r>
                </w:p>
              </w:tc>
              <w:tc>
                <w:tcPr>
                  <w:tcW w:w="304" w:type="pct"/>
                  <w:vAlign w:val="center"/>
                </w:tcPr>
                <w:p w14:paraId="3046EFD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55</w:t>
                  </w:r>
                </w:p>
              </w:tc>
              <w:tc>
                <w:tcPr>
                  <w:tcW w:w="304" w:type="pct"/>
                  <w:vAlign w:val="center"/>
                </w:tcPr>
                <w:p w14:paraId="2C6B19E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53</w:t>
                  </w:r>
                </w:p>
              </w:tc>
              <w:tc>
                <w:tcPr>
                  <w:tcW w:w="304" w:type="pct"/>
                  <w:vAlign w:val="center"/>
                </w:tcPr>
                <w:p w14:paraId="23CD081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52</w:t>
                  </w:r>
                </w:p>
              </w:tc>
              <w:tc>
                <w:tcPr>
                  <w:tcW w:w="304" w:type="pct"/>
                  <w:vAlign w:val="center"/>
                </w:tcPr>
                <w:p w14:paraId="0BBB053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51</w:t>
                  </w:r>
                </w:p>
              </w:tc>
              <w:tc>
                <w:tcPr>
                  <w:tcW w:w="304" w:type="pct"/>
                  <w:vAlign w:val="center"/>
                </w:tcPr>
                <w:p w14:paraId="20C2BED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49</w:t>
                  </w:r>
                </w:p>
              </w:tc>
            </w:tr>
            <w:tr w14:paraId="5E28BF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5D545C9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柴油发电机</w:t>
                  </w:r>
                </w:p>
              </w:tc>
              <w:tc>
                <w:tcPr>
                  <w:tcW w:w="304" w:type="pct"/>
                  <w:vAlign w:val="center"/>
                </w:tcPr>
                <w:p w14:paraId="0870E14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88</w:t>
                  </w:r>
                </w:p>
              </w:tc>
              <w:tc>
                <w:tcPr>
                  <w:tcW w:w="311" w:type="pct"/>
                  <w:vAlign w:val="center"/>
                </w:tcPr>
                <w:p w14:paraId="6D8015A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7</w:t>
                  </w:r>
                  <w:r>
                    <w:rPr>
                      <w:rFonts w:hint="default" w:ascii="Times New Roman" w:hAnsi="Times New Roman" w:cs="Times New Roman"/>
                      <w:color w:val="auto"/>
                      <w:sz w:val="18"/>
                      <w:szCs w:val="18"/>
                    </w:rPr>
                    <w:t>8</w:t>
                  </w:r>
                </w:p>
              </w:tc>
              <w:tc>
                <w:tcPr>
                  <w:tcW w:w="243" w:type="pct"/>
                  <w:vAlign w:val="center"/>
                </w:tcPr>
                <w:p w14:paraId="65CB508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64</w:t>
                  </w:r>
                </w:p>
              </w:tc>
              <w:tc>
                <w:tcPr>
                  <w:tcW w:w="243" w:type="pct"/>
                  <w:vAlign w:val="center"/>
                </w:tcPr>
                <w:p w14:paraId="43DC3E8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58</w:t>
                  </w:r>
                </w:p>
              </w:tc>
              <w:tc>
                <w:tcPr>
                  <w:tcW w:w="243" w:type="pct"/>
                  <w:vAlign w:val="center"/>
                </w:tcPr>
                <w:p w14:paraId="7358915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54</w:t>
                  </w:r>
                </w:p>
              </w:tc>
              <w:tc>
                <w:tcPr>
                  <w:tcW w:w="243" w:type="pct"/>
                  <w:vAlign w:val="center"/>
                </w:tcPr>
                <w:p w14:paraId="27CBD86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52</w:t>
                  </w:r>
                </w:p>
              </w:tc>
              <w:tc>
                <w:tcPr>
                  <w:tcW w:w="243" w:type="pct"/>
                  <w:vAlign w:val="center"/>
                </w:tcPr>
                <w:p w14:paraId="523A74C9">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50</w:t>
                  </w:r>
                </w:p>
              </w:tc>
              <w:tc>
                <w:tcPr>
                  <w:tcW w:w="243" w:type="pct"/>
                  <w:vAlign w:val="center"/>
                </w:tcPr>
                <w:p w14:paraId="279F1CC9">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48</w:t>
                  </w:r>
                </w:p>
              </w:tc>
              <w:tc>
                <w:tcPr>
                  <w:tcW w:w="243" w:type="pct"/>
                  <w:vAlign w:val="center"/>
                </w:tcPr>
                <w:p w14:paraId="1E2015B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46</w:t>
                  </w:r>
                </w:p>
              </w:tc>
              <w:tc>
                <w:tcPr>
                  <w:tcW w:w="243" w:type="pct"/>
                  <w:vAlign w:val="center"/>
                </w:tcPr>
                <w:p w14:paraId="4FEE37B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44</w:t>
                  </w:r>
                </w:p>
              </w:tc>
              <w:tc>
                <w:tcPr>
                  <w:tcW w:w="243" w:type="pct"/>
                  <w:vAlign w:val="center"/>
                </w:tcPr>
                <w:p w14:paraId="00DC5BB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243" w:type="pct"/>
                  <w:vAlign w:val="center"/>
                </w:tcPr>
                <w:p w14:paraId="20B68AF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40</w:t>
                  </w:r>
                </w:p>
              </w:tc>
              <w:tc>
                <w:tcPr>
                  <w:tcW w:w="304" w:type="pct"/>
                  <w:vAlign w:val="center"/>
                </w:tcPr>
                <w:p w14:paraId="15FCF9C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38</w:t>
                  </w:r>
                </w:p>
              </w:tc>
              <w:tc>
                <w:tcPr>
                  <w:tcW w:w="304" w:type="pct"/>
                  <w:vAlign w:val="center"/>
                </w:tcPr>
                <w:p w14:paraId="2506E51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36</w:t>
                  </w:r>
                </w:p>
              </w:tc>
              <w:tc>
                <w:tcPr>
                  <w:tcW w:w="304" w:type="pct"/>
                  <w:vAlign w:val="center"/>
                </w:tcPr>
                <w:p w14:paraId="148EFEA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35</w:t>
                  </w:r>
                </w:p>
              </w:tc>
              <w:tc>
                <w:tcPr>
                  <w:tcW w:w="304" w:type="pct"/>
                  <w:vAlign w:val="center"/>
                </w:tcPr>
                <w:p w14:paraId="4CCD233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34</w:t>
                  </w:r>
                </w:p>
              </w:tc>
              <w:tc>
                <w:tcPr>
                  <w:tcW w:w="304" w:type="pct"/>
                  <w:vAlign w:val="center"/>
                </w:tcPr>
                <w:p w14:paraId="74CC56B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32</w:t>
                  </w:r>
                </w:p>
              </w:tc>
            </w:tr>
            <w:tr w14:paraId="65FEBC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5C3D900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柴油机</w:t>
                  </w:r>
                </w:p>
              </w:tc>
              <w:tc>
                <w:tcPr>
                  <w:tcW w:w="304" w:type="pct"/>
                  <w:vAlign w:val="center"/>
                </w:tcPr>
                <w:p w14:paraId="40CC3D7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101</w:t>
                  </w:r>
                </w:p>
              </w:tc>
              <w:tc>
                <w:tcPr>
                  <w:tcW w:w="311" w:type="pct"/>
                  <w:vAlign w:val="center"/>
                </w:tcPr>
                <w:p w14:paraId="765E793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9</w:t>
                  </w:r>
                  <w:r>
                    <w:rPr>
                      <w:rFonts w:hint="default" w:ascii="Times New Roman" w:hAnsi="Times New Roman" w:cs="Times New Roman"/>
                      <w:color w:val="auto"/>
                      <w:sz w:val="18"/>
                      <w:szCs w:val="18"/>
                    </w:rPr>
                    <w:t>1</w:t>
                  </w:r>
                </w:p>
              </w:tc>
              <w:tc>
                <w:tcPr>
                  <w:tcW w:w="243" w:type="pct"/>
                  <w:vAlign w:val="center"/>
                </w:tcPr>
                <w:p w14:paraId="215CDFF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77</w:t>
                  </w:r>
                </w:p>
              </w:tc>
              <w:tc>
                <w:tcPr>
                  <w:tcW w:w="243" w:type="pct"/>
                  <w:vAlign w:val="center"/>
                </w:tcPr>
                <w:p w14:paraId="0307D36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71</w:t>
                  </w:r>
                </w:p>
              </w:tc>
              <w:tc>
                <w:tcPr>
                  <w:tcW w:w="243" w:type="pct"/>
                  <w:vAlign w:val="center"/>
                </w:tcPr>
                <w:p w14:paraId="5E46E33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67</w:t>
                  </w:r>
                </w:p>
              </w:tc>
              <w:tc>
                <w:tcPr>
                  <w:tcW w:w="243" w:type="pct"/>
                  <w:vAlign w:val="center"/>
                </w:tcPr>
                <w:p w14:paraId="6088E23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65</w:t>
                  </w:r>
                </w:p>
              </w:tc>
              <w:tc>
                <w:tcPr>
                  <w:tcW w:w="243" w:type="pct"/>
                  <w:vAlign w:val="center"/>
                </w:tcPr>
                <w:p w14:paraId="7E5C6D1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63</w:t>
                  </w:r>
                </w:p>
              </w:tc>
              <w:tc>
                <w:tcPr>
                  <w:tcW w:w="243" w:type="pct"/>
                  <w:vAlign w:val="center"/>
                </w:tcPr>
                <w:p w14:paraId="3AD2F6C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61</w:t>
                  </w:r>
                </w:p>
              </w:tc>
              <w:tc>
                <w:tcPr>
                  <w:tcW w:w="243" w:type="pct"/>
                  <w:vAlign w:val="center"/>
                </w:tcPr>
                <w:p w14:paraId="4A5148D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59</w:t>
                  </w:r>
                </w:p>
              </w:tc>
              <w:tc>
                <w:tcPr>
                  <w:tcW w:w="243" w:type="pct"/>
                  <w:vAlign w:val="center"/>
                </w:tcPr>
                <w:p w14:paraId="2B6359B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57</w:t>
                  </w:r>
                </w:p>
              </w:tc>
              <w:tc>
                <w:tcPr>
                  <w:tcW w:w="243" w:type="pct"/>
                  <w:vAlign w:val="center"/>
                </w:tcPr>
                <w:p w14:paraId="1D746DA9">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55</w:t>
                  </w:r>
                </w:p>
              </w:tc>
              <w:tc>
                <w:tcPr>
                  <w:tcW w:w="243" w:type="pct"/>
                  <w:vAlign w:val="center"/>
                </w:tcPr>
                <w:p w14:paraId="169FB32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53</w:t>
                  </w:r>
                </w:p>
              </w:tc>
              <w:tc>
                <w:tcPr>
                  <w:tcW w:w="304" w:type="pct"/>
                  <w:vAlign w:val="center"/>
                </w:tcPr>
                <w:p w14:paraId="07A7BE7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51</w:t>
                  </w:r>
                </w:p>
              </w:tc>
              <w:tc>
                <w:tcPr>
                  <w:tcW w:w="304" w:type="pct"/>
                  <w:vAlign w:val="center"/>
                </w:tcPr>
                <w:p w14:paraId="494203D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49</w:t>
                  </w:r>
                </w:p>
              </w:tc>
              <w:tc>
                <w:tcPr>
                  <w:tcW w:w="304" w:type="pct"/>
                  <w:vAlign w:val="center"/>
                </w:tcPr>
                <w:p w14:paraId="049B171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48</w:t>
                  </w:r>
                </w:p>
              </w:tc>
              <w:tc>
                <w:tcPr>
                  <w:tcW w:w="304" w:type="pct"/>
                  <w:vAlign w:val="center"/>
                </w:tcPr>
                <w:p w14:paraId="4CD0C29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47</w:t>
                  </w:r>
                </w:p>
              </w:tc>
              <w:tc>
                <w:tcPr>
                  <w:tcW w:w="304" w:type="pct"/>
                  <w:vAlign w:val="center"/>
                </w:tcPr>
                <w:p w14:paraId="7FC5E56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45</w:t>
                  </w:r>
                </w:p>
              </w:tc>
            </w:tr>
            <w:tr w14:paraId="226CA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789AB51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压裂车</w:t>
                  </w:r>
                </w:p>
              </w:tc>
              <w:tc>
                <w:tcPr>
                  <w:tcW w:w="304" w:type="pct"/>
                  <w:vAlign w:val="center"/>
                </w:tcPr>
                <w:p w14:paraId="6221E97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109</w:t>
                  </w:r>
                </w:p>
              </w:tc>
              <w:tc>
                <w:tcPr>
                  <w:tcW w:w="311" w:type="pct"/>
                  <w:vAlign w:val="center"/>
                </w:tcPr>
                <w:p w14:paraId="4A05E6AD">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99</w:t>
                  </w:r>
                </w:p>
              </w:tc>
              <w:tc>
                <w:tcPr>
                  <w:tcW w:w="243" w:type="pct"/>
                  <w:vAlign w:val="center"/>
                </w:tcPr>
                <w:p w14:paraId="5F6F450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243" w:type="pct"/>
                  <w:vAlign w:val="center"/>
                </w:tcPr>
                <w:p w14:paraId="4AB7F0A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79</w:t>
                  </w:r>
                </w:p>
              </w:tc>
              <w:tc>
                <w:tcPr>
                  <w:tcW w:w="243" w:type="pct"/>
                  <w:vAlign w:val="center"/>
                </w:tcPr>
                <w:p w14:paraId="0D9787E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75</w:t>
                  </w:r>
                </w:p>
              </w:tc>
              <w:tc>
                <w:tcPr>
                  <w:tcW w:w="243" w:type="pct"/>
                  <w:vAlign w:val="center"/>
                </w:tcPr>
                <w:p w14:paraId="0945E8A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73</w:t>
                  </w:r>
                </w:p>
              </w:tc>
              <w:tc>
                <w:tcPr>
                  <w:tcW w:w="243" w:type="pct"/>
                  <w:vAlign w:val="center"/>
                </w:tcPr>
                <w:p w14:paraId="59FB6E4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71</w:t>
                  </w:r>
                </w:p>
              </w:tc>
              <w:tc>
                <w:tcPr>
                  <w:tcW w:w="243" w:type="pct"/>
                  <w:vAlign w:val="center"/>
                </w:tcPr>
                <w:p w14:paraId="1DC1FC8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69</w:t>
                  </w:r>
                </w:p>
              </w:tc>
              <w:tc>
                <w:tcPr>
                  <w:tcW w:w="243" w:type="pct"/>
                  <w:vAlign w:val="center"/>
                </w:tcPr>
                <w:p w14:paraId="36006D27">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67</w:t>
                  </w:r>
                </w:p>
              </w:tc>
              <w:tc>
                <w:tcPr>
                  <w:tcW w:w="243" w:type="pct"/>
                  <w:vAlign w:val="center"/>
                </w:tcPr>
                <w:p w14:paraId="496842E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243" w:type="pct"/>
                  <w:vAlign w:val="center"/>
                </w:tcPr>
                <w:p w14:paraId="3FDBEB5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63</w:t>
                  </w:r>
                </w:p>
              </w:tc>
              <w:tc>
                <w:tcPr>
                  <w:tcW w:w="243" w:type="pct"/>
                  <w:vAlign w:val="center"/>
                </w:tcPr>
                <w:p w14:paraId="72E13F4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61</w:t>
                  </w:r>
                </w:p>
              </w:tc>
              <w:tc>
                <w:tcPr>
                  <w:tcW w:w="304" w:type="pct"/>
                  <w:vAlign w:val="center"/>
                </w:tcPr>
                <w:p w14:paraId="46446CB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59</w:t>
                  </w:r>
                </w:p>
              </w:tc>
              <w:tc>
                <w:tcPr>
                  <w:tcW w:w="304" w:type="pct"/>
                  <w:vAlign w:val="center"/>
                </w:tcPr>
                <w:p w14:paraId="4A0C7D7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57</w:t>
                  </w:r>
                </w:p>
              </w:tc>
              <w:tc>
                <w:tcPr>
                  <w:tcW w:w="304" w:type="pct"/>
                  <w:vAlign w:val="center"/>
                </w:tcPr>
                <w:p w14:paraId="5C36A3F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56</w:t>
                  </w:r>
                </w:p>
              </w:tc>
              <w:tc>
                <w:tcPr>
                  <w:tcW w:w="304" w:type="pct"/>
                  <w:vAlign w:val="center"/>
                </w:tcPr>
                <w:p w14:paraId="373CEAC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55</w:t>
                  </w:r>
                </w:p>
              </w:tc>
              <w:tc>
                <w:tcPr>
                  <w:tcW w:w="304" w:type="pct"/>
                  <w:vAlign w:val="center"/>
                </w:tcPr>
                <w:p w14:paraId="3706FEE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53</w:t>
                  </w:r>
                </w:p>
              </w:tc>
            </w:tr>
            <w:tr w14:paraId="680EC6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vAlign w:val="center"/>
                </w:tcPr>
                <w:p w14:paraId="3E6FE14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射孔车</w:t>
                  </w:r>
                </w:p>
              </w:tc>
              <w:tc>
                <w:tcPr>
                  <w:tcW w:w="304" w:type="pct"/>
                  <w:vAlign w:val="center"/>
                </w:tcPr>
                <w:p w14:paraId="652367F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100</w:t>
                  </w:r>
                </w:p>
              </w:tc>
              <w:tc>
                <w:tcPr>
                  <w:tcW w:w="311" w:type="pct"/>
                  <w:vAlign w:val="center"/>
                </w:tcPr>
                <w:p w14:paraId="1A59626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90</w:t>
                  </w:r>
                </w:p>
              </w:tc>
              <w:tc>
                <w:tcPr>
                  <w:tcW w:w="243" w:type="pct"/>
                  <w:vAlign w:val="center"/>
                </w:tcPr>
                <w:p w14:paraId="721FD45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76</w:t>
                  </w:r>
                </w:p>
              </w:tc>
              <w:tc>
                <w:tcPr>
                  <w:tcW w:w="243" w:type="pct"/>
                  <w:vAlign w:val="center"/>
                </w:tcPr>
                <w:p w14:paraId="4A21004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70</w:t>
                  </w:r>
                </w:p>
              </w:tc>
              <w:tc>
                <w:tcPr>
                  <w:tcW w:w="243" w:type="pct"/>
                  <w:vAlign w:val="center"/>
                </w:tcPr>
                <w:p w14:paraId="6F150134">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66</w:t>
                  </w:r>
                </w:p>
              </w:tc>
              <w:tc>
                <w:tcPr>
                  <w:tcW w:w="243" w:type="pct"/>
                  <w:vAlign w:val="center"/>
                </w:tcPr>
                <w:p w14:paraId="13DC1E6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243" w:type="pct"/>
                  <w:vAlign w:val="center"/>
                </w:tcPr>
                <w:p w14:paraId="7E882338">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62</w:t>
                  </w:r>
                </w:p>
              </w:tc>
              <w:tc>
                <w:tcPr>
                  <w:tcW w:w="243" w:type="pct"/>
                  <w:vAlign w:val="center"/>
                </w:tcPr>
                <w:p w14:paraId="47BC239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60</w:t>
                  </w:r>
                </w:p>
              </w:tc>
              <w:tc>
                <w:tcPr>
                  <w:tcW w:w="243" w:type="pct"/>
                  <w:vAlign w:val="center"/>
                </w:tcPr>
                <w:p w14:paraId="17AD2DD9">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58</w:t>
                  </w:r>
                </w:p>
              </w:tc>
              <w:tc>
                <w:tcPr>
                  <w:tcW w:w="243" w:type="pct"/>
                  <w:vAlign w:val="center"/>
                </w:tcPr>
                <w:p w14:paraId="69C48BD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56</w:t>
                  </w:r>
                </w:p>
              </w:tc>
              <w:tc>
                <w:tcPr>
                  <w:tcW w:w="243" w:type="pct"/>
                  <w:vAlign w:val="center"/>
                </w:tcPr>
                <w:p w14:paraId="34357ED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54</w:t>
                  </w:r>
                </w:p>
              </w:tc>
              <w:tc>
                <w:tcPr>
                  <w:tcW w:w="243" w:type="pct"/>
                  <w:vAlign w:val="center"/>
                </w:tcPr>
                <w:p w14:paraId="034EC4E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52</w:t>
                  </w:r>
                </w:p>
              </w:tc>
              <w:tc>
                <w:tcPr>
                  <w:tcW w:w="304" w:type="pct"/>
                  <w:vAlign w:val="center"/>
                </w:tcPr>
                <w:p w14:paraId="7FE3EB5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50</w:t>
                  </w:r>
                </w:p>
              </w:tc>
              <w:tc>
                <w:tcPr>
                  <w:tcW w:w="304" w:type="pct"/>
                  <w:vAlign w:val="center"/>
                </w:tcPr>
                <w:p w14:paraId="65C84F4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304" w:type="pct"/>
                  <w:vAlign w:val="center"/>
                </w:tcPr>
                <w:p w14:paraId="5095820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47</w:t>
                  </w:r>
                </w:p>
              </w:tc>
              <w:tc>
                <w:tcPr>
                  <w:tcW w:w="304" w:type="pct"/>
                  <w:vAlign w:val="center"/>
                </w:tcPr>
                <w:p w14:paraId="12AAF5D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46</w:t>
                  </w:r>
                </w:p>
              </w:tc>
              <w:tc>
                <w:tcPr>
                  <w:tcW w:w="304" w:type="pct"/>
                  <w:vAlign w:val="center"/>
                </w:tcPr>
                <w:p w14:paraId="43A690D3">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44</w:t>
                  </w:r>
                </w:p>
              </w:tc>
            </w:tr>
            <w:tr w14:paraId="3C5FAE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24" w:type="pct"/>
                  <w:shd w:val="clear" w:color="auto" w:fill="auto"/>
                  <w:vAlign w:val="center"/>
                </w:tcPr>
                <w:p w14:paraId="67DC3C0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sz w:val="18"/>
                      <w:szCs w:val="18"/>
                    </w:rPr>
                    <w:t>柴油发电机</w:t>
                  </w:r>
                </w:p>
              </w:tc>
              <w:tc>
                <w:tcPr>
                  <w:tcW w:w="304" w:type="pct"/>
                  <w:vAlign w:val="center"/>
                </w:tcPr>
                <w:p w14:paraId="472FF88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85</w:t>
                  </w:r>
                </w:p>
              </w:tc>
              <w:tc>
                <w:tcPr>
                  <w:tcW w:w="311" w:type="pct"/>
                  <w:vAlign w:val="center"/>
                </w:tcPr>
                <w:p w14:paraId="4A0574A5">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75</w:t>
                  </w:r>
                </w:p>
              </w:tc>
              <w:tc>
                <w:tcPr>
                  <w:tcW w:w="243" w:type="pct"/>
                  <w:vAlign w:val="center"/>
                </w:tcPr>
                <w:p w14:paraId="5FF9324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61</w:t>
                  </w:r>
                </w:p>
              </w:tc>
              <w:tc>
                <w:tcPr>
                  <w:tcW w:w="243" w:type="pct"/>
                  <w:vAlign w:val="center"/>
                </w:tcPr>
                <w:p w14:paraId="6B74F000">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55</w:t>
                  </w:r>
                </w:p>
              </w:tc>
              <w:tc>
                <w:tcPr>
                  <w:tcW w:w="243" w:type="pct"/>
                  <w:vAlign w:val="center"/>
                </w:tcPr>
                <w:p w14:paraId="552BA29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51</w:t>
                  </w:r>
                </w:p>
              </w:tc>
              <w:tc>
                <w:tcPr>
                  <w:tcW w:w="243" w:type="pct"/>
                  <w:vAlign w:val="center"/>
                </w:tcPr>
                <w:p w14:paraId="722B196F">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49</w:t>
                  </w:r>
                </w:p>
              </w:tc>
              <w:tc>
                <w:tcPr>
                  <w:tcW w:w="243" w:type="pct"/>
                  <w:vAlign w:val="center"/>
                </w:tcPr>
                <w:p w14:paraId="7DF34186">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47</w:t>
                  </w:r>
                </w:p>
              </w:tc>
              <w:tc>
                <w:tcPr>
                  <w:tcW w:w="243" w:type="pct"/>
                  <w:vAlign w:val="center"/>
                </w:tcPr>
                <w:p w14:paraId="386994D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45</w:t>
                  </w:r>
                </w:p>
              </w:tc>
              <w:tc>
                <w:tcPr>
                  <w:tcW w:w="243" w:type="pct"/>
                  <w:vAlign w:val="center"/>
                </w:tcPr>
                <w:p w14:paraId="600B7F3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43</w:t>
                  </w:r>
                </w:p>
              </w:tc>
              <w:tc>
                <w:tcPr>
                  <w:tcW w:w="243" w:type="pct"/>
                  <w:vAlign w:val="center"/>
                </w:tcPr>
                <w:p w14:paraId="55DF8DB2">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41</w:t>
                  </w:r>
                </w:p>
              </w:tc>
              <w:tc>
                <w:tcPr>
                  <w:tcW w:w="243" w:type="pct"/>
                  <w:vAlign w:val="center"/>
                </w:tcPr>
                <w:p w14:paraId="07E7BEE9">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39</w:t>
                  </w:r>
                </w:p>
              </w:tc>
              <w:tc>
                <w:tcPr>
                  <w:tcW w:w="243" w:type="pct"/>
                  <w:vAlign w:val="center"/>
                </w:tcPr>
                <w:p w14:paraId="5ADE66D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37</w:t>
                  </w:r>
                </w:p>
              </w:tc>
              <w:tc>
                <w:tcPr>
                  <w:tcW w:w="304" w:type="pct"/>
                  <w:vAlign w:val="center"/>
                </w:tcPr>
                <w:p w14:paraId="57BBA521">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35</w:t>
                  </w:r>
                </w:p>
              </w:tc>
              <w:tc>
                <w:tcPr>
                  <w:tcW w:w="304" w:type="pct"/>
                  <w:vAlign w:val="center"/>
                </w:tcPr>
                <w:p w14:paraId="4685303B">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33</w:t>
                  </w:r>
                </w:p>
              </w:tc>
              <w:tc>
                <w:tcPr>
                  <w:tcW w:w="304" w:type="pct"/>
                  <w:vAlign w:val="center"/>
                </w:tcPr>
                <w:p w14:paraId="6E3242DA">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32</w:t>
                  </w:r>
                </w:p>
              </w:tc>
              <w:tc>
                <w:tcPr>
                  <w:tcW w:w="304" w:type="pct"/>
                  <w:vAlign w:val="center"/>
                </w:tcPr>
                <w:p w14:paraId="11A86E5E">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31</w:t>
                  </w:r>
                </w:p>
              </w:tc>
              <w:tc>
                <w:tcPr>
                  <w:tcW w:w="304" w:type="pct"/>
                  <w:vAlign w:val="center"/>
                </w:tcPr>
                <w:p w14:paraId="787ECFEC">
                  <w:pPr>
                    <w:pStyle w:val="45"/>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29</w:t>
                  </w:r>
                </w:p>
              </w:tc>
            </w:tr>
          </w:tbl>
          <w:p w14:paraId="38F41024">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根据预测结果，施工期间，各类施工机械的噪声在距离声源160m处时噪声均可满足《建筑施工场界环境噪声排放标准》（GB12523-2011）标准要求</w:t>
            </w:r>
            <w:r>
              <w:rPr>
                <w:rFonts w:hint="eastAsia" w:ascii="Times New Roman" w:hAnsi="Times New Roman" w:cs="Times New Roman"/>
                <w:b w:val="0"/>
                <w:bCs w:val="0"/>
                <w:color w:val="auto"/>
                <w:lang w:eastAsia="zh-CN"/>
              </w:rPr>
              <w:t>，</w:t>
            </w:r>
            <w:r>
              <w:rPr>
                <w:rFonts w:hint="eastAsia" w:ascii="Times New Roman" w:hAnsi="Times New Roman" w:cs="Times New Roman"/>
                <w:b w:val="0"/>
                <w:bCs w:val="0"/>
                <w:color w:val="auto"/>
                <w:lang w:val="en-US" w:eastAsia="zh-CN"/>
              </w:rPr>
              <w:t>即：</w:t>
            </w:r>
            <w:r>
              <w:rPr>
                <w:rFonts w:hint="default" w:ascii="Times New Roman" w:hAnsi="Times New Roman" w:cs="Times New Roman"/>
                <w:b w:val="0"/>
                <w:bCs w:val="0"/>
                <w:color w:val="auto"/>
              </w:rPr>
              <w:t>昼间70dB（A），夜间55dB（A）。同时，对高噪声设备采取隔声措施，并加强机械设备的保养，保证机械设备的正常运转，以降低设备正常运转的噪声。进一步落实以上措施后，施工期噪声对周边环境及施工人员的影响将进一步减少，施工期产生噪声对周边环境影响不大。</w:t>
            </w:r>
            <w:bookmarkEnd w:id="52"/>
            <w:r>
              <w:rPr>
                <w:rFonts w:hint="default" w:ascii="Times New Roman" w:hAnsi="Times New Roman" w:cs="Times New Roman"/>
                <w:b w:val="0"/>
                <w:bCs w:val="0"/>
                <w:color w:val="auto"/>
              </w:rPr>
              <w:t>项目区周边200m范围内无声环境敏感目标，不会对周围声环境产生明显影响。</w:t>
            </w:r>
          </w:p>
          <w:p w14:paraId="6AA64BDD">
            <w:pPr>
              <w:pStyle w:val="9"/>
              <w:rPr>
                <w:rFonts w:hint="default" w:ascii="Times New Roman" w:hAnsi="Times New Roman" w:cs="Times New Roman"/>
                <w:color w:val="auto"/>
              </w:rPr>
            </w:pPr>
            <w:r>
              <w:rPr>
                <w:rFonts w:hint="eastAsia" w:ascii="Times New Roman" w:hAnsi="Times New Roman" w:cs="Times New Roman"/>
                <w:color w:val="auto"/>
                <w:lang w:val="en-US" w:eastAsia="zh-CN"/>
              </w:rPr>
              <w:t>6</w:t>
            </w:r>
            <w:r>
              <w:rPr>
                <w:rFonts w:hint="default" w:ascii="Times New Roman" w:hAnsi="Times New Roman" w:cs="Times New Roman"/>
                <w:color w:val="auto"/>
              </w:rPr>
              <w:t>、固体废物影响分析</w:t>
            </w:r>
          </w:p>
          <w:p w14:paraId="451188F6">
            <w:pPr>
              <w:pStyle w:val="9"/>
              <w:ind w:firstLine="480"/>
              <w:rPr>
                <w:rFonts w:hint="default" w:ascii="Times New Roman" w:hAnsi="Times New Roman" w:cs="Times New Roman"/>
                <w:b w:val="0"/>
                <w:bCs w:val="0"/>
                <w:color w:val="auto"/>
              </w:rPr>
            </w:pPr>
            <w:bookmarkStart w:id="53" w:name="_Hlk136795783"/>
            <w:r>
              <w:rPr>
                <w:rFonts w:hint="default"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固体废物主要为钻井岩屑、沾油废防渗材料、废润滑油</w:t>
            </w:r>
            <w:r>
              <w:rPr>
                <w:rFonts w:hint="eastAsia" w:ascii="Times New Roman" w:hAnsi="Times New Roman" w:cs="Times New Roman"/>
                <w:b w:val="0"/>
                <w:bCs w:val="0"/>
                <w:color w:val="auto"/>
                <w:lang w:val="en-US" w:eastAsia="zh-CN"/>
              </w:rPr>
              <w:t>及</w:t>
            </w:r>
            <w:r>
              <w:rPr>
                <w:rFonts w:hint="default" w:ascii="Times New Roman" w:hAnsi="Times New Roman" w:cs="Times New Roman"/>
                <w:b w:val="0"/>
                <w:bCs w:val="0"/>
                <w:color w:val="auto"/>
              </w:rPr>
              <w:t>废润滑油桶</w:t>
            </w:r>
            <w:r>
              <w:rPr>
                <w:rFonts w:hint="eastAsia" w:ascii="Times New Roman" w:hAnsi="Times New Roman" w:cs="Times New Roman"/>
                <w:b w:val="0"/>
                <w:bCs w:val="0"/>
                <w:color w:val="auto"/>
                <w:lang w:eastAsia="zh-CN"/>
              </w:rPr>
              <w:t>、</w:t>
            </w:r>
            <w:r>
              <w:rPr>
                <w:rFonts w:hint="eastAsia" w:ascii="Times New Roman" w:hAnsi="Times New Roman" w:cs="Times New Roman"/>
                <w:b w:val="0"/>
                <w:bCs w:val="0"/>
                <w:color w:val="auto"/>
                <w:lang w:val="en-US" w:eastAsia="zh-CN"/>
              </w:rPr>
              <w:t>落地油、沾油废劳保用品、</w:t>
            </w:r>
            <w:r>
              <w:rPr>
                <w:rFonts w:hint="default" w:ascii="Times New Roman" w:hAnsi="Times New Roman" w:cs="Times New Roman"/>
                <w:b w:val="0"/>
                <w:bCs w:val="0"/>
                <w:color w:val="auto"/>
              </w:rPr>
              <w:t>生活垃圾</w:t>
            </w:r>
            <w:r>
              <w:rPr>
                <w:rFonts w:hint="eastAsia" w:ascii="Times New Roman" w:hAnsi="Times New Roman" w:cs="Times New Roman"/>
                <w:b w:val="0"/>
                <w:bCs w:val="0"/>
                <w:color w:val="auto"/>
                <w:lang w:val="en-US" w:eastAsia="zh-CN"/>
              </w:rPr>
              <w:t>和建筑垃圾</w:t>
            </w:r>
            <w:r>
              <w:rPr>
                <w:rFonts w:hint="default" w:ascii="Times New Roman" w:hAnsi="Times New Roman" w:cs="Times New Roman"/>
                <w:b w:val="0"/>
                <w:bCs w:val="0"/>
                <w:color w:val="auto"/>
              </w:rPr>
              <w:t>。</w:t>
            </w:r>
          </w:p>
          <w:p w14:paraId="4CC031F0">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（1）钻井岩屑</w:t>
            </w:r>
          </w:p>
          <w:p w14:paraId="0448A599">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钻井过程中，岩石经钻头和钻井液的研磨而破碎成岩屑，随钻井液排出井口，进入钻井液不落地设备处理后岩屑与钻井液分离，液体循环使用，固体（钻井岩屑）拉运处理。岩屑产生量与井身结构有关，可按下式计算：</w:t>
            </w:r>
          </w:p>
          <w:p w14:paraId="72059726">
            <w:pPr>
              <w:pStyle w:val="9"/>
              <w:ind w:firstLine="0" w:firstLineChars="0"/>
              <w:jc w:val="center"/>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W=1/4×π×D</w:t>
            </w:r>
            <w:r>
              <w:rPr>
                <w:rFonts w:hint="default" w:ascii="Times New Roman" w:hAnsi="Times New Roman" w:cs="Times New Roman"/>
                <w:b w:val="0"/>
                <w:bCs w:val="0"/>
                <w:color w:val="auto"/>
                <w:highlight w:val="none"/>
                <w:vertAlign w:val="superscript"/>
              </w:rPr>
              <w:t>2</w:t>
            </w:r>
            <w:r>
              <w:rPr>
                <w:rFonts w:hint="default" w:ascii="Times New Roman" w:hAnsi="Times New Roman" w:cs="Times New Roman"/>
                <w:b w:val="0"/>
                <w:bCs w:val="0"/>
                <w:color w:val="auto"/>
                <w:highlight w:val="none"/>
              </w:rPr>
              <w:t>×h×P</w:t>
            </w:r>
          </w:p>
          <w:p w14:paraId="5B849253">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式中：W——产生的岩屑量，m</w:t>
            </w:r>
            <w:r>
              <w:rPr>
                <w:rFonts w:hint="default" w:ascii="Times New Roman" w:hAnsi="Times New Roman" w:cs="Times New Roman"/>
                <w:b w:val="0"/>
                <w:bCs w:val="0"/>
                <w:color w:val="auto"/>
                <w:highlight w:val="none"/>
                <w:vertAlign w:val="superscript"/>
              </w:rPr>
              <w:t>3</w:t>
            </w:r>
            <w:r>
              <w:rPr>
                <w:rFonts w:hint="default" w:ascii="Times New Roman" w:hAnsi="Times New Roman" w:cs="Times New Roman"/>
                <w:b w:val="0"/>
                <w:bCs w:val="0"/>
                <w:color w:val="auto"/>
                <w:highlight w:val="none"/>
              </w:rPr>
              <w:t>；</w:t>
            </w:r>
          </w:p>
          <w:p w14:paraId="07EE6E5F">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 xml:space="preserve">      D——井眼平均井径，m；</w:t>
            </w:r>
          </w:p>
          <w:p w14:paraId="610CDB6C">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 xml:space="preserve">      h——裸眼长度，m；</w:t>
            </w:r>
          </w:p>
          <w:p w14:paraId="454A9ED1">
            <w:pPr>
              <w:pStyle w:val="9"/>
              <w:ind w:firstLine="48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 xml:space="preserve">      P——膨胀系数，使用水基钻井液体系时取2.2</w:t>
            </w:r>
            <w:r>
              <w:rPr>
                <w:rFonts w:hint="eastAsia" w:ascii="Times New Roman" w:hAnsi="Times New Roman" w:cs="Times New Roman"/>
                <w:b w:val="0"/>
                <w:bCs w:val="0"/>
                <w:color w:val="auto"/>
                <w:highlight w:val="none"/>
                <w:lang w:eastAsia="zh-CN"/>
              </w:rPr>
              <w:t>；油基钻井液体系取P=5</w:t>
            </w:r>
            <w:r>
              <w:rPr>
                <w:rFonts w:hint="eastAsia" w:ascii="Times New Roman" w:hAnsi="Times New Roman" w:cs="Times New Roman"/>
                <w:b w:val="0"/>
                <w:bCs w:val="0"/>
                <w:color w:val="auto"/>
                <w:highlight w:val="none"/>
                <w:lang w:val="en-US" w:eastAsia="zh-CN"/>
              </w:rPr>
              <w:t>.0</w:t>
            </w:r>
            <w:r>
              <w:rPr>
                <w:rFonts w:hint="eastAsia" w:ascii="Times New Roman" w:hAnsi="Times New Roman" w:cs="Times New Roman"/>
                <w:b w:val="0"/>
                <w:bCs w:val="0"/>
                <w:color w:val="auto"/>
                <w:highlight w:val="none"/>
                <w:lang w:eastAsia="zh-CN"/>
              </w:rPr>
              <w:t>，岩屑密度2.5g/cm</w:t>
            </w:r>
            <w:r>
              <w:rPr>
                <w:rFonts w:hint="eastAsia" w:ascii="Times New Roman" w:hAnsi="Times New Roman" w:cs="Times New Roman"/>
                <w:b w:val="0"/>
                <w:bCs w:val="0"/>
                <w:color w:val="auto"/>
                <w:highlight w:val="none"/>
                <w:vertAlign w:val="superscript"/>
                <w:lang w:eastAsia="zh-CN"/>
              </w:rPr>
              <w:t>3</w:t>
            </w:r>
            <w:r>
              <w:rPr>
                <w:rFonts w:hint="eastAsia" w:ascii="Times New Roman" w:hAnsi="Times New Roman" w:cs="Times New Roman"/>
                <w:b w:val="0"/>
                <w:bCs w:val="0"/>
                <w:color w:val="auto"/>
                <w:highlight w:val="none"/>
                <w:lang w:eastAsia="zh-CN"/>
              </w:rPr>
              <w:t>。</w:t>
            </w:r>
          </w:p>
          <w:p w14:paraId="5ABB96EF">
            <w:pPr>
              <w:pStyle w:val="9"/>
              <w:ind w:firstLine="480"/>
              <w:rPr>
                <w:rFonts w:hint="default" w:ascii="Times New Roman" w:hAnsi="Times New Roman" w:eastAsia="黑体" w:cs="Times New Roman"/>
                <w:b w:val="0"/>
                <w:bCs w:val="0"/>
                <w:color w:val="auto"/>
                <w:sz w:val="21"/>
                <w:szCs w:val="21"/>
                <w:highlight w:val="none"/>
              </w:rPr>
            </w:pPr>
            <w:r>
              <w:rPr>
                <w:rFonts w:hint="default" w:ascii="Times New Roman" w:hAnsi="Times New Roman" w:cs="Times New Roman"/>
                <w:b w:val="0"/>
                <w:bCs w:val="0"/>
                <w:color w:val="auto"/>
                <w:highlight w:val="none"/>
              </w:rPr>
              <w:t>根据井身结构计算钻井期岩屑产生量见表</w:t>
            </w:r>
            <w:r>
              <w:rPr>
                <w:rFonts w:hint="default" w:ascii="Times New Roman" w:hAnsi="Times New Roman" w:cs="Times New Roman"/>
                <w:b w:val="0"/>
                <w:bCs w:val="0"/>
                <w:color w:val="auto"/>
                <w:highlight w:val="none"/>
                <w:lang w:val="en-US" w:eastAsia="zh-CN"/>
              </w:rPr>
              <w:t>4-4</w:t>
            </w:r>
            <w:r>
              <w:rPr>
                <w:rFonts w:hint="default" w:ascii="Times New Roman" w:hAnsi="Times New Roman" w:cs="Times New Roman"/>
                <w:b w:val="0"/>
                <w:bCs w:val="0"/>
                <w:color w:val="auto"/>
                <w:highlight w:val="none"/>
              </w:rPr>
              <w:t>。</w:t>
            </w:r>
            <w:bookmarkStart w:id="54" w:name="_Ref19642107"/>
          </w:p>
          <w:p w14:paraId="699A34F3">
            <w:pPr>
              <w:pStyle w:val="40"/>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bookmarkEnd w:id="54"/>
            <w:r>
              <w:rPr>
                <w:rFonts w:hint="default" w:ascii="Times New Roman" w:hAnsi="Times New Roman" w:cs="Times New Roman"/>
                <w:color w:val="auto"/>
                <w:highlight w:val="none"/>
                <w:lang w:val="en-US" w:eastAsia="zh-CN"/>
              </w:rPr>
              <w:t>4-4</w:t>
            </w:r>
            <w:r>
              <w:rPr>
                <w:rFonts w:hint="default" w:ascii="Times New Roman" w:hAnsi="Times New Roman" w:cs="Times New Roman"/>
                <w:color w:val="auto"/>
                <w:highlight w:val="none"/>
              </w:rPr>
              <w:t xml:space="preserve">  钻井岩屑产生情况表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939"/>
              <w:gridCol w:w="650"/>
              <w:gridCol w:w="891"/>
              <w:gridCol w:w="1538"/>
              <w:gridCol w:w="978"/>
              <w:gridCol w:w="2238"/>
            </w:tblGrid>
            <w:tr w14:paraId="681E9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Align w:val="center"/>
                </w:tcPr>
                <w:p w14:paraId="5BEE3E38">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bookmarkStart w:id="55" w:name="_Hlk186375959"/>
                  <w:r>
                    <w:rPr>
                      <w:rFonts w:hint="default" w:ascii="Times New Roman" w:hAnsi="Times New Roman" w:cs="Times New Roman"/>
                      <w:color w:val="auto"/>
                      <w:sz w:val="21"/>
                      <w:szCs w:val="21"/>
                      <w:highlight w:val="none"/>
                    </w:rPr>
                    <w:t>井号</w:t>
                  </w:r>
                </w:p>
              </w:tc>
              <w:tc>
                <w:tcPr>
                  <w:tcW w:w="1065" w:type="pct"/>
                  <w:gridSpan w:val="2"/>
                  <w:vAlign w:val="center"/>
                </w:tcPr>
                <w:p w14:paraId="5DD5D26B">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井段</w:t>
                  </w:r>
                </w:p>
              </w:tc>
              <w:tc>
                <w:tcPr>
                  <w:tcW w:w="1063" w:type="pct"/>
                  <w:vAlign w:val="center"/>
                </w:tcPr>
                <w:p w14:paraId="6EF6382C">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钻头尺寸(mm</w:t>
                  </w:r>
                  <w:r>
                    <w:rPr>
                      <w:rFonts w:hint="eastAsia" w:ascii="Times New Roman" w:hAnsi="Times New Roman" w:cs="Times New Roman"/>
                      <w:color w:val="auto"/>
                      <w:sz w:val="21"/>
                      <w:szCs w:val="21"/>
                      <w:highlight w:val="none"/>
                      <w:lang w:eastAsia="zh-CN"/>
                    </w:rPr>
                    <w:t>）</w:t>
                  </w:r>
                </w:p>
              </w:tc>
              <w:tc>
                <w:tcPr>
                  <w:tcW w:w="676" w:type="pct"/>
                  <w:vAlign w:val="center"/>
                </w:tcPr>
                <w:p w14:paraId="76D5E000">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井段(m</w:t>
                  </w:r>
                  <w:r>
                    <w:rPr>
                      <w:rFonts w:hint="eastAsia" w:ascii="Times New Roman" w:hAnsi="Times New Roman" w:cs="Times New Roman"/>
                      <w:color w:val="auto"/>
                      <w:sz w:val="21"/>
                      <w:szCs w:val="21"/>
                      <w:highlight w:val="none"/>
                      <w:lang w:eastAsia="zh-CN"/>
                    </w:rPr>
                    <w:t>）</w:t>
                  </w:r>
                </w:p>
              </w:tc>
              <w:tc>
                <w:tcPr>
                  <w:tcW w:w="1546" w:type="pct"/>
                  <w:vAlign w:val="center"/>
                </w:tcPr>
                <w:p w14:paraId="05FF4F1F">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岩屑产生量</w:t>
                  </w:r>
                </w:p>
              </w:tc>
            </w:tr>
            <w:tr w14:paraId="17DAE2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restart"/>
                  <w:vAlign w:val="center"/>
                </w:tcPr>
                <w:p w14:paraId="307DB847">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纳东1</w:t>
                  </w:r>
                  <w:r>
                    <w:rPr>
                      <w:rFonts w:hint="default" w:ascii="Times New Roman" w:hAnsi="Times New Roman" w:cs="Times New Roman"/>
                      <w:color w:val="auto"/>
                      <w:sz w:val="21"/>
                      <w:szCs w:val="21"/>
                      <w:highlight w:val="none"/>
                    </w:rPr>
                    <w:t>井</w:t>
                  </w:r>
                </w:p>
              </w:tc>
              <w:tc>
                <w:tcPr>
                  <w:tcW w:w="449" w:type="pct"/>
                  <w:vAlign w:val="center"/>
                </w:tcPr>
                <w:p w14:paraId="62134539">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一开</w:t>
                  </w:r>
                </w:p>
              </w:tc>
              <w:tc>
                <w:tcPr>
                  <w:tcW w:w="615" w:type="pct"/>
                  <w:vMerge w:val="restart"/>
                  <w:vAlign w:val="center"/>
                </w:tcPr>
                <w:p w14:paraId="1BC1E00E">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水基</w:t>
                  </w:r>
                </w:p>
                <w:p w14:paraId="185375D9">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钻井液</w:t>
                  </w:r>
                </w:p>
              </w:tc>
              <w:tc>
                <w:tcPr>
                  <w:tcW w:w="1063" w:type="pct"/>
                  <w:shd w:val="clear" w:color="auto" w:fill="auto"/>
                  <w:vAlign w:val="center"/>
                </w:tcPr>
                <w:p w14:paraId="54DCCD03">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762.0</w:t>
                  </w:r>
                </w:p>
              </w:tc>
              <w:tc>
                <w:tcPr>
                  <w:tcW w:w="676" w:type="pct"/>
                  <w:vAlign w:val="center"/>
                </w:tcPr>
                <w:p w14:paraId="35B1DB5C">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0-550</w:t>
                  </w:r>
                </w:p>
              </w:tc>
              <w:tc>
                <w:tcPr>
                  <w:tcW w:w="1546" w:type="pct"/>
                  <w:vAlign w:val="center"/>
                </w:tcPr>
                <w:p w14:paraId="03392826">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552</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p>
              </w:tc>
            </w:tr>
            <w:tr w14:paraId="2C47C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698A5A89">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Align w:val="center"/>
                </w:tcPr>
                <w:p w14:paraId="7BC031E0">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二开</w:t>
                  </w:r>
                </w:p>
              </w:tc>
              <w:tc>
                <w:tcPr>
                  <w:tcW w:w="615" w:type="pct"/>
                  <w:vMerge w:val="continue"/>
                  <w:vAlign w:val="center"/>
                </w:tcPr>
                <w:p w14:paraId="17466519">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1063" w:type="pct"/>
                  <w:tcBorders>
                    <w:bottom w:val="single" w:color="auto" w:sz="4" w:space="0"/>
                  </w:tcBorders>
                  <w:shd w:val="clear" w:color="auto" w:fill="auto"/>
                  <w:vAlign w:val="center"/>
                </w:tcPr>
                <w:p w14:paraId="02A13A57">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571.5</w:t>
                  </w:r>
                </w:p>
              </w:tc>
              <w:tc>
                <w:tcPr>
                  <w:tcW w:w="676" w:type="pct"/>
                  <w:tcBorders>
                    <w:bottom w:val="single" w:color="auto" w:sz="4" w:space="0"/>
                  </w:tcBorders>
                  <w:vAlign w:val="center"/>
                </w:tcPr>
                <w:p w14:paraId="7E47CF4D">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3690</w:t>
                  </w:r>
                </w:p>
              </w:tc>
              <w:tc>
                <w:tcPr>
                  <w:tcW w:w="1546" w:type="pct"/>
                  <w:tcBorders>
                    <w:bottom w:val="single" w:color="auto" w:sz="4" w:space="0"/>
                  </w:tcBorders>
                  <w:vAlign w:val="center"/>
                </w:tcPr>
                <w:p w14:paraId="23E8C9EB">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1771</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p>
              </w:tc>
            </w:tr>
            <w:tr w14:paraId="09E520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24E20484">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Align w:val="center"/>
                </w:tcPr>
                <w:p w14:paraId="57E92FEA">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小计</w:t>
                  </w:r>
                </w:p>
              </w:tc>
              <w:tc>
                <w:tcPr>
                  <w:tcW w:w="615" w:type="pct"/>
                  <w:vMerge w:val="continue"/>
                  <w:vAlign w:val="center"/>
                </w:tcPr>
                <w:p w14:paraId="4E4B127E">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1063" w:type="pct"/>
                  <w:tcBorders>
                    <w:bottom w:val="single" w:color="auto" w:sz="4" w:space="0"/>
                  </w:tcBorders>
                  <w:shd w:val="clear" w:color="auto" w:fill="auto"/>
                  <w:vAlign w:val="center"/>
                </w:tcPr>
                <w:p w14:paraId="70CBF4DE">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676" w:type="pct"/>
                  <w:tcBorders>
                    <w:bottom w:val="single" w:color="auto" w:sz="4" w:space="0"/>
                  </w:tcBorders>
                  <w:vAlign w:val="center"/>
                </w:tcPr>
                <w:p w14:paraId="5A09AFE4">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546" w:type="pct"/>
                  <w:tcBorders>
                    <w:bottom w:val="single" w:color="auto" w:sz="4" w:space="0"/>
                  </w:tcBorders>
                  <w:vAlign w:val="center"/>
                </w:tcPr>
                <w:p w14:paraId="0091BBAD">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2323</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p>
              </w:tc>
            </w:tr>
            <w:tr w14:paraId="6E039D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384F560B">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Align w:val="center"/>
                </w:tcPr>
                <w:p w14:paraId="28D42311">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三开</w:t>
                  </w:r>
                </w:p>
              </w:tc>
              <w:tc>
                <w:tcPr>
                  <w:tcW w:w="615" w:type="pct"/>
                  <w:vMerge w:val="restart"/>
                  <w:vAlign w:val="center"/>
                </w:tcPr>
                <w:p w14:paraId="3ACA2973">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油基</w:t>
                  </w:r>
                </w:p>
                <w:p w14:paraId="29BD8672">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钻井液</w:t>
                  </w:r>
                </w:p>
              </w:tc>
              <w:tc>
                <w:tcPr>
                  <w:tcW w:w="1063" w:type="pct"/>
                  <w:tcBorders>
                    <w:top w:val="single" w:color="auto" w:sz="4" w:space="0"/>
                  </w:tcBorders>
                  <w:vAlign w:val="center"/>
                </w:tcPr>
                <w:p w14:paraId="526E6D43">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431.8</w:t>
                  </w:r>
                </w:p>
              </w:tc>
              <w:tc>
                <w:tcPr>
                  <w:tcW w:w="676" w:type="pct"/>
                  <w:tcBorders>
                    <w:top w:val="single" w:color="auto" w:sz="4" w:space="0"/>
                  </w:tcBorders>
                  <w:vAlign w:val="center"/>
                </w:tcPr>
                <w:p w14:paraId="2FA0FE48">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600</w:t>
                  </w:r>
                </w:p>
              </w:tc>
              <w:tc>
                <w:tcPr>
                  <w:tcW w:w="1546" w:type="pct"/>
                  <w:tcBorders>
                    <w:top w:val="single" w:color="auto" w:sz="4" w:space="0"/>
                  </w:tcBorders>
                  <w:vAlign w:val="center"/>
                </w:tcPr>
                <w:p w14:paraId="71B7EEB0">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1665t</w:t>
                  </w:r>
                </w:p>
              </w:tc>
            </w:tr>
            <w:tr w14:paraId="41CF5A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1E4B65D1">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Align w:val="center"/>
                </w:tcPr>
                <w:p w14:paraId="0F78E8C5">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四开</w:t>
                  </w:r>
                </w:p>
              </w:tc>
              <w:tc>
                <w:tcPr>
                  <w:tcW w:w="615" w:type="pct"/>
                  <w:vMerge w:val="continue"/>
                  <w:vAlign w:val="center"/>
                </w:tcPr>
                <w:p w14:paraId="69ED25C4">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1063" w:type="pct"/>
                  <w:tcBorders>
                    <w:top w:val="single" w:color="auto" w:sz="4" w:space="0"/>
                  </w:tcBorders>
                  <w:vAlign w:val="center"/>
                </w:tcPr>
                <w:p w14:paraId="67A04051">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333.4</w:t>
                  </w:r>
                </w:p>
              </w:tc>
              <w:tc>
                <w:tcPr>
                  <w:tcW w:w="676" w:type="pct"/>
                  <w:tcBorders>
                    <w:top w:val="single" w:color="auto" w:sz="4" w:space="0"/>
                  </w:tcBorders>
                  <w:vAlign w:val="center"/>
                </w:tcPr>
                <w:p w14:paraId="4D8FEA98">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-6150</w:t>
                  </w:r>
                </w:p>
              </w:tc>
              <w:tc>
                <w:tcPr>
                  <w:tcW w:w="1546" w:type="pct"/>
                  <w:tcBorders>
                    <w:top w:val="single" w:color="auto" w:sz="4" w:space="0"/>
                  </w:tcBorders>
                  <w:vAlign w:val="center"/>
                </w:tcPr>
                <w:p w14:paraId="3174E8EB">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1691t</w:t>
                  </w:r>
                </w:p>
              </w:tc>
            </w:tr>
            <w:tr w14:paraId="18B53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61206069">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Merge w:val="restart"/>
                  <w:vAlign w:val="center"/>
                </w:tcPr>
                <w:p w14:paraId="106DE99D">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五开</w:t>
                  </w:r>
                </w:p>
              </w:tc>
              <w:tc>
                <w:tcPr>
                  <w:tcW w:w="615" w:type="pct"/>
                  <w:vMerge w:val="continue"/>
                  <w:vAlign w:val="center"/>
                </w:tcPr>
                <w:p w14:paraId="3B9033D7">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1063" w:type="pct"/>
                  <w:tcBorders>
                    <w:top w:val="single" w:color="auto" w:sz="4" w:space="0"/>
                  </w:tcBorders>
                  <w:vAlign w:val="center"/>
                </w:tcPr>
                <w:p w14:paraId="2F0DB21A">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241.3</w:t>
                  </w:r>
                </w:p>
              </w:tc>
              <w:tc>
                <w:tcPr>
                  <w:tcW w:w="676" w:type="pct"/>
                  <w:tcBorders>
                    <w:top w:val="single" w:color="auto" w:sz="4" w:space="0"/>
                  </w:tcBorders>
                  <w:vAlign w:val="center"/>
                </w:tcPr>
                <w:p w14:paraId="03EF94C1">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-7500</w:t>
                  </w:r>
                </w:p>
              </w:tc>
              <w:tc>
                <w:tcPr>
                  <w:tcW w:w="1546" w:type="pct"/>
                  <w:tcBorders>
                    <w:top w:val="single" w:color="auto" w:sz="4" w:space="0"/>
                  </w:tcBorders>
                  <w:vAlign w:val="center"/>
                </w:tcPr>
                <w:p w14:paraId="4A687201">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771t</w:t>
                  </w:r>
                </w:p>
              </w:tc>
            </w:tr>
            <w:tr w14:paraId="2E0409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0CF40F10">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Merge w:val="continue"/>
                  <w:vAlign w:val="center"/>
                </w:tcPr>
                <w:p w14:paraId="1D763663">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cs="Times New Roman"/>
                      <w:color w:val="auto"/>
                      <w:sz w:val="21"/>
                      <w:szCs w:val="21"/>
                      <w:highlight w:val="none"/>
                      <w:lang w:val="en-US" w:eastAsia="zh-CN"/>
                    </w:rPr>
                  </w:pPr>
                </w:p>
              </w:tc>
              <w:tc>
                <w:tcPr>
                  <w:tcW w:w="615" w:type="pct"/>
                  <w:vMerge w:val="continue"/>
                  <w:vAlign w:val="center"/>
                </w:tcPr>
                <w:p w14:paraId="687DFEF2">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1063" w:type="pct"/>
                  <w:tcBorders>
                    <w:top w:val="single" w:color="auto" w:sz="4" w:space="0"/>
                  </w:tcBorders>
                  <w:vAlign w:val="center"/>
                </w:tcPr>
                <w:p w14:paraId="293D00FF">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215.9</w:t>
                  </w:r>
                </w:p>
              </w:tc>
              <w:tc>
                <w:tcPr>
                  <w:tcW w:w="676" w:type="pct"/>
                  <w:tcBorders>
                    <w:top w:val="single" w:color="auto" w:sz="4" w:space="0"/>
                  </w:tcBorders>
                  <w:vAlign w:val="center"/>
                </w:tcPr>
                <w:p w14:paraId="22AB3EFC">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980</w:t>
                  </w:r>
                </w:p>
              </w:tc>
              <w:tc>
                <w:tcPr>
                  <w:tcW w:w="1546" w:type="pct"/>
                  <w:tcBorders>
                    <w:top w:val="single" w:color="auto" w:sz="4" w:space="0"/>
                  </w:tcBorders>
                  <w:vAlign w:val="center"/>
                </w:tcPr>
                <w:p w14:paraId="699D91BC">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220t</w:t>
                  </w:r>
                </w:p>
              </w:tc>
            </w:tr>
            <w:tr w14:paraId="099C4A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9" w:type="pct"/>
                  <w:vMerge w:val="continue"/>
                  <w:vAlign w:val="center"/>
                </w:tcPr>
                <w:p w14:paraId="6BF880DE">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449" w:type="pct"/>
                  <w:vAlign w:val="center"/>
                </w:tcPr>
                <w:p w14:paraId="31D311E1">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小计</w:t>
                  </w:r>
                </w:p>
              </w:tc>
              <w:tc>
                <w:tcPr>
                  <w:tcW w:w="615" w:type="pct"/>
                  <w:vMerge w:val="continue"/>
                  <w:vAlign w:val="center"/>
                </w:tcPr>
                <w:p w14:paraId="6A852484">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p>
              </w:tc>
              <w:tc>
                <w:tcPr>
                  <w:tcW w:w="1063" w:type="pct"/>
                  <w:tcBorders>
                    <w:top w:val="single" w:color="auto" w:sz="4" w:space="0"/>
                  </w:tcBorders>
                  <w:vAlign w:val="center"/>
                </w:tcPr>
                <w:p w14:paraId="3118AFA9">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676" w:type="pct"/>
                  <w:tcBorders>
                    <w:top w:val="single" w:color="auto" w:sz="4" w:space="0"/>
                  </w:tcBorders>
                  <w:vAlign w:val="center"/>
                </w:tcPr>
                <w:p w14:paraId="39684EE8">
                  <w:pPr>
                    <w:pStyle w:val="45"/>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546" w:type="pct"/>
                  <w:tcBorders>
                    <w:top w:val="single" w:color="auto" w:sz="4" w:space="0"/>
                  </w:tcBorders>
                  <w:vAlign w:val="center"/>
                </w:tcPr>
                <w:p w14:paraId="51B3ADDB">
                  <w:pPr>
                    <w:pStyle w:val="45"/>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4346t</w:t>
                  </w:r>
                </w:p>
              </w:tc>
            </w:tr>
            <w:bookmarkEnd w:id="55"/>
          </w:tbl>
          <w:p w14:paraId="341249C5">
            <w:pPr>
              <w:pStyle w:val="9"/>
              <w:ind w:firstLine="480"/>
              <w:rPr>
                <w:rFonts w:hint="eastAsia" w:ascii="Times New Roman" w:hAnsi="Times New Roman" w:eastAsia="宋体" w:cs="Times New Roman"/>
                <w:b w:val="0"/>
                <w:bCs w:val="0"/>
                <w:color w:val="auto"/>
                <w:vertAlign w:val="baseline"/>
                <w:lang w:val="en-US" w:eastAsia="zh-CN"/>
              </w:rPr>
            </w:pPr>
            <w:bookmarkStart w:id="56" w:name="_Hlk186376309"/>
            <w:r>
              <w:rPr>
                <w:rFonts w:hint="default" w:ascii="Times New Roman" w:hAnsi="Times New Roman" w:cs="Times New Roman"/>
                <w:b w:val="0"/>
                <w:bCs w:val="0"/>
                <w:color w:val="auto"/>
              </w:rPr>
              <w:t>由</w:t>
            </w:r>
            <w:r>
              <w:rPr>
                <w:rFonts w:hint="default" w:ascii="Times New Roman" w:hAnsi="Times New Roman" w:cs="Times New Roman"/>
                <w:b w:val="0"/>
                <w:bCs w:val="0"/>
                <w:color w:val="auto"/>
                <w:lang w:val="en-US" w:eastAsia="zh-CN"/>
              </w:rPr>
              <w:t>表</w:t>
            </w:r>
            <w:r>
              <w:rPr>
                <w:rFonts w:hint="eastAsia" w:ascii="Times New Roman" w:hAnsi="Times New Roman" w:cs="Times New Roman"/>
                <w:b w:val="0"/>
                <w:bCs w:val="0"/>
                <w:color w:val="auto"/>
                <w:lang w:val="en-US" w:eastAsia="zh-CN"/>
              </w:rPr>
              <w:t>4-4</w:t>
            </w:r>
            <w:r>
              <w:rPr>
                <w:rFonts w:hint="default" w:ascii="Times New Roman" w:hAnsi="Times New Roman" w:cs="Times New Roman"/>
                <w:b w:val="0"/>
                <w:bCs w:val="0"/>
                <w:color w:val="auto"/>
                <w:lang w:val="en-US" w:eastAsia="zh-CN"/>
              </w:rPr>
              <w:t>可</w:t>
            </w:r>
            <w:r>
              <w:rPr>
                <w:rFonts w:hint="default" w:ascii="Times New Roman" w:hAnsi="Times New Roman" w:cs="Times New Roman"/>
                <w:b w:val="0"/>
                <w:bCs w:val="0"/>
                <w:color w:val="auto"/>
              </w:rPr>
              <w:t>知，</w:t>
            </w:r>
            <w:r>
              <w:rPr>
                <w:rFonts w:hint="default"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水基钻井岩屑产生量为</w:t>
            </w:r>
            <w:r>
              <w:rPr>
                <w:rFonts w:hint="eastAsia" w:ascii="Times New Roman" w:hAnsi="Times New Roman" w:cs="Times New Roman"/>
                <w:b w:val="0"/>
                <w:bCs w:val="0"/>
                <w:color w:val="auto"/>
                <w:lang w:val="en-US" w:eastAsia="zh-CN"/>
              </w:rPr>
              <w:t>2323</w:t>
            </w:r>
            <w:r>
              <w:rPr>
                <w:rFonts w:hint="default" w:ascii="Times New Roman" w:hAnsi="Times New Roman" w:cs="Times New Roman"/>
                <w:b w:val="0"/>
                <w:bCs w:val="0"/>
                <w:color w:val="auto"/>
              </w:rPr>
              <w:t>m</w:t>
            </w:r>
            <w:r>
              <w:rPr>
                <w:rFonts w:hint="default" w:ascii="Times New Roman" w:hAnsi="Times New Roman" w:cs="Times New Roman"/>
                <w:b w:val="0"/>
                <w:bCs w:val="0"/>
                <w:color w:val="auto"/>
                <w:vertAlign w:val="superscript"/>
              </w:rPr>
              <w:t>3</w:t>
            </w:r>
            <w:bookmarkEnd w:id="53"/>
            <w:bookmarkEnd w:id="56"/>
            <w:r>
              <w:rPr>
                <w:rFonts w:hint="eastAsia" w:ascii="Times New Roman" w:hAnsi="Times New Roman" w:cs="Times New Roman"/>
                <w:b w:val="0"/>
                <w:bCs w:val="0"/>
                <w:color w:val="auto"/>
                <w:lang w:eastAsia="zh-CN"/>
              </w:rPr>
              <w:t>，</w:t>
            </w:r>
            <w:r>
              <w:rPr>
                <w:rFonts w:hint="eastAsia" w:ascii="Times New Roman" w:hAnsi="Times New Roman" w:cs="Times New Roman"/>
                <w:b w:val="0"/>
                <w:bCs w:val="0"/>
                <w:color w:val="auto"/>
                <w:lang w:val="en-US" w:eastAsia="zh-CN"/>
              </w:rPr>
              <w:t>油基钻井岩屑产生量为4346</w:t>
            </w:r>
            <w:r>
              <w:rPr>
                <w:rFonts w:hint="eastAsia" w:ascii="Times New Roman" w:hAnsi="Times New Roman" w:cs="Times New Roman"/>
                <w:b w:val="0"/>
                <w:bCs w:val="0"/>
                <w:color w:val="auto"/>
                <w:vertAlign w:val="baseline"/>
                <w:lang w:val="en-US" w:eastAsia="zh-CN"/>
              </w:rPr>
              <w:t>t</w:t>
            </w:r>
            <w:r>
              <w:rPr>
                <w:rFonts w:hint="eastAsia" w:ascii="Times New Roman" w:hAnsi="Times New Roman" w:cs="Times New Roman"/>
                <w:b w:val="0"/>
                <w:bCs w:val="0"/>
                <w:color w:val="auto"/>
                <w:vertAlign w:val="baseline"/>
                <w:lang w:eastAsia="zh-CN"/>
              </w:rPr>
              <w:t>。</w:t>
            </w:r>
          </w:p>
          <w:p w14:paraId="02E31BB1">
            <w:pPr>
              <w:pStyle w:val="9"/>
              <w:ind w:firstLine="48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井场设一套钻井液不落地设备，钻井岩屑采用不落地系统进行固液分离处理。分离出的液相回用于钻井，钻井结束后装入钻井液罐由钻井队带至下一个钻井井场，分离出的水基钻井岩屑暂存于岩屑专用方罐，委托第三方岩屑处置单位进行最终处置。分离出的油基钻井岩屑属于《国家危险废物名录》（2025年版）HW08类危险废物（废物代码：071-002-08，危险特性：毒性），进入油基岩屑专用方罐后交由具有相应危险废物处置资质的单位负责接收、转运以及处置。</w:t>
            </w:r>
          </w:p>
          <w:p w14:paraId="29791532">
            <w:pPr>
              <w:pStyle w:val="32"/>
              <w:rPr>
                <w:rFonts w:hint="default" w:ascii="Times New Roman" w:hAnsi="Times New Roman" w:cs="Times New Roman"/>
                <w:color w:val="auto"/>
              </w:rPr>
            </w:pPr>
            <w:r>
              <w:rPr>
                <w:rFonts w:hint="default" w:ascii="Times New Roman" w:hAnsi="Times New Roman" w:cs="Times New Roman"/>
                <w:color w:val="auto"/>
              </w:rPr>
              <w:t>（2）沾油废防渗材料</w:t>
            </w:r>
          </w:p>
          <w:p w14:paraId="252EF795">
            <w:pPr>
              <w:pStyle w:val="32"/>
              <w:rPr>
                <w:rFonts w:hint="default" w:ascii="Times New Roman" w:hAnsi="Times New Roman" w:cs="Times New Roman"/>
                <w:color w:val="auto"/>
              </w:rPr>
            </w:pPr>
            <w:r>
              <w:rPr>
                <w:rFonts w:hint="default" w:ascii="Times New Roman" w:hAnsi="Times New Roman" w:cs="Times New Roman"/>
                <w:color w:val="auto"/>
              </w:rPr>
              <w:t>施工结束对场地进行清理时，会产生一定的废防渗材料，未沾油防渗材料由施工单位集中回收利用，沾油废防渗材料属于《国家危险废物名录》（2025年版）中的HW08废矿物油与含矿物油类危险废物（废物代码为900-249-08，危险特性为毒性和易燃性），分区暂存在井场设置的危险废物贮存点，定期由具有相应危险废物处置资质的单位进行接收、转运和处置。</w:t>
            </w:r>
          </w:p>
          <w:p w14:paraId="15DCCF7F">
            <w:pPr>
              <w:pStyle w:val="32"/>
              <w:rPr>
                <w:rFonts w:hint="default" w:ascii="Times New Roman" w:hAnsi="Times New Roman" w:cs="Times New Roman"/>
                <w:color w:val="auto"/>
              </w:rPr>
            </w:pPr>
            <w:r>
              <w:rPr>
                <w:rFonts w:hint="default" w:ascii="Times New Roman" w:hAnsi="Times New Roman" w:cs="Times New Roman"/>
                <w:color w:val="auto"/>
              </w:rPr>
              <w:t>（3）废润滑油及废润滑油桶</w:t>
            </w:r>
          </w:p>
          <w:p w14:paraId="5310EFBC">
            <w:pPr>
              <w:pStyle w:val="32"/>
              <w:rPr>
                <w:rFonts w:hint="default" w:ascii="Times New Roman" w:hAnsi="Times New Roman" w:cs="Times New Roman"/>
                <w:color w:val="auto"/>
              </w:rPr>
            </w:pPr>
            <w:bookmarkStart w:id="57" w:name="_Hlk143012744"/>
            <w:r>
              <w:rPr>
                <w:rFonts w:hint="default" w:ascii="Times New Roman" w:hAnsi="Times New Roman" w:cs="Times New Roman"/>
                <w:color w:val="auto"/>
              </w:rPr>
              <w:t>施工过程中，若遇到机械、设备需要检修与维护的情况会产生一定量的废润滑油及废润滑油桶，属于间歇</w:t>
            </w:r>
            <w:r>
              <w:rPr>
                <w:rFonts w:hint="eastAsia" w:ascii="Times New Roman" w:hAnsi="Times New Roman" w:cs="Times New Roman"/>
                <w:color w:val="auto"/>
                <w:lang w:eastAsia="zh-CN"/>
              </w:rPr>
              <w:t>产物</w:t>
            </w:r>
            <w:r>
              <w:rPr>
                <w:rFonts w:hint="default" w:ascii="Times New Roman" w:hAnsi="Times New Roman" w:cs="Times New Roman"/>
                <w:color w:val="auto"/>
              </w:rPr>
              <w:t>。废润滑油、废润滑油桶均属于《国家危险废物名录》（2025年版）中的HW08废矿物油与含矿物油类危险废物，废物代码分别为900-214-08（危险特性：毒性、易燃性）、900-249-08（危险特性：毒性、易燃性），分区暂存在井场设置的危险废物贮存点，定期由具有相应危险废物处置资质的单位进行接收、转运和处置。</w:t>
            </w:r>
          </w:p>
          <w:bookmarkEnd w:id="57"/>
          <w:p w14:paraId="68F16A80">
            <w:pPr>
              <w:pStyle w:val="32"/>
              <w:rPr>
                <w:rFonts w:hint="default" w:ascii="Times New Roman" w:hAnsi="Times New Roman" w:eastAsia="宋体" w:cs="Times New Roman"/>
                <w:color w:val="auto"/>
                <w:lang w:val="en-US" w:eastAsia="zh-CN"/>
              </w:rPr>
            </w:pPr>
            <w:r>
              <w:rPr>
                <w:rFonts w:hint="default" w:ascii="Times New Roman" w:hAnsi="Times New Roman" w:cs="Times New Roman"/>
                <w:color w:val="auto"/>
              </w:rPr>
              <w:t>（4）</w:t>
            </w:r>
            <w:r>
              <w:rPr>
                <w:rFonts w:hint="eastAsia" w:ascii="Times New Roman" w:hAnsi="Times New Roman" w:cs="Times New Roman"/>
                <w:color w:val="auto"/>
                <w:lang w:val="en-US" w:eastAsia="zh-CN"/>
              </w:rPr>
              <w:t>落地油</w:t>
            </w:r>
          </w:p>
          <w:p w14:paraId="1BF8517C">
            <w:pPr>
              <w:pStyle w:val="32"/>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本项目钻试过程中，事故状态下，如发生储罐泄漏，防渗材料破裂，将会产生落地油；</w:t>
            </w:r>
            <w:r>
              <w:rPr>
                <w:rFonts w:hint="eastAsia" w:ascii="Times New Roman" w:hAnsi="Times New Roman" w:cs="Times New Roman"/>
                <w:color w:val="auto"/>
              </w:rPr>
              <w:t>根据《国家危险废物名录》（20</w:t>
            </w:r>
            <w:r>
              <w:rPr>
                <w:rFonts w:hint="eastAsia" w:ascii="Times New Roman" w:hAnsi="Times New Roman" w:cs="Times New Roman"/>
                <w:color w:val="auto"/>
                <w:lang w:val="en-US" w:eastAsia="zh-CN"/>
              </w:rPr>
              <w:t>25</w:t>
            </w:r>
            <w:r>
              <w:rPr>
                <w:rFonts w:hint="eastAsia" w:ascii="Times New Roman" w:hAnsi="Times New Roman" w:cs="Times New Roman"/>
                <w:color w:val="auto"/>
              </w:rPr>
              <w:t>版），落地油属于危险废物，危险废物代码为HW08-071-001-08；</w:t>
            </w:r>
            <w:r>
              <w:rPr>
                <w:rFonts w:hint="eastAsia" w:ascii="Times New Roman" w:hAnsi="Times New Roman" w:cs="Times New Roman"/>
                <w:color w:val="auto"/>
                <w:lang w:val="en-US" w:eastAsia="zh-CN"/>
              </w:rPr>
              <w:t>一旦发生泄漏及时采取有效的堵漏措施，同时对产生的落地油集中收集，不在井场贮存，直接交由具有相应危废处置资质的单位进行接收、转运和处置。</w:t>
            </w:r>
          </w:p>
          <w:p w14:paraId="5AD23A4B">
            <w:pPr>
              <w:pStyle w:val="32"/>
              <w:rPr>
                <w:rFonts w:hint="default" w:ascii="Times New Roman" w:hAnsi="Times New Roman" w:eastAsia="宋体" w:cs="Times New Roman"/>
                <w:color w:val="auto"/>
                <w:lang w:val="en-US" w:eastAsia="zh-CN"/>
              </w:rPr>
            </w:pPr>
            <w:r>
              <w:rPr>
                <w:rFonts w:hint="default" w:ascii="Times New Roman" w:hAnsi="Times New Roman" w:cs="Times New Roman"/>
                <w:color w:val="auto"/>
              </w:rPr>
              <w:t>（</w:t>
            </w:r>
            <w:r>
              <w:rPr>
                <w:rFonts w:hint="eastAsia" w:ascii="Times New Roman" w:hAnsi="Times New Roman" w:cs="Times New Roman"/>
                <w:color w:val="auto"/>
                <w:lang w:val="en-US" w:eastAsia="zh-CN"/>
              </w:rPr>
              <w:t>5</w:t>
            </w:r>
            <w:r>
              <w:rPr>
                <w:rFonts w:hint="default" w:ascii="Times New Roman" w:hAnsi="Times New Roman" w:cs="Times New Roman"/>
                <w:color w:val="auto"/>
              </w:rPr>
              <w:t>）</w:t>
            </w:r>
            <w:r>
              <w:rPr>
                <w:rFonts w:hint="eastAsia" w:ascii="Times New Roman" w:hAnsi="Times New Roman" w:cs="Times New Roman"/>
                <w:color w:val="auto"/>
                <w:lang w:val="en-US" w:eastAsia="zh-CN"/>
              </w:rPr>
              <w:t>沾油劳保用品</w:t>
            </w:r>
          </w:p>
          <w:p w14:paraId="4D76FC65">
            <w:pPr>
              <w:pStyle w:val="32"/>
              <w:rPr>
                <w:rFonts w:hint="default" w:ascii="Times New Roman" w:hAnsi="Times New Roman" w:cs="Times New Roman"/>
                <w:color w:val="auto"/>
              </w:rPr>
            </w:pPr>
            <w:r>
              <w:rPr>
                <w:rFonts w:hint="eastAsia" w:ascii="Times New Roman" w:hAnsi="Times New Roman" w:cs="Times New Roman"/>
                <w:color w:val="auto"/>
                <w:lang w:val="en-US" w:eastAsia="zh-CN"/>
              </w:rPr>
              <w:t>本项目钻试过程中机械检修会产生沾油抹布、手套等沾油劳保用品，</w:t>
            </w:r>
            <w:r>
              <w:rPr>
                <w:rFonts w:hint="eastAsia" w:ascii="Times New Roman" w:hAnsi="Times New Roman" w:cs="Times New Roman"/>
                <w:color w:val="auto"/>
              </w:rPr>
              <w:t>根据《国家危险废物名录》（20</w:t>
            </w:r>
            <w:r>
              <w:rPr>
                <w:rFonts w:hint="eastAsia" w:ascii="Times New Roman" w:hAnsi="Times New Roman" w:cs="Times New Roman"/>
                <w:color w:val="auto"/>
                <w:lang w:val="en-US" w:eastAsia="zh-CN"/>
              </w:rPr>
              <w:t>25</w:t>
            </w:r>
            <w:r>
              <w:rPr>
                <w:rFonts w:hint="eastAsia" w:ascii="Times New Roman" w:hAnsi="Times New Roman" w:cs="Times New Roman"/>
                <w:color w:val="auto"/>
              </w:rPr>
              <w:t>版），</w:t>
            </w:r>
            <w:r>
              <w:rPr>
                <w:rFonts w:hint="eastAsia" w:ascii="Times New Roman" w:hAnsi="Times New Roman" w:cs="Times New Roman"/>
                <w:color w:val="auto"/>
                <w:lang w:val="en-US" w:eastAsia="zh-CN"/>
              </w:rPr>
              <w:t>沾油劳保用品</w:t>
            </w:r>
            <w:r>
              <w:rPr>
                <w:rFonts w:hint="eastAsia" w:ascii="Times New Roman" w:hAnsi="Times New Roman" w:cs="Times New Roman"/>
                <w:color w:val="auto"/>
              </w:rPr>
              <w:t>属于</w:t>
            </w:r>
            <w:r>
              <w:rPr>
                <w:rFonts w:hint="eastAsia" w:ascii="Times New Roman" w:hAnsi="Times New Roman" w:cs="Times New Roman"/>
                <w:color w:val="auto"/>
                <w:lang w:val="en-US" w:eastAsia="zh-CN"/>
              </w:rPr>
              <w:t>豁免的危险废物，产生量约0.005t，</w:t>
            </w:r>
            <w:r>
              <w:rPr>
                <w:rFonts w:hint="eastAsia" w:ascii="Times New Roman" w:hAnsi="Times New Roman" w:cs="Times New Roman"/>
                <w:color w:val="auto"/>
              </w:rPr>
              <w:t>废物代码为</w:t>
            </w:r>
            <w:r>
              <w:rPr>
                <w:rFonts w:hint="eastAsia" w:ascii="Times New Roman" w:hAnsi="Times New Roman" w:cs="Times New Roman"/>
                <w:color w:val="auto"/>
                <w:lang w:val="en-US" w:eastAsia="zh-CN"/>
              </w:rPr>
              <w:t>900-041-49，由于产生量较大，不在豁免范围，分区暂存在井场设置的危险废物贮存点，</w:t>
            </w:r>
            <w:r>
              <w:rPr>
                <w:rFonts w:hint="default" w:ascii="Times New Roman" w:hAnsi="Times New Roman" w:cs="Times New Roman"/>
                <w:color w:val="auto"/>
              </w:rPr>
              <w:t>定期由具有相应危险废物处置资质的单位进行接收、转运和处置。</w:t>
            </w:r>
          </w:p>
          <w:p w14:paraId="4BC9ECC4">
            <w:pPr>
              <w:pStyle w:val="32"/>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6</w:t>
            </w:r>
            <w:r>
              <w:rPr>
                <w:rFonts w:hint="default" w:ascii="Times New Roman" w:hAnsi="Times New Roman" w:cs="Times New Roman"/>
                <w:color w:val="auto"/>
              </w:rPr>
              <w:t>）生活垃圾</w:t>
            </w:r>
          </w:p>
          <w:p w14:paraId="4F78B581">
            <w:pPr>
              <w:pStyle w:val="32"/>
              <w:rPr>
                <w:rFonts w:hint="eastAsia" w:ascii="Times New Roman" w:hAnsi="Times New Roman" w:eastAsia="宋体" w:cs="Times New Roman"/>
                <w:color w:val="auto"/>
                <w:lang w:eastAsia="zh-CN"/>
              </w:rPr>
            </w:pPr>
            <w:r>
              <w:rPr>
                <w:rFonts w:hint="default" w:ascii="Times New Roman" w:hAnsi="Times New Roman" w:cs="Times New Roman"/>
                <w:color w:val="auto"/>
              </w:rPr>
              <w:t>施工期生活垃圾产生量按0.8kg/人·d计算，则施工期间生活垃圾产生量约</w:t>
            </w:r>
            <w:r>
              <w:rPr>
                <w:rFonts w:hint="eastAsia" w:ascii="Times New Roman" w:hAnsi="Times New Roman" w:cs="Times New Roman"/>
                <w:color w:val="auto"/>
                <w:lang w:val="en-US" w:eastAsia="zh-CN"/>
              </w:rPr>
              <w:t>7.22</w:t>
            </w:r>
            <w:r>
              <w:rPr>
                <w:rFonts w:hint="default" w:ascii="Times New Roman" w:hAnsi="Times New Roman" w:cs="Times New Roman"/>
                <w:color w:val="auto"/>
              </w:rPr>
              <w:t>t</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项目</w:t>
            </w:r>
            <w:r>
              <w:rPr>
                <w:rFonts w:hint="default" w:ascii="Times New Roman" w:hAnsi="Times New Roman" w:cs="Times New Roman"/>
                <w:color w:val="auto"/>
              </w:rPr>
              <w:t>产生的生活垃圾集中收集在垃圾箱后交玛纳斯县生活垃圾填埋场处置</w:t>
            </w:r>
            <w:r>
              <w:rPr>
                <w:rFonts w:hint="eastAsia" w:ascii="Times New Roman" w:hAnsi="Times New Roman" w:cs="Times New Roman"/>
                <w:color w:val="auto"/>
                <w:lang w:eastAsia="zh-CN"/>
              </w:rPr>
              <w:t>。</w:t>
            </w:r>
          </w:p>
          <w:p w14:paraId="67EE5298">
            <w:pPr>
              <w:pStyle w:val="32"/>
              <w:rPr>
                <w:rFonts w:hint="default" w:ascii="Times New Roman" w:hAnsi="Times New Roman" w:cs="Times New Roman"/>
                <w:color w:val="auto"/>
                <w:highlight w:val="none"/>
              </w:rPr>
            </w:pPr>
          </w:p>
          <w:p w14:paraId="40E58E77">
            <w:pPr>
              <w:pStyle w:val="32"/>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建筑垃圾</w:t>
            </w:r>
          </w:p>
          <w:p w14:paraId="19592FCD">
            <w:pPr>
              <w:pStyle w:val="9"/>
              <w:ind w:firstLine="480"/>
              <w:rPr>
                <w:rFonts w:hint="default" w:ascii="Times New Roman" w:hAnsi="Times New Roman" w:cs="Times New Roman"/>
                <w:b w:val="0"/>
                <w:bCs w:val="0"/>
                <w:color w:val="auto"/>
                <w:highlight w:val="yellow"/>
                <w:lang w:val="en-US"/>
              </w:rPr>
            </w:pPr>
            <w:r>
              <w:rPr>
                <w:rFonts w:hint="eastAsia" w:ascii="Times New Roman" w:hAnsi="Times New Roman" w:cs="Times New Roman"/>
                <w:b w:val="0"/>
                <w:bCs w:val="0"/>
                <w:color w:val="auto"/>
                <w:highlight w:val="none"/>
                <w:lang w:val="en-US" w:eastAsia="zh-CN"/>
              </w:rPr>
              <w:t>本项目建筑垃圾主要为施工过程及施工结束时产生的废料（如石块、钢筋）、废包装等，集中收集尽量由施工单位统一回收利用，无法再利用的送至玛纳斯县建筑垃圾填埋场填埋处理。</w:t>
            </w:r>
          </w:p>
          <w:p w14:paraId="0202C491">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综上所述，施工期产生的固体废物可得到妥善处置，不会对周围环境造成不良影响。</w:t>
            </w:r>
          </w:p>
          <w:p w14:paraId="3F3B8EE5">
            <w:pPr>
              <w:pStyle w:val="9"/>
              <w:rPr>
                <w:rFonts w:hint="default" w:ascii="Times New Roman" w:hAnsi="Times New Roman" w:cs="Times New Roman"/>
                <w:color w:val="auto"/>
              </w:rPr>
            </w:pPr>
            <w:r>
              <w:rPr>
                <w:rFonts w:hint="default" w:ascii="Times New Roman" w:hAnsi="Times New Roman" w:cs="Times New Roman"/>
                <w:color w:val="auto"/>
                <w:lang w:val="en-US" w:eastAsia="zh-CN"/>
              </w:rPr>
              <w:t>7</w:t>
            </w:r>
            <w:r>
              <w:rPr>
                <w:rFonts w:hint="default" w:ascii="Times New Roman" w:hAnsi="Times New Roman" w:cs="Times New Roman"/>
                <w:color w:val="auto"/>
              </w:rPr>
              <w:t>、环境风险影响分析</w:t>
            </w:r>
          </w:p>
          <w:p w14:paraId="6AE5C514">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（1）评价依据</w:t>
            </w:r>
          </w:p>
          <w:p w14:paraId="0BC6719A">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施工期涉及的危险物质主要为柴油、</w:t>
            </w:r>
            <w:r>
              <w:rPr>
                <w:rFonts w:hint="eastAsia" w:ascii="Times New Roman" w:hAnsi="Times New Roman" w:cs="Times New Roman"/>
                <w:b w:val="0"/>
                <w:bCs w:val="0"/>
                <w:color w:val="auto"/>
                <w:lang w:val="en-US" w:eastAsia="zh-CN"/>
              </w:rPr>
              <w:t>白油、</w:t>
            </w:r>
            <w:r>
              <w:rPr>
                <w:rFonts w:hint="default" w:ascii="Times New Roman" w:hAnsi="Times New Roman" w:cs="Times New Roman"/>
                <w:b w:val="0"/>
                <w:bCs w:val="0"/>
                <w:color w:val="auto"/>
              </w:rPr>
              <w:t>原油、伴生气（主要成分为天然气）。</w:t>
            </w:r>
          </w:p>
          <w:p w14:paraId="5700D29F">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根据《建设项目环境风险评价技术导则》（HJ169-2018）附录B可知，废润滑油属于“油类物质”，废润滑油桶、沾油废防渗材料为含油废物（各危险物质在线量分别以沾油废防渗材料和废润滑油桶中石油类含量计），临界量均为2500t。</w:t>
            </w:r>
          </w:p>
          <w:p w14:paraId="559D0802">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根据相关资料可知，钻井井场柴油的储存量约</w:t>
            </w:r>
            <w:r>
              <w:rPr>
                <w:rFonts w:hint="eastAsia" w:ascii="Times New Roman" w:hAnsi="Times New Roman" w:cs="Times New Roman"/>
                <w:b w:val="0"/>
                <w:bCs w:val="0"/>
                <w:color w:val="auto"/>
                <w:lang w:val="en-US" w:eastAsia="zh-CN"/>
              </w:rPr>
              <w:t>20t</w:t>
            </w:r>
            <w:r>
              <w:rPr>
                <w:rFonts w:hint="default" w:ascii="Times New Roman" w:hAnsi="Times New Roman" w:cs="Times New Roman"/>
                <w:b w:val="0"/>
                <w:bCs w:val="0"/>
                <w:color w:val="auto"/>
              </w:rPr>
              <w:t>；危险废物贮存点废润滑油、废润滑油桶及沾油废防渗材料中石油类最大暂存量约为</w:t>
            </w:r>
            <w:r>
              <w:rPr>
                <w:rFonts w:hint="eastAsia" w:ascii="Times New Roman" w:hAnsi="Times New Roman" w:cs="Times New Roman"/>
                <w:b w:val="0"/>
                <w:bCs w:val="0"/>
                <w:color w:val="auto"/>
                <w:lang w:val="en-US" w:eastAsia="zh-CN"/>
              </w:rPr>
              <w:t>0.5</w:t>
            </w:r>
            <w:r>
              <w:rPr>
                <w:rFonts w:hint="default" w:ascii="Times New Roman" w:hAnsi="Times New Roman" w:cs="Times New Roman"/>
                <w:b w:val="0"/>
                <w:bCs w:val="0"/>
                <w:color w:val="auto"/>
              </w:rPr>
              <w:t>t。油基钻井液中白油的含量为30%（体积分数），井场油基钻井液最大储存量350m</w:t>
            </w:r>
            <w:r>
              <w:rPr>
                <w:rFonts w:hint="default" w:ascii="Times New Roman" w:hAnsi="Times New Roman" w:cs="Times New Roman"/>
                <w:b w:val="0"/>
                <w:bCs w:val="0"/>
                <w:color w:val="auto"/>
                <w:vertAlign w:val="superscript"/>
              </w:rPr>
              <w:t>3</w:t>
            </w:r>
            <w:r>
              <w:rPr>
                <w:rFonts w:hint="default" w:ascii="Times New Roman" w:hAnsi="Times New Roman" w:cs="Times New Roman"/>
                <w:b w:val="0"/>
                <w:bCs w:val="0"/>
                <w:color w:val="auto"/>
              </w:rPr>
              <w:t>，白油密度取0.84g/cm</w:t>
            </w:r>
            <w:r>
              <w:rPr>
                <w:rFonts w:hint="default" w:ascii="Times New Roman" w:hAnsi="Times New Roman" w:cs="Times New Roman"/>
                <w:b w:val="0"/>
                <w:bCs w:val="0"/>
                <w:color w:val="auto"/>
                <w:vertAlign w:val="superscript"/>
              </w:rPr>
              <w:t>3</w:t>
            </w:r>
            <w:r>
              <w:rPr>
                <w:rFonts w:hint="default" w:ascii="Times New Roman" w:hAnsi="Times New Roman" w:cs="Times New Roman"/>
                <w:b w:val="0"/>
                <w:bCs w:val="0"/>
                <w:color w:val="auto"/>
              </w:rPr>
              <w:t>，井场油基钻井液中白油的最大在线量为88.2t；钻井井场油基钻井岩屑最大暂存量为100m</w:t>
            </w:r>
            <w:r>
              <w:rPr>
                <w:rFonts w:hint="default" w:ascii="Times New Roman" w:hAnsi="Times New Roman" w:cs="Times New Roman"/>
                <w:b w:val="0"/>
                <w:bCs w:val="0"/>
                <w:color w:val="auto"/>
                <w:vertAlign w:val="superscript"/>
              </w:rPr>
              <w:t>3</w:t>
            </w:r>
            <w:r>
              <w:rPr>
                <w:rFonts w:hint="default" w:ascii="Times New Roman" w:hAnsi="Times New Roman" w:cs="Times New Roman"/>
                <w:b w:val="0"/>
                <w:bCs w:val="0"/>
                <w:color w:val="auto"/>
              </w:rPr>
              <w:t>，岩屑中的石油类含量为12.5t。</w:t>
            </w:r>
          </w:p>
          <w:p w14:paraId="0449244C">
            <w:pPr>
              <w:pStyle w:val="9"/>
              <w:ind w:firstLine="480"/>
              <w:rPr>
                <w:rFonts w:hint="default" w:ascii="Times New Roman" w:hAnsi="Times New Roman" w:cs="Times New Roman"/>
                <w:b w:val="0"/>
                <w:bCs w:val="0"/>
                <w:color w:val="auto"/>
                <w:highlight w:val="yellow"/>
              </w:rPr>
            </w:pPr>
            <w:r>
              <w:rPr>
                <w:rFonts w:hint="default" w:ascii="Times New Roman" w:hAnsi="Times New Roman" w:cs="Times New Roman"/>
                <w:b w:val="0"/>
                <w:bCs w:val="0"/>
                <w:color w:val="auto"/>
              </w:rPr>
              <w:t>试油期产生的伴生气气量不稳定，伴生气最大存在总量远低于其临界量（伴生气临界量10t）；试油期柴油在井场的日常储量为2</w:t>
            </w:r>
            <w:r>
              <w:rPr>
                <w:rFonts w:hint="default" w:ascii="Times New Roman" w:hAnsi="Times New Roman" w:cs="Times New Roman"/>
                <w:b w:val="0"/>
                <w:bCs w:val="0"/>
                <w:color w:val="auto"/>
                <w:lang w:val="en-US" w:eastAsia="zh-CN"/>
              </w:rPr>
              <w:t>0</w:t>
            </w:r>
            <w:r>
              <w:rPr>
                <w:rFonts w:hint="default" w:ascii="Times New Roman" w:hAnsi="Times New Roman" w:cs="Times New Roman"/>
                <w:b w:val="0"/>
                <w:bCs w:val="0"/>
                <w:color w:val="auto"/>
              </w:rPr>
              <w:t>t；试油期井场设置方罐4个，每个方罐容积为20m</w:t>
            </w:r>
            <w:r>
              <w:rPr>
                <w:rFonts w:hint="default" w:ascii="Times New Roman" w:hAnsi="Times New Roman" w:cs="Times New Roman"/>
                <w:b w:val="0"/>
                <w:bCs w:val="0"/>
                <w:color w:val="auto"/>
                <w:vertAlign w:val="superscript"/>
              </w:rPr>
              <w:t>3</w:t>
            </w:r>
            <w:r>
              <w:rPr>
                <w:rFonts w:hint="default" w:ascii="Times New Roman" w:hAnsi="Times New Roman" w:cs="Times New Roman"/>
                <w:b w:val="0"/>
                <w:bCs w:val="0"/>
                <w:color w:val="auto"/>
              </w:rPr>
              <w:t>，原油平均密度为0.87g/cm</w:t>
            </w:r>
            <w:r>
              <w:rPr>
                <w:rFonts w:hint="default" w:ascii="Times New Roman" w:hAnsi="Times New Roman" w:cs="Times New Roman"/>
                <w:b w:val="0"/>
                <w:bCs w:val="0"/>
                <w:color w:val="auto"/>
                <w:vertAlign w:val="superscript"/>
              </w:rPr>
              <w:t>3</w:t>
            </w:r>
            <w:r>
              <w:rPr>
                <w:rFonts w:hint="default" w:ascii="Times New Roman" w:hAnsi="Times New Roman" w:cs="Times New Roman"/>
                <w:b w:val="0"/>
                <w:bCs w:val="0"/>
                <w:color w:val="auto"/>
              </w:rPr>
              <w:t>，则采出液中原油最大储存量约69.6t。</w:t>
            </w:r>
          </w:p>
          <w:p w14:paraId="41E4FE04">
            <w:pPr>
              <w:pStyle w:val="9"/>
              <w:ind w:firstLine="480"/>
              <w:rPr>
                <w:rFonts w:hint="default" w:ascii="Times New Roman" w:hAnsi="Times New Roman" w:eastAsia="宋体"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本项目</w:t>
            </w:r>
            <w:r>
              <w:rPr>
                <w:rFonts w:hint="default" w:ascii="Times New Roman" w:hAnsi="Times New Roman" w:cs="Times New Roman"/>
                <w:b w:val="0"/>
                <w:bCs w:val="0"/>
                <w:color w:val="auto"/>
                <w:highlight w:val="none"/>
              </w:rPr>
              <w:t>各危险物质与临界量的比值计算情况具体</w:t>
            </w:r>
            <w:r>
              <w:rPr>
                <w:rFonts w:hint="eastAsia" w:ascii="Times New Roman" w:hAnsi="Times New Roman" w:cs="Times New Roman"/>
                <w:b w:val="0"/>
                <w:bCs w:val="0"/>
                <w:color w:val="auto"/>
                <w:highlight w:val="none"/>
                <w:lang w:val="en-US" w:eastAsia="zh-CN"/>
              </w:rPr>
              <w:t>见表4-5。</w:t>
            </w:r>
          </w:p>
          <w:p w14:paraId="480D16B2">
            <w:pPr>
              <w:pStyle w:val="6"/>
              <w:rPr>
                <w:rFonts w:hint="default" w:ascii="Times New Roman" w:hAnsi="Times New Roman" w:cs="Times New Roman"/>
                <w:color w:val="auto"/>
                <w:highlight w:val="none"/>
              </w:rPr>
            </w:pPr>
          </w:p>
          <w:p w14:paraId="4C17C98D">
            <w:pPr>
              <w:pStyle w:val="6"/>
              <w:rPr>
                <w:rFonts w:hint="default" w:ascii="Times New Roman" w:hAnsi="Times New Roman" w:cs="Times New Roman"/>
                <w:color w:val="auto"/>
                <w:highlight w:val="none"/>
              </w:rPr>
            </w:pPr>
          </w:p>
          <w:p w14:paraId="08F1A73D">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default" w:ascii="Times New Roman" w:hAnsi="Times New Roman" w:cs="Times New Roman"/>
                <w:color w:val="auto"/>
                <w:highlight w:val="none"/>
                <w:lang w:val="en-US" w:eastAsia="zh-CN"/>
              </w:rPr>
              <w:t>4-5</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rPr>
              <w:t>井场各风险单元Q值一览表</w:t>
            </w:r>
          </w:p>
          <w:tbl>
            <w:tblPr>
              <w:tblStyle w:val="9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295"/>
              <w:gridCol w:w="1525"/>
              <w:gridCol w:w="1418"/>
              <w:gridCol w:w="1156"/>
              <w:gridCol w:w="867"/>
              <w:gridCol w:w="973"/>
            </w:tblGrid>
            <w:tr w14:paraId="19A49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Align w:val="center"/>
                </w:tcPr>
                <w:p w14:paraId="39A98316">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风险单位</w:t>
                  </w:r>
                </w:p>
              </w:tc>
              <w:tc>
                <w:tcPr>
                  <w:tcW w:w="1054" w:type="pct"/>
                  <w:vAlign w:val="center"/>
                </w:tcPr>
                <w:p w14:paraId="3716B81D">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危险物质名称</w:t>
                  </w:r>
                </w:p>
              </w:tc>
              <w:tc>
                <w:tcPr>
                  <w:tcW w:w="980" w:type="pct"/>
                  <w:vAlign w:val="center"/>
                </w:tcPr>
                <w:p w14:paraId="7DA1F132">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危险物质最大在线量（t）</w:t>
                  </w:r>
                </w:p>
              </w:tc>
              <w:tc>
                <w:tcPr>
                  <w:tcW w:w="799" w:type="pct"/>
                  <w:vAlign w:val="center"/>
                </w:tcPr>
                <w:p w14:paraId="48AF0200">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危险物质临界量（t）</w:t>
                  </w:r>
                </w:p>
              </w:tc>
              <w:tc>
                <w:tcPr>
                  <w:tcW w:w="599" w:type="pct"/>
                  <w:vAlign w:val="center"/>
                </w:tcPr>
                <w:p w14:paraId="7CEC9722">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Q值</w:t>
                  </w:r>
                </w:p>
              </w:tc>
              <w:tc>
                <w:tcPr>
                  <w:tcW w:w="672" w:type="pct"/>
                  <w:vAlign w:val="center"/>
                </w:tcPr>
                <w:p w14:paraId="1B6EEB17">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风险潜势</w:t>
                  </w:r>
                </w:p>
                <w:p w14:paraId="093D8F06">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等级</w:t>
                  </w:r>
                </w:p>
              </w:tc>
            </w:tr>
            <w:tr w14:paraId="6CC5CE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Merge w:val="restart"/>
                  <w:vAlign w:val="center"/>
                </w:tcPr>
                <w:p w14:paraId="5B865A3E">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钻井</w:t>
                  </w:r>
                  <w:r>
                    <w:rPr>
                      <w:rFonts w:hint="default" w:ascii="Times New Roman" w:hAnsi="Times New Roman" w:cs="Times New Roman"/>
                      <w:color w:val="auto"/>
                      <w:highlight w:val="none"/>
                    </w:rPr>
                    <w:t>井场</w:t>
                  </w:r>
                </w:p>
              </w:tc>
              <w:tc>
                <w:tcPr>
                  <w:tcW w:w="1054" w:type="pct"/>
                  <w:vAlign w:val="center"/>
                </w:tcPr>
                <w:p w14:paraId="4C40D756">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柴油</w:t>
                  </w:r>
                </w:p>
              </w:tc>
              <w:tc>
                <w:tcPr>
                  <w:tcW w:w="980" w:type="pct"/>
                  <w:vAlign w:val="center"/>
                </w:tcPr>
                <w:p w14:paraId="6E91DDC6">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val="en-US" w:eastAsia="zh-CN"/>
                    </w:rPr>
                    <w:t>0</w:t>
                  </w:r>
                </w:p>
              </w:tc>
              <w:tc>
                <w:tcPr>
                  <w:tcW w:w="799" w:type="pct"/>
                  <w:vAlign w:val="center"/>
                </w:tcPr>
                <w:p w14:paraId="6CF5E578">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2500</w:t>
                  </w:r>
                </w:p>
              </w:tc>
              <w:tc>
                <w:tcPr>
                  <w:tcW w:w="599" w:type="pct"/>
                  <w:vAlign w:val="center"/>
                </w:tcPr>
                <w:p w14:paraId="30712634">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0.0080</w:t>
                  </w:r>
                </w:p>
              </w:tc>
              <w:tc>
                <w:tcPr>
                  <w:tcW w:w="672" w:type="pct"/>
                  <w:vMerge w:val="restart"/>
                  <w:vAlign w:val="center"/>
                </w:tcPr>
                <w:p w14:paraId="7FD36B3C">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Ⅰ</w:t>
                  </w:r>
                </w:p>
              </w:tc>
            </w:tr>
            <w:tr w14:paraId="4E986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Merge w:val="continue"/>
                  <w:vAlign w:val="center"/>
                </w:tcPr>
                <w:p w14:paraId="7F74D87C">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lang w:val="en-US" w:eastAsia="zh-CN"/>
                    </w:rPr>
                  </w:pPr>
                </w:p>
              </w:tc>
              <w:tc>
                <w:tcPr>
                  <w:tcW w:w="1054" w:type="pct"/>
                  <w:vAlign w:val="center"/>
                </w:tcPr>
                <w:p w14:paraId="355D90D3">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油基钻井液</w:t>
                  </w:r>
                </w:p>
              </w:tc>
              <w:tc>
                <w:tcPr>
                  <w:tcW w:w="980" w:type="pct"/>
                  <w:vAlign w:val="center"/>
                </w:tcPr>
                <w:p w14:paraId="02C888FD">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88.2</w:t>
                  </w:r>
                </w:p>
              </w:tc>
              <w:tc>
                <w:tcPr>
                  <w:tcW w:w="799" w:type="pct"/>
                  <w:vAlign w:val="center"/>
                </w:tcPr>
                <w:p w14:paraId="4972D3F0">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2500</w:t>
                  </w:r>
                </w:p>
              </w:tc>
              <w:tc>
                <w:tcPr>
                  <w:tcW w:w="599" w:type="pct"/>
                  <w:vAlign w:val="center"/>
                </w:tcPr>
                <w:p w14:paraId="4D8DFC5D">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0.0353</w:t>
                  </w:r>
                </w:p>
              </w:tc>
              <w:tc>
                <w:tcPr>
                  <w:tcW w:w="672" w:type="pct"/>
                  <w:vMerge w:val="continue"/>
                  <w:vAlign w:val="center"/>
                </w:tcPr>
                <w:p w14:paraId="5E08D63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p>
              </w:tc>
            </w:tr>
            <w:tr w14:paraId="19ADAB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Merge w:val="continue"/>
                  <w:vAlign w:val="center"/>
                </w:tcPr>
                <w:p w14:paraId="64B9CAB0">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lang w:val="en-US" w:eastAsia="zh-CN"/>
                    </w:rPr>
                  </w:pPr>
                </w:p>
              </w:tc>
              <w:tc>
                <w:tcPr>
                  <w:tcW w:w="1054" w:type="pct"/>
                  <w:vAlign w:val="center"/>
                </w:tcPr>
                <w:p w14:paraId="1B5AA8DE">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油基钻井岩屑</w:t>
                  </w:r>
                </w:p>
              </w:tc>
              <w:tc>
                <w:tcPr>
                  <w:tcW w:w="980" w:type="pct"/>
                  <w:vAlign w:val="center"/>
                </w:tcPr>
                <w:p w14:paraId="4B78333C">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12.5</w:t>
                  </w:r>
                </w:p>
              </w:tc>
              <w:tc>
                <w:tcPr>
                  <w:tcW w:w="799" w:type="pct"/>
                  <w:vAlign w:val="center"/>
                </w:tcPr>
                <w:p w14:paraId="41426FE4">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2500</w:t>
                  </w:r>
                </w:p>
              </w:tc>
              <w:tc>
                <w:tcPr>
                  <w:tcW w:w="599" w:type="pct"/>
                  <w:vAlign w:val="center"/>
                </w:tcPr>
                <w:p w14:paraId="1722FB6E">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0.0050</w:t>
                  </w:r>
                </w:p>
              </w:tc>
              <w:tc>
                <w:tcPr>
                  <w:tcW w:w="672" w:type="pct"/>
                  <w:vMerge w:val="continue"/>
                  <w:vAlign w:val="center"/>
                </w:tcPr>
                <w:p w14:paraId="096678CE">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p>
              </w:tc>
            </w:tr>
            <w:tr w14:paraId="24ED7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Merge w:val="continue"/>
                  <w:vAlign w:val="center"/>
                </w:tcPr>
                <w:p w14:paraId="75F8ACA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p>
              </w:tc>
              <w:tc>
                <w:tcPr>
                  <w:tcW w:w="1054" w:type="pct"/>
                  <w:vAlign w:val="center"/>
                </w:tcPr>
                <w:p w14:paraId="71742DDE">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废润滑油、废润滑油桶及沾油废防渗材料</w:t>
                  </w:r>
                </w:p>
              </w:tc>
              <w:tc>
                <w:tcPr>
                  <w:tcW w:w="980" w:type="pct"/>
                  <w:vAlign w:val="center"/>
                </w:tcPr>
                <w:p w14:paraId="11109D41">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0.5</w:t>
                  </w:r>
                </w:p>
              </w:tc>
              <w:tc>
                <w:tcPr>
                  <w:tcW w:w="799" w:type="pct"/>
                  <w:vAlign w:val="center"/>
                </w:tcPr>
                <w:p w14:paraId="456D86FA">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2500</w:t>
                  </w:r>
                </w:p>
              </w:tc>
              <w:tc>
                <w:tcPr>
                  <w:tcW w:w="599" w:type="pct"/>
                  <w:vAlign w:val="center"/>
                </w:tcPr>
                <w:p w14:paraId="15DFFFC9">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0.000</w:t>
                  </w:r>
                  <w:r>
                    <w:rPr>
                      <w:rFonts w:hint="eastAsia" w:ascii="Times New Roman" w:hAnsi="Times New Roman" w:cs="Times New Roman"/>
                      <w:color w:val="auto"/>
                      <w:highlight w:val="none"/>
                      <w:lang w:val="en-US" w:eastAsia="zh-CN"/>
                    </w:rPr>
                    <w:t>2</w:t>
                  </w:r>
                </w:p>
              </w:tc>
              <w:tc>
                <w:tcPr>
                  <w:tcW w:w="672" w:type="pct"/>
                  <w:vMerge w:val="continue"/>
                  <w:vAlign w:val="center"/>
                </w:tcPr>
                <w:p w14:paraId="4D648920">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highlight w:val="none"/>
                    </w:rPr>
                  </w:pPr>
                </w:p>
              </w:tc>
            </w:tr>
            <w:tr w14:paraId="6EAB49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Align w:val="center"/>
                </w:tcPr>
                <w:p w14:paraId="4544EFF1">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小计</w:t>
                  </w:r>
                </w:p>
              </w:tc>
              <w:tc>
                <w:tcPr>
                  <w:tcW w:w="1054" w:type="pct"/>
                  <w:vAlign w:val="center"/>
                </w:tcPr>
                <w:p w14:paraId="00B5D436">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980" w:type="pct"/>
                  <w:vAlign w:val="center"/>
                </w:tcPr>
                <w:p w14:paraId="5A9ABF0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799" w:type="pct"/>
                  <w:vAlign w:val="center"/>
                </w:tcPr>
                <w:p w14:paraId="7DA07910">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599" w:type="pct"/>
                  <w:vAlign w:val="center"/>
                </w:tcPr>
                <w:p w14:paraId="10516595">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0.0485</w:t>
                  </w:r>
                </w:p>
              </w:tc>
              <w:tc>
                <w:tcPr>
                  <w:tcW w:w="672" w:type="pct"/>
                  <w:vMerge w:val="continue"/>
                  <w:vAlign w:val="center"/>
                </w:tcPr>
                <w:p w14:paraId="1DB2C7E4">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p>
              </w:tc>
            </w:tr>
            <w:tr w14:paraId="7ACA7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Merge w:val="restart"/>
                  <w:vAlign w:val="center"/>
                </w:tcPr>
                <w:p w14:paraId="3C334F45">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试油井场</w:t>
                  </w:r>
                </w:p>
              </w:tc>
              <w:tc>
                <w:tcPr>
                  <w:tcW w:w="1054" w:type="pct"/>
                  <w:vAlign w:val="center"/>
                </w:tcPr>
                <w:p w14:paraId="1774D812">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柴油</w:t>
                  </w:r>
                </w:p>
              </w:tc>
              <w:tc>
                <w:tcPr>
                  <w:tcW w:w="980" w:type="pct"/>
                  <w:vAlign w:val="center"/>
                </w:tcPr>
                <w:p w14:paraId="7891E162">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2</w:t>
                  </w:r>
                  <w:r>
                    <w:rPr>
                      <w:rFonts w:hint="default" w:ascii="Times New Roman" w:hAnsi="Times New Roman" w:cs="Times New Roman"/>
                      <w:color w:val="auto"/>
                      <w:lang w:val="en-US" w:eastAsia="zh-CN"/>
                    </w:rPr>
                    <w:t>0</w:t>
                  </w:r>
                </w:p>
              </w:tc>
              <w:tc>
                <w:tcPr>
                  <w:tcW w:w="799" w:type="pct"/>
                  <w:vAlign w:val="center"/>
                </w:tcPr>
                <w:p w14:paraId="0F806B4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2500</w:t>
                  </w:r>
                </w:p>
              </w:tc>
              <w:tc>
                <w:tcPr>
                  <w:tcW w:w="599" w:type="pct"/>
                  <w:vAlign w:val="center"/>
                </w:tcPr>
                <w:p w14:paraId="4CA16F2B">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0.008</w:t>
                  </w:r>
                  <w:r>
                    <w:rPr>
                      <w:rFonts w:hint="eastAsia" w:ascii="Times New Roman" w:hAnsi="Times New Roman" w:cs="Times New Roman"/>
                      <w:color w:val="auto"/>
                      <w:lang w:val="en-US" w:eastAsia="zh-CN"/>
                    </w:rPr>
                    <w:t>0</w:t>
                  </w:r>
                </w:p>
              </w:tc>
              <w:tc>
                <w:tcPr>
                  <w:tcW w:w="672" w:type="pct"/>
                  <w:vMerge w:val="restart"/>
                  <w:vAlign w:val="center"/>
                </w:tcPr>
                <w:p w14:paraId="6832AAAC">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Ⅰ</w:t>
                  </w:r>
                </w:p>
              </w:tc>
            </w:tr>
            <w:tr w14:paraId="0FC04D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Merge w:val="continue"/>
                  <w:vAlign w:val="center"/>
                </w:tcPr>
                <w:p w14:paraId="436F81B3">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p>
              </w:tc>
              <w:tc>
                <w:tcPr>
                  <w:tcW w:w="1054" w:type="pct"/>
                  <w:vAlign w:val="center"/>
                </w:tcPr>
                <w:p w14:paraId="27CF94F5">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采出液</w:t>
                  </w:r>
                </w:p>
              </w:tc>
              <w:tc>
                <w:tcPr>
                  <w:tcW w:w="980" w:type="pct"/>
                  <w:vAlign w:val="center"/>
                </w:tcPr>
                <w:p w14:paraId="6192482E">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69.6</w:t>
                  </w:r>
                </w:p>
              </w:tc>
              <w:tc>
                <w:tcPr>
                  <w:tcW w:w="799" w:type="pct"/>
                  <w:vAlign w:val="center"/>
                </w:tcPr>
                <w:p w14:paraId="43E7E9F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2500</w:t>
                  </w:r>
                </w:p>
              </w:tc>
              <w:tc>
                <w:tcPr>
                  <w:tcW w:w="599" w:type="pct"/>
                  <w:vAlign w:val="center"/>
                </w:tcPr>
                <w:p w14:paraId="3308BAF2">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0.0278</w:t>
                  </w:r>
                </w:p>
              </w:tc>
              <w:tc>
                <w:tcPr>
                  <w:tcW w:w="672" w:type="pct"/>
                  <w:vMerge w:val="continue"/>
                  <w:vAlign w:val="center"/>
                </w:tcPr>
                <w:p w14:paraId="70F8B18C">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p>
              </w:tc>
            </w:tr>
            <w:tr w14:paraId="06B430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Align w:val="center"/>
                </w:tcPr>
                <w:p w14:paraId="5F70F5E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小计</w:t>
                  </w:r>
                </w:p>
              </w:tc>
              <w:tc>
                <w:tcPr>
                  <w:tcW w:w="1054" w:type="pct"/>
                  <w:vAlign w:val="center"/>
                </w:tcPr>
                <w:p w14:paraId="0B97B6FB">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980" w:type="pct"/>
                  <w:vAlign w:val="center"/>
                </w:tcPr>
                <w:p w14:paraId="565376E7">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799" w:type="pct"/>
                  <w:vAlign w:val="center"/>
                </w:tcPr>
                <w:p w14:paraId="5B054CD7">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599" w:type="pct"/>
                  <w:vAlign w:val="center"/>
                </w:tcPr>
                <w:p w14:paraId="7561B489">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0.0358</w:t>
                  </w:r>
                </w:p>
              </w:tc>
              <w:tc>
                <w:tcPr>
                  <w:tcW w:w="672" w:type="pct"/>
                  <w:vMerge w:val="continue"/>
                  <w:vAlign w:val="center"/>
                </w:tcPr>
                <w:p w14:paraId="4057E335">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p>
              </w:tc>
            </w:tr>
            <w:tr w14:paraId="249C1C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5" w:type="pct"/>
                  <w:vAlign w:val="center"/>
                </w:tcPr>
                <w:p w14:paraId="40A3ABB4">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总计</w:t>
                  </w:r>
                </w:p>
              </w:tc>
              <w:tc>
                <w:tcPr>
                  <w:tcW w:w="1525" w:type="dxa"/>
                  <w:vAlign w:val="center"/>
                </w:tcPr>
                <w:p w14:paraId="3850B923">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418" w:type="dxa"/>
                  <w:vAlign w:val="center"/>
                </w:tcPr>
                <w:p w14:paraId="7A00673F">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1156" w:type="dxa"/>
                  <w:vAlign w:val="center"/>
                </w:tcPr>
                <w:p w14:paraId="6BC4FC7C">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rPr>
                    <w:t>/</w:t>
                  </w:r>
                </w:p>
              </w:tc>
              <w:tc>
                <w:tcPr>
                  <w:tcW w:w="599" w:type="pct"/>
                  <w:vAlign w:val="center"/>
                </w:tcPr>
                <w:p w14:paraId="61990287">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0.0843</w:t>
                  </w:r>
                </w:p>
              </w:tc>
              <w:tc>
                <w:tcPr>
                  <w:tcW w:w="672" w:type="pct"/>
                  <w:vAlign w:val="center"/>
                </w:tcPr>
                <w:p w14:paraId="2CF9799B">
                  <w:pPr>
                    <w:pStyle w:val="45"/>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Times New Roman" w:hAnsi="Times New Roman" w:cs="Times New Roman"/>
                      <w:color w:val="auto"/>
                    </w:rPr>
                  </w:pPr>
                  <w:r>
                    <w:rPr>
                      <w:rFonts w:hint="default" w:ascii="Times New Roman" w:hAnsi="Times New Roman" w:cs="Times New Roman"/>
                      <w:color w:val="auto"/>
                      <w:highlight w:val="none"/>
                    </w:rPr>
                    <w:t>Ⅰ</w:t>
                  </w:r>
                </w:p>
              </w:tc>
            </w:tr>
          </w:tbl>
          <w:p w14:paraId="49B202E9">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综上所述，</w:t>
            </w:r>
            <w:r>
              <w:rPr>
                <w:rFonts w:hint="default" w:ascii="Times New Roman" w:hAnsi="Times New Roman" w:cs="Times New Roman"/>
                <w:b w:val="0"/>
                <w:bCs w:val="0"/>
                <w:color w:val="auto"/>
                <w:lang w:val="en-US" w:eastAsia="zh-CN"/>
              </w:rPr>
              <w:t>本项目</w:t>
            </w:r>
            <w:r>
              <w:rPr>
                <w:rFonts w:hint="default" w:ascii="Times New Roman" w:hAnsi="Times New Roman" w:cs="Times New Roman"/>
                <w:b w:val="0"/>
                <w:bCs w:val="0"/>
                <w:color w:val="auto"/>
              </w:rPr>
              <w:t>井场钻井期、试油期Q值均小于1，评价工作等级为简单分析。</w:t>
            </w:r>
          </w:p>
          <w:p w14:paraId="4D268B85">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（2）环境敏感目标概况</w:t>
            </w:r>
          </w:p>
          <w:p w14:paraId="5AC35637">
            <w:pPr>
              <w:pStyle w:val="111"/>
              <w:widowControl w:val="0"/>
              <w:bidi w:val="0"/>
              <w:rPr>
                <w:rFonts w:hint="default" w:ascii="Times New Roman" w:hAnsi="Times New Roman" w:cs="Times New Roman"/>
                <w:b w:val="0"/>
                <w:bCs w:val="0"/>
                <w:color w:val="auto"/>
              </w:rPr>
            </w:pPr>
            <w:r>
              <w:rPr>
                <w:rFonts w:hint="default" w:ascii="Times New Roman" w:hAnsi="Times New Roman" w:cs="Times New Roman"/>
                <w:color w:val="auto"/>
                <w:lang w:val="en-US" w:eastAsia="zh-CN"/>
              </w:rPr>
              <w:t>简单分析虽不设风险评价范围，但因项目区</w:t>
            </w:r>
            <w:r>
              <w:rPr>
                <w:rFonts w:hint="eastAsia" w:cs="Times New Roman"/>
                <w:color w:val="auto"/>
                <w:lang w:val="en-US" w:eastAsia="zh-CN"/>
              </w:rPr>
              <w:t>周边有一般耕地</w:t>
            </w:r>
            <w:r>
              <w:rPr>
                <w:rFonts w:hint="default" w:ascii="Times New Roman" w:hAnsi="Times New Roman" w:cs="Times New Roman"/>
                <w:color w:val="auto"/>
                <w:lang w:val="en-US" w:eastAsia="zh-CN"/>
              </w:rPr>
              <w:t>，</w:t>
            </w:r>
            <w:r>
              <w:rPr>
                <w:rFonts w:hint="eastAsia" w:cs="Times New Roman"/>
                <w:color w:val="auto"/>
                <w:lang w:val="en-US" w:eastAsia="zh-CN"/>
              </w:rPr>
              <w:t>项目距离西侧塔西河1.9km，距离东侧塔西河干渠454m，故</w:t>
            </w:r>
            <w:r>
              <w:rPr>
                <w:rFonts w:hint="default" w:ascii="Times New Roman" w:hAnsi="Times New Roman" w:cs="Times New Roman"/>
                <w:color w:val="auto"/>
                <w:lang w:val="en-US" w:eastAsia="zh-CN"/>
              </w:rPr>
              <w:t>本次将周边</w:t>
            </w:r>
            <w:r>
              <w:rPr>
                <w:rFonts w:hint="eastAsia" w:cs="Times New Roman"/>
                <w:color w:val="auto"/>
                <w:lang w:val="en-US" w:eastAsia="zh-CN"/>
              </w:rPr>
              <w:t>一般耕地、塔西河及塔西河干渠</w:t>
            </w:r>
            <w:r>
              <w:rPr>
                <w:rFonts w:hint="default" w:ascii="Times New Roman" w:hAnsi="Times New Roman" w:cs="Times New Roman"/>
                <w:color w:val="auto"/>
                <w:lang w:val="en-US" w:eastAsia="zh-CN"/>
              </w:rPr>
              <w:t>作为环境风险敏感目标。</w:t>
            </w:r>
          </w:p>
          <w:p w14:paraId="12CF6136">
            <w:pPr>
              <w:pStyle w:val="9"/>
              <w:ind w:firstLine="480"/>
              <w:rPr>
                <w:rFonts w:hint="default" w:ascii="Times New Roman" w:hAnsi="Times New Roman" w:cs="Times New Roman"/>
                <w:b w:val="0"/>
                <w:bCs w:val="0"/>
                <w:color w:val="auto"/>
              </w:rPr>
            </w:pPr>
            <w:r>
              <w:rPr>
                <w:rFonts w:hint="default" w:ascii="Times New Roman" w:hAnsi="Times New Roman" w:cs="Times New Roman"/>
                <w:b w:val="0"/>
                <w:bCs w:val="0"/>
                <w:color w:val="auto"/>
              </w:rPr>
              <w:t>（3）环境风险识别</w:t>
            </w:r>
          </w:p>
          <w:p w14:paraId="38D1174E">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①危险物质识别</w:t>
            </w:r>
          </w:p>
          <w:p w14:paraId="4877D823">
            <w:pPr>
              <w:snapToGrid w:val="0"/>
              <w:spacing w:line="5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施工期间涉及的环境危险物质主要为原油、伴生气（主要成分为天然气）</w:t>
            </w:r>
            <w:r>
              <w:rPr>
                <w:rFonts w:hint="eastAsia" w:cs="Times New Roman"/>
                <w:color w:val="auto"/>
                <w:highlight w:val="none"/>
                <w:lang w:eastAsia="zh-CN"/>
              </w:rPr>
              <w:t>、</w:t>
            </w:r>
            <w:r>
              <w:rPr>
                <w:rFonts w:hint="default" w:ascii="Times New Roman" w:hAnsi="Times New Roman" w:cs="Times New Roman"/>
                <w:color w:val="auto"/>
                <w:highlight w:val="none"/>
              </w:rPr>
              <w:t>柴油、</w:t>
            </w:r>
            <w:r>
              <w:rPr>
                <w:rFonts w:hint="eastAsia" w:cs="Times New Roman"/>
                <w:color w:val="auto"/>
                <w:highlight w:val="none"/>
                <w:lang w:val="en-US" w:eastAsia="zh-CN"/>
              </w:rPr>
              <w:t>白油</w:t>
            </w:r>
            <w:r>
              <w:rPr>
                <w:rFonts w:hint="default" w:ascii="Times New Roman" w:hAnsi="Times New Roman" w:cs="Times New Roman"/>
                <w:color w:val="auto"/>
                <w:highlight w:val="none"/>
              </w:rPr>
              <w:t>，其主要物化、毒理性质、危险等级划分及影响途径见表</w:t>
            </w:r>
            <w:r>
              <w:rPr>
                <w:rFonts w:hint="default" w:ascii="Times New Roman" w:hAnsi="Times New Roman" w:cs="Times New Roman"/>
                <w:color w:val="auto"/>
                <w:highlight w:val="none"/>
                <w:lang w:val="en-US" w:eastAsia="zh-CN"/>
              </w:rPr>
              <w:t>4-6</w:t>
            </w:r>
            <w:r>
              <w:rPr>
                <w:rFonts w:hint="default" w:ascii="Times New Roman" w:hAnsi="Times New Roman" w:cs="Times New Roman"/>
                <w:color w:val="auto"/>
                <w:highlight w:val="none"/>
              </w:rPr>
              <w:t>。</w:t>
            </w:r>
          </w:p>
          <w:p w14:paraId="38AB9786">
            <w:pPr>
              <w:snapToGrid w:val="0"/>
              <w:spacing w:line="50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表</w:t>
            </w:r>
            <w:r>
              <w:rPr>
                <w:rFonts w:hint="default" w:ascii="Times New Roman" w:hAnsi="Times New Roman" w:eastAsia="黑体" w:cs="Times New Roman"/>
                <w:color w:val="auto"/>
                <w:sz w:val="21"/>
                <w:szCs w:val="21"/>
                <w:lang w:val="en-US" w:eastAsia="zh-CN"/>
              </w:rPr>
              <w:t>4-6</w:t>
            </w:r>
            <w:r>
              <w:rPr>
                <w:rFonts w:hint="default" w:ascii="Times New Roman" w:hAnsi="Times New Roman" w:eastAsia="黑体" w:cs="Times New Roman"/>
                <w:color w:val="auto"/>
                <w:sz w:val="21"/>
                <w:szCs w:val="21"/>
              </w:rPr>
              <w:t xml:space="preserve">  </w:t>
            </w:r>
            <w:r>
              <w:rPr>
                <w:rFonts w:hint="default" w:ascii="Times New Roman" w:hAnsi="Times New Roman" w:eastAsia="黑体" w:cs="Times New Roman"/>
                <w:color w:val="auto"/>
                <w:sz w:val="21"/>
                <w:szCs w:val="21"/>
                <w:lang w:val="zh-CN"/>
              </w:rPr>
              <w:t>本</w:t>
            </w:r>
            <w:r>
              <w:rPr>
                <w:rFonts w:hint="eastAsia" w:eastAsia="黑体" w:cs="Times New Roman"/>
                <w:color w:val="auto"/>
                <w:sz w:val="21"/>
                <w:szCs w:val="21"/>
                <w:lang w:val="en-US" w:eastAsia="zh-CN"/>
              </w:rPr>
              <w:t>项目</w:t>
            </w:r>
            <w:r>
              <w:rPr>
                <w:rFonts w:hint="default" w:ascii="Times New Roman" w:hAnsi="Times New Roman" w:eastAsia="黑体" w:cs="Times New Roman"/>
                <w:color w:val="auto"/>
                <w:sz w:val="21"/>
                <w:szCs w:val="21"/>
                <w:lang w:val="zh-CN"/>
              </w:rPr>
              <w:t>危险物质的理化性质及危险级别分类情况</w:t>
            </w: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7"/>
              <w:gridCol w:w="1091"/>
              <w:gridCol w:w="2283"/>
              <w:gridCol w:w="1936"/>
              <w:gridCol w:w="1071"/>
            </w:tblGrid>
            <w:tr w14:paraId="4D6D1E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26" w:type="dxa"/>
                  <w:noWrap w:val="0"/>
                  <w:vAlign w:val="center"/>
                </w:tcPr>
                <w:p w14:paraId="28518B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427" w:type="dxa"/>
                  <w:noWrap w:val="0"/>
                  <w:vAlign w:val="center"/>
                </w:tcPr>
                <w:p w14:paraId="220463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091" w:type="dxa"/>
                  <w:noWrap w:val="0"/>
                  <w:vAlign w:val="center"/>
                </w:tcPr>
                <w:p w14:paraId="06D057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组分</w:t>
                  </w:r>
                </w:p>
              </w:tc>
              <w:tc>
                <w:tcPr>
                  <w:tcW w:w="2283" w:type="dxa"/>
                  <w:noWrap w:val="0"/>
                  <w:vAlign w:val="center"/>
                </w:tcPr>
                <w:p w14:paraId="3F65F9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毒性</w:t>
                  </w:r>
                </w:p>
              </w:tc>
              <w:tc>
                <w:tcPr>
                  <w:tcW w:w="1936" w:type="dxa"/>
                  <w:noWrap w:val="0"/>
                  <w:vAlign w:val="center"/>
                </w:tcPr>
                <w:p w14:paraId="3608E8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燃烧爆炸特性参数</w:t>
                  </w:r>
                </w:p>
              </w:tc>
              <w:tc>
                <w:tcPr>
                  <w:tcW w:w="1071" w:type="dxa"/>
                  <w:noWrap w:val="0"/>
                  <w:vAlign w:val="center"/>
                </w:tcPr>
                <w:p w14:paraId="1AC4B7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危险级别</w:t>
                  </w:r>
                </w:p>
              </w:tc>
            </w:tr>
            <w:tr w14:paraId="26BE2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noWrap w:val="0"/>
                  <w:vAlign w:val="center"/>
                </w:tcPr>
                <w:p w14:paraId="7CA15D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427" w:type="dxa"/>
                  <w:noWrap w:val="0"/>
                  <w:vAlign w:val="center"/>
                </w:tcPr>
                <w:p w14:paraId="2F7B23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原油</w:t>
                  </w:r>
                </w:p>
              </w:tc>
              <w:tc>
                <w:tcPr>
                  <w:tcW w:w="1091" w:type="dxa"/>
                  <w:noWrap w:val="0"/>
                  <w:vAlign w:val="center"/>
                </w:tcPr>
                <w:p w14:paraId="29E3A6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eastAsia="zh-CN"/>
                    </w:rPr>
                    <w:t>由</w:t>
                  </w:r>
                  <w:r>
                    <w:rPr>
                      <w:rFonts w:hint="default" w:ascii="Times New Roman" w:hAnsi="Times New Roman" w:eastAsia="宋体" w:cs="Times New Roman"/>
                      <w:color w:val="auto"/>
                      <w:sz w:val="21"/>
                      <w:szCs w:val="21"/>
                    </w:rPr>
                    <w:t>各种烃类和非烃类化合物所组成的复杂混合物</w:t>
                  </w:r>
                </w:p>
              </w:tc>
              <w:tc>
                <w:tcPr>
                  <w:tcW w:w="2283" w:type="dxa"/>
                  <w:noWrap w:val="0"/>
                  <w:vAlign w:val="center"/>
                </w:tcPr>
                <w:p w14:paraId="667C69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原油本身无明显毒性。遇热分解出有毒的烟雾，吸入大量可引起危害：有刺激和麻痹作用，吸入急性中毒者有上呼吸道刺激症状。流泪，随之出现头晕、头痛、恶心、运动失调及酒醉样症状</w:t>
                  </w:r>
                  <w:r>
                    <w:rPr>
                      <w:rFonts w:hint="eastAsia" w:cs="Times New Roman"/>
                      <w:color w:val="auto"/>
                      <w:sz w:val="21"/>
                      <w:szCs w:val="21"/>
                      <w:lang w:eastAsia="zh-CN"/>
                    </w:rPr>
                    <w:t>。</w:t>
                  </w:r>
                </w:p>
              </w:tc>
              <w:tc>
                <w:tcPr>
                  <w:tcW w:w="1936" w:type="dxa"/>
                  <w:noWrap w:val="0"/>
                  <w:vAlign w:val="center"/>
                </w:tcPr>
                <w:p w14:paraId="780ED482">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热值：41870KJ/kg</w:t>
                  </w:r>
                </w:p>
                <w:p w14:paraId="36B64223">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火焰温度：1100℃</w:t>
                  </w:r>
                </w:p>
                <w:p w14:paraId="121769E5">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沸点：300～325℃</w:t>
                  </w:r>
                </w:p>
                <w:p w14:paraId="6F32D808">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闪点：23.5℃</w:t>
                  </w:r>
                </w:p>
                <w:p w14:paraId="711A758E">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爆炸极限1.1～6.4%（v）自然燃点380～530℃</w:t>
                  </w:r>
                </w:p>
              </w:tc>
              <w:tc>
                <w:tcPr>
                  <w:tcW w:w="1071" w:type="dxa"/>
                  <w:noWrap w:val="0"/>
                  <w:vAlign w:val="center"/>
                </w:tcPr>
                <w:p w14:paraId="385E6A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属于高闪点液体</w:t>
                  </w:r>
                </w:p>
              </w:tc>
            </w:tr>
            <w:tr w14:paraId="6FB954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noWrap w:val="0"/>
                  <w:vAlign w:val="center"/>
                </w:tcPr>
                <w:p w14:paraId="2DBE94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427" w:type="dxa"/>
                  <w:noWrap w:val="0"/>
                  <w:vAlign w:val="center"/>
                </w:tcPr>
                <w:p w14:paraId="4EFC04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天然气</w:t>
                  </w:r>
                </w:p>
              </w:tc>
              <w:tc>
                <w:tcPr>
                  <w:tcW w:w="1091" w:type="dxa"/>
                  <w:noWrap w:val="0"/>
                  <w:vAlign w:val="center"/>
                </w:tcPr>
                <w:p w14:paraId="5280AA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多种可燃性气体的总称，主要成分包括甲烷、乙烷等</w:t>
                  </w:r>
                </w:p>
              </w:tc>
              <w:tc>
                <w:tcPr>
                  <w:tcW w:w="2283" w:type="dxa"/>
                  <w:noWrap w:val="0"/>
                  <w:vAlign w:val="center"/>
                </w:tcPr>
                <w:p w14:paraId="33A383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伴生气中主要包括天然气，天然气中含有的甲烷，是一种无毒气体，当空气中大量弥漫这种气体时它会造成人因氧气不足而呼吸困难，进而失去知觉、昏迷甚至残废。</w:t>
                  </w:r>
                </w:p>
              </w:tc>
              <w:tc>
                <w:tcPr>
                  <w:tcW w:w="1936" w:type="dxa"/>
                  <w:noWrap w:val="0"/>
                  <w:vAlign w:val="center"/>
                </w:tcPr>
                <w:p w14:paraId="4CB586D3">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热值：50009KJ/kg</w:t>
                  </w:r>
                </w:p>
                <w:p w14:paraId="4DC43E71">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爆炸极限5～14%（v）</w:t>
                  </w:r>
                </w:p>
                <w:p w14:paraId="2D41AB48">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自然燃点</w:t>
                  </w:r>
                </w:p>
                <w:p w14:paraId="6D333D90">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482～632℃</w:t>
                  </w:r>
                </w:p>
              </w:tc>
              <w:tc>
                <w:tcPr>
                  <w:tcW w:w="1071" w:type="dxa"/>
                  <w:noWrap w:val="0"/>
                  <w:vAlign w:val="center"/>
                </w:tcPr>
                <w:p w14:paraId="6D891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属于5.1类中易燃气体，在危险货物品名表中编号21007</w:t>
                  </w:r>
                </w:p>
              </w:tc>
            </w:tr>
            <w:tr w14:paraId="109804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noWrap w:val="0"/>
                  <w:vAlign w:val="center"/>
                </w:tcPr>
                <w:p w14:paraId="114AF2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427" w:type="dxa"/>
                  <w:noWrap w:val="0"/>
                  <w:vAlign w:val="center"/>
                </w:tcPr>
                <w:p w14:paraId="599A5F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w:t>
                  </w:r>
                </w:p>
              </w:tc>
              <w:tc>
                <w:tcPr>
                  <w:tcW w:w="1091" w:type="dxa"/>
                  <w:noWrap w:val="0"/>
                  <w:vAlign w:val="center"/>
                </w:tcPr>
                <w:p w14:paraId="6CFA54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复杂烃类（</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"https://baike.so.com/doc/1753385-1853919.html"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碳原子</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数约10～22）混合物</w:t>
                  </w:r>
                </w:p>
              </w:tc>
              <w:tc>
                <w:tcPr>
                  <w:tcW w:w="2283" w:type="dxa"/>
                  <w:noWrap w:val="0"/>
                  <w:vAlign w:val="center"/>
                </w:tcPr>
                <w:p w14:paraId="2B7988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柴油的毒性类似于煤油，但由于添加剂(如硫化酯类）的影响，毒性可能比煤油略大。主要有麻醉和刺激作用。柴油的</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"https://baike.so.com/doc/1252640-1324776.html"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雾滴</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吸入后可致</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"https://baike.so.com/doc/5358214-5593767.html"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吸入性肺炎</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。皮肤接触柴油可致接触性皮炎。多见于两手、腕部与前臂。</w:t>
                  </w:r>
                </w:p>
              </w:tc>
              <w:tc>
                <w:tcPr>
                  <w:tcW w:w="1936" w:type="dxa"/>
                  <w:noWrap w:val="0"/>
                  <w:vAlign w:val="center"/>
                </w:tcPr>
                <w:p w14:paraId="48A1BAAA">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"https://baike.so.com/doc/5846430-6059267.html"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热值</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为3.3×10</w:t>
                  </w:r>
                  <w:r>
                    <w:rPr>
                      <w:rFonts w:hint="default" w:ascii="Times New Roman" w:hAnsi="Times New Roman" w:eastAsia="宋体" w:cs="Times New Roman"/>
                      <w:color w:val="auto"/>
                      <w:sz w:val="21"/>
                      <w:szCs w:val="21"/>
                      <w:vertAlign w:val="superscript"/>
                    </w:rPr>
                    <w:t>7</w:t>
                  </w:r>
                  <w:r>
                    <w:rPr>
                      <w:rFonts w:hint="default" w:ascii="Times New Roman" w:hAnsi="Times New Roman" w:eastAsia="宋体" w:cs="Times New Roman"/>
                      <w:color w:val="auto"/>
                      <w:sz w:val="21"/>
                      <w:szCs w:val="21"/>
                    </w:rPr>
                    <w:t>J/L</w:t>
                  </w:r>
                </w:p>
                <w:p w14:paraId="019C5C99">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"https://baike.so.com/doc/5567907-5783065.html"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沸点</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范围有180～370℃和350～410℃两类闪点：38℃</w:t>
                  </w:r>
                </w:p>
              </w:tc>
              <w:tc>
                <w:tcPr>
                  <w:tcW w:w="1071" w:type="dxa"/>
                  <w:noWrap w:val="0"/>
                  <w:vAlign w:val="center"/>
                </w:tcPr>
                <w:p w14:paraId="74D8C0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属于高闪点液体</w:t>
                  </w:r>
                </w:p>
              </w:tc>
            </w:tr>
            <w:tr w14:paraId="0E444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noWrap w:val="0"/>
                  <w:vAlign w:val="center"/>
                </w:tcPr>
                <w:p w14:paraId="1FEC43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427" w:type="dxa"/>
                  <w:noWrap w:val="0"/>
                  <w:vAlign w:val="center"/>
                </w:tcPr>
                <w:p w14:paraId="4B8BD9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白油</w:t>
                  </w:r>
                </w:p>
              </w:tc>
              <w:tc>
                <w:tcPr>
                  <w:tcW w:w="1091" w:type="dxa"/>
                  <w:noWrap w:val="0"/>
                  <w:vAlign w:val="center"/>
                </w:tcPr>
                <w:p w14:paraId="3CC2D1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饱和的环烷烃与链烷烃混合物</w:t>
                  </w:r>
                </w:p>
              </w:tc>
              <w:tc>
                <w:tcPr>
                  <w:tcW w:w="2283" w:type="dxa"/>
                  <w:noWrap w:val="0"/>
                  <w:vAlign w:val="center"/>
                </w:tcPr>
                <w:p w14:paraId="375CBC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一般接触和使用矿物油对人类通常是安全的，FDA也批准矿物油在个人护理和化妆品方面的使用，也可以作为食品的添加剂，不超过10mg/kg。世界卫生组织将矿物油定义为“未处理或低级处理的工业品形态”，作为1号致癌物的一类</w:t>
                  </w:r>
                  <w:r>
                    <w:rPr>
                      <w:rFonts w:hint="eastAsia" w:cs="Times New Roman"/>
                      <w:color w:val="auto"/>
                      <w:sz w:val="21"/>
                      <w:szCs w:val="21"/>
                      <w:lang w:eastAsia="zh-CN"/>
                    </w:rPr>
                    <w:t>。</w:t>
                  </w:r>
                </w:p>
              </w:tc>
              <w:tc>
                <w:tcPr>
                  <w:tcW w:w="1936" w:type="dxa"/>
                  <w:noWrap w:val="0"/>
                  <w:vAlign w:val="center"/>
                </w:tcPr>
                <w:p w14:paraId="4BFCC1F6">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闪点220℃</w:t>
                  </w:r>
                </w:p>
              </w:tc>
              <w:tc>
                <w:tcPr>
                  <w:tcW w:w="1071" w:type="dxa"/>
                  <w:noWrap w:val="0"/>
                  <w:vAlign w:val="center"/>
                </w:tcPr>
                <w:p w14:paraId="62C453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属于高闪点液体</w:t>
                  </w:r>
                </w:p>
              </w:tc>
            </w:tr>
          </w:tbl>
          <w:p w14:paraId="32CCDC25">
            <w:pPr>
              <w:snapToGrid w:val="0"/>
              <w:spacing w:line="49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②生产设施风险识别</w:t>
            </w:r>
          </w:p>
          <w:p w14:paraId="7826509A">
            <w:pPr>
              <w:snapToGrid w:val="0"/>
              <w:spacing w:line="49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a.井喷事故风险</w:t>
            </w:r>
          </w:p>
          <w:p w14:paraId="70EF29FD">
            <w:pPr>
              <w:snapToGrid w:val="0"/>
              <w:spacing w:line="490" w:lineRule="exact"/>
              <w:ind w:firstLine="480" w:firstLineChars="200"/>
              <w:rPr>
                <w:rFonts w:hint="default" w:ascii="Times New Roman" w:hAnsi="Times New Roman" w:cs="Times New Roman"/>
                <w:color w:val="auto"/>
              </w:rPr>
            </w:pPr>
            <w:r>
              <w:rPr>
                <w:rFonts w:hint="default" w:ascii="Times New Roman" w:hAnsi="Times New Roman" w:cs="Times New Roman"/>
                <w:color w:val="auto"/>
                <w:lang w:bidi="ar"/>
              </w:rPr>
              <w:t>若井底压力小于地层压力，地层流体将进入井筒并推动钻井液外溢。此时如果对地下油、气压力平衡控制不当，不能及时控制溢流，会造成油、气、水或其他混合物迅速喷到地面，即发生井喷。井喷会引发油气泄漏及火灾爆炸，对大气环境、地下水环境、土壤环境及生态环境造成危害，致使人员伤亡、财产损失。</w:t>
            </w:r>
          </w:p>
          <w:p w14:paraId="222ACD77">
            <w:pPr>
              <w:snapToGrid w:val="0"/>
              <w:spacing w:line="49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b.储罐泄漏风险</w:t>
            </w:r>
          </w:p>
          <w:p w14:paraId="7C922A26">
            <w:pPr>
              <w:snapToGrid w:val="0"/>
              <w:spacing w:line="480" w:lineRule="exact"/>
              <w:ind w:firstLine="480" w:firstLineChars="200"/>
              <w:rPr>
                <w:rFonts w:hint="eastAsia" w:ascii="宋体" w:hAnsi="宋体" w:cs="宋体"/>
                <w:color w:val="auto"/>
              </w:rPr>
            </w:pPr>
            <w:r>
              <w:rPr>
                <w:rFonts w:hint="eastAsia" w:ascii="宋体" w:hAnsi="宋体" w:cs="宋体"/>
                <w:color w:val="auto"/>
              </w:rPr>
              <w:t>钻试期井场设有柴油储罐、废水储罐、采出液储罐、水基钻井岩屑储罐和油基</w:t>
            </w:r>
            <w:r>
              <w:rPr>
                <w:rFonts w:hint="eastAsia" w:ascii="宋体" w:hAnsi="宋体" w:cs="宋体"/>
                <w:color w:val="auto"/>
                <w:lang w:val="en-US" w:eastAsia="zh-CN"/>
              </w:rPr>
              <w:t>钻井</w:t>
            </w:r>
            <w:r>
              <w:rPr>
                <w:rFonts w:hint="eastAsia" w:ascii="宋体" w:hAnsi="宋体" w:cs="宋体"/>
                <w:color w:val="auto"/>
              </w:rPr>
              <w:t>岩屑储罐等，若储罐因质量、操作运行和管理等方面存在缺陷和失误，可能会发生泄漏，对周围地下水、土壤、大气等环境造成污染。</w:t>
            </w:r>
          </w:p>
          <w:p w14:paraId="61F259EB">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c.井漏事故风险</w:t>
            </w:r>
          </w:p>
          <w:p w14:paraId="29707499">
            <w:pPr>
              <w:snapToGrid w:val="0"/>
              <w:spacing w:line="480" w:lineRule="exact"/>
              <w:ind w:firstLine="456" w:firstLineChars="200"/>
              <w:rPr>
                <w:rFonts w:hint="default" w:ascii="Times New Roman" w:hAnsi="Times New Roman" w:cs="Times New Roman"/>
                <w:color w:val="auto"/>
                <w:spacing w:val="-6"/>
                <w:sz w:val="24"/>
              </w:rPr>
            </w:pPr>
            <w:r>
              <w:rPr>
                <w:rFonts w:hint="default" w:ascii="Times New Roman" w:hAnsi="Times New Roman" w:cs="Times New Roman"/>
                <w:color w:val="auto"/>
                <w:spacing w:val="-6"/>
                <w:sz w:val="24"/>
              </w:rPr>
              <w:t>钻井施工表层套管下入深度不够或固井质量不好可能引发井漏事故。</w:t>
            </w:r>
          </w:p>
          <w:p w14:paraId="5A35DE75">
            <w:pPr>
              <w:snapToGrid w:val="0"/>
              <w:spacing w:line="480" w:lineRule="exact"/>
              <w:ind w:firstLine="456" w:firstLineChars="200"/>
              <w:rPr>
                <w:rFonts w:hint="default" w:ascii="Times New Roman" w:hAnsi="Times New Roman" w:cs="Times New Roman"/>
                <w:color w:val="auto"/>
                <w:spacing w:val="-6"/>
                <w:sz w:val="24"/>
              </w:rPr>
            </w:pPr>
            <w:r>
              <w:rPr>
                <w:rFonts w:hint="default" w:ascii="Times New Roman" w:hAnsi="Times New Roman" w:cs="Times New Roman"/>
                <w:color w:val="auto"/>
                <w:spacing w:val="-6"/>
                <w:sz w:val="24"/>
              </w:rPr>
              <w:t>d.采出液、废水及柴油拉运过程中的环境风险</w:t>
            </w:r>
          </w:p>
          <w:p w14:paraId="5FA41647">
            <w:pPr>
              <w:snapToGrid w:val="0"/>
              <w:spacing w:line="480" w:lineRule="exact"/>
              <w:ind w:firstLine="456" w:firstLineChars="200"/>
              <w:rPr>
                <w:rFonts w:hint="default" w:ascii="Times New Roman" w:hAnsi="Times New Roman" w:cs="Times New Roman"/>
                <w:color w:val="auto"/>
                <w:spacing w:val="-6"/>
                <w:sz w:val="24"/>
              </w:rPr>
            </w:pPr>
            <w:r>
              <w:rPr>
                <w:rFonts w:hint="default" w:ascii="Times New Roman" w:hAnsi="Times New Roman" w:cs="Times New Roman"/>
                <w:color w:val="auto"/>
                <w:spacing w:val="-6"/>
                <w:sz w:val="24"/>
              </w:rPr>
              <w:t>试油期废水及其他采出液由罐车拉运至</w:t>
            </w:r>
            <w:r>
              <w:rPr>
                <w:rFonts w:hint="eastAsia" w:ascii="Times New Roman" w:hAnsi="Times New Roman" w:cs="Times New Roman"/>
                <w:color w:val="auto"/>
                <w:spacing w:val="-6"/>
                <w:sz w:val="24"/>
              </w:rPr>
              <w:t>采油一厂车89处理站</w:t>
            </w:r>
            <w:r>
              <w:rPr>
                <w:rFonts w:hint="default" w:ascii="Times New Roman" w:hAnsi="Times New Roman" w:cs="Times New Roman"/>
                <w:color w:val="auto"/>
                <w:spacing w:val="-6"/>
                <w:sz w:val="24"/>
              </w:rPr>
              <w:t>处理，运输过程中若因车辆本身的设计、制造、操作、管理等各环节存在缺陷，则可能发生泄漏事故的风险。事故发生时罐车内液体溢出，对周围环境造成直接污染，泄漏的油气如遇到明火还可能发生火灾、爆炸事故。</w:t>
            </w:r>
          </w:p>
          <w:p w14:paraId="34F79196">
            <w:pPr>
              <w:pStyle w:val="32"/>
              <w:rPr>
                <w:rFonts w:hint="default" w:ascii="Times New Roman" w:hAnsi="Times New Roman" w:cs="Times New Roman"/>
                <w:color w:val="auto"/>
              </w:rPr>
            </w:pPr>
            <w:r>
              <w:rPr>
                <w:rFonts w:hint="default" w:ascii="Times New Roman" w:hAnsi="Times New Roman" w:cs="Times New Roman"/>
                <w:color w:val="auto"/>
              </w:rPr>
              <w:t>③环境风险类型</w:t>
            </w:r>
          </w:p>
          <w:p w14:paraId="189901A2">
            <w:pPr>
              <w:pStyle w:val="32"/>
              <w:rPr>
                <w:rFonts w:hint="default" w:ascii="Times New Roman" w:hAnsi="Times New Roman" w:cs="Times New Roman"/>
                <w:color w:val="auto"/>
              </w:rPr>
            </w:pPr>
            <w:r>
              <w:rPr>
                <w:rFonts w:hint="default" w:ascii="Times New Roman" w:hAnsi="Times New Roman" w:cs="Times New Roman"/>
                <w:color w:val="auto"/>
              </w:rPr>
              <w:t>环境风险类型主要为泄漏、火灾、爆炸等引发的伴生/次生污染物排放。</w:t>
            </w:r>
          </w:p>
          <w:p w14:paraId="40E06B09">
            <w:pPr>
              <w:pStyle w:val="32"/>
              <w:rPr>
                <w:rFonts w:hint="default" w:ascii="Times New Roman" w:hAnsi="Times New Roman" w:cs="Times New Roman"/>
                <w:color w:val="auto"/>
              </w:rPr>
            </w:pPr>
            <w:r>
              <w:rPr>
                <w:rFonts w:hint="default" w:ascii="Times New Roman" w:hAnsi="Times New Roman" w:cs="Times New Roman"/>
                <w:color w:val="auto"/>
              </w:rPr>
              <w:t>④危险物质向环境转移的可能途径和影响方式</w:t>
            </w:r>
          </w:p>
          <w:p w14:paraId="6A8A15E0">
            <w:pPr>
              <w:snapToGrid w:val="0"/>
              <w:spacing w:line="480" w:lineRule="exact"/>
              <w:ind w:firstLine="480" w:firstLineChars="200"/>
              <w:rPr>
                <w:rFonts w:hint="eastAsia" w:ascii="Times New Roman" w:hAnsi="Times New Roman" w:cs="Times New Roman"/>
                <w:color w:val="auto"/>
              </w:rPr>
            </w:pPr>
            <w:r>
              <w:rPr>
                <w:rFonts w:hint="eastAsia" w:ascii="Times New Roman" w:hAnsi="Times New Roman" w:cs="Times New Roman"/>
                <w:color w:val="auto"/>
              </w:rPr>
              <w:t>井场内各储罐若出现破损造成柴油/采出液泄漏污染土壤，污染物有可能通过包气带渗漏进入地下含水层，污染地下水；泄漏的柴油/采出液若遇明火，发生火灾、爆炸，污染大气环境。</w:t>
            </w:r>
          </w:p>
          <w:p w14:paraId="7C74EB11">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eastAsia="zh-CN"/>
              </w:rPr>
              <w:t>4</w:t>
            </w:r>
            <w:r>
              <w:rPr>
                <w:rFonts w:hint="default" w:ascii="Times New Roman" w:hAnsi="Times New Roman" w:cs="Times New Roman"/>
                <w:color w:val="auto"/>
              </w:rPr>
              <w:t>）环境风险分析</w:t>
            </w:r>
          </w:p>
          <w:p w14:paraId="2C6AF592">
            <w:pPr>
              <w:pStyle w:val="32"/>
              <w:rPr>
                <w:rFonts w:hint="default" w:ascii="Times New Roman" w:hAnsi="Times New Roman" w:cs="Times New Roman"/>
                <w:color w:val="auto"/>
              </w:rPr>
            </w:pPr>
            <w:r>
              <w:rPr>
                <w:rFonts w:hint="default" w:ascii="Times New Roman" w:hAnsi="Times New Roman" w:cs="Times New Roman"/>
                <w:color w:val="auto"/>
              </w:rPr>
              <w:t>①井喷事故环境影响分析</w:t>
            </w:r>
          </w:p>
          <w:p w14:paraId="4EB47279">
            <w:pPr>
              <w:pStyle w:val="32"/>
              <w:rPr>
                <w:rFonts w:hint="default" w:ascii="Times New Roman" w:hAnsi="Times New Roman" w:cs="Times New Roman"/>
                <w:color w:val="auto"/>
              </w:rPr>
            </w:pPr>
            <w:bookmarkStart w:id="58" w:name="_Hlk143201703"/>
            <w:r>
              <w:rPr>
                <w:rFonts w:hint="default" w:ascii="Times New Roman" w:hAnsi="Times New Roman" w:cs="Times New Roman"/>
                <w:color w:val="auto"/>
              </w:rPr>
              <w:t>a.井场主要发生的风险事故为钻井时发生井喷事故。一旦发生井喷突发事件，立即启动相应的突发事件专项应急预案。立即开挖放喷池（应急放喷池仅在事故状态下开挖</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容积为20m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rPr>
              <w:t>），井喷液体通过放喷管</w:t>
            </w:r>
            <w:r>
              <w:rPr>
                <w:rFonts w:hint="eastAsia" w:ascii="Times New Roman" w:hAnsi="Times New Roman" w:cs="Times New Roman"/>
                <w:color w:val="auto"/>
                <w:lang w:eastAsia="zh-CN"/>
              </w:rPr>
              <w:t>线</w:t>
            </w:r>
            <w:r>
              <w:rPr>
                <w:rFonts w:hint="default" w:ascii="Times New Roman" w:hAnsi="Times New Roman" w:cs="Times New Roman"/>
                <w:color w:val="auto"/>
              </w:rPr>
              <w:t>排放至应急放喷池内，应急放喷池底部进行人工防渗，防渗材料为HDPE防渗膜，渗透系数≤10</w:t>
            </w:r>
            <w:r>
              <w:rPr>
                <w:rFonts w:hint="default" w:ascii="Times New Roman" w:hAnsi="Times New Roman" w:cs="Times New Roman"/>
                <w:color w:val="auto"/>
                <w:vertAlign w:val="superscript"/>
              </w:rPr>
              <w:t>-10</w:t>
            </w:r>
            <w:r>
              <w:rPr>
                <w:rFonts w:hint="default" w:ascii="Times New Roman" w:hAnsi="Times New Roman" w:cs="Times New Roman"/>
                <w:color w:val="auto"/>
              </w:rPr>
              <w:t>cm/s，待事故结束后，对放喷液送至最终交由具有相应危险废物处置资质的单位进行处置。</w:t>
            </w:r>
          </w:p>
          <w:p w14:paraId="58464777">
            <w:pPr>
              <w:pStyle w:val="32"/>
              <w:rPr>
                <w:rFonts w:hint="default" w:ascii="Times New Roman" w:hAnsi="Times New Roman" w:cs="Times New Roman"/>
                <w:color w:val="auto"/>
              </w:rPr>
            </w:pPr>
            <w:r>
              <w:rPr>
                <w:rFonts w:hint="default" w:ascii="Times New Roman" w:hAnsi="Times New Roman" w:cs="Times New Roman"/>
                <w:color w:val="auto"/>
              </w:rPr>
              <w:t>试油期若发生井喷事故，在井喷可控的情况下，放喷的伴生气排至排气管线燃烧后放空，采出液除了排入放喷池外还可以进入井场布设的试油废水储罐及采出液方罐，可满足要求。</w:t>
            </w:r>
          </w:p>
          <w:p w14:paraId="25B13A47">
            <w:pPr>
              <w:pStyle w:val="32"/>
              <w:rPr>
                <w:rFonts w:hint="default" w:ascii="Times New Roman" w:hAnsi="Times New Roman" w:cs="Times New Roman"/>
                <w:color w:val="auto"/>
              </w:rPr>
            </w:pPr>
            <w:r>
              <w:rPr>
                <w:rFonts w:hint="default" w:ascii="Times New Roman" w:hAnsi="Times New Roman" w:cs="Times New Roman"/>
                <w:color w:val="auto"/>
              </w:rPr>
              <w:t>井喷事故不可控的情况，可能导致大量的油气喷出井口、散落于井场周围，据类比资料显示，井喷范围内土壤表层可见有蜡状的原油喷散物，井喷的影响范围一般为以井眼为圆心、半径200m的区域，由于项目区人口稀少，所以井喷对人员的伤害有限。项目</w:t>
            </w:r>
            <w:r>
              <w:rPr>
                <w:rFonts w:hint="eastAsia" w:ascii="Times New Roman" w:hAnsi="Times New Roman" w:cs="Times New Roman"/>
                <w:color w:val="auto"/>
                <w:lang w:val="en-US" w:eastAsia="zh-CN"/>
              </w:rPr>
              <w:t>井场</w:t>
            </w:r>
            <w:r>
              <w:rPr>
                <w:rFonts w:hint="default" w:ascii="Times New Roman" w:hAnsi="Times New Roman" w:cs="Times New Roman"/>
                <w:color w:val="auto"/>
              </w:rPr>
              <w:t>位于</w:t>
            </w:r>
            <w:r>
              <w:rPr>
                <w:rFonts w:hint="eastAsia" w:ascii="Times New Roman" w:hAnsi="Times New Roman" w:cs="Times New Roman"/>
                <w:color w:val="auto"/>
                <w:lang w:val="en-US" w:eastAsia="zh-CN"/>
              </w:rPr>
              <w:t>一般耕地</w:t>
            </w:r>
            <w:r>
              <w:rPr>
                <w:rFonts w:hint="default" w:ascii="Times New Roman" w:hAnsi="Times New Roman" w:cs="Times New Roman"/>
                <w:color w:val="auto"/>
              </w:rPr>
              <w:t>内，井喷时主要对农作物、土壤环境、大气环境和地下水产生影响。</w:t>
            </w:r>
          </w:p>
          <w:bookmarkEnd w:id="58"/>
          <w:p w14:paraId="1B157C74">
            <w:pPr>
              <w:pStyle w:val="32"/>
              <w:rPr>
                <w:rFonts w:hint="default" w:ascii="Times New Roman" w:hAnsi="Times New Roman" w:cs="Times New Roman"/>
                <w:color w:val="auto"/>
              </w:rPr>
            </w:pPr>
            <w:r>
              <w:rPr>
                <w:rFonts w:hint="default" w:ascii="Times New Roman" w:hAnsi="Times New Roman" w:cs="Times New Roman"/>
                <w:color w:val="auto"/>
              </w:rPr>
              <w:t>b.对大气环境影响分析</w:t>
            </w:r>
          </w:p>
          <w:p w14:paraId="12410910">
            <w:pPr>
              <w:pStyle w:val="32"/>
              <w:rPr>
                <w:rFonts w:hint="default" w:ascii="Times New Roman" w:hAnsi="Times New Roman" w:cs="Times New Roman"/>
                <w:color w:val="auto"/>
              </w:rPr>
            </w:pPr>
            <w:r>
              <w:rPr>
                <w:rFonts w:hint="default" w:ascii="Times New Roman" w:hAnsi="Times New Roman" w:cs="Times New Roman"/>
                <w:bCs/>
                <w:color w:val="auto"/>
              </w:rPr>
              <w:t>发生井喷失控事故后，油类物质进入环境空气，挥发的气体可能会对周围环境空气产生影响，若遇明火可能发生火灾、爆炸，随之产生的伴生、次生污染物会对环境空气产生一定的影响。由于地域空旷，扩散条件较好，发生事故后，及时采取相应的措施，不会对周围环境空气产生明显影响。</w:t>
            </w:r>
          </w:p>
          <w:p w14:paraId="640565DB">
            <w:pPr>
              <w:pStyle w:val="32"/>
              <w:rPr>
                <w:rFonts w:hint="default" w:ascii="Times New Roman" w:hAnsi="Times New Roman" w:cs="Times New Roman"/>
                <w:color w:val="auto"/>
              </w:rPr>
            </w:pPr>
            <w:r>
              <w:rPr>
                <w:rFonts w:hint="default" w:ascii="Times New Roman" w:hAnsi="Times New Roman" w:cs="Times New Roman"/>
                <w:color w:val="auto"/>
              </w:rPr>
              <w:t>c.对地下水环境影响分析</w:t>
            </w:r>
          </w:p>
          <w:p w14:paraId="3E21617E">
            <w:pPr>
              <w:pStyle w:val="23"/>
              <w:widowControl w:val="0"/>
              <w:adjustRightInd w:val="0"/>
              <w:snapToGrid w:val="0"/>
              <w:spacing w:before="0" w:beforeAutospacing="0" w:after="0" w:afterAutospacing="0" w:line="500" w:lineRule="exact"/>
              <w:ind w:firstLine="480" w:firstLineChars="200"/>
              <w:jc w:val="both"/>
              <w:rPr>
                <w:rFonts w:hint="default" w:ascii="Times New Roman" w:hAnsi="Times New Roman" w:cs="Times New Roman"/>
                <w:bCs/>
                <w:color w:val="auto"/>
              </w:rPr>
            </w:pPr>
            <w:r>
              <w:rPr>
                <w:rFonts w:hint="default" w:ascii="Times New Roman" w:hAnsi="Times New Roman" w:cs="Times New Roman"/>
                <w:bCs/>
                <w:color w:val="auto"/>
                <w:kern w:val="2"/>
                <w:lang w:bidi="ar"/>
              </w:rPr>
              <w:t>根据类比调查，从事故井区土壤剖面分析，井喷失控事故后石油类污染物主要被拦截在包气带土壤剖面1m以内，同时因为气候干旱少雨，不存在大量降水的淋滤作用，因此对地下水体的影响概率不大。及时清理井喷事故中原油落地，对可回收原油进行回收，落地油收集后交由具有相应危废处置资质的单位进行回收处置，及时采取上述有效措施治理污染后，井喷不会造成地下水污染。</w:t>
            </w:r>
          </w:p>
          <w:p w14:paraId="21A5FDEF">
            <w:pPr>
              <w:pStyle w:val="32"/>
              <w:rPr>
                <w:rFonts w:hint="default" w:ascii="Times New Roman" w:hAnsi="Times New Roman" w:cs="Times New Roman"/>
                <w:color w:val="auto"/>
              </w:rPr>
            </w:pPr>
            <w:r>
              <w:rPr>
                <w:rFonts w:hint="default" w:ascii="Times New Roman" w:hAnsi="Times New Roman" w:cs="Times New Roman"/>
                <w:color w:val="auto"/>
              </w:rPr>
              <w:t>d.对土壤环境影响分析</w:t>
            </w:r>
          </w:p>
          <w:p w14:paraId="780B8786">
            <w:pPr>
              <w:pStyle w:val="32"/>
              <w:rPr>
                <w:rFonts w:hint="default" w:ascii="Times New Roman" w:hAnsi="Times New Roman" w:cs="Times New Roman"/>
                <w:color w:val="auto"/>
              </w:rPr>
            </w:pPr>
            <w:r>
              <w:rPr>
                <w:rFonts w:hint="default" w:ascii="Times New Roman" w:hAnsi="Times New Roman" w:cs="Times New Roman"/>
                <w:color w:val="auto"/>
              </w:rPr>
              <w:t>井喷失控事故使井喷影响范围内的土壤理化性质发生变化，破坏土壤结构，影响土壤的通透性、降低土壤质量，油污黏在植被根系上，形成一层黏膜，阻碍植被根系养分和水分的吸收，引起根系腐烂，影响农作物的生长。事故发生后及时清理现场，对可回收原油进行回收，落地油集中收集后由有相应危废处置资质的单位进行回收处置，将井喷事故对周边植被的影响降至最低。</w:t>
            </w:r>
          </w:p>
          <w:p w14:paraId="6D5B0761">
            <w:pPr>
              <w:pStyle w:val="32"/>
              <w:rPr>
                <w:rFonts w:hint="default" w:ascii="Times New Roman" w:hAnsi="Times New Roman" w:cs="Times New Roman"/>
                <w:color w:val="auto"/>
              </w:rPr>
            </w:pPr>
            <w:r>
              <w:rPr>
                <w:rFonts w:hint="default" w:ascii="Times New Roman" w:hAnsi="Times New Roman" w:cs="Times New Roman"/>
                <w:color w:val="auto"/>
              </w:rPr>
              <w:t>e.对植被影响分析</w:t>
            </w:r>
          </w:p>
          <w:p w14:paraId="5836FD10">
            <w:pPr>
              <w:snapToGrid w:val="0"/>
              <w:spacing w:line="480" w:lineRule="exact"/>
              <w:ind w:firstLine="480" w:firstLineChars="200"/>
              <w:rPr>
                <w:rFonts w:hint="default" w:ascii="Times New Roman" w:hAnsi="Times New Roman" w:cs="Times New Roman"/>
                <w:color w:val="auto"/>
              </w:rPr>
            </w:pPr>
            <w:bookmarkStart w:id="59" w:name="_Hlk175608479"/>
            <w:r>
              <w:rPr>
                <w:rFonts w:hint="default" w:ascii="Times New Roman" w:hAnsi="Times New Roman" w:cs="Times New Roman"/>
                <w:color w:val="auto"/>
              </w:rPr>
              <w:t>井喷时油类物质随井下采出液、伴生气等一同喷发出来，其中对农作物产生影响的主要是采出液中的油类物质，主要分为三种途径，一是泄漏物直接粘附于农作物表面阻断植物的光合作用，使其枯萎、死亡；二是污染土壤，造成土壤理化性状发生变化，从而间接影响农作物生长，严重时会导致农作物死亡、减产；三是泄漏物质中的轻</w:t>
            </w:r>
            <w:r>
              <w:rPr>
                <w:rFonts w:hint="eastAsia" w:cs="Times New Roman"/>
                <w:color w:val="auto"/>
                <w:lang w:eastAsia="zh-CN"/>
              </w:rPr>
              <w:t>组分</w:t>
            </w:r>
            <w:r>
              <w:rPr>
                <w:rFonts w:hint="default" w:ascii="Times New Roman" w:hAnsi="Times New Roman" w:cs="Times New Roman"/>
                <w:color w:val="auto"/>
              </w:rPr>
              <w:t>挥发，在对空气环境产生影响的同时，也会对周围农作物产生影响。因此，对储罐区采取防渗措施、对受污染区域及时处理后，油类物料泄漏不会对周围农作物产生明显影响。</w:t>
            </w:r>
          </w:p>
          <w:bookmarkEnd w:id="59"/>
          <w:p w14:paraId="50972D26">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②储罐泄漏环境影响分析</w:t>
            </w:r>
          </w:p>
          <w:p w14:paraId="52ABD894">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a.对大气环境影响分析</w:t>
            </w:r>
          </w:p>
          <w:p w14:paraId="25A09470">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储罐发生泄漏后，油类物质进入环境空气，挥发产生的非甲烷总烃可能会对周围环境空气产生影响。若遇明火，可发生火灾、爆炸，且火灾、爆炸产生的伴生、次生污染物也会对环境空气产生一定影响。由于项目区地域空旷、扩散条件较好，发生事故后若能及时采取相应措施，则不会对周围环境空气产生明显影响。</w:t>
            </w:r>
          </w:p>
          <w:p w14:paraId="1C6B4B08">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b.对土壤环境影响分析</w:t>
            </w:r>
          </w:p>
          <w:p w14:paraId="5B2A2A2D">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泄漏的油类物质可使土壤透气性下降、土壤理化性状发生变化，使土壤透气性和呼吸作用减弱，从而影响土壤中的微生物生存，造成土壤盐碱化、破坏土壤结构；除此之外，还会导致土壤中石油类污染物增加，造成土地肥力下降、改变土壤的理化性质，从而影响土壤的正常结构和功能。</w:t>
            </w:r>
          </w:p>
          <w:p w14:paraId="7BA0E9FE">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施工期间柴油储罐、采出液储罐、废水储罐、岩屑储罐等储罐区域均铺设防渗膜，储罐发生泄漏后应及时回收原油、收集受污染的土壤，然后委托有相应危废处置资质的单位进行回收处置。因此，在采取上述措施后不会对周围土壤环境产生明显影响。</w:t>
            </w:r>
          </w:p>
          <w:p w14:paraId="673DB9D2">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c.对植被的影响</w:t>
            </w:r>
          </w:p>
          <w:p w14:paraId="460E9391">
            <w:pPr>
              <w:snapToGrid w:val="0"/>
              <w:spacing w:line="480" w:lineRule="exact"/>
              <w:ind w:firstLine="456" w:firstLineChars="200"/>
              <w:rPr>
                <w:rFonts w:hint="default" w:ascii="Times New Roman" w:hAnsi="Times New Roman" w:cs="Times New Roman"/>
                <w:color w:val="auto"/>
                <w:spacing w:val="-6"/>
                <w:sz w:val="24"/>
              </w:rPr>
            </w:pPr>
            <w:r>
              <w:rPr>
                <w:rFonts w:hint="default" w:ascii="Times New Roman" w:hAnsi="Times New Roman" w:cs="Times New Roman"/>
                <w:color w:val="auto"/>
                <w:spacing w:val="-6"/>
                <w:sz w:val="24"/>
              </w:rPr>
              <w:t>其影响同井喷时油类物质对农作物的影响，详见前节分析。</w:t>
            </w:r>
          </w:p>
          <w:p w14:paraId="383FF931">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d.对地下水环境的影响</w:t>
            </w:r>
          </w:p>
          <w:p w14:paraId="0947ACA3">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柴油储罐、采出液储罐、废水储罐和油基岩屑储罐泄漏的油品下渗可能会污染地下水。井场各类储罐堆放场地为地上设施，储罐均为钢制储罐且底部铺设防渗膜，发生泄漏的概率极小；一旦发生泄漏可在较短时间内发现并采取堵漏措施，出现长期连续性泄漏的可能性很低。因此，施工期发生渗漏污染地下水的风险事故可能性很小。</w:t>
            </w:r>
          </w:p>
          <w:p w14:paraId="1DB6A8E8">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③井漏环境影响分析</w:t>
            </w:r>
          </w:p>
          <w:p w14:paraId="037A8EE6">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井漏事故对地下水的污染途径主要是钻井液漏失于地下水含水层中，造成地下含水层水质污染。钻井液漏失于地下含水层其径流型污染的范围不大，主要发生在局部且持续时间较短；严格控制使用有毒有害钻井液；同时严格要求套管下入深度、确保固井质量等措施，可有效控制钻井液在含水层中的漏失。因此，井漏事故对地下水环境的影响在可接受范围内。</w:t>
            </w:r>
          </w:p>
          <w:p w14:paraId="0FC8AD07">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④采出液、废水及柴油拉运过程中泄漏风险分析</w:t>
            </w:r>
          </w:p>
          <w:p w14:paraId="20A2A41C">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罐车拉运过程中的风险主要为罐车上的储罐发生泄漏、火灾、爆炸等事故对周围环境的影响，其影响与储罐泄漏影响相同，具体影响见储罐泄漏影响分析。</w:t>
            </w:r>
          </w:p>
          <w:p w14:paraId="1A7E935A">
            <w:pPr>
              <w:snapToGrid w:val="0"/>
              <w:spacing w:line="480" w:lineRule="exact"/>
              <w:ind w:firstLine="482" w:firstLineChars="200"/>
              <w:rPr>
                <w:rFonts w:hint="default" w:ascii="Times New Roman" w:hAnsi="Times New Roman" w:cs="Times New Roman"/>
                <w:b/>
                <w:bCs/>
                <w:color w:val="auto"/>
              </w:rPr>
            </w:pPr>
            <w:r>
              <w:rPr>
                <w:rFonts w:hint="eastAsia" w:cs="Times New Roman"/>
                <w:b/>
                <w:bCs/>
                <w:color w:val="auto"/>
                <w:lang w:val="en-US" w:eastAsia="zh-CN"/>
              </w:rPr>
              <w:t>8</w:t>
            </w:r>
            <w:r>
              <w:rPr>
                <w:rFonts w:hint="default" w:ascii="Times New Roman" w:hAnsi="Times New Roman" w:cs="Times New Roman"/>
                <w:b/>
                <w:bCs/>
                <w:color w:val="auto"/>
              </w:rPr>
              <w:t>、</w:t>
            </w:r>
            <w:r>
              <w:rPr>
                <w:rFonts w:hint="eastAsia" w:cs="Times New Roman"/>
                <w:b/>
                <w:bCs/>
                <w:color w:val="auto"/>
                <w:lang w:eastAsia="zh-CN"/>
              </w:rPr>
              <w:t>其他</w:t>
            </w:r>
            <w:r>
              <w:rPr>
                <w:rFonts w:hint="default" w:ascii="Times New Roman" w:hAnsi="Times New Roman" w:cs="Times New Roman"/>
                <w:b/>
                <w:bCs/>
                <w:color w:val="auto"/>
              </w:rPr>
              <w:t>产出物说明</w:t>
            </w:r>
          </w:p>
          <w:p w14:paraId="04E79A9F">
            <w:pPr>
              <w:snapToGrid w:val="0"/>
              <w:spacing w:line="480" w:lineRule="exact"/>
              <w:ind w:firstLine="480" w:firstLineChars="200"/>
              <w:rPr>
                <w:rFonts w:hint="eastAsia" w:ascii="Times New Roman" w:hAnsi="Times New Roman" w:eastAsia="宋体" w:cs="Times New Roman"/>
                <w:color w:val="auto"/>
                <w:lang w:val="en-US" w:eastAsia="zh-CN"/>
              </w:rPr>
            </w:pPr>
            <w:r>
              <w:rPr>
                <w:rFonts w:hint="default" w:ascii="Times New Roman" w:hAnsi="Times New Roman" w:cs="Times New Roman"/>
                <w:color w:val="auto"/>
              </w:rPr>
              <w:t>试油过程产生的采出物包括伴生气、</w:t>
            </w:r>
            <w:r>
              <w:rPr>
                <w:rFonts w:hint="eastAsia" w:cs="Times New Roman"/>
                <w:color w:val="auto"/>
                <w:lang w:val="en-US" w:eastAsia="zh-CN"/>
              </w:rPr>
              <w:t>采出液（</w:t>
            </w:r>
            <w:r>
              <w:rPr>
                <w:rFonts w:hint="default" w:ascii="Times New Roman" w:hAnsi="Times New Roman" w:cs="Times New Roman"/>
                <w:color w:val="auto"/>
              </w:rPr>
              <w:t>原油和采出水</w:t>
            </w:r>
            <w:r>
              <w:rPr>
                <w:rFonts w:hint="eastAsia" w:cs="Times New Roman"/>
                <w:color w:val="auto"/>
                <w:lang w:eastAsia="zh-CN"/>
              </w:rPr>
              <w:t>）</w:t>
            </w:r>
            <w:r>
              <w:rPr>
                <w:rFonts w:hint="default" w:ascii="Times New Roman" w:hAnsi="Times New Roman" w:cs="Times New Roman"/>
                <w:color w:val="auto"/>
              </w:rPr>
              <w:t>。其中伴生气在井场通过排气管线充分燃烧后放空；</w:t>
            </w:r>
            <w:r>
              <w:rPr>
                <w:rFonts w:hint="eastAsia" w:cs="Times New Roman"/>
                <w:color w:val="auto"/>
                <w:lang w:val="en-US" w:eastAsia="zh-CN"/>
              </w:rPr>
              <w:t>采出液（</w:t>
            </w:r>
            <w:r>
              <w:rPr>
                <w:rFonts w:hint="default" w:ascii="Times New Roman" w:hAnsi="Times New Roman" w:cs="Times New Roman"/>
                <w:color w:val="auto"/>
              </w:rPr>
              <w:t>原油和采出水</w:t>
            </w:r>
            <w:r>
              <w:rPr>
                <w:rFonts w:hint="eastAsia" w:cs="Times New Roman"/>
                <w:color w:val="auto"/>
                <w:lang w:eastAsia="zh-CN"/>
              </w:rPr>
              <w:t>）</w:t>
            </w:r>
            <w:r>
              <w:rPr>
                <w:rFonts w:hint="default" w:ascii="Times New Roman" w:hAnsi="Times New Roman" w:cs="Times New Roman"/>
                <w:color w:val="auto"/>
              </w:rPr>
              <w:t>暂存于地面储罐后拉运至采油一厂车89处理站处理。</w:t>
            </w:r>
          </w:p>
        </w:tc>
      </w:tr>
      <w:tr w14:paraId="1BA0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6" w:type="dxa"/>
            <w:vAlign w:val="center"/>
          </w:tcPr>
          <w:p w14:paraId="20C0C16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cs="Times New Roman"/>
                <w:color w:val="auto"/>
              </w:rPr>
            </w:pPr>
            <w:r>
              <w:rPr>
                <w:rFonts w:hint="default" w:ascii="Times New Roman" w:hAnsi="Times New Roman" w:cs="Times New Roman"/>
                <w:color w:val="auto"/>
              </w:rPr>
              <w:t>运营期生态环境影响分析</w:t>
            </w:r>
          </w:p>
        </w:tc>
        <w:tc>
          <w:tcPr>
            <w:tcW w:w="7450" w:type="dxa"/>
            <w:vAlign w:val="center"/>
          </w:tcPr>
          <w:p w14:paraId="1DC7F8CA">
            <w:pPr>
              <w:snapToGrid w:val="0"/>
              <w:spacing w:line="50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本项目无运营期，钻试活动结束后无废气、废水、噪声和</w:t>
            </w:r>
            <w:r>
              <w:rPr>
                <w:rFonts w:hint="eastAsia" w:cs="Times New Roman"/>
                <w:color w:val="auto"/>
                <w:lang w:val="en-US" w:eastAsia="zh-CN"/>
              </w:rPr>
              <w:t>固体废物</w:t>
            </w:r>
            <w:r>
              <w:rPr>
                <w:rFonts w:hint="default" w:ascii="Times New Roman" w:hAnsi="Times New Roman" w:cs="Times New Roman"/>
                <w:color w:val="auto"/>
              </w:rPr>
              <w:t>产生，</w:t>
            </w:r>
            <w:r>
              <w:rPr>
                <w:rFonts w:hint="eastAsia" w:cs="Times New Roman"/>
                <w:color w:val="auto"/>
                <w:lang w:val="en-US" w:eastAsia="zh-CN"/>
              </w:rPr>
              <w:t>临时占地范围内</w:t>
            </w:r>
            <w:r>
              <w:rPr>
                <w:rFonts w:hint="default" w:ascii="Times New Roman" w:hAnsi="Times New Roman" w:cs="Times New Roman"/>
                <w:color w:val="auto"/>
              </w:rPr>
              <w:t>生态可得到逐步恢复。</w:t>
            </w:r>
          </w:p>
        </w:tc>
      </w:tr>
      <w:tr w14:paraId="05C5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6" w:type="dxa"/>
            <w:vAlign w:val="center"/>
          </w:tcPr>
          <w:p w14:paraId="690F3E6F">
            <w:pPr>
              <w:snapToGrid w:val="0"/>
              <w:spacing w:line="480" w:lineRule="exact"/>
              <w:jc w:val="center"/>
              <w:rPr>
                <w:rFonts w:hint="default" w:ascii="Times New Roman" w:hAnsi="Times New Roman" w:cs="Times New Roman"/>
                <w:color w:val="auto"/>
              </w:rPr>
            </w:pPr>
            <w:r>
              <w:rPr>
                <w:rFonts w:hint="default" w:ascii="Times New Roman" w:hAnsi="Times New Roman" w:cs="Times New Roman"/>
                <w:color w:val="auto"/>
              </w:rPr>
              <w:t>选址选线环境合理性分析</w:t>
            </w:r>
          </w:p>
        </w:tc>
        <w:tc>
          <w:tcPr>
            <w:tcW w:w="7450" w:type="dxa"/>
            <w:vAlign w:val="center"/>
          </w:tcPr>
          <w:p w14:paraId="08DB12A7">
            <w:pPr>
              <w:pStyle w:val="32"/>
              <w:rPr>
                <w:rFonts w:hint="default" w:ascii="Times New Roman" w:hAnsi="Times New Roman" w:cs="Times New Roman"/>
                <w:color w:val="auto"/>
              </w:rPr>
            </w:pPr>
            <w:r>
              <w:rPr>
                <w:rFonts w:hint="default" w:ascii="Times New Roman" w:hAnsi="Times New Roman" w:cs="Times New Roman"/>
                <w:color w:val="auto"/>
              </w:rPr>
              <w:t>根据现场踏勘及井场平面布置，井口距离高压线</w:t>
            </w:r>
            <w:r>
              <w:rPr>
                <w:rFonts w:hint="eastAsia" w:ascii="Times New Roman" w:hAnsi="Times New Roman" w:cs="Times New Roman"/>
                <w:color w:val="auto"/>
                <w:lang w:eastAsia="zh-CN"/>
              </w:rPr>
              <w:t>及其他</w:t>
            </w:r>
            <w:r>
              <w:rPr>
                <w:rFonts w:hint="default" w:ascii="Times New Roman" w:hAnsi="Times New Roman" w:cs="Times New Roman"/>
                <w:color w:val="auto"/>
              </w:rPr>
              <w:t>永久性设施不小于75m；距民宅不小于100m；距铁路、高速公路不小于200m；距学校、医院</w:t>
            </w:r>
            <w:r>
              <w:rPr>
                <w:rFonts w:hint="eastAsia" w:ascii="Times New Roman" w:hAnsi="Times New Roman" w:cs="Times New Roman"/>
                <w:color w:val="auto"/>
                <w:lang w:val="en-US" w:eastAsia="zh-CN"/>
              </w:rPr>
              <w:t>和大型油库等人口密集性、高危性场所</w:t>
            </w:r>
            <w:r>
              <w:rPr>
                <w:rFonts w:hint="default" w:ascii="Times New Roman" w:hAnsi="Times New Roman" w:cs="Times New Roman"/>
                <w:color w:val="auto"/>
              </w:rPr>
              <w:t>不小于500m。周围无地下矿产采掘坑道、矿井通道</w:t>
            </w:r>
            <w:r>
              <w:rPr>
                <w:rFonts w:hint="default" w:ascii="Times New Roman" w:hAnsi="Times New Roman" w:cs="Times New Roman"/>
                <w:color w:val="auto"/>
                <w:spacing w:val="-6"/>
              </w:rPr>
              <w:t>。其选址符合《钻前工程及井场布置技术</w:t>
            </w:r>
            <w:r>
              <w:rPr>
                <w:rFonts w:hint="default" w:ascii="Times New Roman" w:hAnsi="Times New Roman" w:cs="Times New Roman"/>
                <w:color w:val="auto"/>
                <w:spacing w:val="-11"/>
              </w:rPr>
              <w:t>要求》</w:t>
            </w:r>
            <w:r>
              <w:rPr>
                <w:rFonts w:hint="default" w:ascii="Times New Roman" w:hAnsi="Times New Roman" w:cs="Times New Roman"/>
                <w:color w:val="auto"/>
              </w:rPr>
              <w:t>(SY/T5466-2013</w:t>
            </w:r>
            <w:r>
              <w:rPr>
                <w:rFonts w:hint="eastAsia" w:ascii="Times New Roman" w:hAnsi="Times New Roman" w:cs="Times New Roman"/>
                <w:color w:val="auto"/>
                <w:lang w:eastAsia="zh-CN"/>
              </w:rPr>
              <w:t>）</w:t>
            </w:r>
            <w:r>
              <w:rPr>
                <w:rFonts w:hint="default" w:ascii="Times New Roman" w:hAnsi="Times New Roman" w:cs="Times New Roman"/>
                <w:color w:val="auto"/>
                <w:spacing w:val="-7"/>
              </w:rPr>
              <w:t>的要求。</w:t>
            </w:r>
          </w:p>
          <w:p w14:paraId="57673A7A">
            <w:pPr>
              <w:snapToGrid w:val="0"/>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本项目</w:t>
            </w:r>
            <w:r>
              <w:rPr>
                <w:rFonts w:hint="default" w:ascii="Times New Roman" w:hAnsi="Times New Roman" w:cs="Times New Roman"/>
                <w:color w:val="auto"/>
              </w:rPr>
              <w:t>周边无自然保护区、风景名胜区、饮用水水源保护区等特殊敏感区域和重要生态敏感区域，且无以居住、医疗卫生、文化教育、科研、行政办公等为主要功能的区域，无重大环境制约因素。</w:t>
            </w:r>
          </w:p>
          <w:p w14:paraId="5F20B333">
            <w:pPr>
              <w:pStyle w:val="32"/>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本项目井场位于昌吉回族自治州玛纳斯县境内，井场临时占用土地类型为一般耕地，不可避让；项目在满足钻试施工要求的前提下，</w:t>
            </w:r>
            <w:r>
              <w:rPr>
                <w:rFonts w:hint="default" w:ascii="Times New Roman" w:hAnsi="Times New Roman" w:cs="Times New Roman"/>
                <w:color w:val="auto"/>
              </w:rPr>
              <w:t>尽可能缩小</w:t>
            </w:r>
            <w:r>
              <w:rPr>
                <w:rFonts w:hint="eastAsia" w:ascii="Times New Roman" w:hAnsi="Times New Roman" w:cs="Times New Roman"/>
                <w:color w:val="auto"/>
                <w:lang w:val="en-US" w:eastAsia="zh-CN"/>
              </w:rPr>
              <w:t>井场临时占地范围</w:t>
            </w:r>
            <w:r>
              <w:rPr>
                <w:rFonts w:hint="default" w:ascii="Times New Roman" w:hAnsi="Times New Roman" w:cs="Times New Roman"/>
                <w:color w:val="auto"/>
              </w:rPr>
              <w:t>，减</w:t>
            </w:r>
            <w:r>
              <w:rPr>
                <w:rFonts w:hint="eastAsia" w:ascii="Times New Roman" w:hAnsi="Times New Roman" w:cs="Times New Roman"/>
                <w:color w:val="auto"/>
                <w:lang w:val="en-US" w:eastAsia="zh-CN"/>
              </w:rPr>
              <w:t>少对一般耕地的生态破坏</w:t>
            </w:r>
            <w:r>
              <w:rPr>
                <w:rFonts w:hint="default" w:ascii="Times New Roman" w:hAnsi="Times New Roman" w:cs="Times New Roman"/>
                <w:color w:val="auto"/>
              </w:rPr>
              <w:t>；</w:t>
            </w:r>
            <w:r>
              <w:rPr>
                <w:rFonts w:hint="eastAsia" w:ascii="Times New Roman" w:hAnsi="Times New Roman" w:cs="Times New Roman"/>
                <w:color w:val="auto"/>
                <w:lang w:val="en-US" w:eastAsia="zh-CN"/>
              </w:rPr>
              <w:t>生活营地临时占地避开了一般耕地，设置在井场北侧约929m处其他草地区域；</w:t>
            </w:r>
            <w:r>
              <w:rPr>
                <w:rFonts w:hint="default" w:ascii="Times New Roman" w:hAnsi="Times New Roman" w:cs="Times New Roman"/>
                <w:color w:val="auto"/>
              </w:rPr>
              <w:t>探临道路</w:t>
            </w:r>
            <w:r>
              <w:rPr>
                <w:rFonts w:hint="eastAsia" w:ascii="Times New Roman" w:hAnsi="Times New Roman" w:cs="Times New Roman"/>
                <w:color w:val="auto"/>
                <w:lang w:val="en-US" w:eastAsia="zh-CN"/>
              </w:rPr>
              <w:t>与周围已有的</w:t>
            </w:r>
            <w:r>
              <w:rPr>
                <w:rFonts w:hint="default" w:ascii="Times New Roman" w:hAnsi="Times New Roman" w:cs="Times New Roman"/>
                <w:color w:val="auto"/>
              </w:rPr>
              <w:t>机耕道路</w:t>
            </w:r>
            <w:r>
              <w:rPr>
                <w:rFonts w:hint="eastAsia" w:ascii="Times New Roman" w:hAnsi="Times New Roman" w:cs="Times New Roman"/>
                <w:color w:val="auto"/>
                <w:lang w:val="en-US" w:eastAsia="zh-CN"/>
              </w:rPr>
              <w:t>相连接，缩短了道路修筑长度</w:t>
            </w:r>
            <w:r>
              <w:rPr>
                <w:rFonts w:hint="default" w:ascii="Times New Roman" w:hAnsi="Times New Roman" w:cs="Times New Roman"/>
                <w:color w:val="auto"/>
              </w:rPr>
              <w:t>，最大限度减少</w:t>
            </w:r>
            <w:r>
              <w:rPr>
                <w:rFonts w:hint="eastAsia" w:ascii="Times New Roman" w:hAnsi="Times New Roman" w:cs="Times New Roman"/>
                <w:color w:val="auto"/>
                <w:lang w:val="en-US" w:eastAsia="zh-CN"/>
              </w:rPr>
              <w:t>临时</w:t>
            </w:r>
            <w:r>
              <w:rPr>
                <w:rFonts w:hint="default" w:ascii="Times New Roman" w:hAnsi="Times New Roman" w:cs="Times New Roman"/>
                <w:color w:val="auto"/>
              </w:rPr>
              <w:t>占地</w:t>
            </w:r>
            <w:r>
              <w:rPr>
                <w:rFonts w:hint="eastAsia" w:ascii="Times New Roman" w:hAnsi="Times New Roman" w:cs="Times New Roman"/>
                <w:color w:val="auto"/>
                <w:lang w:val="en-US" w:eastAsia="zh-CN"/>
              </w:rPr>
              <w:t>和对周围环境的扰动</w:t>
            </w:r>
            <w:r>
              <w:rPr>
                <w:rFonts w:hint="default" w:ascii="Times New Roman" w:hAnsi="Times New Roman" w:cs="Times New Roman"/>
                <w:color w:val="auto"/>
              </w:rPr>
              <w:t>；</w:t>
            </w:r>
            <w:r>
              <w:rPr>
                <w:rFonts w:hint="eastAsia" w:ascii="Times New Roman" w:hAnsi="Times New Roman" w:cs="Times New Roman"/>
                <w:color w:val="auto"/>
                <w:lang w:val="en-US" w:eastAsia="zh-CN"/>
              </w:rPr>
              <w:t>通过控制临时占地范围及有效避让耕地区域，可有效减少对耕地的生态破坏。</w:t>
            </w:r>
          </w:p>
          <w:p w14:paraId="43C4BFA4">
            <w:pPr>
              <w:pStyle w:val="32"/>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highlight w:val="none"/>
                <w:lang w:val="en-US" w:eastAsia="zh-CN"/>
              </w:rPr>
              <w:t>施工阶段，井场采用先进钻试技术工艺，井场进行分区防渗，试油废水（洗井废水和压裂返排液）均进罐收集后拉至采油一厂车89处理站处置；施工人员产生的生活污水排入防渗收集池后由吸污车运至玛纳斯县城污水处理厂处置；对易起尘物料进行遮盖、加强车辆管理等措施；柴油储罐采用固定顶罐；水基钻井岩屑和油基钻井岩屑分别收集在储罐中，及时由相应处置单位进行清运；施工过程中产生的沾油的废防渗材料、废润滑油及废润滑油桶交由具有相应危险废物处置资质的单位进行接收、转运和处置；产生的生活垃圾集中收集在垃圾箱后交玛纳斯县生活垃圾填埋场处置；严禁废弃物随意丢弃。本</w:t>
            </w:r>
            <w:r>
              <w:rPr>
                <w:rFonts w:hint="eastAsia" w:ascii="Times New Roman" w:hAnsi="Times New Roman" w:cs="Times New Roman"/>
                <w:color w:val="auto"/>
                <w:lang w:val="en-US" w:eastAsia="zh-CN"/>
              </w:rPr>
              <w:t>项目对产生的废水、固体废物均采取了相应的污染防治措施。</w:t>
            </w:r>
          </w:p>
          <w:p w14:paraId="2AF8B657">
            <w:pPr>
              <w:pStyle w:val="32"/>
              <w:rPr>
                <w:rFonts w:hint="default" w:ascii="Times New Roman" w:hAnsi="Times New Roman" w:cs="Times New Roman"/>
                <w:color w:val="auto"/>
              </w:rPr>
            </w:pPr>
            <w:r>
              <w:rPr>
                <w:rFonts w:hint="eastAsia" w:ascii="Times New Roman" w:hAnsi="Times New Roman" w:cs="Times New Roman"/>
                <w:color w:val="auto"/>
                <w:lang w:val="en-US" w:eastAsia="zh-CN"/>
              </w:rPr>
              <w:t>施工结束</w:t>
            </w:r>
            <w:r>
              <w:rPr>
                <w:rFonts w:hint="default" w:ascii="Times New Roman" w:hAnsi="Times New Roman" w:cs="Times New Roman"/>
                <w:color w:val="auto"/>
              </w:rPr>
              <w:t>建设单位应及时</w:t>
            </w:r>
            <w:r>
              <w:rPr>
                <w:rFonts w:hint="eastAsia" w:ascii="Times New Roman" w:hAnsi="Times New Roman" w:cs="Times New Roman"/>
                <w:color w:val="auto"/>
                <w:lang w:val="en-US" w:eastAsia="zh-CN"/>
              </w:rPr>
              <w:t>对临时用地范围进行土地</w:t>
            </w:r>
            <w:r>
              <w:rPr>
                <w:rFonts w:hint="default" w:ascii="Times New Roman" w:hAnsi="Times New Roman" w:cs="Times New Roman"/>
                <w:color w:val="auto"/>
              </w:rPr>
              <w:t>复垦，使</w:t>
            </w:r>
            <w:r>
              <w:rPr>
                <w:rFonts w:hint="eastAsia" w:ascii="Times New Roman" w:hAnsi="Times New Roman" w:cs="Times New Roman"/>
                <w:color w:val="auto"/>
                <w:lang w:val="en-US" w:eastAsia="zh-CN"/>
              </w:rPr>
              <w:t>一般耕地</w:t>
            </w:r>
            <w:r>
              <w:rPr>
                <w:rFonts w:hint="default" w:ascii="Times New Roman" w:hAnsi="Times New Roman" w:cs="Times New Roman"/>
                <w:color w:val="auto"/>
              </w:rPr>
              <w:t>恢复原种植条件</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其他草地地表恢复原貌</w:t>
            </w:r>
            <w:r>
              <w:rPr>
                <w:rFonts w:hint="default" w:ascii="Times New Roman" w:hAnsi="Times New Roman" w:cs="Times New Roman"/>
                <w:color w:val="auto"/>
              </w:rPr>
              <w:t>。受人类活动影响，区域内野生动物数量较少，对周围生态环境影响较小；建设单位按相关要求及时办理征地补偿协议；本次评价针对施工期间产生的“三废”、噪声及生态影响均提出了相应的治理或减缓措施，不会对项目所在区域环境质量产生较大影响。</w:t>
            </w:r>
          </w:p>
          <w:p w14:paraId="1669D900">
            <w:pPr>
              <w:pStyle w:val="32"/>
              <w:rPr>
                <w:rFonts w:hint="default" w:ascii="Times New Roman" w:hAnsi="Times New Roman" w:eastAsia="宋体" w:cs="Times New Roman"/>
                <w:color w:val="auto"/>
                <w:lang w:val="en-US" w:eastAsia="zh-CN"/>
              </w:rPr>
            </w:pPr>
            <w:r>
              <w:rPr>
                <w:rFonts w:hint="default" w:ascii="Times New Roman" w:hAnsi="Times New Roman" w:cs="Times New Roman"/>
                <w:color w:val="auto"/>
              </w:rPr>
              <w:t>综上所述，</w:t>
            </w:r>
            <w:r>
              <w:rPr>
                <w:rFonts w:hint="default" w:ascii="Times New Roman" w:hAnsi="Times New Roman" w:cs="Times New Roman"/>
                <w:color w:val="auto"/>
                <w:lang w:val="en-US" w:eastAsia="zh-CN"/>
              </w:rPr>
              <w:t>本</w:t>
            </w:r>
            <w:r>
              <w:rPr>
                <w:rFonts w:hint="default" w:ascii="Times New Roman" w:hAnsi="Times New Roman" w:cs="Times New Roman"/>
                <w:color w:val="auto"/>
              </w:rPr>
              <w:t>项目选址选线合理。</w:t>
            </w:r>
          </w:p>
        </w:tc>
      </w:tr>
    </w:tbl>
    <w:p w14:paraId="07D5540A">
      <w:pPr>
        <w:pStyle w:val="2"/>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E05AF9E">
      <w:pPr>
        <w:pStyle w:val="2"/>
        <w:rPr>
          <w:rFonts w:hint="default" w:ascii="Times New Roman" w:hAnsi="Times New Roman" w:eastAsia="黑体" w:cs="Times New Roman"/>
          <w:b w:val="0"/>
          <w:bCs/>
          <w:color w:val="auto"/>
          <w:sz w:val="30"/>
          <w:szCs w:val="30"/>
        </w:rPr>
      </w:pPr>
      <w:bookmarkStart w:id="60" w:name="_Toc12711"/>
      <w:bookmarkStart w:id="61" w:name="_Hlk136794953"/>
      <w:r>
        <w:rPr>
          <w:rFonts w:hint="default" w:ascii="Times New Roman" w:hAnsi="Times New Roman" w:eastAsia="黑体" w:cs="Times New Roman"/>
          <w:b w:val="0"/>
          <w:bCs/>
          <w:color w:val="auto"/>
          <w:sz w:val="30"/>
          <w:szCs w:val="30"/>
        </w:rPr>
        <w:t>五、主要生态环境保护措施</w:t>
      </w:r>
      <w:bookmarkEnd w:id="60"/>
    </w:p>
    <w:bookmarkEnd w:id="61"/>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7896"/>
      </w:tblGrid>
      <w:tr w14:paraId="1AC2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5B2F0BC6">
            <w:pPr>
              <w:adjustRightInd w:val="0"/>
              <w:snapToGrid w:val="0"/>
              <w:spacing w:line="500" w:lineRule="exact"/>
              <w:jc w:val="center"/>
              <w:rPr>
                <w:rFonts w:hint="default" w:ascii="Times New Roman" w:hAnsi="Times New Roman" w:cs="Times New Roman"/>
                <w:color w:val="auto"/>
              </w:rPr>
            </w:pPr>
            <w:r>
              <w:rPr>
                <w:rFonts w:hint="default" w:ascii="Times New Roman" w:hAnsi="Times New Roman" w:cs="Times New Roman"/>
                <w:bCs/>
                <w:color w:val="auto"/>
              </w:rPr>
              <w:t>施工期生态环境保护措施</w:t>
            </w:r>
          </w:p>
        </w:tc>
        <w:tc>
          <w:tcPr>
            <w:tcW w:w="4633" w:type="pct"/>
          </w:tcPr>
          <w:p w14:paraId="36E3A0CB">
            <w:pPr>
              <w:pStyle w:val="32"/>
              <w:keepNext w:val="0"/>
              <w:keepLines w:val="0"/>
              <w:pageBreakBefore w:val="0"/>
              <w:widowControl w:val="0"/>
              <w:kinsoku/>
              <w:wordWrap/>
              <w:overflowPunct/>
              <w:topLinePunct w:val="0"/>
              <w:autoSpaceDE/>
              <w:autoSpaceDN/>
              <w:bidi w:val="0"/>
              <w:adjustRightInd/>
              <w:snapToGrid/>
              <w:ind w:firstLine="482"/>
              <w:textAlignment w:val="auto"/>
              <w:rPr>
                <w:rFonts w:hint="default" w:ascii="Times New Roman" w:hAnsi="Times New Roman" w:cs="Times New Roman"/>
                <w:b/>
                <w:bCs/>
                <w:color w:val="auto"/>
              </w:rPr>
            </w:pPr>
            <w:r>
              <w:rPr>
                <w:rFonts w:hint="default" w:ascii="Times New Roman" w:hAnsi="Times New Roman" w:cs="Times New Roman"/>
                <w:b/>
                <w:bCs/>
                <w:color w:val="auto"/>
              </w:rPr>
              <w:t>1、生态环境保护措施</w:t>
            </w:r>
          </w:p>
          <w:p w14:paraId="559C5ADF">
            <w:pPr>
              <w:pStyle w:val="32"/>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建设单位及施工单位应严格执行本次评价提出的生态环境保护措施，并确保各项保护措施与钻试工程同时设计、同时施工、同时使用。</w:t>
            </w:r>
          </w:p>
          <w:p w14:paraId="6A56EFA8">
            <w:pPr>
              <w:pStyle w:val="32"/>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rPr>
            </w:pPr>
            <w:bookmarkStart w:id="62" w:name="_Hlk140837423"/>
            <w:r>
              <w:rPr>
                <w:rFonts w:hint="default" w:ascii="Times New Roman" w:hAnsi="Times New Roman" w:cs="Times New Roman"/>
                <w:color w:val="auto"/>
              </w:rPr>
              <w:t>（1）植被保护措施</w:t>
            </w:r>
          </w:p>
          <w:p w14:paraId="0F96A042">
            <w:pPr>
              <w:pStyle w:val="32"/>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lang w:val="en-US" w:eastAsia="zh-CN"/>
              </w:rPr>
            </w:pPr>
            <w:bookmarkStart w:id="63" w:name="_Hlk140834056"/>
            <w:r>
              <w:rPr>
                <w:rFonts w:hint="default" w:ascii="Times New Roman" w:hAnsi="Times New Roman" w:cs="Times New Roman"/>
                <w:color w:val="auto"/>
              </w:rPr>
              <w:t>①工程避让措施：井场</w:t>
            </w:r>
            <w:r>
              <w:rPr>
                <w:rFonts w:hint="eastAsia" w:ascii="Times New Roman" w:hAnsi="Times New Roman" w:cs="Times New Roman"/>
                <w:color w:val="auto"/>
                <w:lang w:val="en-US" w:eastAsia="zh-CN"/>
              </w:rPr>
              <w:t>及探临道路选址时</w:t>
            </w:r>
            <w:r>
              <w:rPr>
                <w:rFonts w:hint="default" w:ascii="Times New Roman" w:hAnsi="Times New Roman" w:cs="Times New Roman"/>
                <w:color w:val="auto"/>
              </w:rPr>
              <w:t>应提前踏勘，在满足勘探设计和施工要求的前提下，对井场位置、探临道路路由等临时占地进行适当调整，</w:t>
            </w:r>
            <w:r>
              <w:rPr>
                <w:rFonts w:hint="eastAsia" w:ascii="Times New Roman" w:hAnsi="Times New Roman" w:cs="Times New Roman"/>
                <w:color w:val="auto"/>
                <w:lang w:val="en-US" w:eastAsia="zh-CN"/>
              </w:rPr>
              <w:t>满足设计的前提下尽量减少占地</w:t>
            </w:r>
            <w:r>
              <w:rPr>
                <w:rFonts w:hint="default" w:ascii="Times New Roman" w:hAnsi="Times New Roman" w:cs="Times New Roman"/>
                <w:color w:val="auto"/>
              </w:rPr>
              <w:t>。</w:t>
            </w:r>
            <w:bookmarkStart w:id="64" w:name="_Hlk136795909"/>
            <w:r>
              <w:rPr>
                <w:rFonts w:hint="default" w:ascii="Times New Roman" w:hAnsi="Times New Roman" w:cs="Times New Roman"/>
                <w:color w:val="auto"/>
              </w:rPr>
              <w:t>选址尽量避开植被密集区域</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由于周边分布耕地较多，为减少占用一般耕地，项目将生活营地布设在井场北侧其他草地区域。项目所在区域有已建道路，井场、生活营地均与区域已建道路相连接，可减少探临道路修建长度，减少临时占地面积。项目区植被密集区见图5-1。</w:t>
            </w:r>
          </w:p>
          <w:p w14:paraId="3C4794FC">
            <w:pPr>
              <w:pStyle w:val="32"/>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auto"/>
                <w:lang w:eastAsia="zh-CN"/>
              </w:rPr>
            </w:pPr>
            <w:r>
              <w:rPr>
                <w:color w:val="auto"/>
                <w:sz w:val="24"/>
              </w:rPr>
              <mc:AlternateContent>
                <mc:Choice Requires="wps">
                  <w:drawing>
                    <wp:anchor distT="0" distB="0" distL="114300" distR="114300" simplePos="0" relativeHeight="251666432" behindDoc="0" locked="0" layoutInCell="1" allowOverlap="1">
                      <wp:simplePos x="0" y="0"/>
                      <wp:positionH relativeFrom="column">
                        <wp:posOffset>2054860</wp:posOffset>
                      </wp:positionH>
                      <wp:positionV relativeFrom="paragraph">
                        <wp:posOffset>163830</wp:posOffset>
                      </wp:positionV>
                      <wp:extent cx="991235" cy="414655"/>
                      <wp:effectExtent l="6350" t="6350" r="259715" b="17145"/>
                      <wp:wrapNone/>
                      <wp:docPr id="67" name="矩形标注 67"/>
                      <wp:cNvGraphicFramePr/>
                      <a:graphic xmlns:a="http://schemas.openxmlformats.org/drawingml/2006/main">
                        <a:graphicData uri="http://schemas.microsoft.com/office/word/2010/wordprocessingShape">
                          <wps:wsp>
                            <wps:cNvSpPr/>
                            <wps:spPr>
                              <a:xfrm>
                                <a:off x="0" y="0"/>
                                <a:ext cx="991235" cy="414655"/>
                              </a:xfrm>
                              <a:prstGeom prst="wedgeRectCallout">
                                <a:avLst>
                                  <a:gd name="adj1" fmla="val 71588"/>
                                  <a:gd name="adj2" fmla="val 48315"/>
                                </a:avLst>
                              </a:prstGeom>
                              <a:no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3B4BBBF">
                                  <w:pPr>
                                    <w:keepNext w:val="0"/>
                                    <w:keepLines w:val="0"/>
                                    <w:pageBreakBefore w:val="0"/>
                                    <w:widowControl w:val="0"/>
                                    <w:kinsoku/>
                                    <w:wordWrap/>
                                    <w:overflowPunct/>
                                    <w:topLinePunct w:val="0"/>
                                    <w:bidi w:val="0"/>
                                    <w:adjustRightInd/>
                                    <w:snapToGrid/>
                                    <w:spacing w:line="240" w:lineRule="exact"/>
                                    <w:jc w:val="center"/>
                                    <w:textAlignment w:val="auto"/>
                                    <w:rPr>
                                      <w:rFonts w:hint="eastAsia"/>
                                      <w:sz w:val="15"/>
                                      <w:szCs w:val="15"/>
                                      <w:lang w:val="en-US" w:eastAsia="zh-CN"/>
                                    </w:rPr>
                                  </w:pPr>
                                  <w:r>
                                    <w:rPr>
                                      <w:rFonts w:hint="eastAsia"/>
                                      <w:sz w:val="15"/>
                                      <w:szCs w:val="15"/>
                                      <w:lang w:val="en-US" w:eastAsia="zh-CN"/>
                                    </w:rPr>
                                    <w:t>其他草地</w:t>
                                  </w:r>
                                </w:p>
                                <w:p w14:paraId="282FECF5">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植被较为稀疏区域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61.8pt;margin-top:12.9pt;height:32.65pt;width:78.05pt;z-index:251666432;v-text-anchor:middle;mso-width-relative:page;mso-height-relative:page;" filled="f" stroked="t" coordsize="21600,21600" o:gfxdata="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O4ZmdkAAAAJAQAADwAAAAAAAAABACAAAAAiAAAAZHJzL2Rvd25y&#10;ZXYueG1sUEsBAhQAFAAAAAgAh07iQB+TPCmoAgAAOgUAAA4AAAAAAAAAAQAgAAAAKAEAAGRycy9l&#10;Mm9Eb2MueG1sUEsFBgAAAAAGAAYAWQEAAEIGAAAAAA==&#10;" adj="26263,21236">
                      <v:fill on="f" focussize="0,0"/>
                      <v:stroke weight="1pt" color="#FFFFFF [3212]" miterlimit="8" joinstyle="miter"/>
                      <v:imagedata o:title=""/>
                      <o:lock v:ext="edit" aspectratio="f"/>
                      <v:textbox>
                        <w:txbxContent>
                          <w:p w14:paraId="33B4BBBF">
                            <w:pPr>
                              <w:keepNext w:val="0"/>
                              <w:keepLines w:val="0"/>
                              <w:pageBreakBefore w:val="0"/>
                              <w:widowControl w:val="0"/>
                              <w:kinsoku/>
                              <w:wordWrap/>
                              <w:overflowPunct/>
                              <w:topLinePunct w:val="0"/>
                              <w:bidi w:val="0"/>
                              <w:adjustRightInd/>
                              <w:snapToGrid/>
                              <w:spacing w:line="240" w:lineRule="exact"/>
                              <w:jc w:val="center"/>
                              <w:textAlignment w:val="auto"/>
                              <w:rPr>
                                <w:rFonts w:hint="eastAsia"/>
                                <w:sz w:val="15"/>
                                <w:szCs w:val="15"/>
                                <w:lang w:val="en-US" w:eastAsia="zh-CN"/>
                              </w:rPr>
                            </w:pPr>
                            <w:r>
                              <w:rPr>
                                <w:rFonts w:hint="eastAsia"/>
                                <w:sz w:val="15"/>
                                <w:szCs w:val="15"/>
                                <w:lang w:val="en-US" w:eastAsia="zh-CN"/>
                              </w:rPr>
                              <w:t>其他草地</w:t>
                            </w:r>
                          </w:p>
                          <w:p w14:paraId="282FECF5">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植被较为稀疏区域</w:t>
                            </w:r>
                          </w:p>
                        </w:txbxContent>
                      </v:textbox>
                    </v:shape>
                  </w:pict>
                </mc:Fallback>
              </mc:AlternateContent>
            </w: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3101975</wp:posOffset>
                      </wp:positionH>
                      <wp:positionV relativeFrom="paragraph">
                        <wp:posOffset>306070</wp:posOffset>
                      </wp:positionV>
                      <wp:extent cx="675005" cy="904875"/>
                      <wp:effectExtent l="17145" t="7620" r="12700" b="40005"/>
                      <wp:wrapNone/>
                      <wp:docPr id="65" name="任意多边形 65"/>
                      <wp:cNvGraphicFramePr/>
                      <a:graphic xmlns:a="http://schemas.openxmlformats.org/drawingml/2006/main">
                        <a:graphicData uri="http://schemas.microsoft.com/office/word/2010/wordprocessingShape">
                          <wps:wsp>
                            <wps:cNvSpPr/>
                            <wps:spPr>
                              <a:xfrm>
                                <a:off x="4703445" y="4810125"/>
                                <a:ext cx="675005" cy="904875"/>
                              </a:xfrm>
                              <a:custGeom>
                                <a:avLst/>
                                <a:gdLst>
                                  <a:gd name="connsiteX0" fmla="*/ 800 w 1063"/>
                                  <a:gd name="connsiteY0" fmla="*/ 113 h 1425"/>
                                  <a:gd name="connsiteX1" fmla="*/ 450 w 1063"/>
                                  <a:gd name="connsiteY1" fmla="*/ 188 h 1425"/>
                                  <a:gd name="connsiteX2" fmla="*/ 313 w 1063"/>
                                  <a:gd name="connsiteY2" fmla="*/ 400 h 1425"/>
                                  <a:gd name="connsiteX3" fmla="*/ 213 w 1063"/>
                                  <a:gd name="connsiteY3" fmla="*/ 588 h 1425"/>
                                  <a:gd name="connsiteX4" fmla="*/ 163 w 1063"/>
                                  <a:gd name="connsiteY4" fmla="*/ 775 h 1425"/>
                                  <a:gd name="connsiteX5" fmla="*/ 125 w 1063"/>
                                  <a:gd name="connsiteY5" fmla="*/ 1000 h 1425"/>
                                  <a:gd name="connsiteX6" fmla="*/ 88 w 1063"/>
                                  <a:gd name="connsiteY6" fmla="*/ 1200 h 1425"/>
                                  <a:gd name="connsiteX7" fmla="*/ 0 w 1063"/>
                                  <a:gd name="connsiteY7" fmla="*/ 1425 h 1425"/>
                                  <a:gd name="connsiteX8" fmla="*/ 338 w 1063"/>
                                  <a:gd name="connsiteY8" fmla="*/ 1088 h 1425"/>
                                  <a:gd name="connsiteX9" fmla="*/ 588 w 1063"/>
                                  <a:gd name="connsiteY9" fmla="*/ 913 h 1425"/>
                                  <a:gd name="connsiteX10" fmla="*/ 788 w 1063"/>
                                  <a:gd name="connsiteY10" fmla="*/ 763 h 1425"/>
                                  <a:gd name="connsiteX11" fmla="*/ 900 w 1063"/>
                                  <a:gd name="connsiteY11" fmla="*/ 638 h 1425"/>
                                  <a:gd name="connsiteX12" fmla="*/ 1000 w 1063"/>
                                  <a:gd name="connsiteY12" fmla="*/ 500 h 1425"/>
                                  <a:gd name="connsiteX13" fmla="*/ 1063 w 1063"/>
                                  <a:gd name="connsiteY13" fmla="*/ 250 h 1425"/>
                                  <a:gd name="connsiteX14" fmla="*/ 1038 w 1063"/>
                                  <a:gd name="connsiteY14" fmla="*/ 100 h 1425"/>
                                  <a:gd name="connsiteX15" fmla="*/ 925 w 1063"/>
                                  <a:gd name="connsiteY15" fmla="*/ 0 h 1425"/>
                                  <a:gd name="connsiteX16" fmla="*/ 738 w 1063"/>
                                  <a:gd name="connsiteY16" fmla="*/ 113 h 1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063" h="1425">
                                    <a:moveTo>
                                      <a:pt x="800" y="113"/>
                                    </a:moveTo>
                                    <a:lnTo>
                                      <a:pt x="450" y="188"/>
                                    </a:lnTo>
                                    <a:lnTo>
                                      <a:pt x="313" y="400"/>
                                    </a:lnTo>
                                    <a:lnTo>
                                      <a:pt x="213" y="588"/>
                                    </a:lnTo>
                                    <a:lnTo>
                                      <a:pt x="163" y="775"/>
                                    </a:lnTo>
                                    <a:lnTo>
                                      <a:pt x="125" y="1000"/>
                                    </a:lnTo>
                                    <a:lnTo>
                                      <a:pt x="88" y="1200"/>
                                    </a:lnTo>
                                    <a:lnTo>
                                      <a:pt x="0" y="1425"/>
                                    </a:lnTo>
                                    <a:lnTo>
                                      <a:pt x="338" y="1088"/>
                                    </a:lnTo>
                                    <a:lnTo>
                                      <a:pt x="588" y="913"/>
                                    </a:lnTo>
                                    <a:lnTo>
                                      <a:pt x="788" y="763"/>
                                    </a:lnTo>
                                    <a:lnTo>
                                      <a:pt x="900" y="638"/>
                                    </a:lnTo>
                                    <a:lnTo>
                                      <a:pt x="1000" y="500"/>
                                    </a:lnTo>
                                    <a:lnTo>
                                      <a:pt x="1063" y="250"/>
                                    </a:lnTo>
                                    <a:lnTo>
                                      <a:pt x="1038" y="100"/>
                                    </a:lnTo>
                                    <a:lnTo>
                                      <a:pt x="925" y="0"/>
                                    </a:lnTo>
                                    <a:lnTo>
                                      <a:pt x="738" y="113"/>
                                    </a:lnTo>
                                  </a:path>
                                </a:pathLst>
                              </a:custGeom>
                              <a:noFill/>
                              <a:ln>
                                <a:solidFill>
                                  <a:srgbClr val="FF0000"/>
                                </a:solidFill>
                                <a:prstDash val="dashDot"/>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44.25pt;margin-top:24.1pt;height:71.25pt;width:53.15pt;z-index:251665408;mso-width-relative:page;mso-height-relative:page;" filled="f" stroked="t" coordsize="1063,1425" o:gfxdata="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" path="m800,113l450,188,313,400,213,588,163,775,125,1000,88,1200,0,1425,338,1088,588,913,788,763,900,638,1000,500,1063,250,1038,100,925,0,738,113e">
                      <v:path o:connectlocs="508000,71755;285750,119380;198755,254000;135255,373380;103505,492125;79375,635000;55880,762000;0,904875;214630,690880;373380,579755;500380,484505;571500,405130;635000,317500;675005,158750;659130,63500;587375,0;468630,71755" o:connectangles="0,0,0,0,0,0,0,0,0,0,0,0,0,0,0,0,0"/>
                      <v:fill on="f" focussize="0,0"/>
                      <v:stroke weight="1pt" color="#FF0000 [2404]" miterlimit="8" joinstyle="miter" dashstyle="dashDot"/>
                      <v:imagedata o:title=""/>
                      <o:lock v:ext="edit" aspectratio="f"/>
                    </v:shape>
                  </w:pict>
                </mc:Fallback>
              </mc:AlternateContent>
            </w: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2253615</wp:posOffset>
                      </wp:positionH>
                      <wp:positionV relativeFrom="paragraph">
                        <wp:posOffset>927100</wp:posOffset>
                      </wp:positionV>
                      <wp:extent cx="713740" cy="264160"/>
                      <wp:effectExtent l="6350" t="167005" r="346710" b="6985"/>
                      <wp:wrapNone/>
                      <wp:docPr id="59" name="矩形标注 59"/>
                      <wp:cNvGraphicFramePr/>
                      <a:graphic xmlns:a="http://schemas.openxmlformats.org/drawingml/2006/main">
                        <a:graphicData uri="http://schemas.microsoft.com/office/word/2010/wordprocessingShape">
                          <wps:wsp>
                            <wps:cNvSpPr/>
                            <wps:spPr>
                              <a:xfrm>
                                <a:off x="0" y="0"/>
                                <a:ext cx="713740" cy="264160"/>
                              </a:xfrm>
                              <a:prstGeom prst="wedgeRectCallout">
                                <a:avLst>
                                  <a:gd name="adj1" fmla="val 90391"/>
                                  <a:gd name="adj2" fmla="val -106249"/>
                                </a:avLst>
                              </a:prstGeom>
                              <a:no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E03541B">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纳东1生活营地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77.45pt;margin-top:73pt;height:20.8pt;width:56.2pt;z-index:251662336;v-text-anchor:middle;mso-width-relative:page;mso-height-relative:page;" filled="f" stroked="t" coordsize="21600,21600" o:gfxdata="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PI63g2gAAAAsBAAAPAAAAAAAAAAEAIAAAACIAAABkcnMvZG93&#10;bnJldi54bWxQSwECFAAUAAAACACHTuJAwYG8OKkCAAA8BQAADgAAAAAAAAABACAAAAApAQAAZHJz&#10;L2Uyb0RvYy54bWxQSwUGAAAAAAYABgBZAQAARAYAAAAA&#10;" adj="30324,-12150">
                      <v:fill on="f" focussize="0,0"/>
                      <v:stroke weight="1pt" color="#FFFFFF [3212]" miterlimit="8" joinstyle="miter"/>
                      <v:imagedata o:title=""/>
                      <o:lock v:ext="edit" aspectratio="f"/>
                      <v:textbox>
                        <w:txbxContent>
                          <w:p w14:paraId="2E03541B">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纳东1生活营地</w:t>
                            </w:r>
                          </w:p>
                        </w:txbxContent>
                      </v:textbox>
                    </v:shape>
                  </w:pict>
                </mc:Fallback>
              </mc:AlternateContent>
            </w:r>
            <w:r>
              <w:rPr>
                <w:color w:val="auto"/>
                <w:sz w:val="24"/>
              </w:rPr>
              <mc:AlternateContent>
                <mc:Choice Requires="wps">
                  <w:drawing>
                    <wp:anchor distT="0" distB="0" distL="114300" distR="114300" simplePos="0" relativeHeight="251664384" behindDoc="0" locked="0" layoutInCell="1" allowOverlap="1">
                      <wp:simplePos x="0" y="0"/>
                      <wp:positionH relativeFrom="column">
                        <wp:posOffset>2988310</wp:posOffset>
                      </wp:positionH>
                      <wp:positionV relativeFrom="paragraph">
                        <wp:posOffset>1607185</wp:posOffset>
                      </wp:positionV>
                      <wp:extent cx="713740" cy="264160"/>
                      <wp:effectExtent l="109220" t="170815" r="15240" b="22225"/>
                      <wp:wrapNone/>
                      <wp:docPr id="64" name="矩形标注 64"/>
                      <wp:cNvGraphicFramePr/>
                      <a:graphic xmlns:a="http://schemas.openxmlformats.org/drawingml/2006/main">
                        <a:graphicData uri="http://schemas.microsoft.com/office/word/2010/wordprocessingShape">
                          <wps:wsp>
                            <wps:cNvSpPr/>
                            <wps:spPr>
                              <a:xfrm>
                                <a:off x="0" y="0"/>
                                <a:ext cx="713740" cy="264160"/>
                              </a:xfrm>
                              <a:prstGeom prst="wedgeRectCallout">
                                <a:avLst>
                                  <a:gd name="adj1" fmla="val -59786"/>
                                  <a:gd name="adj2" fmla="val -106009"/>
                                </a:avLst>
                              </a:prstGeom>
                              <a:no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2F12DEE">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周边已建道路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5.3pt;margin-top:126.55pt;height:20.8pt;width:56.2pt;z-index:251664384;v-text-anchor:middle;mso-width-relative:page;mso-height-relative:page;" filled="f" stroked="t" coordsize="21600,21600" o:gfxdata="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BxZui7YAAAACwEAAA8AAAAAAAAAAQAgAAAAIgAAAGRycy9kb3du&#10;cmV2LnhtbFBLAQIUABQAAAAIAIdO4kBpKm/jqgIAAD0FAAAOAAAAAAAAAAEAIAAAACcBAABkcnMv&#10;ZTJvRG9jLnhtbFBLBQYAAAAABgAGAFkBAABDBgAAAAA=&#10;" adj="-2114,-12098">
                      <v:fill on="f" focussize="0,0"/>
                      <v:stroke weight="1pt" color="#FFFFFF [3212]" miterlimit="8" joinstyle="miter"/>
                      <v:imagedata o:title=""/>
                      <o:lock v:ext="edit" aspectratio="f"/>
                      <v:textbox>
                        <w:txbxContent>
                          <w:p w14:paraId="02F12DEE">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周边已建道路</w:t>
                            </w:r>
                          </w:p>
                        </w:txbxContent>
                      </v:textbox>
                    </v:shape>
                  </w:pict>
                </mc:Fallback>
              </mc:AlternateContent>
            </w:r>
            <w:r>
              <w:rPr>
                <w:color w:val="auto"/>
                <w:sz w:val="24"/>
              </w:rPr>
              <mc:AlternateContent>
                <mc:Choice Requires="wps">
                  <w:drawing>
                    <wp:anchor distT="0" distB="0" distL="114300" distR="114300" simplePos="0" relativeHeight="251663360" behindDoc="0" locked="0" layoutInCell="1" allowOverlap="1">
                      <wp:simplePos x="0" y="0"/>
                      <wp:positionH relativeFrom="column">
                        <wp:posOffset>1909445</wp:posOffset>
                      </wp:positionH>
                      <wp:positionV relativeFrom="paragraph">
                        <wp:posOffset>2551430</wp:posOffset>
                      </wp:positionV>
                      <wp:extent cx="824230" cy="264160"/>
                      <wp:effectExtent l="6350" t="6350" r="7620" b="396240"/>
                      <wp:wrapNone/>
                      <wp:docPr id="63" name="矩形标注 63"/>
                      <wp:cNvGraphicFramePr/>
                      <a:graphic xmlns:a="http://schemas.openxmlformats.org/drawingml/2006/main">
                        <a:graphicData uri="http://schemas.microsoft.com/office/word/2010/wordprocessingShape">
                          <wps:wsp>
                            <wps:cNvSpPr/>
                            <wps:spPr>
                              <a:xfrm>
                                <a:off x="0" y="0"/>
                                <a:ext cx="824230" cy="264160"/>
                              </a:xfrm>
                              <a:prstGeom prst="wedgeRectCallout">
                                <a:avLst>
                                  <a:gd name="adj1" fmla="val -47597"/>
                                  <a:gd name="adj2" fmla="val 185576"/>
                                </a:avLst>
                              </a:prstGeom>
                              <a:no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11445BD">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周边已建道路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50.35pt;margin-top:200.9pt;height:20.8pt;width:64.9pt;z-index:251663360;v-text-anchor:middle;mso-width-relative:page;mso-height-relative:page;" filled="f" stroked="t" coordsize="21600,21600" o:gfxdata="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nDWiz2QAAAAsBAAAPAAAAAAAAAAEAIAAAACIAAABkcnMvZG93&#10;bnJldi54bWxQSwECFAAUAAAACACHTuJAI7UsCaoCAAA8BQAADgAAAAAAAAABACAAAAAoAQAAZHJz&#10;L2Uyb0RvYy54bWxQSwUGAAAAAAYABgBZAQAARAYAAAAA&#10;" adj="519,50884">
                      <v:fill on="f" focussize="0,0"/>
                      <v:stroke weight="1pt" color="#FFFFFF [3212]" miterlimit="8" joinstyle="miter"/>
                      <v:imagedata o:title=""/>
                      <o:lock v:ext="edit" aspectratio="f"/>
                      <v:textbox>
                        <w:txbxContent>
                          <w:p w14:paraId="311445BD">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周边已建道路</w:t>
                            </w:r>
                          </w:p>
                        </w:txbxContent>
                      </v:textbox>
                    </v:shape>
                  </w:pict>
                </mc:Fallback>
              </mc:AlternateContent>
            </w: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1504315</wp:posOffset>
                      </wp:positionH>
                      <wp:positionV relativeFrom="paragraph">
                        <wp:posOffset>4019550</wp:posOffset>
                      </wp:positionV>
                      <wp:extent cx="2546985" cy="422910"/>
                      <wp:effectExtent l="6350" t="469265" r="18415" b="22225"/>
                      <wp:wrapNone/>
                      <wp:docPr id="45" name="矩形标注 45"/>
                      <wp:cNvGraphicFramePr/>
                      <a:graphic xmlns:a="http://schemas.openxmlformats.org/drawingml/2006/main">
                        <a:graphicData uri="http://schemas.microsoft.com/office/word/2010/wordprocessingShape">
                          <wps:wsp>
                            <wps:cNvSpPr/>
                            <wps:spPr>
                              <a:xfrm>
                                <a:off x="2584450" y="7175500"/>
                                <a:ext cx="2546985" cy="422910"/>
                              </a:xfrm>
                              <a:prstGeom prst="wedgeRectCallout">
                                <a:avLst>
                                  <a:gd name="adj1" fmla="val -47508"/>
                                  <a:gd name="adj2" fmla="val -156971"/>
                                </a:avLst>
                              </a:prstGeom>
                              <a:no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F7CDD02">
                                  <w:pPr>
                                    <w:keepNext w:val="0"/>
                                    <w:keepLines w:val="0"/>
                                    <w:pageBreakBefore w:val="0"/>
                                    <w:widowControl w:val="0"/>
                                    <w:kinsoku/>
                                    <w:wordWrap/>
                                    <w:overflowPunct/>
                                    <w:topLinePunct w:val="0"/>
                                    <w:bidi w:val="0"/>
                                    <w:adjustRightInd/>
                                    <w:snapToGrid/>
                                    <w:spacing w:line="240" w:lineRule="exact"/>
                                    <w:jc w:val="center"/>
                                    <w:textAlignment w:val="auto"/>
                                    <w:rPr>
                                      <w:rFonts w:hint="eastAsia"/>
                                      <w:sz w:val="15"/>
                                      <w:szCs w:val="15"/>
                                      <w:lang w:val="en-US" w:eastAsia="zh-CN"/>
                                    </w:rPr>
                                  </w:pPr>
                                  <w:r>
                                    <w:rPr>
                                      <w:rFonts w:hint="eastAsia"/>
                                      <w:sz w:val="15"/>
                                      <w:szCs w:val="15"/>
                                      <w:lang w:val="en-US" w:eastAsia="zh-CN"/>
                                    </w:rPr>
                                    <w:t>纳东1井场</w:t>
                                  </w:r>
                                </w:p>
                                <w:p w14:paraId="5E9FFA35">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（不可避让占用一般耕地，植被密集，均为农作物，）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18.45pt;margin-top:316.5pt;height:33.3pt;width:200.55pt;z-index:251661312;v-text-anchor:middle;mso-width-relative:page;mso-height-relative:page;" filled="f" stroked="t" coordsize="21600,21600" o:gfxdata="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WId9F9gAAAALAQAADwAAAAAAAAABACAAAAAi&#10;AAAAZHJzL2Rvd25yZXYueG1sUEsBAhQAFAAAAAgAh07iQI7qou21AgAASgUAAA4AAAAAAAAAAQAg&#10;AAAAJwEAAGRycy9lMm9Eb2MueG1sUEsFBgAAAAAGAAYAWQEAAE4GAAAAAA==&#10;" adj="538,-23106">
                      <v:fill on="f" focussize="0,0"/>
                      <v:stroke weight="1pt" color="#FFFFFF [3212]" miterlimit="8" joinstyle="miter"/>
                      <v:imagedata o:title=""/>
                      <o:lock v:ext="edit" aspectratio="f"/>
                      <v:textbox>
                        <w:txbxContent>
                          <w:p w14:paraId="3F7CDD02">
                            <w:pPr>
                              <w:keepNext w:val="0"/>
                              <w:keepLines w:val="0"/>
                              <w:pageBreakBefore w:val="0"/>
                              <w:widowControl w:val="0"/>
                              <w:kinsoku/>
                              <w:wordWrap/>
                              <w:overflowPunct/>
                              <w:topLinePunct w:val="0"/>
                              <w:bidi w:val="0"/>
                              <w:adjustRightInd/>
                              <w:snapToGrid/>
                              <w:spacing w:line="240" w:lineRule="exact"/>
                              <w:jc w:val="center"/>
                              <w:textAlignment w:val="auto"/>
                              <w:rPr>
                                <w:rFonts w:hint="eastAsia"/>
                                <w:sz w:val="15"/>
                                <w:szCs w:val="15"/>
                                <w:lang w:val="en-US" w:eastAsia="zh-CN"/>
                              </w:rPr>
                            </w:pPr>
                            <w:r>
                              <w:rPr>
                                <w:rFonts w:hint="eastAsia"/>
                                <w:sz w:val="15"/>
                                <w:szCs w:val="15"/>
                                <w:lang w:val="en-US" w:eastAsia="zh-CN"/>
                              </w:rPr>
                              <w:t>纳东1井场</w:t>
                            </w:r>
                          </w:p>
                          <w:p w14:paraId="5E9FFA35">
                            <w:pPr>
                              <w:keepNext w:val="0"/>
                              <w:keepLines w:val="0"/>
                              <w:pageBreakBefore w:val="0"/>
                              <w:widowControl w:val="0"/>
                              <w:kinsoku/>
                              <w:wordWrap/>
                              <w:overflowPunct/>
                              <w:topLinePunct w:val="0"/>
                              <w:bidi w:val="0"/>
                              <w:adjustRightInd/>
                              <w:snapToGrid/>
                              <w:spacing w:line="240" w:lineRule="exact"/>
                              <w:jc w:val="center"/>
                              <w:textAlignment w:val="auto"/>
                              <w:rPr>
                                <w:rFonts w:hint="default" w:eastAsia="宋体"/>
                                <w:sz w:val="15"/>
                                <w:szCs w:val="15"/>
                                <w:lang w:val="en-US" w:eastAsia="zh-CN"/>
                              </w:rPr>
                            </w:pPr>
                            <w:r>
                              <w:rPr>
                                <w:rFonts w:hint="eastAsia"/>
                                <w:sz w:val="15"/>
                                <w:szCs w:val="15"/>
                                <w:lang w:val="en-US" w:eastAsia="zh-CN"/>
                              </w:rPr>
                              <w:t>（不可避让占用一般耕地，植被密集，均为农作物，）</w:t>
                            </w:r>
                          </w:p>
                        </w:txbxContent>
                      </v:textbox>
                    </v:shape>
                  </w:pict>
                </mc:Fallback>
              </mc:AlternateContent>
            </w:r>
            <w:r>
              <w:rPr>
                <w:rFonts w:hint="default" w:ascii="Times New Roman" w:hAnsi="Times New Roman" w:eastAsia="宋体" w:cs="Times New Roman"/>
                <w:b/>
                <w:color w:val="auto"/>
                <w:lang w:eastAsia="zh-CN"/>
              </w:rPr>
              <w:drawing>
                <wp:anchor distT="0" distB="0" distL="114300" distR="114300" simplePos="0" relativeHeight="251660288" behindDoc="0" locked="0" layoutInCell="1" allowOverlap="1">
                  <wp:simplePos x="0" y="0"/>
                  <wp:positionH relativeFrom="column">
                    <wp:posOffset>793750</wp:posOffset>
                  </wp:positionH>
                  <wp:positionV relativeFrom="paragraph">
                    <wp:posOffset>28575</wp:posOffset>
                  </wp:positionV>
                  <wp:extent cx="236855" cy="406400"/>
                  <wp:effectExtent l="0" t="0" r="10795" b="12700"/>
                  <wp:wrapNone/>
                  <wp:docPr id="31" name="图片 31" descr="174469317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44693179850"/>
                          <pic:cNvPicPr>
                            <a:picLocks noChangeAspect="1"/>
                          </pic:cNvPicPr>
                        </pic:nvPicPr>
                        <pic:blipFill>
                          <a:blip r:embed="rId8"/>
                          <a:stretch>
                            <a:fillRect/>
                          </a:stretch>
                        </pic:blipFill>
                        <pic:spPr>
                          <a:xfrm>
                            <a:off x="0" y="0"/>
                            <a:ext cx="236855" cy="406400"/>
                          </a:xfrm>
                          <a:prstGeom prst="rect">
                            <a:avLst/>
                          </a:prstGeom>
                        </pic:spPr>
                      </pic:pic>
                    </a:graphicData>
                  </a:graphic>
                </wp:anchor>
              </w:drawing>
            </w:r>
            <w:r>
              <w:rPr>
                <w:rFonts w:hint="eastAsia" w:ascii="Times New Roman" w:hAnsi="Times New Roman" w:eastAsia="宋体" w:cs="Times New Roman"/>
                <w:color w:val="auto"/>
                <w:lang w:eastAsia="zh-CN"/>
              </w:rPr>
              <w:drawing>
                <wp:inline distT="0" distB="0" distL="114300" distR="114300">
                  <wp:extent cx="3366770" cy="4535805"/>
                  <wp:effectExtent l="0" t="0" r="5080" b="17145"/>
                  <wp:docPr id="33" name="图片 33" descr="f5604ef5-01e8-4e5e-afd0-1d11ba37b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5604ef5-01e8-4e5e-afd0-1d11ba37bed8"/>
                          <pic:cNvPicPr>
                            <a:picLocks noChangeAspect="1"/>
                          </pic:cNvPicPr>
                        </pic:nvPicPr>
                        <pic:blipFill>
                          <a:blip r:embed="rId9"/>
                          <a:stretch>
                            <a:fillRect/>
                          </a:stretch>
                        </pic:blipFill>
                        <pic:spPr>
                          <a:xfrm>
                            <a:off x="0" y="0"/>
                            <a:ext cx="3366770" cy="4535805"/>
                          </a:xfrm>
                          <a:prstGeom prst="rect">
                            <a:avLst/>
                          </a:prstGeom>
                        </pic:spPr>
                      </pic:pic>
                    </a:graphicData>
                  </a:graphic>
                </wp:inline>
              </w:drawing>
            </w:r>
          </w:p>
          <w:p w14:paraId="7D2FA3A8">
            <w:pPr>
              <w:pStyle w:val="6"/>
              <w:keepNext/>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eastAsia="黑体" w:cs="Times New Roman"/>
                <w:color w:val="auto"/>
                <w:lang w:val="en-US" w:eastAsia="zh-CN"/>
              </w:rPr>
            </w:pPr>
            <w:r>
              <w:rPr>
                <w:rFonts w:hint="eastAsia" w:ascii="Times New Roman" w:hAnsi="Times New Roman" w:cs="Times New Roman"/>
                <w:color w:val="auto"/>
                <w:lang w:val="en-US" w:eastAsia="zh-CN"/>
              </w:rPr>
              <w:t>图</w:t>
            </w:r>
            <w:r>
              <w:rPr>
                <w:rFonts w:hint="default" w:ascii="Times New Roman" w:hAnsi="Times New Roman" w:cs="Times New Roman"/>
                <w:color w:val="auto"/>
                <w:lang w:val="en-US" w:eastAsia="zh-CN"/>
              </w:rPr>
              <w:t>5-1</w:t>
            </w:r>
            <w:r>
              <w:rPr>
                <w:rFonts w:hint="default" w:ascii="Times New Roman" w:hAnsi="Times New Roman" w:cs="Times New Roman"/>
                <w:color w:val="auto"/>
              </w:rPr>
              <w:t xml:space="preserve">  </w:t>
            </w:r>
            <w:r>
              <w:rPr>
                <w:rFonts w:hint="eastAsia" w:ascii="Times New Roman" w:hAnsi="Times New Roman" w:cs="Times New Roman"/>
                <w:color w:val="auto"/>
                <w:lang w:val="en-US" w:eastAsia="zh-CN"/>
              </w:rPr>
              <w:t>项目区植被密集区示意图</w:t>
            </w:r>
          </w:p>
          <w:p w14:paraId="2DE0166A">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②减缓措施：严格控制井场等各类工程建设活动在临时占地范围内，不得随意扩大占地范围，施工期加强管理，严禁碾压占地范围外的农作物。尽量缩小施工占地，不得随意开辟道路，减少影响范围；确保各环保设施正常运行，避免各类污染物对土壤环境的影响，防止影响</w:t>
            </w:r>
            <w:r>
              <w:rPr>
                <w:rFonts w:hint="eastAsia" w:ascii="Times New Roman" w:hAnsi="Times New Roman" w:cs="Times New Roman"/>
                <w:color w:val="auto"/>
                <w:lang w:val="en-US" w:eastAsia="zh-CN"/>
              </w:rPr>
              <w:t>周边</w:t>
            </w:r>
            <w:r>
              <w:rPr>
                <w:rFonts w:hint="default" w:ascii="Times New Roman" w:hAnsi="Times New Roman" w:cs="Times New Roman"/>
                <w:color w:val="auto"/>
              </w:rPr>
              <w:t>农作物生长。项目在建设过程中，应避免在大风天气作业，</w:t>
            </w:r>
            <w:r>
              <w:rPr>
                <w:rFonts w:hint="eastAsia" w:ascii="Times New Roman" w:hAnsi="Times New Roman" w:cs="Times New Roman"/>
                <w:color w:val="auto"/>
                <w:lang w:val="en-US" w:eastAsia="zh-CN"/>
              </w:rPr>
              <w:t>减少扬尘产生</w:t>
            </w:r>
            <w:r>
              <w:rPr>
                <w:rFonts w:hint="default" w:ascii="Times New Roman" w:hAnsi="Times New Roman" w:cs="Times New Roman"/>
                <w:color w:val="auto"/>
              </w:rPr>
              <w:t>；提高施工效率，缩短施工时间。</w:t>
            </w:r>
            <w:r>
              <w:rPr>
                <w:rFonts w:hint="eastAsia" w:ascii="Times New Roman" w:hAnsi="Times New Roman" w:cs="Times New Roman"/>
                <w:color w:val="auto"/>
                <w:lang w:val="en-US" w:eastAsia="zh-CN"/>
              </w:rPr>
              <w:t>施工阶段</w:t>
            </w:r>
            <w:r>
              <w:rPr>
                <w:rFonts w:hint="default" w:ascii="Times New Roman" w:hAnsi="Times New Roman" w:cs="Times New Roman"/>
                <w:color w:val="auto"/>
              </w:rPr>
              <w:t>做好洒水降尘工作，减少扬尘对</w:t>
            </w:r>
            <w:r>
              <w:rPr>
                <w:rFonts w:hint="eastAsia" w:ascii="Times New Roman" w:hAnsi="Times New Roman" w:cs="Times New Roman"/>
                <w:color w:val="auto"/>
                <w:lang w:val="en-US" w:eastAsia="zh-CN"/>
              </w:rPr>
              <w:t>周边耕地</w:t>
            </w:r>
            <w:r>
              <w:rPr>
                <w:rFonts w:hint="default" w:ascii="Times New Roman" w:hAnsi="Times New Roman" w:cs="Times New Roman"/>
                <w:color w:val="auto"/>
              </w:rPr>
              <w:t>的影响。</w:t>
            </w:r>
          </w:p>
          <w:p w14:paraId="48995B21">
            <w:pPr>
              <w:pStyle w:val="111"/>
              <w:keepNext w:val="0"/>
              <w:keepLines w:val="0"/>
              <w:pageBreakBefore w:val="0"/>
              <w:widowControl w:val="0"/>
              <w:kinsoku/>
              <w:wordWrap/>
              <w:overflowPunct/>
              <w:topLinePunct w:val="0"/>
              <w:bidi w:val="0"/>
              <w:textAlignment w:val="auto"/>
              <w:rPr>
                <w:rFonts w:hint="default" w:ascii="Times New Roman" w:hAnsi="Times New Roman" w:cs="Times New Roman"/>
                <w:color w:val="auto"/>
              </w:rPr>
            </w:pPr>
            <w:bookmarkStart w:id="65" w:name="_Hlk143198760"/>
            <w:r>
              <w:rPr>
                <w:rFonts w:hint="default" w:ascii="Times New Roman" w:hAnsi="Times New Roman" w:cs="Times New Roman"/>
                <w:color w:val="auto"/>
              </w:rPr>
              <w:t>③修复措施：施工前需对</w:t>
            </w:r>
            <w:r>
              <w:rPr>
                <w:rFonts w:hint="eastAsia" w:cs="Times New Roman"/>
                <w:color w:val="auto"/>
                <w:lang w:val="en-US" w:eastAsia="zh-CN"/>
              </w:rPr>
              <w:t>临时</w:t>
            </w:r>
            <w:r>
              <w:rPr>
                <w:rFonts w:hint="default" w:ascii="Times New Roman" w:hAnsi="Times New Roman" w:cs="Times New Roman"/>
                <w:color w:val="auto"/>
              </w:rPr>
              <w:t>占地范围内表土进行剥离，剥离后用砂石料对井场和探临道路进行铺垫，剥离表土单独堆放</w:t>
            </w:r>
            <w:r>
              <w:rPr>
                <w:rFonts w:hint="eastAsia" w:cs="Times New Roman"/>
                <w:color w:val="auto"/>
                <w:lang w:eastAsia="zh-CN"/>
              </w:rPr>
              <w:t>（</w:t>
            </w:r>
            <w:r>
              <w:rPr>
                <w:rFonts w:hint="eastAsia" w:cs="Times New Roman"/>
                <w:color w:val="auto"/>
                <w:lang w:val="en-US" w:eastAsia="zh-CN"/>
              </w:rPr>
              <w:t>放置在临时占地范围内堆存，并采取苫盖措施</w:t>
            </w:r>
            <w:r>
              <w:rPr>
                <w:rFonts w:hint="eastAsia" w:cs="Times New Roman"/>
                <w:color w:val="auto"/>
                <w:lang w:eastAsia="zh-CN"/>
              </w:rPr>
              <w:t>）</w:t>
            </w:r>
            <w:r>
              <w:rPr>
                <w:rFonts w:hint="default" w:ascii="Times New Roman" w:hAnsi="Times New Roman" w:cs="Times New Roman"/>
                <w:color w:val="auto"/>
              </w:rPr>
              <w:t>，用于</w:t>
            </w:r>
            <w:r>
              <w:rPr>
                <w:rFonts w:hint="eastAsia" w:cs="Times New Roman"/>
                <w:color w:val="auto"/>
                <w:lang w:val="en-US" w:eastAsia="zh-CN"/>
              </w:rPr>
              <w:t>施工结束后</w:t>
            </w:r>
            <w:r>
              <w:rPr>
                <w:rFonts w:hint="default" w:ascii="Times New Roman" w:hAnsi="Times New Roman" w:cs="Times New Roman"/>
                <w:color w:val="auto"/>
              </w:rPr>
              <w:t>临时占地的恢复。施工结束后，</w:t>
            </w:r>
            <w:r>
              <w:rPr>
                <w:rFonts w:hint="eastAsia" w:cs="Times New Roman"/>
                <w:color w:val="auto"/>
                <w:lang w:val="en-US" w:eastAsia="zh-CN"/>
              </w:rPr>
              <w:t>将施工机械、设备等设施及时撤离，</w:t>
            </w:r>
            <w:r>
              <w:rPr>
                <w:rFonts w:hint="default" w:ascii="Times New Roman" w:hAnsi="Times New Roman" w:cs="Times New Roman"/>
                <w:color w:val="auto"/>
              </w:rPr>
              <w:t>施工单位应负责清理现场，</w:t>
            </w:r>
            <w:r>
              <w:rPr>
                <w:rFonts w:hint="eastAsia" w:cs="Times New Roman"/>
                <w:color w:val="auto"/>
                <w:lang w:val="en-US" w:eastAsia="zh-CN"/>
              </w:rPr>
              <w:t>将施工时铺垫的防渗材料清除井场，生活营地污水池内废水清运至玛纳斯县城污水处理厂，清除池体内防渗材料；</w:t>
            </w:r>
            <w:r>
              <w:rPr>
                <w:rFonts w:hint="default" w:ascii="Times New Roman" w:hAnsi="Times New Roman" w:cs="Times New Roman"/>
                <w:color w:val="auto"/>
              </w:rPr>
              <w:t>井场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生活营地及道路临时占地范围采取表土分层回填，最大程度保护土壤肥力，地表进行平整，做到</w:t>
            </w:r>
            <w:r>
              <w:rPr>
                <w:rFonts w:hint="default" w:ascii="Times New Roman" w:hAnsi="Times New Roman" w:cs="Times New Roman"/>
                <w:color w:val="auto"/>
              </w:rPr>
              <w:t>整洁、无杂物，</w:t>
            </w:r>
            <w:r>
              <w:rPr>
                <w:rFonts w:hint="eastAsia" w:ascii="Times New Roman" w:hAnsi="Times New Roman" w:cs="Times New Roman"/>
                <w:color w:val="auto"/>
                <w:lang w:val="en-US" w:eastAsia="zh-CN"/>
              </w:rPr>
              <w:t>恢复原有地貌；施工</w:t>
            </w:r>
            <w:r>
              <w:rPr>
                <w:rFonts w:hint="default" w:ascii="Times New Roman" w:hAnsi="Times New Roman" w:cs="Times New Roman"/>
                <w:color w:val="auto"/>
              </w:rPr>
              <w:t>废水和固体废物全部妥善处置，禁止现场遗留。施工完毕后，建设单位应及时</w:t>
            </w:r>
            <w:r>
              <w:rPr>
                <w:rFonts w:hint="eastAsia" w:cs="Times New Roman"/>
                <w:color w:val="auto"/>
                <w:lang w:val="en-US" w:eastAsia="zh-CN"/>
              </w:rPr>
              <w:t>开展土地</w:t>
            </w:r>
            <w:r>
              <w:rPr>
                <w:rFonts w:hint="default" w:ascii="Times New Roman" w:hAnsi="Times New Roman" w:cs="Times New Roman"/>
                <w:color w:val="auto"/>
              </w:rPr>
              <w:t>复垦</w:t>
            </w:r>
            <w:r>
              <w:rPr>
                <w:rFonts w:hint="eastAsia" w:cs="Times New Roman"/>
                <w:color w:val="auto"/>
                <w:lang w:val="en-US" w:eastAsia="zh-CN"/>
              </w:rPr>
              <w:t>工作</w:t>
            </w:r>
            <w:r>
              <w:rPr>
                <w:rFonts w:hint="default" w:ascii="Times New Roman" w:hAnsi="Times New Roman" w:cs="Times New Roman"/>
                <w:color w:val="auto"/>
              </w:rPr>
              <w:t>，使</w:t>
            </w:r>
            <w:r>
              <w:rPr>
                <w:rFonts w:hint="eastAsia" w:cs="Times New Roman"/>
                <w:color w:val="auto"/>
                <w:lang w:val="en-US" w:eastAsia="zh-CN"/>
              </w:rPr>
              <w:t>耕地和草地</w:t>
            </w:r>
            <w:r>
              <w:rPr>
                <w:rFonts w:hint="default" w:ascii="Times New Roman" w:hAnsi="Times New Roman" w:cs="Times New Roman"/>
                <w:color w:val="auto"/>
              </w:rPr>
              <w:t>恢复</w:t>
            </w:r>
            <w:r>
              <w:rPr>
                <w:rFonts w:hint="eastAsia" w:cs="Times New Roman"/>
                <w:color w:val="auto"/>
                <w:lang w:val="en-US" w:eastAsia="zh-CN"/>
              </w:rPr>
              <w:t>原有土壤肥力，有助于后期植被生长。</w:t>
            </w:r>
          </w:p>
          <w:bookmarkEnd w:id="65"/>
          <w:p w14:paraId="2A94C941">
            <w:pPr>
              <w:pStyle w:val="32"/>
              <w:keepNext w:val="0"/>
              <w:keepLines w:val="0"/>
              <w:pageBreakBefore w:val="0"/>
              <w:kinsoku/>
              <w:wordWrap/>
              <w:overflowPunct/>
              <w:topLinePunct w:val="0"/>
              <w:bidi w:val="0"/>
              <w:textAlignment w:val="auto"/>
              <w:rPr>
                <w:rFonts w:hint="default" w:ascii="Times New Roman" w:hAnsi="Times New Roman" w:eastAsia="宋体" w:cs="Times New Roman"/>
                <w:color w:val="auto"/>
                <w:highlight w:val="yellow"/>
                <w:lang w:val="en-US" w:eastAsia="zh-CN"/>
              </w:rPr>
            </w:pPr>
            <w:r>
              <w:rPr>
                <w:rFonts w:hint="default" w:ascii="Times New Roman" w:hAnsi="Times New Roman" w:cs="Times New Roman"/>
                <w:color w:val="auto"/>
                <w:highlight w:val="none"/>
              </w:rPr>
              <w:t>④补偿措施：建设单位应同步依法依规办理征地手续，足额缴纳征地补偿费用。本项目征地手续正在办理当中，未获得临时用地使用许可本项目不得开工建设。</w:t>
            </w:r>
            <w:r>
              <w:rPr>
                <w:rFonts w:hint="eastAsia" w:ascii="Times New Roman" w:hAnsi="Times New Roman" w:cs="Times New Roman"/>
                <w:color w:val="auto"/>
                <w:highlight w:val="none"/>
                <w:lang w:val="en-US" w:eastAsia="zh-CN"/>
              </w:rPr>
              <w:t>临时占地征用时间为2年。</w:t>
            </w:r>
          </w:p>
          <w:bookmarkEnd w:id="62"/>
          <w:bookmarkEnd w:id="63"/>
          <w:bookmarkEnd w:id="64"/>
          <w:p w14:paraId="28F97DCF">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⑤管理措施：严格遵守油田环境保护规章制度；严格控制井场占地，严格划定车辆行驶路线，禁止运输车辆乱碾乱轧；严格规定各类工作人员的活动范围，最大限度减少对</w:t>
            </w:r>
            <w:r>
              <w:rPr>
                <w:rFonts w:hint="eastAsia" w:cs="Times New Roman"/>
                <w:color w:val="auto"/>
                <w:lang w:val="en-US" w:eastAsia="zh-CN"/>
              </w:rPr>
              <w:t>耕地</w:t>
            </w:r>
            <w:r>
              <w:rPr>
                <w:rFonts w:hint="default" w:ascii="Times New Roman" w:hAnsi="Times New Roman" w:cs="Times New Roman"/>
                <w:color w:val="auto"/>
              </w:rPr>
              <w:t>的踩踏破坏和对野生动物栖息地的侵扰。加强环境保护宣传工作，提高施工人员环保意识，特别是注意对</w:t>
            </w:r>
            <w:r>
              <w:rPr>
                <w:rFonts w:hint="eastAsia" w:cs="Times New Roman"/>
                <w:color w:val="auto"/>
                <w:lang w:val="en-US" w:eastAsia="zh-CN"/>
              </w:rPr>
              <w:t>耕地</w:t>
            </w:r>
            <w:r>
              <w:rPr>
                <w:rFonts w:hint="default" w:ascii="Times New Roman" w:hAnsi="Times New Roman" w:cs="Times New Roman"/>
                <w:color w:val="auto"/>
              </w:rPr>
              <w:t>保护。</w:t>
            </w:r>
          </w:p>
          <w:p w14:paraId="065C34B6">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2</w:t>
            </w:r>
            <w:r>
              <w:rPr>
                <w:rFonts w:hint="default" w:ascii="Times New Roman" w:hAnsi="Times New Roman" w:cs="Times New Roman"/>
                <w:color w:val="auto"/>
              </w:rPr>
              <w:t>）对野生动物的生态环保措施要求</w:t>
            </w:r>
          </w:p>
          <w:p w14:paraId="1A5EDAAC">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建设单位在施工过程中要严格规定工作人员的活动范围，尽量不侵扰野生动物的栖息地；对施工人员开展保护野生动物宣传教育工作，强化保护野生动物的观念；加强管理，确保各生产设施的正常运行，避免强噪声情况发生而对野生动物造成惊扰。</w:t>
            </w:r>
          </w:p>
          <w:p w14:paraId="01E7C05D">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eastAsia="zh-CN"/>
              </w:rPr>
              <w:t>3</w:t>
            </w:r>
            <w:r>
              <w:rPr>
                <w:rFonts w:hint="default" w:ascii="Times New Roman" w:hAnsi="Times New Roman" w:cs="Times New Roman"/>
                <w:color w:val="auto"/>
              </w:rPr>
              <w:t>）防沙治沙措施</w:t>
            </w:r>
          </w:p>
          <w:p w14:paraId="3ACE17A9">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本次评价要求建设单位严格按照《中华人民共和国防沙治沙法》（2018）《关于加强沙区建设项目环境影响评价工作的通知》（新环环评发〔2020〕138号）</w:t>
            </w:r>
            <w:r>
              <w:rPr>
                <w:rFonts w:hint="eastAsia" w:ascii="Times New Roman" w:hAnsi="Times New Roman" w:cs="Times New Roman"/>
                <w:color w:val="auto"/>
                <w:lang w:val="en-US" w:eastAsia="zh-CN"/>
              </w:rPr>
              <w:t>和《新疆维吾尔自治区实施</w:t>
            </w:r>
            <w:r>
              <w:rPr>
                <w:rFonts w:hint="eastAsia" w:cs="Times New Roman"/>
                <w:color w:val="auto"/>
                <w:lang w:val="en-US" w:eastAsia="zh-CN"/>
              </w:rPr>
              <w:t>&lt;</w:t>
            </w:r>
            <w:r>
              <w:rPr>
                <w:rFonts w:hint="eastAsia" w:ascii="Times New Roman" w:hAnsi="Times New Roman" w:cs="Times New Roman"/>
                <w:color w:val="auto"/>
                <w:lang w:val="en-US" w:eastAsia="zh-CN"/>
              </w:rPr>
              <w:t>中华人民共和国防沙治沙法</w:t>
            </w:r>
            <w:r>
              <w:rPr>
                <w:rFonts w:hint="eastAsia" w:cs="Times New Roman"/>
                <w:color w:val="auto"/>
                <w:lang w:val="en-US" w:eastAsia="zh-CN"/>
              </w:rPr>
              <w:t>&gt;</w:t>
            </w:r>
            <w:r>
              <w:rPr>
                <w:rFonts w:hint="eastAsia" w:ascii="Times New Roman" w:hAnsi="Times New Roman" w:cs="Times New Roman"/>
                <w:color w:val="auto"/>
                <w:lang w:val="en-US" w:eastAsia="zh-CN"/>
              </w:rPr>
              <w:t>办法》（2025年1月1日实施）</w:t>
            </w:r>
            <w:r>
              <w:rPr>
                <w:rFonts w:hint="default" w:ascii="Times New Roman" w:hAnsi="Times New Roman" w:cs="Times New Roman"/>
                <w:color w:val="auto"/>
              </w:rPr>
              <w:t>中</w:t>
            </w:r>
            <w:r>
              <w:rPr>
                <w:rFonts w:hint="eastAsia" w:ascii="Times New Roman" w:hAnsi="Times New Roman" w:cs="Times New Roman"/>
                <w:color w:val="auto"/>
                <w:lang w:val="en-US" w:eastAsia="zh-CN"/>
              </w:rPr>
              <w:t>要求</w:t>
            </w:r>
            <w:r>
              <w:rPr>
                <w:rFonts w:hint="default" w:ascii="Times New Roman" w:hAnsi="Times New Roman" w:cs="Times New Roman"/>
                <w:color w:val="auto"/>
              </w:rPr>
              <w:t>，</w:t>
            </w:r>
            <w:r>
              <w:rPr>
                <w:rFonts w:hint="eastAsia" w:ascii="Times New Roman" w:hAnsi="Times New Roman" w:cs="Times New Roman"/>
                <w:color w:val="auto"/>
                <w:lang w:val="en-US" w:eastAsia="zh-CN"/>
              </w:rPr>
              <w:t>采取以下</w:t>
            </w:r>
            <w:r>
              <w:rPr>
                <w:rFonts w:hint="default" w:ascii="Times New Roman" w:hAnsi="Times New Roman" w:cs="Times New Roman"/>
                <w:color w:val="auto"/>
              </w:rPr>
              <w:t>防沙治沙措施：</w:t>
            </w:r>
          </w:p>
          <w:p w14:paraId="0F6E9067">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①大力宣传防沙治沙</w:t>
            </w:r>
            <w:r>
              <w:rPr>
                <w:rFonts w:hint="eastAsia" w:ascii="Times New Roman" w:hAnsi="Times New Roman" w:cs="Times New Roman"/>
                <w:color w:val="auto"/>
                <w:lang w:val="en-US" w:eastAsia="zh-CN"/>
              </w:rPr>
              <w:t>相关法律法规</w:t>
            </w:r>
            <w:r>
              <w:rPr>
                <w:rFonts w:hint="default" w:ascii="Times New Roman" w:hAnsi="Times New Roman" w:cs="Times New Roman"/>
                <w:color w:val="auto"/>
              </w:rPr>
              <w:t>，使施工人员知法、懂法、守法，自觉保护林草植被，自觉履行防治义务；</w:t>
            </w:r>
          </w:p>
          <w:p w14:paraId="1FA68960">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②严格控制施工活动范围，严禁施工车辆乱碾乱轧，避免对占地范围外的土壤和植被造成扰动；</w:t>
            </w:r>
          </w:p>
          <w:p w14:paraId="52F0E611">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③优化施工组织，缩短施工时间，避免在大风天气作业，避免造成土壤风蚀影响；</w:t>
            </w:r>
          </w:p>
          <w:p w14:paraId="7EB6EADF">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④施工结束后及时对占地进行清理、平整，按照征地文件规定对占地进行经济补偿。</w:t>
            </w:r>
          </w:p>
          <w:p w14:paraId="26CEF123">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eastAsia="zh-CN"/>
              </w:rPr>
              <w:t>4</w:t>
            </w:r>
            <w:r>
              <w:rPr>
                <w:rFonts w:hint="default" w:ascii="Times New Roman" w:hAnsi="Times New Roman" w:cs="Times New Roman"/>
                <w:color w:val="auto"/>
              </w:rPr>
              <w:t>）水土流失防治措施</w:t>
            </w:r>
          </w:p>
          <w:p w14:paraId="4DBB54F7">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①</w:t>
            </w:r>
            <w:r>
              <w:rPr>
                <w:rFonts w:hint="default" w:ascii="Times New Roman" w:hAnsi="Times New Roman" w:cs="Times New Roman"/>
                <w:color w:val="auto"/>
              </w:rPr>
              <w:t>施工期间严格划定施工活动范围，严格控制和管理运输车辆及重型机械的运行范围，不另辟施工便道，不得离开探临道路及随意驾驶，避免增加对地表的扰动和破坏。</w:t>
            </w:r>
          </w:p>
          <w:p w14:paraId="26B76D56">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②</w:t>
            </w:r>
            <w:r>
              <w:rPr>
                <w:rFonts w:hint="default" w:ascii="Times New Roman" w:hAnsi="Times New Roman" w:cs="Times New Roman"/>
                <w:color w:val="auto"/>
              </w:rPr>
              <w:t>合理安排施工时间，避免大风天气施工，以免造成土壤风蚀影响。</w:t>
            </w:r>
          </w:p>
          <w:p w14:paraId="65EA3B68">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③</w:t>
            </w:r>
            <w:r>
              <w:rPr>
                <w:rFonts w:hint="default" w:ascii="Times New Roman" w:hAnsi="Times New Roman" w:cs="Times New Roman"/>
                <w:color w:val="auto"/>
              </w:rPr>
              <w:t>施工结束后应及时对临时占地进行清理、平整，平整过程中不仅要保证土体再塑，防止水土流失。</w:t>
            </w:r>
          </w:p>
          <w:p w14:paraId="4A4DB7F8">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④</w:t>
            </w:r>
            <w:r>
              <w:rPr>
                <w:rFonts w:hint="default" w:ascii="Times New Roman" w:hAnsi="Times New Roman" w:cs="Times New Roman"/>
                <w:color w:val="auto"/>
              </w:rPr>
              <w:t>对临时占地范围内的生态损失进行经济补偿。</w:t>
            </w:r>
          </w:p>
          <w:p w14:paraId="42AA168C">
            <w:pPr>
              <w:pStyle w:val="32"/>
              <w:keepNext w:val="0"/>
              <w:keepLines w:val="0"/>
              <w:pageBreakBefore w:val="0"/>
              <w:kinsoku/>
              <w:wordWrap/>
              <w:overflowPunct/>
              <w:topLinePunct w:val="0"/>
              <w:bidi w:val="0"/>
              <w:ind w:firstLine="482"/>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2</w:t>
            </w:r>
            <w:r>
              <w:rPr>
                <w:rFonts w:hint="default" w:ascii="Times New Roman" w:hAnsi="Times New Roman" w:cs="Times New Roman"/>
                <w:b/>
                <w:bCs/>
                <w:color w:val="auto"/>
              </w:rPr>
              <w:t>、大气污染防治措施</w:t>
            </w:r>
          </w:p>
          <w:p w14:paraId="122FC5D0">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bookmarkStart w:id="66" w:name="_Hlk176185340"/>
            <w:r>
              <w:rPr>
                <w:rFonts w:hint="default" w:ascii="Times New Roman" w:hAnsi="Times New Roman" w:cs="Times New Roman"/>
                <w:color w:val="auto"/>
              </w:rPr>
              <w:t>（1）使用符合国家标准的油品，加强机械、车辆的维护。</w:t>
            </w:r>
          </w:p>
          <w:p w14:paraId="4DC484F1">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（2）施工现场运输车辆应低速慢行、不得超载，并采取密闭或遮盖措施；车辆沿</w:t>
            </w:r>
            <w:r>
              <w:rPr>
                <w:rFonts w:hint="eastAsia" w:ascii="Times New Roman" w:hAnsi="Times New Roman" w:cs="Times New Roman"/>
                <w:color w:val="auto"/>
                <w:lang w:eastAsia="zh-CN"/>
              </w:rPr>
              <w:t>探临道路</w:t>
            </w:r>
            <w:r>
              <w:rPr>
                <w:rFonts w:hint="default" w:ascii="Times New Roman" w:hAnsi="Times New Roman" w:cs="Times New Roman"/>
                <w:color w:val="auto"/>
              </w:rPr>
              <w:t>行驶，不得随意开设便道。</w:t>
            </w:r>
          </w:p>
          <w:p w14:paraId="072CFD3A">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（3）易起尘物料在运输、存放时加盖遮盖物，最大限度防止扬尘扩散</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耕地剥离的表层土应分层堆放，上部采用苫布遮盖，钻试期应定期检查苫布是否遮盖完全、是否有破损，发现问题应及时处理</w:t>
            </w:r>
            <w:r>
              <w:rPr>
                <w:rFonts w:hint="default" w:ascii="Times New Roman" w:hAnsi="Times New Roman" w:cs="Times New Roman"/>
                <w:color w:val="auto"/>
              </w:rPr>
              <w:t>。</w:t>
            </w:r>
          </w:p>
          <w:p w14:paraId="63FB4E38">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（4）试油期产生的伴生气气量不稳定，不具备回收利用条件，经排气管线充分燃烧后排放</w:t>
            </w:r>
            <w:r>
              <w:rPr>
                <w:rFonts w:hint="default" w:ascii="Times New Roman" w:hAnsi="Times New Roman" w:cs="Times New Roman"/>
                <w:color w:val="auto"/>
                <w:lang w:eastAsia="zh-CN"/>
              </w:rPr>
              <w:t>，</w:t>
            </w:r>
            <w:r>
              <w:rPr>
                <w:rFonts w:hint="default" w:ascii="Times New Roman" w:hAnsi="Times New Roman" w:cs="Times New Roman"/>
                <w:color w:val="auto"/>
              </w:rPr>
              <w:t>定期检查伴生气燃烧设备，加强燃烧设备的运营维护，确保正常运行。</w:t>
            </w:r>
          </w:p>
          <w:p w14:paraId="3AF4A45E">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（5）试油期加强采出液储罐管理、装卸必须采取密闭装载方式，尽可能减少无组织挥发性有机物的排放。</w:t>
            </w:r>
          </w:p>
          <w:p w14:paraId="6B7C33F4">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spacing w:val="-4"/>
              </w:rPr>
              <w:t>柴油储罐采用固定顶罐，井场内单</w:t>
            </w:r>
            <w:r>
              <w:rPr>
                <w:rFonts w:hint="eastAsia" w:ascii="Times New Roman" w:hAnsi="Times New Roman" w:cs="Times New Roman"/>
                <w:color w:val="auto"/>
                <w:spacing w:val="-4"/>
                <w:lang w:val="en-US" w:eastAsia="zh-CN"/>
              </w:rPr>
              <w:t>个</w:t>
            </w:r>
            <w:r>
              <w:rPr>
                <w:rFonts w:hint="default" w:ascii="Times New Roman" w:hAnsi="Times New Roman" w:cs="Times New Roman"/>
                <w:color w:val="auto"/>
                <w:spacing w:val="-4"/>
              </w:rPr>
              <w:t>柴油罐容积为30m</w:t>
            </w:r>
            <w:r>
              <w:rPr>
                <w:rFonts w:hint="default" w:ascii="Times New Roman" w:hAnsi="Times New Roman" w:cs="Times New Roman"/>
                <w:color w:val="auto"/>
                <w:spacing w:val="-4"/>
                <w:vertAlign w:val="superscript"/>
              </w:rPr>
              <w:t>3</w:t>
            </w:r>
            <w:r>
              <w:rPr>
                <w:rFonts w:hint="default" w:ascii="Times New Roman" w:hAnsi="Times New Roman" w:cs="Times New Roman"/>
                <w:color w:val="auto"/>
                <w:spacing w:val="-4"/>
              </w:rPr>
              <w:t>，小于75m</w:t>
            </w:r>
            <w:r>
              <w:rPr>
                <w:rFonts w:hint="default" w:ascii="Times New Roman" w:hAnsi="Times New Roman" w:cs="Times New Roman"/>
                <w:color w:val="auto"/>
                <w:spacing w:val="-4"/>
                <w:vertAlign w:val="superscript"/>
              </w:rPr>
              <w:t>3</w:t>
            </w:r>
            <w:r>
              <w:rPr>
                <w:rFonts w:hint="default" w:ascii="Times New Roman" w:hAnsi="Times New Roman" w:cs="Times New Roman"/>
                <w:color w:val="auto"/>
                <w:spacing w:val="-4"/>
              </w:rPr>
              <w:t>，且柴油真实</w:t>
            </w:r>
            <w:r>
              <w:rPr>
                <w:rFonts w:hint="eastAsia" w:ascii="Times New Roman" w:hAnsi="Times New Roman" w:cs="Times New Roman"/>
                <w:color w:val="auto"/>
                <w:spacing w:val="-4"/>
                <w:lang w:eastAsia="zh-CN"/>
              </w:rPr>
              <w:t>蒸汽压</w:t>
            </w:r>
            <w:r>
              <w:rPr>
                <w:rFonts w:hint="default" w:ascii="Times New Roman" w:hAnsi="Times New Roman" w:cs="Times New Roman"/>
                <w:color w:val="auto"/>
                <w:spacing w:val="-4"/>
              </w:rPr>
              <w:t>小于27.6kPa，按照《挥发性有机物无组织排放控制标准》（GB37822-2019）中要求可不采取油罐烃蒸气回收措施。施工期应加强储罐的检修和维护，柴油储罐罐体应保持完好，不应有孔洞；储罐附件开口（孔），除采样、计量和例行检查、维护和其他正常活动外，应密闭；定期监测呼吸阀的定压是否符合设定要求</w:t>
            </w:r>
            <w:r>
              <w:rPr>
                <w:rFonts w:hint="default" w:ascii="Times New Roman" w:hAnsi="Times New Roman" w:cs="Times New Roman"/>
                <w:color w:val="auto"/>
              </w:rPr>
              <w:t>。</w:t>
            </w:r>
          </w:p>
          <w:p w14:paraId="1EF2A2A6">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（7）水基钻井岩屑和油基钻井岩屑暂存于罐中，及时转运</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不在井场长期贮存</w:t>
            </w:r>
            <w:r>
              <w:rPr>
                <w:rFonts w:hint="default" w:ascii="Times New Roman" w:hAnsi="Times New Roman" w:cs="Times New Roman"/>
                <w:color w:val="auto"/>
              </w:rPr>
              <w:t>。</w:t>
            </w:r>
          </w:p>
          <w:p w14:paraId="0E1EA12F">
            <w:pPr>
              <w:pStyle w:val="32"/>
              <w:keepNext w:val="0"/>
              <w:keepLines w:val="0"/>
              <w:pageBreakBefore w:val="0"/>
              <w:kinsoku/>
              <w:wordWrap/>
              <w:overflowPunct/>
              <w:topLinePunct w:val="0"/>
              <w:bidi w:val="0"/>
              <w:ind w:firstLine="472"/>
              <w:textAlignment w:val="auto"/>
              <w:rPr>
                <w:rFonts w:hint="eastAsia"/>
                <w:color w:val="auto"/>
                <w:spacing w:val="-4"/>
              </w:rPr>
            </w:pPr>
            <w:r>
              <w:rPr>
                <w:rFonts w:hint="eastAsia"/>
                <w:color w:val="auto"/>
                <w:spacing w:val="-4"/>
              </w:rPr>
              <w:t>（8）硫化氢的产生具有不确定性，伴生气中若含有硫化氢，可随伴生气一同充分燃烧。井场配备硫化氢监测仪，定期对井场硫化氢进行监测</w:t>
            </w:r>
            <w:r>
              <w:rPr>
                <w:rFonts w:hint="eastAsia"/>
                <w:color w:val="auto"/>
                <w:spacing w:val="-4"/>
                <w:lang w:val="en-US" w:eastAsia="zh-CN"/>
              </w:rPr>
              <w:t>；同时加强井场</w:t>
            </w:r>
            <w:r>
              <w:rPr>
                <w:rFonts w:hint="eastAsia"/>
                <w:color w:val="auto"/>
                <w:spacing w:val="-4"/>
              </w:rPr>
              <w:t>阀门、法兰等连接</w:t>
            </w:r>
            <w:r>
              <w:rPr>
                <w:rFonts w:hint="eastAsia"/>
                <w:color w:val="auto"/>
                <w:spacing w:val="-4"/>
                <w:lang w:val="en-US" w:eastAsia="zh-CN"/>
              </w:rPr>
              <w:t>处的气密性，防止</w:t>
            </w:r>
            <w:r>
              <w:rPr>
                <w:rFonts w:hint="eastAsia"/>
                <w:color w:val="auto"/>
                <w:spacing w:val="-4"/>
              </w:rPr>
              <w:t>硫化氢逸散</w:t>
            </w:r>
            <w:r>
              <w:rPr>
                <w:rFonts w:hint="eastAsia"/>
                <w:color w:val="auto"/>
                <w:spacing w:val="-4"/>
                <w:lang w:eastAsia="zh-CN"/>
              </w:rPr>
              <w:t>；</w:t>
            </w:r>
            <w:r>
              <w:rPr>
                <w:rFonts w:hint="eastAsia"/>
                <w:color w:val="auto"/>
                <w:spacing w:val="-4"/>
              </w:rPr>
              <w:t>施工期</w:t>
            </w:r>
            <w:r>
              <w:rPr>
                <w:rFonts w:hint="eastAsia" w:cs="宋体"/>
                <w:color w:val="auto"/>
              </w:rPr>
              <w:t>应定期检查伴生气燃烧设备，加强燃烧设备的运营维护，确保伴生气充分燃烧</w:t>
            </w:r>
            <w:r>
              <w:rPr>
                <w:rFonts w:hint="eastAsia"/>
                <w:color w:val="auto"/>
                <w:spacing w:val="-4"/>
              </w:rPr>
              <w:t>，最大程度减少硫化氢的污染影响</w:t>
            </w:r>
            <w:r>
              <w:rPr>
                <w:rFonts w:hint="eastAsia" w:cs="宋体"/>
                <w:color w:val="auto"/>
              </w:rPr>
              <w:t>。</w:t>
            </w:r>
          </w:p>
          <w:p w14:paraId="0268629F">
            <w:pPr>
              <w:pStyle w:val="32"/>
              <w:keepNext w:val="0"/>
              <w:keepLines w:val="0"/>
              <w:pageBreakBefore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以上防治措施，简单可行，具有可操作性，施工扬尘影响能够减缓到可以接受的程度。</w:t>
            </w:r>
          </w:p>
          <w:bookmarkEnd w:id="66"/>
          <w:p w14:paraId="46B5E9C6">
            <w:pPr>
              <w:keepNext w:val="0"/>
              <w:keepLines w:val="0"/>
              <w:pageBreakBefore w:val="0"/>
              <w:widowControl/>
              <w:kinsoku/>
              <w:wordWrap/>
              <w:overflowPunct/>
              <w:topLinePunct w:val="0"/>
              <w:bidi w:val="0"/>
              <w:snapToGrid w:val="0"/>
              <w:spacing w:line="500" w:lineRule="exact"/>
              <w:ind w:firstLine="482" w:firstLineChars="200"/>
              <w:textAlignment w:val="auto"/>
              <w:rPr>
                <w:rFonts w:hint="default" w:ascii="Times New Roman" w:hAnsi="Times New Roman" w:cs="Times New Roman"/>
                <w:b/>
                <w:bCs/>
                <w:color w:val="auto"/>
                <w:highlight w:val="none"/>
              </w:rPr>
            </w:pPr>
            <w:bookmarkStart w:id="67" w:name="_Hlk136795800"/>
            <w:r>
              <w:rPr>
                <w:rFonts w:hint="default" w:ascii="Times New Roman" w:hAnsi="Times New Roman" w:cs="Times New Roman"/>
                <w:b/>
                <w:bCs/>
                <w:color w:val="auto"/>
                <w:highlight w:val="none"/>
                <w:lang w:val="en-US" w:eastAsia="zh-CN"/>
              </w:rPr>
              <w:t>3</w:t>
            </w:r>
            <w:r>
              <w:rPr>
                <w:rFonts w:hint="default" w:ascii="Times New Roman" w:hAnsi="Times New Roman" w:cs="Times New Roman"/>
                <w:b/>
                <w:bCs/>
                <w:color w:val="auto"/>
                <w:highlight w:val="none"/>
              </w:rPr>
              <w:t>、水污染防治措施</w:t>
            </w:r>
          </w:p>
          <w:p w14:paraId="4BD61C4F">
            <w:pPr>
              <w:keepNext w:val="0"/>
              <w:keepLines w:val="0"/>
              <w:pageBreakBefore w:val="0"/>
              <w:widowControl/>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（1）生活污水</w:t>
            </w:r>
          </w:p>
          <w:p w14:paraId="6CA493C5">
            <w:pPr>
              <w:pStyle w:val="58"/>
              <w:keepNext w:val="0"/>
              <w:keepLines w:val="0"/>
              <w:pageBreakBefore w:val="0"/>
              <w:kinsoku/>
              <w:wordWrap/>
              <w:overflowPunct/>
              <w:topLinePunct w:val="0"/>
              <w:bidi w:val="0"/>
              <w:spacing w:line="500" w:lineRule="exact"/>
              <w:ind w:firstLine="456" w:firstLineChars="200"/>
              <w:textAlignment w:val="auto"/>
              <w:rPr>
                <w:rFonts w:hint="default" w:ascii="Times New Roman" w:hAnsi="Times New Roman" w:cs="Times New Roman"/>
                <w:color w:val="auto"/>
                <w:spacing w:val="-6"/>
                <w:sz w:val="24"/>
              </w:rPr>
            </w:pPr>
            <w:bookmarkStart w:id="68" w:name="_Hlk91252762"/>
            <w:bookmarkStart w:id="69" w:name="_Hlk62325205"/>
            <w:r>
              <w:rPr>
                <w:rFonts w:hint="eastAsia" w:hAnsi="Times New Roman" w:cs="Times New Roman"/>
                <w:color w:val="auto"/>
                <w:spacing w:val="-6"/>
                <w:sz w:val="24"/>
                <w:highlight w:val="none"/>
                <w:lang w:val="en-US" w:eastAsia="zh-CN"/>
              </w:rPr>
              <w:t>本项目施工期生活污水产生量约144.48m</w:t>
            </w:r>
            <w:r>
              <w:rPr>
                <w:rFonts w:hint="eastAsia" w:hAnsi="Times New Roman" w:cs="Times New Roman"/>
                <w:color w:val="auto"/>
                <w:spacing w:val="-6"/>
                <w:sz w:val="24"/>
                <w:highlight w:val="none"/>
                <w:vertAlign w:val="superscript"/>
                <w:lang w:val="en-US" w:eastAsia="zh-CN"/>
              </w:rPr>
              <w:t>3</w:t>
            </w:r>
            <w:r>
              <w:rPr>
                <w:rFonts w:hint="eastAsia" w:hAnsi="Times New Roman" w:cs="Times New Roman"/>
                <w:color w:val="auto"/>
                <w:spacing w:val="-6"/>
                <w:sz w:val="24"/>
                <w:highlight w:val="none"/>
                <w:lang w:val="en-US" w:eastAsia="zh-CN"/>
              </w:rPr>
              <w:t>，</w:t>
            </w:r>
            <w:r>
              <w:rPr>
                <w:rFonts w:hint="default" w:ascii="Times New Roman" w:hAnsi="Times New Roman" w:eastAsia="宋体" w:cs="Times New Roman"/>
                <w:caps w:val="0"/>
                <w:color w:val="auto"/>
                <w:spacing w:val="-6"/>
                <w:kern w:val="2"/>
                <w:sz w:val="24"/>
                <w:szCs w:val="24"/>
                <w:lang w:val="en-US" w:eastAsia="zh-CN" w:bidi="ar-SA"/>
              </w:rPr>
              <w:t>施工人员产生的生活污水排入防渗收集池后由吸污车运至</w:t>
            </w:r>
            <w:r>
              <w:rPr>
                <w:rFonts w:hint="eastAsia" w:hAnsi="Times New Roman" w:cs="Times New Roman"/>
                <w:caps w:val="0"/>
                <w:color w:val="auto"/>
                <w:spacing w:val="-6"/>
                <w:kern w:val="2"/>
                <w:sz w:val="24"/>
                <w:szCs w:val="24"/>
                <w:lang w:val="en-US" w:eastAsia="zh-CN" w:bidi="ar-SA"/>
              </w:rPr>
              <w:t>玛纳斯县城污水处理厂</w:t>
            </w:r>
            <w:r>
              <w:rPr>
                <w:rFonts w:hint="default" w:ascii="Times New Roman" w:hAnsi="Times New Roman" w:eastAsia="宋体" w:cs="Times New Roman"/>
                <w:caps w:val="0"/>
                <w:color w:val="auto"/>
                <w:spacing w:val="-6"/>
                <w:kern w:val="2"/>
                <w:sz w:val="24"/>
                <w:szCs w:val="24"/>
                <w:lang w:val="en-US" w:eastAsia="zh-CN" w:bidi="ar-SA"/>
              </w:rPr>
              <w:t>处置</w:t>
            </w:r>
            <w:r>
              <w:rPr>
                <w:rFonts w:hint="eastAsia" w:hAnsi="Times New Roman" w:cs="Times New Roman"/>
                <w:caps w:val="0"/>
                <w:color w:val="auto"/>
                <w:spacing w:val="-6"/>
                <w:kern w:val="2"/>
                <w:sz w:val="24"/>
                <w:szCs w:val="24"/>
                <w:lang w:val="en-US" w:eastAsia="zh-CN" w:bidi="ar-SA"/>
              </w:rPr>
              <w:t>，</w:t>
            </w:r>
            <w:r>
              <w:rPr>
                <w:rFonts w:hint="eastAsia" w:hAnsi="Times New Roman" w:cs="Times New Roman"/>
                <w:color w:val="auto"/>
                <w:spacing w:val="-6"/>
                <w:sz w:val="24"/>
                <w:highlight w:val="none"/>
                <w:lang w:val="en-US" w:eastAsia="zh-CN"/>
              </w:rPr>
              <w:t>生活污水收集池采用HDPE防渗膜防渗，施工结束后防渗膜回收、池体占地及时恢复原貌。</w:t>
            </w:r>
          </w:p>
          <w:bookmarkEnd w:id="68"/>
          <w:bookmarkEnd w:id="69"/>
          <w:p w14:paraId="4367FBB8">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玛纳斯县城污水处理厂</w:t>
            </w:r>
            <w:r>
              <w:rPr>
                <w:rFonts w:hint="default" w:ascii="Times New Roman" w:hAnsi="Times New Roman" w:cs="Times New Roman"/>
                <w:color w:val="auto"/>
              </w:rPr>
              <w:t>设计处理规模为2万m</w:t>
            </w:r>
            <w:r>
              <w:rPr>
                <w:rFonts w:hint="default" w:ascii="Times New Roman" w:hAnsi="Times New Roman" w:cs="Times New Roman"/>
                <w:color w:val="auto"/>
                <w:vertAlign w:val="superscript"/>
              </w:rPr>
              <w:t>3</w:t>
            </w:r>
            <w:r>
              <w:rPr>
                <w:rFonts w:hint="default" w:ascii="Times New Roman" w:hAnsi="Times New Roman" w:cs="Times New Roman"/>
                <w:color w:val="auto"/>
              </w:rPr>
              <w:t>/d，目前实际处理规模约1.6万m</w:t>
            </w:r>
            <w:r>
              <w:rPr>
                <w:rFonts w:hint="default" w:ascii="Times New Roman" w:hAnsi="Times New Roman" w:cs="Times New Roman"/>
                <w:color w:val="auto"/>
                <w:vertAlign w:val="superscript"/>
              </w:rPr>
              <w:t>3</w:t>
            </w:r>
            <w:r>
              <w:rPr>
                <w:rFonts w:hint="default" w:ascii="Times New Roman" w:hAnsi="Times New Roman" w:cs="Times New Roman"/>
                <w:color w:val="auto"/>
              </w:rPr>
              <w:t>/d，采用“改良型A</w:t>
            </w:r>
            <w:r>
              <w:rPr>
                <w:rFonts w:hint="default" w:ascii="Times New Roman" w:hAnsi="Times New Roman" w:cs="Times New Roman"/>
                <w:color w:val="auto"/>
                <w:vertAlign w:val="superscript"/>
              </w:rPr>
              <w:t>2</w:t>
            </w:r>
            <w:r>
              <w:rPr>
                <w:rFonts w:hint="default" w:ascii="Times New Roman" w:hAnsi="Times New Roman" w:cs="Times New Roman"/>
                <w:color w:val="auto"/>
              </w:rPr>
              <w:t>/O+曝气生物滤池+石英砂过滤”处理工艺，出水水质符合《城镇污水处理厂污染物排放标准》（GB18918-2002）表1中的一级A标准的要求；出水采用冬储夏灌方式，非灌溉季节排放至皇公地水库储存，灌溉季节可用于水库下游生态林灌溉。</w:t>
            </w:r>
            <w:r>
              <w:rPr>
                <w:rFonts w:hint="eastAsia" w:cs="Times New Roman"/>
                <w:color w:val="auto"/>
                <w:lang w:val="en-US" w:eastAsia="zh-CN"/>
              </w:rPr>
              <w:t>该污水处理厂环保手续履行情况见表5-1。</w:t>
            </w:r>
          </w:p>
          <w:p w14:paraId="35BCD9CD">
            <w:pPr>
              <w:pStyle w:val="6"/>
              <w:rPr>
                <w:rFonts w:hint="eastAsia" w:ascii="Times New Roman" w:hAnsi="Times New Roman" w:cs="Times New Roman"/>
                <w:color w:val="auto"/>
              </w:rPr>
            </w:pPr>
            <w:r>
              <w:rPr>
                <w:rFonts w:hint="eastAsia" w:ascii="Times New Roman" w:hAnsi="Times New Roman" w:cs="Times New Roman"/>
                <w:color w:val="auto"/>
              </w:rPr>
              <w:t>表</w:t>
            </w:r>
            <w:r>
              <w:rPr>
                <w:rFonts w:hint="eastAsia" w:ascii="Times New Roman" w:hAnsi="Times New Roman" w:cs="Times New Roman"/>
                <w:color w:val="auto"/>
                <w:lang w:val="en-US" w:eastAsia="zh-CN"/>
              </w:rPr>
              <w:t>5-1</w:t>
            </w:r>
            <w:r>
              <w:rPr>
                <w:rFonts w:hint="default" w:ascii="Times New Roman" w:hAnsi="Times New Roman" w:cs="Times New Roman"/>
                <w:color w:val="auto"/>
              </w:rPr>
              <w:t xml:space="preserve">  </w:t>
            </w:r>
            <w:r>
              <w:rPr>
                <w:rFonts w:hint="eastAsia" w:ascii="Times New Roman" w:hAnsi="Times New Roman" w:cs="Times New Roman"/>
                <w:color w:val="auto"/>
              </w:rPr>
              <w:t>生活污水依托工程相关环保手续一览表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93"/>
              <w:gridCol w:w="3132"/>
              <w:gridCol w:w="2355"/>
            </w:tblGrid>
            <w:tr w14:paraId="32B462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8" w:type="pct"/>
                  <w:tcMar>
                    <w:left w:w="0" w:type="dxa"/>
                    <w:right w:w="0" w:type="dxa"/>
                  </w:tcMar>
                  <w:vAlign w:val="center"/>
                </w:tcPr>
                <w:p w14:paraId="28FC64C4">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项目名称</w:t>
                  </w:r>
                </w:p>
              </w:tc>
              <w:tc>
                <w:tcPr>
                  <w:tcW w:w="2039" w:type="pct"/>
                  <w:tcMar>
                    <w:left w:w="0" w:type="dxa"/>
                    <w:right w:w="0" w:type="dxa"/>
                  </w:tcMar>
                  <w:vAlign w:val="center"/>
                </w:tcPr>
                <w:p w14:paraId="75B28998">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环评批复机关及批复文号</w:t>
                  </w:r>
                </w:p>
              </w:tc>
              <w:tc>
                <w:tcPr>
                  <w:tcW w:w="1533" w:type="pct"/>
                  <w:tcMar>
                    <w:left w:w="0" w:type="dxa"/>
                    <w:right w:w="0" w:type="dxa"/>
                  </w:tcMar>
                  <w:vAlign w:val="center"/>
                </w:tcPr>
                <w:p w14:paraId="5D55769E">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验收情况</w:t>
                  </w:r>
                </w:p>
              </w:tc>
            </w:tr>
            <w:tr w14:paraId="177875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8" w:type="pct"/>
                  <w:tcMar>
                    <w:left w:w="0" w:type="dxa"/>
                    <w:right w:w="0" w:type="dxa"/>
                  </w:tcMar>
                  <w:vAlign w:val="center"/>
                </w:tcPr>
                <w:p w14:paraId="4D352B7D">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玛纳斯县城污水处理厂一期工程</w:t>
                  </w:r>
                </w:p>
              </w:tc>
              <w:tc>
                <w:tcPr>
                  <w:tcW w:w="2039" w:type="pct"/>
                  <w:tcMar>
                    <w:left w:w="0" w:type="dxa"/>
                    <w:right w:w="0" w:type="dxa"/>
                  </w:tcMar>
                  <w:vAlign w:val="center"/>
                </w:tcPr>
                <w:p w14:paraId="0BD22EB5">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原新疆维吾尔自治区环境保护厅</w:t>
                  </w:r>
                </w:p>
                <w:p w14:paraId="1956967F">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新环评审函〔2011〕29号</w:t>
                  </w:r>
                </w:p>
                <w:p w14:paraId="29D83737">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2011年5月</w:t>
                  </w:r>
                </w:p>
              </w:tc>
              <w:tc>
                <w:tcPr>
                  <w:tcW w:w="1533" w:type="pct"/>
                  <w:tcMar>
                    <w:left w:w="0" w:type="dxa"/>
                    <w:right w:w="0" w:type="dxa"/>
                  </w:tcMar>
                  <w:vAlign w:val="center"/>
                </w:tcPr>
                <w:p w14:paraId="66CB11D8">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2012年8月通过竣工环保验收（昌州环评〔2012〕178号）</w:t>
                  </w:r>
                </w:p>
              </w:tc>
            </w:tr>
            <w:tr w14:paraId="6D0CBB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8" w:type="pct"/>
                  <w:tcMar>
                    <w:left w:w="0" w:type="dxa"/>
                    <w:right w:w="0" w:type="dxa"/>
                  </w:tcMar>
                  <w:vAlign w:val="center"/>
                </w:tcPr>
                <w:p w14:paraId="0345FD2F">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玛纳斯县城污水处理厂改扩建二期工程</w:t>
                  </w:r>
                </w:p>
              </w:tc>
              <w:tc>
                <w:tcPr>
                  <w:tcW w:w="2039" w:type="pct"/>
                  <w:tcMar>
                    <w:left w:w="0" w:type="dxa"/>
                    <w:right w:w="0" w:type="dxa"/>
                  </w:tcMar>
                  <w:vAlign w:val="center"/>
                </w:tcPr>
                <w:p w14:paraId="2F0E9711">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原昌吉回族自治州环境保护局</w:t>
                  </w:r>
                </w:p>
                <w:p w14:paraId="5DC63A59">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昌州环评〔2015〕43号</w:t>
                  </w:r>
                </w:p>
                <w:p w14:paraId="18B94AA4">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2015年5月</w:t>
                  </w:r>
                </w:p>
              </w:tc>
              <w:tc>
                <w:tcPr>
                  <w:tcW w:w="1533" w:type="pct"/>
                  <w:tcMar>
                    <w:left w:w="0" w:type="dxa"/>
                    <w:right w:w="0" w:type="dxa"/>
                  </w:tcMar>
                  <w:vAlign w:val="center"/>
                </w:tcPr>
                <w:p w14:paraId="1771350C">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2015年10月通过竣工环保验收（昌州环函〔2016〕86号）</w:t>
                  </w:r>
                </w:p>
              </w:tc>
            </w:tr>
            <w:tr w14:paraId="6750C8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8" w:type="pct"/>
                  <w:tcMar>
                    <w:left w:w="0" w:type="dxa"/>
                    <w:right w:w="0" w:type="dxa"/>
                  </w:tcMar>
                  <w:vAlign w:val="center"/>
                </w:tcPr>
                <w:p w14:paraId="1C714D60">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玛纳斯县城污水处理厂提标改造（一级A）工程</w:t>
                  </w:r>
                </w:p>
              </w:tc>
              <w:tc>
                <w:tcPr>
                  <w:tcW w:w="2039" w:type="pct"/>
                  <w:tcMar>
                    <w:left w:w="0" w:type="dxa"/>
                    <w:right w:w="0" w:type="dxa"/>
                  </w:tcMar>
                  <w:vAlign w:val="center"/>
                </w:tcPr>
                <w:p w14:paraId="41B21964">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原昌吉回族自治州环境保护局</w:t>
                  </w:r>
                </w:p>
                <w:p w14:paraId="6884F009">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昌州环评〔2018〕5号</w:t>
                  </w:r>
                </w:p>
                <w:p w14:paraId="4EF979E3">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2018年1月</w:t>
                  </w:r>
                </w:p>
              </w:tc>
              <w:tc>
                <w:tcPr>
                  <w:tcW w:w="1533" w:type="pct"/>
                  <w:tcMar>
                    <w:left w:w="0" w:type="dxa"/>
                    <w:right w:w="0" w:type="dxa"/>
                  </w:tcMar>
                  <w:vAlign w:val="center"/>
                </w:tcPr>
                <w:p w14:paraId="53C5D387">
                  <w:pPr>
                    <w:keepNext/>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olor w:val="auto"/>
                      <w:kern w:val="0"/>
                      <w:sz w:val="21"/>
                      <w:szCs w:val="21"/>
                    </w:rPr>
                  </w:pPr>
                  <w:r>
                    <w:rPr>
                      <w:rFonts w:hint="eastAsia" w:ascii="宋体" w:hAnsi="宋体"/>
                      <w:color w:val="auto"/>
                      <w:kern w:val="0"/>
                      <w:sz w:val="21"/>
                      <w:szCs w:val="21"/>
                    </w:rPr>
                    <w:t>2019年2月通过竣工环保验收</w:t>
                  </w:r>
                </w:p>
              </w:tc>
            </w:tr>
          </w:tbl>
          <w:p w14:paraId="30F55B9C">
            <w:pPr>
              <w:keepNext w:val="0"/>
              <w:keepLines w:val="0"/>
              <w:pageBreakBefore w:val="0"/>
              <w:widowControl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eastAsia" w:cs="Times New Roman"/>
                <w:color w:val="auto"/>
                <w:lang w:val="en-US" w:eastAsia="zh-CN"/>
              </w:rPr>
              <w:t>玛纳斯县城污水处理厂位于本项目北侧约26km处，</w:t>
            </w:r>
            <w:r>
              <w:rPr>
                <w:rFonts w:hint="default" w:ascii="Times New Roman" w:hAnsi="Times New Roman" w:cs="Times New Roman"/>
                <w:color w:val="auto"/>
              </w:rPr>
              <w:t>本项目生活污水产生量为</w:t>
            </w:r>
            <w:r>
              <w:rPr>
                <w:rFonts w:hint="eastAsia" w:hAnsi="Times New Roman" w:cs="Times New Roman"/>
                <w:color w:val="auto"/>
                <w:highlight w:val="none"/>
                <w:lang w:val="en-US" w:eastAsia="zh-CN"/>
              </w:rPr>
              <w:t>144.48m</w:t>
            </w:r>
            <w:r>
              <w:rPr>
                <w:rFonts w:hint="eastAsia" w:hAnsi="Times New Roman" w:cs="Times New Roman"/>
                <w:color w:val="auto"/>
                <w:highlight w:val="none"/>
                <w:vertAlign w:val="superscript"/>
                <w:lang w:val="en-US" w:eastAsia="zh-CN"/>
              </w:rPr>
              <w:t>3</w:t>
            </w:r>
            <w:r>
              <w:rPr>
                <w:rFonts w:hint="eastAsia" w:hAnsi="Times New Roman" w:cs="Times New Roman"/>
                <w:color w:val="auto"/>
                <w:highlight w:val="none"/>
                <w:vertAlign w:val="baseline"/>
                <w:lang w:val="en-US" w:eastAsia="zh-CN"/>
              </w:rPr>
              <w:t>（0.56</w:t>
            </w:r>
            <w:r>
              <w:rPr>
                <w:rFonts w:hint="eastAsia" w:hAnsi="Times New Roman" w:cs="Times New Roman"/>
                <w:color w:val="auto"/>
                <w:highlight w:val="none"/>
                <w:lang w:val="en-US" w:eastAsia="zh-CN"/>
              </w:rPr>
              <w:t>m</w:t>
            </w:r>
            <w:r>
              <w:rPr>
                <w:rFonts w:hint="eastAsia" w:hAnsi="Times New Roman" w:cs="Times New Roman"/>
                <w:color w:val="auto"/>
                <w:highlight w:val="none"/>
                <w:vertAlign w:val="superscript"/>
                <w:lang w:val="en-US" w:eastAsia="zh-CN"/>
              </w:rPr>
              <w:t>3</w:t>
            </w:r>
            <w:r>
              <w:rPr>
                <w:rFonts w:hint="eastAsia" w:hAnsi="Times New Roman" w:cs="Times New Roman"/>
                <w:color w:val="auto"/>
                <w:highlight w:val="none"/>
                <w:vertAlign w:val="baseline"/>
                <w:lang w:val="en-US" w:eastAsia="zh-CN"/>
              </w:rPr>
              <w:t>/d）</w:t>
            </w:r>
            <w:r>
              <w:rPr>
                <w:rFonts w:hint="default" w:ascii="Times New Roman" w:hAnsi="Times New Roman" w:cs="Times New Roman"/>
                <w:color w:val="auto"/>
              </w:rPr>
              <w:t>，污水处理厂</w:t>
            </w:r>
            <w:r>
              <w:rPr>
                <w:rFonts w:hint="eastAsia" w:cs="Times New Roman"/>
                <w:color w:val="auto"/>
                <w:lang w:val="en-US" w:eastAsia="zh-CN"/>
              </w:rPr>
              <w:t>剩余</w:t>
            </w:r>
            <w:r>
              <w:rPr>
                <w:rFonts w:hint="default" w:ascii="Times New Roman" w:hAnsi="Times New Roman" w:cs="Times New Roman"/>
                <w:color w:val="auto"/>
              </w:rPr>
              <w:t>处理能力</w:t>
            </w:r>
            <w:r>
              <w:rPr>
                <w:rFonts w:hint="eastAsia" w:cs="Times New Roman"/>
                <w:color w:val="auto"/>
                <w:lang w:val="en-US" w:eastAsia="zh-CN"/>
              </w:rPr>
              <w:t>0.4万</w:t>
            </w:r>
            <w:r>
              <w:rPr>
                <w:rFonts w:hint="eastAsia" w:hAnsi="Times New Roman" w:cs="Times New Roman"/>
                <w:color w:val="auto"/>
                <w:highlight w:val="none"/>
                <w:lang w:val="en-US" w:eastAsia="zh-CN"/>
              </w:rPr>
              <w:t>m</w:t>
            </w:r>
            <w:r>
              <w:rPr>
                <w:rFonts w:hint="eastAsia" w:hAnsi="Times New Roman" w:cs="Times New Roman"/>
                <w:color w:val="auto"/>
                <w:highlight w:val="none"/>
                <w:vertAlign w:val="superscript"/>
                <w:lang w:val="en-US" w:eastAsia="zh-CN"/>
              </w:rPr>
              <w:t>3</w:t>
            </w:r>
            <w:r>
              <w:rPr>
                <w:rFonts w:hint="eastAsia" w:hAnsi="Times New Roman" w:cs="Times New Roman"/>
                <w:color w:val="auto"/>
                <w:highlight w:val="none"/>
                <w:vertAlign w:val="baseline"/>
                <w:lang w:val="en-US" w:eastAsia="zh-CN"/>
              </w:rPr>
              <w:t>/d，项目产生的生活污水相对污水剩余处理能力</w:t>
            </w:r>
            <w:r>
              <w:rPr>
                <w:rFonts w:hint="default" w:ascii="Times New Roman" w:hAnsi="Times New Roman" w:cs="Times New Roman"/>
                <w:color w:val="auto"/>
              </w:rPr>
              <w:t>所占比例</w:t>
            </w:r>
            <w:r>
              <w:rPr>
                <w:rFonts w:hint="eastAsia" w:cs="Times New Roman"/>
                <w:color w:val="auto"/>
                <w:lang w:val="en-US" w:eastAsia="zh-CN"/>
              </w:rPr>
              <w:t>较小</w:t>
            </w:r>
            <w:r>
              <w:rPr>
                <w:rFonts w:hint="default" w:ascii="Times New Roman" w:hAnsi="Times New Roman" w:cs="Times New Roman"/>
                <w:color w:val="auto"/>
              </w:rPr>
              <w:t>，</w:t>
            </w:r>
            <w:r>
              <w:rPr>
                <w:rFonts w:hint="eastAsia" w:cs="Times New Roman"/>
                <w:color w:val="auto"/>
                <w:lang w:val="en-US" w:eastAsia="zh-CN"/>
              </w:rPr>
              <w:t>因此该污水处理厂</w:t>
            </w:r>
            <w:r>
              <w:rPr>
                <w:rFonts w:hint="default" w:ascii="Times New Roman" w:hAnsi="Times New Roman" w:cs="Times New Roman"/>
                <w:color w:val="auto"/>
              </w:rPr>
              <w:t>可满足本项目需求，依托可行。</w:t>
            </w:r>
          </w:p>
          <w:p w14:paraId="53F86D7D">
            <w:pPr>
              <w:keepNext w:val="0"/>
              <w:keepLines w:val="0"/>
              <w:pageBreakBefore w:val="0"/>
              <w:widowControl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（2）试油废水</w:t>
            </w:r>
          </w:p>
          <w:p w14:paraId="1595D793">
            <w:pPr>
              <w:keepNext w:val="0"/>
              <w:keepLines w:val="0"/>
              <w:pageBreakBefore w:val="0"/>
              <w:widowControl w:val="0"/>
              <w:kinsoku/>
              <w:wordWrap/>
              <w:overflowPunct/>
              <w:topLinePunct w:val="0"/>
              <w:autoSpaceDE/>
              <w:autoSpaceDN/>
              <w:bidi w:val="0"/>
              <w:adjustRightInd w:val="0"/>
              <w:snapToGrid w:val="0"/>
              <w:spacing w:line="500" w:lineRule="exact"/>
              <w:ind w:firstLine="456" w:firstLineChars="200"/>
              <w:textAlignment w:val="auto"/>
              <w:rPr>
                <w:rFonts w:hint="default" w:ascii="Times New Roman" w:hAnsi="Times New Roman" w:cs="Times New Roman" w:eastAsiaTheme="minorEastAsia"/>
                <w:color w:val="auto"/>
                <w:spacing w:val="-6"/>
              </w:rPr>
            </w:pPr>
            <w:r>
              <w:rPr>
                <w:rFonts w:hint="default" w:ascii="Times New Roman" w:hAnsi="Times New Roman" w:cs="Times New Roman" w:eastAsiaTheme="minorEastAsia"/>
                <w:color w:val="auto"/>
                <w:spacing w:val="-6"/>
              </w:rPr>
              <w:t>试油期产生的洗井废水和压裂返排液由专用方罐收集后，拉运至采油一厂车89处理站处置，处理达标后全部回注油藏。</w:t>
            </w:r>
          </w:p>
          <w:p w14:paraId="71485D58">
            <w:pPr>
              <w:pStyle w:val="32"/>
              <w:keepNext w:val="0"/>
              <w:keepLines w:val="0"/>
              <w:pageBreakBefore w:val="0"/>
              <w:widowControl w:val="0"/>
              <w:kinsoku/>
              <w:wordWrap/>
              <w:overflowPunct/>
              <w:topLinePunct w:val="0"/>
              <w:autoSpaceDE/>
              <w:autoSpaceDN/>
              <w:bidi w:val="0"/>
              <w:ind w:firstLine="456"/>
              <w:textAlignment w:val="auto"/>
              <w:rPr>
                <w:rFonts w:hint="default" w:ascii="Times New Roman" w:hAnsi="Times New Roman" w:eastAsia="宋体" w:cs="Times New Roman"/>
                <w:color w:val="000000" w:themeColor="text1"/>
                <w:lang w:val="en-US" w:eastAsia="zh-CN"/>
                <w14:textFill>
                  <w14:solidFill>
                    <w14:schemeClr w14:val="tx1"/>
                  </w14:solidFill>
                </w14:textFill>
              </w:rPr>
            </w:pPr>
            <w:bookmarkStart w:id="70" w:name="_Hlk140833975"/>
            <w:r>
              <w:rPr>
                <w:rFonts w:hint="default" w:ascii="Times New Roman" w:hAnsi="Times New Roman" w:cs="Times New Roman"/>
                <w:color w:val="000000" w:themeColor="text1"/>
                <w14:textFill>
                  <w14:solidFill>
                    <w14:schemeClr w14:val="tx1"/>
                  </w14:solidFill>
                </w14:textFill>
              </w:rPr>
              <w:t>采油一厂车89处理站是一座集油气处理、采出水处理等功能为一体的综合性处理站。采出液处理规模为55×10</w:t>
            </w:r>
            <w:r>
              <w:rPr>
                <w:rFonts w:hint="default" w:ascii="Times New Roman" w:hAnsi="Times New Roman" w:cs="Times New Roman"/>
                <w:color w:val="000000" w:themeColor="text1"/>
                <w:vertAlign w:val="superscript"/>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t/a，原油处理能力为30×10</w:t>
            </w:r>
            <w:r>
              <w:rPr>
                <w:rFonts w:hint="default" w:ascii="Times New Roman" w:hAnsi="Times New Roman" w:cs="Times New Roman"/>
                <w:color w:val="000000" w:themeColor="text1"/>
                <w:vertAlign w:val="superscript"/>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t/a；原油处理工艺为两段大罐沉降脱水；污水处理站设计处理规模1000m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/d，采用重力沉降-混凝反应-过滤工艺，目前实际处理规模</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/d，富余量为</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w:t>
            </w:r>
            <w:r>
              <w:rPr>
                <w:rFonts w:hint="eastAsia" w:ascii="Times New Roman" w:hAnsi="Times New Roman" w:cs="Times New Roman"/>
                <w:color w:val="000000" w:themeColor="text1"/>
                <w:lang w:eastAsia="zh-CN"/>
                <w14:textFill>
                  <w14:solidFill>
                    <w14:schemeClr w14:val="tx1"/>
                  </w14:solidFill>
                </w14:textFill>
              </w:rPr>
              <w:t>，根据回注区域渗透率不同（储层空气渗透率在0.01-0.5μm</w:t>
            </w:r>
            <w:r>
              <w:rPr>
                <w:rFonts w:hint="eastAsia" w:ascii="Times New Roman" w:hAnsi="Times New Roman" w:cs="Times New Roman"/>
                <w:color w:val="000000" w:themeColor="text1"/>
                <w:vertAlign w:val="superscript"/>
                <w:lang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处理后水质</w:t>
            </w:r>
            <w:r>
              <w:rPr>
                <w:rFonts w:hint="eastAsia" w:ascii="Times New Roman" w:hAnsi="Times New Roman" w:cs="Times New Roman"/>
                <w:color w:val="000000" w:themeColor="text1"/>
                <w:lang w:eastAsia="zh-CN"/>
                <w14:textFill>
                  <w14:solidFill>
                    <w14:schemeClr w14:val="tx1"/>
                  </w14:solidFill>
                </w14:textFill>
              </w:rPr>
              <w:t>执行《碎屑岩油藏注水水质指标技术要求及分析方法》（SY/T5329-2022）中Ⅱ</w:t>
            </w:r>
            <w:r>
              <w:rPr>
                <w:rFonts w:hint="eastAsia" w:ascii="Times New Roman" w:hAnsi="Times New Roman" w:cs="Times New Roman"/>
                <w:color w:val="000000" w:themeColor="text1"/>
                <w:lang w:val="en-US" w:eastAsia="zh-CN"/>
                <w14:textFill>
                  <w14:solidFill>
                    <w14:schemeClr w14:val="tx1"/>
                  </w14:solidFill>
                </w14:textFill>
              </w:rPr>
              <w:t>级（储层空气渗透率0.01-0.05μm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、Ⅲ级（储层空气渗透率0.05-0.5μm</w:t>
            </w:r>
            <w:r>
              <w:rPr>
                <w:rFonts w:hint="eastAsia" w:ascii="Times New Roman" w:hAnsi="Times New Roman" w:cs="Times New Roman"/>
                <w:color w:val="000000" w:themeColor="text1"/>
                <w:vertAlign w:val="superscript"/>
                <w:lang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）标准，</w:t>
            </w:r>
            <w:r>
              <w:rPr>
                <w:rFonts w:hint="eastAsia" w:ascii="Times New Roman" w:hAnsi="Times New Roman" w:cs="Times New Roman"/>
                <w:color w:val="000000" w:themeColor="text1"/>
                <w:lang w:val="en-US" w:eastAsia="zh-CN"/>
                <w14:textFill>
                  <w14:solidFill>
                    <w14:schemeClr w14:val="tx1"/>
                  </w14:solidFill>
                </w14:textFill>
              </w:rPr>
              <w:t>污水全部用于油田回注；</w:t>
            </w:r>
            <w:r>
              <w:rPr>
                <w:rFonts w:hint="eastAsia" w:cs="Times New Roman"/>
                <w:color w:val="000000" w:themeColor="text1"/>
                <w:lang w:val="en-US" w:eastAsia="zh-CN"/>
                <w14:textFill>
                  <w14:solidFill>
                    <w14:schemeClr w14:val="tx1"/>
                  </w14:solidFill>
                </w14:textFill>
              </w:rPr>
              <w:t>该处理站环保手续履行情况见表5-2。</w:t>
            </w:r>
          </w:p>
          <w:p w14:paraId="76984B53">
            <w:pPr>
              <w:pStyle w:val="6"/>
              <w:rPr>
                <w:rFonts w:hint="eastAsia" w:ascii="Times New Roman" w:hAnsi="Times New Roman" w:cs="Times New Roman"/>
                <w:color w:val="auto"/>
              </w:rPr>
            </w:pPr>
            <w:r>
              <w:rPr>
                <w:rFonts w:hint="eastAsia" w:ascii="Times New Roman" w:hAnsi="Times New Roman" w:cs="Times New Roman"/>
                <w:color w:val="auto"/>
              </w:rPr>
              <w:t>表</w:t>
            </w:r>
            <w:r>
              <w:rPr>
                <w:rFonts w:hint="eastAsia" w:ascii="Times New Roman" w:hAnsi="Times New Roman" w:cs="Times New Roman"/>
                <w:color w:val="auto"/>
                <w:lang w:val="en-US" w:eastAsia="zh-CN"/>
              </w:rPr>
              <w:t>5-2</w:t>
            </w:r>
            <w:r>
              <w:rPr>
                <w:rFonts w:hint="eastAsia" w:ascii="Times New Roman" w:hAnsi="Times New Roman" w:cs="Times New Roman"/>
                <w:color w:val="auto"/>
              </w:rPr>
              <w:t xml:space="preserve">  </w:t>
            </w:r>
            <w:r>
              <w:rPr>
                <w:rFonts w:hint="eastAsia" w:ascii="Times New Roman" w:hAnsi="Times New Roman" w:cs="Times New Roman"/>
                <w:color w:val="auto"/>
                <w:lang w:val="en-US" w:eastAsia="zh-CN"/>
              </w:rPr>
              <w:t>试油废水依托工程相关</w:t>
            </w:r>
            <w:r>
              <w:rPr>
                <w:rFonts w:hint="eastAsia" w:ascii="Times New Roman" w:hAnsi="Times New Roman" w:cs="Times New Roman"/>
                <w:color w:val="auto"/>
              </w:rPr>
              <w:t>环保手续一览表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1429"/>
              <w:gridCol w:w="2631"/>
              <w:gridCol w:w="2541"/>
            </w:tblGrid>
            <w:tr w14:paraId="06AD4B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3" w:type="dxa"/>
                  <w:tcMar>
                    <w:left w:w="0" w:type="dxa"/>
                    <w:right w:w="0" w:type="dxa"/>
                  </w:tcMar>
                  <w:vAlign w:val="center"/>
                </w:tcPr>
                <w:p w14:paraId="4B8E9B93">
                  <w:pPr>
                    <w:keepNext/>
                    <w:spacing w:line="300" w:lineRule="exact"/>
                    <w:jc w:val="center"/>
                    <w:rPr>
                      <w:rFonts w:hint="eastAsia" w:ascii="宋体" w:hAnsi="宋体"/>
                      <w:color w:val="auto"/>
                      <w:kern w:val="0"/>
                      <w:sz w:val="21"/>
                      <w:szCs w:val="21"/>
                    </w:rPr>
                  </w:pPr>
                  <w:bookmarkStart w:id="71" w:name="_Hlk90912437"/>
                  <w:r>
                    <w:rPr>
                      <w:rFonts w:hint="eastAsia" w:ascii="宋体" w:hAnsi="宋体"/>
                      <w:color w:val="auto"/>
                      <w:kern w:val="0"/>
                      <w:sz w:val="21"/>
                      <w:szCs w:val="21"/>
                    </w:rPr>
                    <w:t>站场名称</w:t>
                  </w:r>
                </w:p>
              </w:tc>
              <w:tc>
                <w:tcPr>
                  <w:tcW w:w="1358" w:type="dxa"/>
                  <w:tcMar>
                    <w:left w:w="0" w:type="dxa"/>
                    <w:right w:w="0" w:type="dxa"/>
                  </w:tcMar>
                  <w:vAlign w:val="center"/>
                </w:tcPr>
                <w:p w14:paraId="38F329F3">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项目名称</w:t>
                  </w:r>
                </w:p>
              </w:tc>
              <w:tc>
                <w:tcPr>
                  <w:tcW w:w="2501" w:type="dxa"/>
                  <w:tcMar>
                    <w:left w:w="0" w:type="dxa"/>
                    <w:right w:w="0" w:type="dxa"/>
                  </w:tcMar>
                  <w:vAlign w:val="center"/>
                </w:tcPr>
                <w:p w14:paraId="639D170F">
                  <w:pPr>
                    <w:keepNext/>
                    <w:spacing w:line="300" w:lineRule="exact"/>
                    <w:jc w:val="center"/>
                    <w:rPr>
                      <w:rFonts w:hint="eastAsia" w:ascii="宋体" w:hAnsi="宋体"/>
                      <w:color w:val="auto"/>
                      <w:kern w:val="0"/>
                      <w:sz w:val="21"/>
                      <w:szCs w:val="21"/>
                    </w:rPr>
                  </w:pPr>
                  <w:r>
                    <w:rPr>
                      <w:rFonts w:ascii="宋体" w:hAnsi="宋体"/>
                      <w:color w:val="auto"/>
                      <w:kern w:val="0"/>
                      <w:sz w:val="21"/>
                      <w:szCs w:val="21"/>
                    </w:rPr>
                    <w:t>环评批复</w:t>
                  </w:r>
                  <w:r>
                    <w:rPr>
                      <w:rFonts w:hint="eastAsia" w:ascii="宋体" w:hAnsi="宋体"/>
                      <w:color w:val="auto"/>
                      <w:kern w:val="0"/>
                      <w:sz w:val="21"/>
                      <w:szCs w:val="21"/>
                    </w:rPr>
                    <w:t>机关及批复</w:t>
                  </w:r>
                  <w:r>
                    <w:rPr>
                      <w:rFonts w:ascii="宋体" w:hAnsi="宋体"/>
                      <w:color w:val="auto"/>
                      <w:kern w:val="0"/>
                      <w:sz w:val="21"/>
                      <w:szCs w:val="21"/>
                    </w:rPr>
                    <w:t>文号</w:t>
                  </w:r>
                </w:p>
              </w:tc>
              <w:tc>
                <w:tcPr>
                  <w:tcW w:w="2416" w:type="dxa"/>
                  <w:tcMar>
                    <w:left w:w="0" w:type="dxa"/>
                    <w:right w:w="0" w:type="dxa"/>
                  </w:tcMar>
                  <w:vAlign w:val="center"/>
                </w:tcPr>
                <w:p w14:paraId="1C8A74BE">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验收情况</w:t>
                  </w:r>
                </w:p>
              </w:tc>
            </w:tr>
            <w:tr w14:paraId="2C7009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3" w:type="dxa"/>
                  <w:tcMar>
                    <w:left w:w="0" w:type="dxa"/>
                    <w:right w:w="0" w:type="dxa"/>
                  </w:tcMar>
                  <w:vAlign w:val="center"/>
                </w:tcPr>
                <w:p w14:paraId="4140F852">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车89集中处理站</w:t>
                  </w:r>
                </w:p>
              </w:tc>
              <w:tc>
                <w:tcPr>
                  <w:tcW w:w="1358" w:type="dxa"/>
                  <w:tcMar>
                    <w:left w:w="0" w:type="dxa"/>
                    <w:right w:w="0" w:type="dxa"/>
                  </w:tcMar>
                  <w:vAlign w:val="center"/>
                </w:tcPr>
                <w:p w14:paraId="74833242">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车89井区产能建设项目</w:t>
                  </w:r>
                </w:p>
              </w:tc>
              <w:tc>
                <w:tcPr>
                  <w:tcW w:w="2501" w:type="dxa"/>
                  <w:tcMar>
                    <w:left w:w="0" w:type="dxa"/>
                    <w:right w:w="0" w:type="dxa"/>
                  </w:tcMar>
                  <w:vAlign w:val="center"/>
                </w:tcPr>
                <w:p w14:paraId="682C1153">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原克拉玛依市环境保护局</w:t>
                  </w:r>
                </w:p>
                <w:p w14:paraId="7DA18706">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克环保函〔2009〕31号</w:t>
                  </w:r>
                </w:p>
              </w:tc>
              <w:tc>
                <w:tcPr>
                  <w:tcW w:w="2416" w:type="dxa"/>
                  <w:tcMar>
                    <w:left w:w="0" w:type="dxa"/>
                    <w:right w:w="0" w:type="dxa"/>
                  </w:tcMar>
                  <w:vAlign w:val="center"/>
                </w:tcPr>
                <w:p w14:paraId="38C5E445">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原克拉玛依市环境保护局</w:t>
                  </w:r>
                </w:p>
                <w:p w14:paraId="1AD304E8">
                  <w:pPr>
                    <w:keepNext/>
                    <w:spacing w:line="300" w:lineRule="exact"/>
                    <w:jc w:val="center"/>
                    <w:rPr>
                      <w:rFonts w:hint="eastAsia" w:ascii="宋体" w:hAnsi="宋体"/>
                      <w:color w:val="auto"/>
                      <w:kern w:val="0"/>
                      <w:sz w:val="21"/>
                      <w:szCs w:val="21"/>
                    </w:rPr>
                  </w:pPr>
                  <w:r>
                    <w:rPr>
                      <w:rFonts w:hint="eastAsia" w:ascii="宋体" w:hAnsi="宋体"/>
                      <w:color w:val="auto"/>
                      <w:kern w:val="0"/>
                      <w:sz w:val="21"/>
                      <w:szCs w:val="21"/>
                    </w:rPr>
                    <w:t>克环保函〔2015〕461号</w:t>
                  </w:r>
                </w:p>
              </w:tc>
            </w:tr>
            <w:bookmarkEnd w:id="71"/>
          </w:tbl>
          <w:p w14:paraId="0E43813A">
            <w:pPr>
              <w:pStyle w:val="32"/>
              <w:keepNext w:val="0"/>
              <w:keepLines w:val="0"/>
              <w:pageBreakBefore w:val="0"/>
              <w:kinsoku/>
              <w:wordWrap/>
              <w:overflowPunct/>
              <w:topLinePunct w:val="0"/>
              <w:autoSpaceDE/>
              <w:autoSpaceDN/>
              <w:bidi w:val="0"/>
              <w:ind w:firstLine="456"/>
              <w:textAlignment w:val="auto"/>
              <w:rPr>
                <w:rFonts w:hint="default" w:ascii="Times New Roman" w:hAnsi="Times New Roman" w:cs="Times New Roman" w:eastAsiaTheme="minorEastAsia"/>
                <w:color w:val="auto"/>
                <w:spacing w:val="-6"/>
              </w:rPr>
            </w:pPr>
            <w:r>
              <w:rPr>
                <w:rFonts w:hint="default" w:ascii="Times New Roman" w:hAnsi="Times New Roman" w:cs="Times New Roman"/>
                <w:color w:val="auto"/>
              </w:rPr>
              <w:t>采油一厂车89处理站</w:t>
            </w:r>
            <w:r>
              <w:rPr>
                <w:rFonts w:hint="eastAsia" w:ascii="Times New Roman" w:hAnsi="Times New Roman" w:cs="Times New Roman"/>
                <w:color w:val="auto"/>
                <w:lang w:val="en-US" w:eastAsia="zh-CN"/>
              </w:rPr>
              <w:t>位于本项目西北侧约150km处，</w:t>
            </w:r>
            <w:r>
              <w:rPr>
                <w:rFonts w:hint="default" w:ascii="Times New Roman" w:hAnsi="Times New Roman" w:cs="Times New Roman"/>
                <w:color w:val="auto"/>
              </w:rPr>
              <w:t>本</w:t>
            </w:r>
            <w:r>
              <w:rPr>
                <w:rFonts w:hint="eastAsia" w:ascii="Times New Roman" w:hAnsi="Times New Roman" w:cs="Times New Roman"/>
                <w:color w:val="auto"/>
                <w:lang w:val="en-US" w:eastAsia="zh-CN"/>
              </w:rPr>
              <w:t>项目</w:t>
            </w:r>
            <w:r>
              <w:rPr>
                <w:rFonts w:hint="default" w:ascii="Times New Roman" w:hAnsi="Times New Roman" w:cs="Times New Roman"/>
                <w:color w:val="auto"/>
              </w:rPr>
              <w:t>试油期压裂返排液产生量为</w:t>
            </w:r>
            <w:r>
              <w:rPr>
                <w:rFonts w:hint="eastAsia" w:ascii="Times New Roman" w:hAnsi="Times New Roman" w:cs="Times New Roman"/>
                <w:color w:val="auto"/>
                <w:lang w:val="en-US" w:eastAsia="zh-CN"/>
              </w:rPr>
              <w:t>250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lang w:val="en-US" w:eastAsia="zh-CN"/>
              </w:rPr>
              <w:t>洗井废水300m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，合计试油废水550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eastAsia" w:ascii="Times New Roman" w:hAnsi="Times New Roman" w:cs="Times New Roman"/>
                <w:color w:val="auto"/>
                <w:vertAlign w:val="baseline"/>
                <w:lang w:eastAsia="zh-CN"/>
              </w:rPr>
              <w:t>（</w:t>
            </w:r>
            <w:r>
              <w:rPr>
                <w:rFonts w:hint="eastAsia" w:ascii="Times New Roman" w:hAnsi="Times New Roman" w:cs="Times New Roman"/>
                <w:color w:val="auto"/>
                <w:vertAlign w:val="baseline"/>
                <w:lang w:val="en-US" w:eastAsia="zh-CN"/>
              </w:rPr>
              <w:t>2.3</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eastAsia" w:ascii="Times New Roman" w:hAnsi="Times New Roman" w:cs="Times New Roman"/>
                <w:color w:val="auto"/>
                <w:vertAlign w:val="baseline"/>
                <w:lang w:val="en-US" w:eastAsia="zh-CN"/>
              </w:rPr>
              <w:t>/d</w:t>
            </w:r>
            <w:r>
              <w:rPr>
                <w:rFonts w:hint="eastAsia" w:ascii="Times New Roman" w:hAnsi="Times New Roman" w:cs="Times New Roman"/>
                <w:color w:val="auto"/>
                <w:vertAlign w:val="baseline"/>
                <w:lang w:eastAsia="zh-CN"/>
              </w:rPr>
              <w:t>）</w:t>
            </w:r>
            <w:r>
              <w:rPr>
                <w:rFonts w:hint="default" w:ascii="Times New Roman" w:hAnsi="Times New Roman" w:cs="Times New Roman"/>
                <w:color w:val="auto"/>
              </w:rPr>
              <w:t>，产生量较小，其富余量可满足本</w:t>
            </w:r>
            <w:r>
              <w:rPr>
                <w:rFonts w:hint="eastAsia" w:ascii="Times New Roman" w:hAnsi="Times New Roman" w:cs="Times New Roman"/>
                <w:color w:val="auto"/>
                <w:lang w:val="en-US" w:eastAsia="zh-CN"/>
              </w:rPr>
              <w:t>项目试油废水</w:t>
            </w:r>
            <w:r>
              <w:rPr>
                <w:rFonts w:hint="default" w:ascii="Times New Roman" w:hAnsi="Times New Roman" w:cs="Times New Roman"/>
                <w:color w:val="auto"/>
              </w:rPr>
              <w:t>处理需求</w:t>
            </w:r>
            <w:r>
              <w:rPr>
                <w:rFonts w:hint="default" w:ascii="Times New Roman" w:hAnsi="Times New Roman" w:cs="Times New Roman" w:eastAsiaTheme="minorEastAsia"/>
                <w:color w:val="auto"/>
                <w:spacing w:val="-6"/>
              </w:rPr>
              <w:t>，依托可行。</w:t>
            </w:r>
            <w:bookmarkEnd w:id="70"/>
          </w:p>
          <w:p w14:paraId="7CA123A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（3）管理措施</w:t>
            </w:r>
          </w:p>
          <w:p w14:paraId="4CE269C1">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①洗井废水、废压裂液</w:t>
            </w:r>
            <w:r>
              <w:rPr>
                <w:rFonts w:hint="eastAsia" w:cs="Times New Roman"/>
                <w:color w:val="auto"/>
                <w:lang w:val="en-US" w:eastAsia="zh-CN"/>
              </w:rPr>
              <w:t>和生活污水</w:t>
            </w:r>
            <w:r>
              <w:rPr>
                <w:rFonts w:hint="default" w:ascii="Times New Roman" w:hAnsi="Times New Roman" w:cs="Times New Roman"/>
                <w:color w:val="auto"/>
              </w:rPr>
              <w:t>应建立台账管理制度，并实施全过程管理，记录废水的产生量、转移量及去向等。</w:t>
            </w:r>
          </w:p>
          <w:p w14:paraId="24FFFD16">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kern w:val="0"/>
              </w:rPr>
            </w:pPr>
            <w:r>
              <w:rPr>
                <w:rFonts w:hint="default" w:ascii="Times New Roman" w:hAnsi="Times New Roman" w:cs="Times New Roman"/>
                <w:color w:val="auto"/>
              </w:rPr>
              <w:t>②</w:t>
            </w:r>
            <w:r>
              <w:rPr>
                <w:rFonts w:hint="default" w:ascii="Times New Roman" w:hAnsi="Times New Roman" w:cs="Times New Roman"/>
                <w:color w:val="auto"/>
                <w:kern w:val="0"/>
              </w:rPr>
              <w:t>加工施工单位和运输车辆的管理，严禁废水随意排放或倾倒。</w:t>
            </w:r>
          </w:p>
          <w:bookmarkEnd w:id="67"/>
          <w:p w14:paraId="641A0028">
            <w:pPr>
              <w:keepNext w:val="0"/>
              <w:keepLines w:val="0"/>
              <w:pageBreakBefore w:val="0"/>
              <w:widowControl/>
              <w:tabs>
                <w:tab w:val="left" w:pos="4584"/>
              </w:tabs>
              <w:kinsoku/>
              <w:wordWrap/>
              <w:overflowPunct/>
              <w:topLinePunct w:val="0"/>
              <w:autoSpaceDE/>
              <w:autoSpaceDN/>
              <w:bidi w:val="0"/>
              <w:adjustRightInd w:val="0"/>
              <w:snapToGrid w:val="0"/>
              <w:spacing w:line="500" w:lineRule="exact"/>
              <w:ind w:firstLine="474" w:firstLineChars="200"/>
              <w:jc w:val="left"/>
              <w:textAlignment w:val="auto"/>
              <w:rPr>
                <w:rFonts w:hint="default" w:ascii="Times New Roman" w:hAnsi="Times New Roman" w:cs="Times New Roman"/>
                <w:b/>
                <w:bCs/>
                <w:color w:val="auto"/>
                <w:spacing w:val="-2"/>
              </w:rPr>
            </w:pPr>
            <w:r>
              <w:rPr>
                <w:rFonts w:hint="default" w:ascii="Times New Roman" w:hAnsi="Times New Roman" w:cs="Times New Roman"/>
                <w:b/>
                <w:bCs/>
                <w:color w:val="auto"/>
                <w:spacing w:val="-2"/>
                <w:lang w:val="en-US" w:eastAsia="zh-CN"/>
              </w:rPr>
              <w:t>4</w:t>
            </w:r>
            <w:r>
              <w:rPr>
                <w:rFonts w:hint="default" w:ascii="Times New Roman" w:hAnsi="Times New Roman" w:cs="Times New Roman"/>
                <w:b/>
                <w:bCs/>
                <w:color w:val="auto"/>
                <w:spacing w:val="-2"/>
              </w:rPr>
              <w:t>、地下水和土壤环境保护措施</w:t>
            </w:r>
          </w:p>
          <w:p w14:paraId="5AECC1D2">
            <w:pPr>
              <w:keepNext w:val="0"/>
              <w:keepLines w:val="0"/>
              <w:pageBreakBefore w:val="0"/>
              <w:widowControl/>
              <w:tabs>
                <w:tab w:val="left" w:pos="4584"/>
              </w:tabs>
              <w:kinsoku/>
              <w:wordWrap/>
              <w:overflowPunct/>
              <w:topLinePunct w:val="0"/>
              <w:autoSpaceDE/>
              <w:autoSpaceDN/>
              <w:bidi w:val="0"/>
              <w:adjustRightInd w:val="0"/>
              <w:snapToGrid w:val="0"/>
              <w:spacing w:line="500" w:lineRule="exact"/>
              <w:ind w:firstLine="464" w:firstLineChars="200"/>
              <w:textAlignment w:val="auto"/>
              <w:rPr>
                <w:rFonts w:hint="default" w:ascii="Times New Roman" w:hAnsi="Times New Roman" w:eastAsia="宋体" w:cs="Times New Roman"/>
                <w:color w:val="auto"/>
                <w:spacing w:val="-4"/>
                <w:lang w:val="en-US" w:eastAsia="zh-CN"/>
              </w:rPr>
            </w:pPr>
            <w:r>
              <w:rPr>
                <w:rFonts w:hint="default" w:ascii="Times New Roman" w:hAnsi="Times New Roman" w:cs="Times New Roman"/>
                <w:color w:val="auto"/>
                <w:spacing w:val="-4"/>
              </w:rPr>
              <w:t>（1）</w:t>
            </w:r>
            <w:r>
              <w:rPr>
                <w:rFonts w:hint="default" w:ascii="Times New Roman" w:hAnsi="Times New Roman" w:cs="Times New Roman"/>
                <w:color w:val="auto"/>
                <w:spacing w:val="-4"/>
                <w:lang w:val="en-US" w:eastAsia="zh-CN"/>
              </w:rPr>
              <w:t>分区防渗</w:t>
            </w:r>
          </w:p>
          <w:p w14:paraId="0B13BC28">
            <w:pPr>
              <w:keepNext w:val="0"/>
              <w:keepLines w:val="0"/>
              <w:pageBreakBefore w:val="0"/>
              <w:widowControl/>
              <w:tabs>
                <w:tab w:val="left" w:pos="4584"/>
              </w:tabs>
              <w:kinsoku/>
              <w:wordWrap/>
              <w:overflowPunct/>
              <w:topLinePunct w:val="0"/>
              <w:autoSpaceDE/>
              <w:autoSpaceDN/>
              <w:bidi w:val="0"/>
              <w:adjustRightInd w:val="0"/>
              <w:snapToGrid w:val="0"/>
              <w:spacing w:line="500" w:lineRule="exact"/>
              <w:ind w:firstLine="464" w:firstLineChars="200"/>
              <w:textAlignment w:val="auto"/>
              <w:rPr>
                <w:rFonts w:hint="default" w:ascii="Times New Roman" w:hAnsi="Times New Roman" w:cs="Times New Roman"/>
                <w:color w:val="auto"/>
                <w:spacing w:val="-4"/>
                <w:kern w:val="0"/>
              </w:rPr>
            </w:pPr>
            <w:r>
              <w:rPr>
                <w:rFonts w:hint="default" w:ascii="Times New Roman" w:hAnsi="Times New Roman" w:cs="Times New Roman"/>
                <w:color w:val="auto"/>
                <w:spacing w:val="-4"/>
                <w:kern w:val="0"/>
                <w:lang w:val="en-US" w:eastAsia="zh-CN"/>
              </w:rPr>
              <w:t>本项目对井场进行分区防渗，具体防渗单元及防渗要求见表5-</w:t>
            </w:r>
            <w:r>
              <w:rPr>
                <w:rFonts w:hint="eastAsia" w:cs="Times New Roman"/>
                <w:color w:val="auto"/>
                <w:spacing w:val="-4"/>
                <w:kern w:val="0"/>
                <w:lang w:val="en-US" w:eastAsia="zh-CN"/>
              </w:rPr>
              <w:t>3</w:t>
            </w:r>
            <w:r>
              <w:rPr>
                <w:rFonts w:hint="default" w:ascii="Times New Roman" w:hAnsi="Times New Roman" w:cs="Times New Roman"/>
                <w:color w:val="auto"/>
                <w:spacing w:val="-4"/>
                <w:kern w:val="0"/>
                <w:lang w:val="en-US" w:eastAsia="zh-CN"/>
              </w:rPr>
              <w:t>。</w:t>
            </w:r>
            <w:r>
              <w:rPr>
                <w:rFonts w:hint="default" w:ascii="Times New Roman" w:hAnsi="Times New Roman" w:cs="Times New Roman"/>
                <w:color w:val="auto"/>
                <w:spacing w:val="-4"/>
                <w:kern w:val="0"/>
              </w:rPr>
              <w:t>分区防渗</w:t>
            </w:r>
            <w:r>
              <w:rPr>
                <w:rFonts w:hint="default" w:ascii="Times New Roman" w:hAnsi="Times New Roman" w:cs="Times New Roman"/>
                <w:color w:val="auto"/>
                <w:spacing w:val="-4"/>
                <w:kern w:val="0"/>
                <w:lang w:val="en-US" w:eastAsia="zh-CN"/>
              </w:rPr>
              <w:t>示意图见</w:t>
            </w:r>
            <w:r>
              <w:rPr>
                <w:rFonts w:hint="default" w:ascii="Times New Roman" w:hAnsi="Times New Roman" w:cs="Times New Roman"/>
                <w:b/>
                <w:bCs/>
                <w:color w:val="auto"/>
                <w:spacing w:val="-4"/>
                <w:kern w:val="0"/>
              </w:rPr>
              <w:t>附图</w:t>
            </w:r>
            <w:r>
              <w:rPr>
                <w:rFonts w:hint="eastAsia" w:cs="Times New Roman"/>
                <w:b/>
                <w:bCs/>
                <w:color w:val="auto"/>
                <w:spacing w:val="-4"/>
                <w:kern w:val="0"/>
                <w:lang w:val="en-US" w:eastAsia="zh-CN"/>
              </w:rPr>
              <w:t>5</w:t>
            </w:r>
            <w:r>
              <w:rPr>
                <w:rFonts w:hint="default" w:ascii="Times New Roman" w:hAnsi="Times New Roman" w:cs="Times New Roman"/>
                <w:color w:val="auto"/>
                <w:spacing w:val="-4"/>
                <w:kern w:val="0"/>
              </w:rPr>
              <w:t>和</w:t>
            </w:r>
            <w:r>
              <w:rPr>
                <w:rFonts w:hint="default" w:ascii="Times New Roman" w:hAnsi="Times New Roman" w:cs="Times New Roman"/>
                <w:b/>
                <w:bCs/>
                <w:color w:val="auto"/>
                <w:spacing w:val="-4"/>
                <w:kern w:val="0"/>
              </w:rPr>
              <w:t>附图</w:t>
            </w:r>
            <w:r>
              <w:rPr>
                <w:rFonts w:hint="eastAsia" w:cs="Times New Roman"/>
                <w:b/>
                <w:bCs/>
                <w:color w:val="auto"/>
                <w:spacing w:val="-4"/>
                <w:kern w:val="0"/>
                <w:lang w:val="en-US" w:eastAsia="zh-CN"/>
              </w:rPr>
              <w:t>6</w:t>
            </w:r>
            <w:r>
              <w:rPr>
                <w:rFonts w:hint="default" w:ascii="Times New Roman" w:hAnsi="Times New Roman" w:cs="Times New Roman"/>
                <w:color w:val="auto"/>
                <w:spacing w:val="-4"/>
                <w:kern w:val="0"/>
              </w:rPr>
              <w:t>。</w:t>
            </w:r>
          </w:p>
          <w:p w14:paraId="0F2600EF">
            <w:pPr>
              <w:pStyle w:val="6"/>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本</w:t>
            </w:r>
            <w:r>
              <w:rPr>
                <w:rFonts w:hint="default" w:ascii="Times New Roman" w:hAnsi="Times New Roman" w:cs="Times New Roman"/>
                <w:color w:val="auto"/>
              </w:rPr>
              <w:t>项目分区防渗</w:t>
            </w:r>
            <w:r>
              <w:rPr>
                <w:rFonts w:hint="default" w:ascii="Times New Roman" w:hAnsi="Times New Roman" w:cs="Times New Roman"/>
                <w:color w:val="auto"/>
                <w:lang w:val="en-US" w:eastAsia="zh-CN"/>
              </w:rPr>
              <w:t>一览</w:t>
            </w:r>
            <w:r>
              <w:rPr>
                <w:rFonts w:hint="default" w:ascii="Times New Roman" w:hAnsi="Times New Roman" w:cs="Times New Roman"/>
                <w:color w:val="auto"/>
              </w:rPr>
              <w:t>表</w:t>
            </w:r>
          </w:p>
          <w:tbl>
            <w:tblPr>
              <w:tblStyle w:val="9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81"/>
              <w:gridCol w:w="1128"/>
              <w:gridCol w:w="3121"/>
              <w:gridCol w:w="2241"/>
            </w:tblGrid>
            <w:tr w14:paraId="7901C6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Align w:val="center"/>
                </w:tcPr>
                <w:p w14:paraId="3FFE7F5B">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时段</w:t>
                  </w:r>
                </w:p>
              </w:tc>
              <w:tc>
                <w:tcPr>
                  <w:tcW w:w="1128" w:type="dxa"/>
                  <w:vAlign w:val="center"/>
                </w:tcPr>
                <w:p w14:paraId="2168982F">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防渗分区</w:t>
                  </w:r>
                </w:p>
              </w:tc>
              <w:tc>
                <w:tcPr>
                  <w:tcW w:w="3121" w:type="dxa"/>
                  <w:vAlign w:val="center"/>
                </w:tcPr>
                <w:p w14:paraId="44A2F98C">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防渗</w:t>
                  </w:r>
                  <w:r>
                    <w:rPr>
                      <w:rFonts w:hint="default" w:ascii="Times New Roman" w:hAnsi="Times New Roman" w:cs="Times New Roman"/>
                      <w:color w:val="auto"/>
                    </w:rPr>
                    <w:t>单元</w:t>
                  </w:r>
                </w:p>
              </w:tc>
              <w:tc>
                <w:tcPr>
                  <w:tcW w:w="2241" w:type="dxa"/>
                  <w:vAlign w:val="center"/>
                </w:tcPr>
                <w:p w14:paraId="3B4C4BB9">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防渗要求</w:t>
                  </w:r>
                </w:p>
              </w:tc>
            </w:tr>
            <w:tr w14:paraId="5B56EE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Merge w:val="restart"/>
                  <w:vAlign w:val="center"/>
                </w:tcPr>
                <w:p w14:paraId="541DBC77">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钻井井场</w:t>
                  </w:r>
                </w:p>
              </w:tc>
              <w:tc>
                <w:tcPr>
                  <w:tcW w:w="1128" w:type="dxa"/>
                  <w:vAlign w:val="center"/>
                </w:tcPr>
                <w:p w14:paraId="13D3F993">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一般防渗区</w:t>
                  </w:r>
                </w:p>
              </w:tc>
              <w:tc>
                <w:tcPr>
                  <w:tcW w:w="3121" w:type="dxa"/>
                  <w:vAlign w:val="center"/>
                </w:tcPr>
                <w:p w14:paraId="461A35CC">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spacing w:val="-4"/>
                    </w:rPr>
                    <w:t>化工爬犁、材料爬犁、材料房</w:t>
                  </w:r>
                </w:p>
              </w:tc>
              <w:tc>
                <w:tcPr>
                  <w:tcW w:w="2241" w:type="dxa"/>
                  <w:vAlign w:val="center"/>
                </w:tcPr>
                <w:p w14:paraId="768EB231">
                  <w:pPr>
                    <w:pStyle w:val="45"/>
                    <w:keepNext w:val="0"/>
                    <w:keepLines w:val="0"/>
                    <w:pageBreakBefore w:val="0"/>
                    <w:widowControl w:val="0"/>
                    <w:kinsoku/>
                    <w:wordWrap w:val="0"/>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等效黏土防渗层，K≤1.0×10</w:t>
                  </w:r>
                  <w:r>
                    <w:rPr>
                      <w:rFonts w:hint="default" w:ascii="Times New Roman" w:hAnsi="Times New Roman" w:cs="Times New Roman"/>
                      <w:color w:val="auto"/>
                      <w:vertAlign w:val="superscript"/>
                    </w:rPr>
                    <w:t>-7</w:t>
                  </w:r>
                  <w:r>
                    <w:rPr>
                      <w:rFonts w:hint="default" w:ascii="Times New Roman" w:hAnsi="Times New Roman" w:cs="Times New Roman"/>
                      <w:color w:val="auto"/>
                    </w:rPr>
                    <w:t>cm/s</w:t>
                  </w:r>
                </w:p>
              </w:tc>
            </w:tr>
            <w:tr w14:paraId="5235C6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Merge w:val="continue"/>
                  <w:vAlign w:val="center"/>
                </w:tcPr>
                <w:p w14:paraId="3117B304">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p>
              </w:tc>
              <w:tc>
                <w:tcPr>
                  <w:tcW w:w="1128" w:type="dxa"/>
                  <w:vAlign w:val="center"/>
                </w:tcPr>
                <w:p w14:paraId="753B6289">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重点防渗区</w:t>
                  </w:r>
                </w:p>
              </w:tc>
              <w:tc>
                <w:tcPr>
                  <w:tcW w:w="3121" w:type="dxa"/>
                  <w:vAlign w:val="center"/>
                </w:tcPr>
                <w:p w14:paraId="024029EB">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柴油储罐、发电房、废料场、不落地系统、钻井液储罐区、岩屑储罐区、井口、危险废物贮存点、应急放喷池（应急放喷池仅在事故状态下开挖）</w:t>
                  </w:r>
                </w:p>
              </w:tc>
              <w:tc>
                <w:tcPr>
                  <w:tcW w:w="2241" w:type="dxa"/>
                  <w:vAlign w:val="center"/>
                </w:tcPr>
                <w:p w14:paraId="7294D17E">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铺设HDPE防渗膜（渗透系数不大于10</w:t>
                  </w:r>
                  <w:r>
                    <w:rPr>
                      <w:rFonts w:hint="default" w:ascii="Times New Roman" w:hAnsi="Times New Roman" w:cs="Times New Roman"/>
                      <w:color w:val="auto"/>
                      <w:vertAlign w:val="superscript"/>
                    </w:rPr>
                    <w:t>-10</w:t>
                  </w:r>
                  <w:r>
                    <w:rPr>
                      <w:rFonts w:hint="default" w:ascii="Times New Roman" w:hAnsi="Times New Roman" w:cs="Times New Roman"/>
                      <w:color w:val="auto"/>
                    </w:rPr>
                    <w:t>cm/s）或者采取铺设渗透系数不大于10</w:t>
                  </w:r>
                  <w:r>
                    <w:rPr>
                      <w:rFonts w:hint="default" w:ascii="Times New Roman" w:hAnsi="Times New Roman" w:cs="Times New Roman"/>
                      <w:color w:val="auto"/>
                      <w:vertAlign w:val="superscript"/>
                    </w:rPr>
                    <w:t>-10</w:t>
                  </w:r>
                  <w:r>
                    <w:rPr>
                      <w:rFonts w:hint="default" w:ascii="Times New Roman" w:hAnsi="Times New Roman" w:cs="Times New Roman"/>
                      <w:color w:val="auto"/>
                    </w:rPr>
                    <w:t>cm/s、其他人工材料的防渗措施</w:t>
                  </w:r>
                </w:p>
              </w:tc>
            </w:tr>
            <w:tr w14:paraId="16D11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Merge w:val="continue"/>
                  <w:vAlign w:val="center"/>
                </w:tcPr>
                <w:p w14:paraId="741323EC">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p>
              </w:tc>
              <w:tc>
                <w:tcPr>
                  <w:tcW w:w="1128" w:type="dxa"/>
                  <w:vAlign w:val="center"/>
                </w:tcPr>
                <w:p w14:paraId="1D560F78">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spacing w:val="-4"/>
                    </w:rPr>
                    <w:t>简单防渗区</w:t>
                  </w:r>
                </w:p>
              </w:tc>
              <w:tc>
                <w:tcPr>
                  <w:tcW w:w="3121" w:type="dxa"/>
                  <w:vAlign w:val="center"/>
                </w:tcPr>
                <w:p w14:paraId="099C3674">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水罐区、地质房、录井房、值班房、化验房、远控台、消防房、管线盒、过桥、配电房、钳工房</w:t>
                  </w:r>
                </w:p>
              </w:tc>
              <w:tc>
                <w:tcPr>
                  <w:tcW w:w="2241" w:type="dxa"/>
                  <w:vAlign w:val="center"/>
                </w:tcPr>
                <w:p w14:paraId="48E1BB09">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一般地面硬化</w:t>
                  </w:r>
                </w:p>
              </w:tc>
            </w:tr>
            <w:tr w14:paraId="458D3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Merge w:val="restart"/>
                  <w:vAlign w:val="center"/>
                </w:tcPr>
                <w:p w14:paraId="15BF76C4">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试油井场</w:t>
                  </w:r>
                </w:p>
              </w:tc>
              <w:tc>
                <w:tcPr>
                  <w:tcW w:w="1128" w:type="dxa"/>
                  <w:shd w:val="clear" w:color="auto" w:fill="auto"/>
                  <w:vAlign w:val="center"/>
                </w:tcPr>
                <w:p w14:paraId="240DA81C">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一般防渗区</w:t>
                  </w:r>
                </w:p>
              </w:tc>
              <w:tc>
                <w:tcPr>
                  <w:tcW w:w="3121" w:type="dxa"/>
                  <w:shd w:val="clear" w:color="auto" w:fill="auto"/>
                  <w:vAlign w:val="center"/>
                </w:tcPr>
                <w:p w14:paraId="1F088392">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试油废水罐、采出液方罐、放喷罐</w:t>
                  </w:r>
                </w:p>
              </w:tc>
              <w:tc>
                <w:tcPr>
                  <w:tcW w:w="2241" w:type="dxa"/>
                  <w:shd w:val="clear" w:color="auto" w:fill="auto"/>
                  <w:vAlign w:val="center"/>
                </w:tcPr>
                <w:p w14:paraId="27C24F82">
                  <w:pPr>
                    <w:pStyle w:val="45"/>
                    <w:keepNext w:val="0"/>
                    <w:keepLines w:val="0"/>
                    <w:pageBreakBefore w:val="0"/>
                    <w:widowControl w:val="0"/>
                    <w:kinsoku/>
                    <w:wordWrap w:val="0"/>
                    <w:overflowPunct/>
                    <w:topLinePunct w:val="0"/>
                    <w:autoSpaceDE/>
                    <w:autoSpaceDN/>
                    <w:bidi w:val="0"/>
                    <w:adjustRightInd/>
                    <w:snapToGrid/>
                    <w:spacing w:line="240" w:lineRule="exact"/>
                    <w:contextualSpacing/>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等效黏土防渗层M</w:t>
                  </w:r>
                  <w:r>
                    <w:rPr>
                      <w:rFonts w:hint="eastAsia" w:ascii="Times New Roman" w:hAnsi="Times New Roman" w:cs="Times New Roman"/>
                      <w:color w:val="auto"/>
                      <w:lang w:val="en-US" w:eastAsia="zh-CN"/>
                    </w:rPr>
                    <w:t>b</w:t>
                  </w:r>
                  <w:r>
                    <w:rPr>
                      <w:rFonts w:hint="default" w:ascii="Times New Roman" w:hAnsi="Times New Roman" w:cs="Times New Roman"/>
                      <w:color w:val="auto"/>
                    </w:rPr>
                    <w:t>≥1.5m，K≤1.0×10</w:t>
                  </w:r>
                  <w:r>
                    <w:rPr>
                      <w:rFonts w:hint="default" w:ascii="Times New Roman" w:hAnsi="Times New Roman" w:cs="Times New Roman"/>
                      <w:color w:val="auto"/>
                      <w:vertAlign w:val="superscript"/>
                    </w:rPr>
                    <w:t>-7</w:t>
                  </w:r>
                  <w:r>
                    <w:rPr>
                      <w:rFonts w:hint="default" w:ascii="Times New Roman" w:hAnsi="Times New Roman" w:cs="Times New Roman"/>
                      <w:color w:val="auto"/>
                    </w:rPr>
                    <w:t>cm/s</w:t>
                  </w:r>
                </w:p>
              </w:tc>
            </w:tr>
            <w:tr w14:paraId="68CEF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Merge w:val="continue"/>
                  <w:vAlign w:val="center"/>
                </w:tcPr>
                <w:p w14:paraId="223DDAF5">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p>
              </w:tc>
              <w:tc>
                <w:tcPr>
                  <w:tcW w:w="1128" w:type="dxa"/>
                  <w:vAlign w:val="center"/>
                </w:tcPr>
                <w:p w14:paraId="3A05C025">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重点防渗区</w:t>
                  </w:r>
                </w:p>
              </w:tc>
              <w:tc>
                <w:tcPr>
                  <w:tcW w:w="3121" w:type="dxa"/>
                  <w:vAlign w:val="center"/>
                </w:tcPr>
                <w:p w14:paraId="3A751C68">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井口、</w:t>
                  </w:r>
                  <w:r>
                    <w:rPr>
                      <w:rFonts w:hint="default" w:ascii="Times New Roman" w:hAnsi="Times New Roman" w:cs="Times New Roman"/>
                      <w:color w:val="auto"/>
                    </w:rPr>
                    <w:t>发电房、</w:t>
                  </w:r>
                  <w:r>
                    <w:rPr>
                      <w:rFonts w:hint="eastAsia" w:ascii="Times New Roman" w:hAnsi="Times New Roman" w:cs="Times New Roman"/>
                      <w:color w:val="auto"/>
                      <w:lang w:val="en-US" w:eastAsia="zh-CN"/>
                    </w:rPr>
                    <w:t>危险贮存点、</w:t>
                  </w:r>
                  <w:r>
                    <w:rPr>
                      <w:rFonts w:hint="default" w:ascii="Times New Roman" w:hAnsi="Times New Roman" w:cs="Times New Roman"/>
                      <w:color w:val="auto"/>
                    </w:rPr>
                    <w:t>应急放喷池（应急放喷池仅在事故状态下开挖）</w:t>
                  </w:r>
                </w:p>
              </w:tc>
              <w:tc>
                <w:tcPr>
                  <w:tcW w:w="2241" w:type="dxa"/>
                  <w:vAlign w:val="center"/>
                </w:tcPr>
                <w:p w14:paraId="39CF8285">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铺设HDPE防渗膜（渗透系数不大于10</w:t>
                  </w:r>
                  <w:r>
                    <w:rPr>
                      <w:rFonts w:hint="default" w:ascii="Times New Roman" w:hAnsi="Times New Roman" w:cs="Times New Roman"/>
                      <w:color w:val="auto"/>
                      <w:vertAlign w:val="superscript"/>
                    </w:rPr>
                    <w:t>-10</w:t>
                  </w:r>
                  <w:r>
                    <w:rPr>
                      <w:rFonts w:hint="default" w:ascii="Times New Roman" w:hAnsi="Times New Roman" w:cs="Times New Roman"/>
                      <w:color w:val="auto"/>
                    </w:rPr>
                    <w:t>cm/s）或者采取铺设渗透系数不大于10</w:t>
                  </w:r>
                  <w:r>
                    <w:rPr>
                      <w:rFonts w:hint="default" w:ascii="Times New Roman" w:hAnsi="Times New Roman" w:cs="Times New Roman"/>
                      <w:color w:val="auto"/>
                      <w:vertAlign w:val="superscript"/>
                    </w:rPr>
                    <w:t>-10</w:t>
                  </w:r>
                  <w:r>
                    <w:rPr>
                      <w:rFonts w:hint="default" w:ascii="Times New Roman" w:hAnsi="Times New Roman" w:cs="Times New Roman"/>
                      <w:color w:val="auto"/>
                    </w:rPr>
                    <w:t>cm/s、其他人工材料的防渗措施</w:t>
                  </w:r>
                </w:p>
              </w:tc>
            </w:tr>
            <w:tr w14:paraId="7CFDF7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81" w:type="dxa"/>
                  <w:vMerge w:val="continue"/>
                  <w:vAlign w:val="center"/>
                </w:tcPr>
                <w:p w14:paraId="68368E57">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p>
              </w:tc>
              <w:tc>
                <w:tcPr>
                  <w:tcW w:w="1128" w:type="dxa"/>
                  <w:vAlign w:val="center"/>
                </w:tcPr>
                <w:p w14:paraId="0FFF89C8">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spacing w:val="-4"/>
                    </w:rPr>
                    <w:t>简单防渗区</w:t>
                  </w:r>
                </w:p>
              </w:tc>
              <w:tc>
                <w:tcPr>
                  <w:tcW w:w="3121" w:type="dxa"/>
                  <w:vAlign w:val="center"/>
                </w:tcPr>
                <w:p w14:paraId="59557FE4">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值班房</w:t>
                  </w:r>
                </w:p>
              </w:tc>
              <w:tc>
                <w:tcPr>
                  <w:tcW w:w="2241" w:type="dxa"/>
                  <w:vAlign w:val="center"/>
                </w:tcPr>
                <w:p w14:paraId="40183D8C">
                  <w:pPr>
                    <w:pStyle w:val="45"/>
                    <w:keepNext w:val="0"/>
                    <w:keepLines w:val="0"/>
                    <w:pageBreakBefore w:val="0"/>
                    <w:widowControl w:val="0"/>
                    <w:kinsoku/>
                    <w:overflowPunct/>
                    <w:topLinePunct w:val="0"/>
                    <w:autoSpaceDE/>
                    <w:autoSpaceDN/>
                    <w:bidi w:val="0"/>
                    <w:adjustRightInd/>
                    <w:snapToGrid/>
                    <w:spacing w:line="240" w:lineRule="exact"/>
                    <w:contextualSpacing/>
                    <w:textAlignment w:val="auto"/>
                    <w:rPr>
                      <w:rFonts w:hint="default" w:ascii="Times New Roman" w:hAnsi="Times New Roman" w:cs="Times New Roman"/>
                      <w:color w:val="auto"/>
                    </w:rPr>
                  </w:pPr>
                  <w:r>
                    <w:rPr>
                      <w:rFonts w:hint="default" w:ascii="Times New Roman" w:hAnsi="Times New Roman" w:cs="Times New Roman"/>
                      <w:color w:val="auto"/>
                    </w:rPr>
                    <w:t>一般地面硬化</w:t>
                  </w:r>
                </w:p>
              </w:tc>
            </w:tr>
          </w:tbl>
          <w:p w14:paraId="35FAB936">
            <w:pPr>
              <w:keepNext w:val="0"/>
              <w:keepLines w:val="0"/>
              <w:pageBreakBefore w:val="0"/>
              <w:widowControl/>
              <w:tabs>
                <w:tab w:val="left" w:pos="4584"/>
              </w:tabs>
              <w:kinsoku/>
              <w:wordWrap/>
              <w:overflowPunct/>
              <w:topLinePunct w:val="0"/>
              <w:bidi w:val="0"/>
              <w:adjustRightInd w:val="0"/>
              <w:snapToGrid w:val="0"/>
              <w:spacing w:line="500" w:lineRule="exact"/>
              <w:ind w:firstLine="464" w:firstLineChars="200"/>
              <w:textAlignment w:val="auto"/>
              <w:rPr>
                <w:rFonts w:hint="default" w:ascii="Times New Roman" w:hAnsi="Times New Roman" w:cs="Times New Roman"/>
                <w:color w:val="auto"/>
                <w:spacing w:val="-4"/>
                <w:highlight w:val="none"/>
              </w:rPr>
            </w:pPr>
            <w:r>
              <w:rPr>
                <w:rFonts w:hint="default" w:ascii="Times New Roman" w:hAnsi="Times New Roman" w:cs="Times New Roman"/>
                <w:color w:val="auto"/>
                <w:spacing w:val="-4"/>
                <w:highlight w:val="none"/>
                <w:lang w:bidi="ar"/>
              </w:rPr>
              <w:t>建设单位应监督施工单位严格</w:t>
            </w:r>
            <w:r>
              <w:rPr>
                <w:rFonts w:hint="default" w:ascii="Times New Roman" w:hAnsi="Times New Roman" w:cs="Times New Roman"/>
                <w:color w:val="auto"/>
                <w:spacing w:val="-4"/>
                <w:highlight w:val="none"/>
                <w:lang w:val="en-US" w:eastAsia="zh-CN" w:bidi="ar"/>
              </w:rPr>
              <w:t>按照上述</w:t>
            </w:r>
            <w:r>
              <w:rPr>
                <w:rFonts w:hint="default" w:ascii="Times New Roman" w:hAnsi="Times New Roman" w:cs="Times New Roman"/>
                <w:color w:val="auto"/>
                <w:spacing w:val="-4"/>
                <w:highlight w:val="none"/>
                <w:lang w:bidi="ar"/>
              </w:rPr>
              <w:t>分区防渗要求执行，以确保防渗措施的落实和有效性。</w:t>
            </w:r>
          </w:p>
          <w:p w14:paraId="6EA01538">
            <w:pPr>
              <w:keepNext w:val="0"/>
              <w:keepLines w:val="0"/>
              <w:pageBreakBefore w:val="0"/>
              <w:widowControl/>
              <w:tabs>
                <w:tab w:val="left" w:pos="4584"/>
              </w:tabs>
              <w:kinsoku/>
              <w:wordWrap/>
              <w:overflowPunct/>
              <w:topLinePunct w:val="0"/>
              <w:bidi w:val="0"/>
              <w:adjustRightInd w:val="0"/>
              <w:snapToGrid w:val="0"/>
              <w:spacing w:line="500" w:lineRule="exact"/>
              <w:ind w:firstLine="464" w:firstLineChars="200"/>
              <w:textAlignment w:val="auto"/>
              <w:rPr>
                <w:rFonts w:hint="default" w:ascii="Times New Roman" w:hAnsi="Times New Roman" w:cs="Times New Roman"/>
                <w:color w:val="auto"/>
                <w:spacing w:val="-4"/>
                <w:highlight w:val="none"/>
              </w:rPr>
            </w:pPr>
            <w:r>
              <w:rPr>
                <w:rFonts w:hint="default" w:ascii="Times New Roman" w:hAnsi="Times New Roman" w:cs="Times New Roman"/>
                <w:color w:val="auto"/>
                <w:spacing w:val="-4"/>
                <w:highlight w:val="none"/>
              </w:rPr>
              <w:t>（2）</w:t>
            </w:r>
            <w:bookmarkStart w:id="72" w:name="OLE_LINK125"/>
            <w:r>
              <w:rPr>
                <w:rFonts w:hint="default" w:ascii="Times New Roman" w:hAnsi="Times New Roman" w:cs="Times New Roman"/>
                <w:color w:val="auto"/>
                <w:spacing w:val="-4"/>
                <w:highlight w:val="none"/>
              </w:rPr>
              <w:t>钻井时采用套管与地层隔离开、并在套管与地层之间注入水泥进行固井，水泥浆返至地面，封隔疏松地层和水层。</w:t>
            </w:r>
          </w:p>
          <w:bookmarkEnd w:id="72"/>
          <w:p w14:paraId="2286BB7C">
            <w:pPr>
              <w:keepNext w:val="0"/>
              <w:keepLines w:val="0"/>
              <w:pageBreakBefore w:val="0"/>
              <w:widowControl/>
              <w:tabs>
                <w:tab w:val="left" w:pos="4584"/>
              </w:tabs>
              <w:kinsoku/>
              <w:wordWrap/>
              <w:overflowPunct/>
              <w:topLinePunct w:val="0"/>
              <w:bidi w:val="0"/>
              <w:adjustRightInd w:val="0"/>
              <w:snapToGrid w:val="0"/>
              <w:spacing w:line="500" w:lineRule="exact"/>
              <w:ind w:firstLine="464" w:firstLineChars="200"/>
              <w:textAlignment w:val="auto"/>
              <w:rPr>
                <w:rFonts w:hint="eastAsia" w:ascii="Times New Roman" w:hAnsi="Times New Roman" w:eastAsia="宋体" w:cs="Times New Roman"/>
                <w:color w:val="auto"/>
                <w:spacing w:val="-4"/>
                <w:highlight w:val="none"/>
              </w:rPr>
            </w:pPr>
            <w:bookmarkStart w:id="73" w:name="_Hlk183361829"/>
            <w:r>
              <w:rPr>
                <w:rFonts w:hint="default" w:ascii="Times New Roman" w:hAnsi="Times New Roman" w:eastAsia="宋体" w:cs="Times New Roman"/>
                <w:color w:val="auto"/>
                <w:spacing w:val="-4"/>
                <w:highlight w:val="none"/>
              </w:rPr>
              <w:t>（3）钻井时严格落实套管下入深度合格和固井质量合格，对产生的</w:t>
            </w:r>
            <w:r>
              <w:rPr>
                <w:rFonts w:hint="eastAsia" w:ascii="Times New Roman" w:hAnsi="Times New Roman" w:eastAsia="宋体" w:cs="Times New Roman"/>
                <w:color w:val="auto"/>
                <w:spacing w:val="-4"/>
                <w:highlight w:val="none"/>
              </w:rPr>
              <w:t>洗井废水、压裂返排液、水基钻井岩屑、油基钻井岩屑、沾油废防渗材料、废润滑油、废润滑油桶</w:t>
            </w:r>
            <w:r>
              <w:rPr>
                <w:rFonts w:hint="default" w:ascii="Times New Roman" w:hAnsi="Times New Roman" w:eastAsia="宋体" w:cs="Times New Roman"/>
                <w:color w:val="auto"/>
                <w:spacing w:val="-4"/>
                <w:highlight w:val="none"/>
              </w:rPr>
              <w:t>严格管理</w:t>
            </w:r>
            <w:r>
              <w:rPr>
                <w:rFonts w:hint="eastAsia" w:ascii="Times New Roman" w:hAnsi="Times New Roman" w:eastAsia="宋体" w:cs="Times New Roman"/>
                <w:color w:val="auto"/>
                <w:spacing w:val="-4"/>
                <w:highlight w:val="none"/>
              </w:rPr>
              <w:t>，禁止乱排。</w:t>
            </w:r>
          </w:p>
          <w:bookmarkEnd w:id="73"/>
          <w:p w14:paraId="495828FE">
            <w:pPr>
              <w:pStyle w:val="35"/>
              <w:keepNext w:val="0"/>
              <w:keepLines w:val="0"/>
              <w:pageBreakBefore w:val="0"/>
              <w:kinsoku/>
              <w:wordWrap/>
              <w:overflowPunct/>
              <w:topLinePunct w:val="0"/>
              <w:bidi w:val="0"/>
              <w:spacing w:line="500" w:lineRule="exact"/>
              <w:ind w:firstLine="480"/>
              <w:textAlignment w:val="auto"/>
              <w:rPr>
                <w:rFonts w:hint="eastAsia"/>
                <w:color w:val="auto"/>
              </w:rPr>
            </w:pPr>
            <w:r>
              <w:rPr>
                <w:rFonts w:hint="eastAsia" w:cs="宋体"/>
                <w:color w:val="auto"/>
              </w:rPr>
              <w:t>（</w:t>
            </w:r>
            <w:r>
              <w:rPr>
                <w:rFonts w:hint="eastAsia" w:cs="宋体"/>
                <w:color w:val="auto"/>
                <w:lang w:val="en-US" w:eastAsia="zh-CN"/>
              </w:rPr>
              <w:t>4</w:t>
            </w:r>
            <w:r>
              <w:rPr>
                <w:rFonts w:hint="eastAsia" w:cs="宋体"/>
                <w:color w:val="auto"/>
              </w:rPr>
              <w:t>）加强施工单位和运输车辆的管理，严禁废水随意排放或倾倒。</w:t>
            </w:r>
            <w:r>
              <w:rPr>
                <w:rFonts w:hint="eastAsia" w:cs="宋体"/>
                <w:color w:val="auto"/>
                <w:kern w:val="0"/>
              </w:rPr>
              <w:t>加强对工作人员防治水污染的宣传教育及管理。</w:t>
            </w:r>
          </w:p>
          <w:p w14:paraId="55385540">
            <w:pPr>
              <w:pStyle w:val="32"/>
              <w:keepNext w:val="0"/>
              <w:keepLines w:val="0"/>
              <w:pageBreakBefore w:val="0"/>
              <w:kinsoku/>
              <w:wordWrap/>
              <w:overflowPunct/>
              <w:topLinePunct w:val="0"/>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rPr>
              <w:t>采取上述措施后，</w:t>
            </w:r>
            <w:r>
              <w:rPr>
                <w:rFonts w:hint="default" w:ascii="Times New Roman" w:hAnsi="Times New Roman" w:cs="Times New Roman"/>
                <w:color w:val="auto"/>
                <w:lang w:val="en-US" w:eastAsia="zh-CN"/>
              </w:rPr>
              <w:t>本项目</w:t>
            </w:r>
            <w:r>
              <w:rPr>
                <w:rFonts w:hint="default" w:ascii="Times New Roman" w:hAnsi="Times New Roman" w:cs="Times New Roman"/>
                <w:color w:val="auto"/>
              </w:rPr>
              <w:t>不会对地下水环境和土壤环境造成不利影响。</w:t>
            </w:r>
          </w:p>
          <w:p w14:paraId="6D2B4859">
            <w:pPr>
              <w:pStyle w:val="32"/>
              <w:keepNext w:val="0"/>
              <w:keepLines w:val="0"/>
              <w:pageBreakBefore w:val="0"/>
              <w:kinsoku/>
              <w:wordWrap/>
              <w:overflowPunct/>
              <w:topLinePunct w:val="0"/>
              <w:bidi w:val="0"/>
              <w:spacing w:line="500" w:lineRule="exact"/>
              <w:ind w:firstLine="482"/>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5</w:t>
            </w:r>
            <w:r>
              <w:rPr>
                <w:rFonts w:hint="default" w:ascii="Times New Roman" w:hAnsi="Times New Roman" w:cs="Times New Roman"/>
                <w:b/>
                <w:bCs/>
                <w:color w:val="auto"/>
              </w:rPr>
              <w:t>、噪声污染防治措施</w:t>
            </w:r>
          </w:p>
          <w:p w14:paraId="24CA039F">
            <w:pPr>
              <w:pStyle w:val="32"/>
              <w:keepNext w:val="0"/>
              <w:keepLines w:val="0"/>
              <w:pageBreakBefore w:val="0"/>
              <w:kinsoku/>
              <w:wordWrap/>
              <w:overflowPunct/>
              <w:topLinePunct w:val="0"/>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rPr>
              <w:t>施工机械采用低噪声设备；加强设备维护及保养，对噪声较大的设备采取基础减震措施；加强施工场地管理，合理疏导进入施工区的车辆，禁止运输车辆随意高声鸣笛。</w:t>
            </w:r>
          </w:p>
          <w:p w14:paraId="30835ED7">
            <w:pPr>
              <w:pStyle w:val="32"/>
              <w:keepNext w:val="0"/>
              <w:keepLines w:val="0"/>
              <w:pageBreakBefore w:val="0"/>
              <w:kinsoku/>
              <w:wordWrap/>
              <w:overflowPunct/>
              <w:topLinePunct w:val="0"/>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rPr>
              <w:t>在采取上述措施后，施工噪声不会对区域声环境产生明显影响。</w:t>
            </w:r>
          </w:p>
          <w:p w14:paraId="3ADA3626">
            <w:pPr>
              <w:keepNext w:val="0"/>
              <w:keepLines w:val="0"/>
              <w:pageBreakBefore w:val="0"/>
              <w:kinsoku/>
              <w:wordWrap/>
              <w:overflowPunct/>
              <w:topLinePunct w:val="0"/>
              <w:bidi w:val="0"/>
              <w:snapToGrid w:val="0"/>
              <w:spacing w:line="500" w:lineRule="exact"/>
              <w:ind w:firstLine="482" w:firstLineChars="200"/>
              <w:textAlignment w:val="auto"/>
              <w:rPr>
                <w:rFonts w:hint="default" w:ascii="Times New Roman" w:hAnsi="Times New Roman" w:cs="Times New Roman"/>
                <w:b/>
                <w:bCs/>
                <w:color w:val="auto"/>
              </w:rPr>
            </w:pPr>
            <w:bookmarkStart w:id="74" w:name="_Hlk183349956"/>
            <w:bookmarkStart w:id="75" w:name="_Hlk143015311"/>
            <w:bookmarkStart w:id="76" w:name="_Hlk136795812"/>
            <w:r>
              <w:rPr>
                <w:rFonts w:hint="default" w:ascii="Times New Roman" w:hAnsi="Times New Roman" w:cs="Times New Roman"/>
                <w:b/>
                <w:bCs/>
                <w:color w:val="auto"/>
                <w:lang w:val="en-US" w:eastAsia="zh-CN" w:bidi="ar"/>
              </w:rPr>
              <w:t>6</w:t>
            </w:r>
            <w:r>
              <w:rPr>
                <w:rFonts w:hint="default" w:ascii="Times New Roman" w:hAnsi="Times New Roman" w:cs="Times New Roman"/>
                <w:b/>
                <w:bCs/>
                <w:color w:val="auto"/>
                <w:lang w:bidi="ar"/>
              </w:rPr>
              <w:t>、固体废物处置措施</w:t>
            </w:r>
            <w:bookmarkEnd w:id="74"/>
          </w:p>
          <w:p w14:paraId="037A429F">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auto"/>
                <w:lang w:val="en-US" w:eastAsia="zh-CN"/>
              </w:rPr>
            </w:pPr>
            <w:bookmarkStart w:id="77" w:name="_Hlk183355720"/>
            <w:r>
              <w:rPr>
                <w:rFonts w:hint="default" w:ascii="Times New Roman" w:hAnsi="Times New Roman" w:cs="Times New Roman"/>
                <w:color w:val="auto"/>
              </w:rPr>
              <w:t>固体废物主要为</w:t>
            </w:r>
            <w:r>
              <w:rPr>
                <w:rFonts w:hint="eastAsia" w:cs="Times New Roman"/>
                <w:color w:val="auto"/>
                <w:lang w:val="en-US" w:eastAsia="zh-CN"/>
              </w:rPr>
              <w:t>钻井岩屑、沾油废防渗材料、废润滑油及废润滑油桶、落地油、沾油废劳保用品、生活垃圾和建筑垃圾。</w:t>
            </w:r>
          </w:p>
          <w:p w14:paraId="1A5A34F1">
            <w:pPr>
              <w:keepNext w:val="0"/>
              <w:keepLines w:val="0"/>
              <w:pageBreakBefore w:val="0"/>
              <w:kinsoku/>
              <w:wordWrap/>
              <w:overflowPunct/>
              <w:topLinePunct w:val="0"/>
              <w:bidi w:val="0"/>
              <w:snapToGrid w:val="0"/>
              <w:spacing w:line="500" w:lineRule="exact"/>
              <w:ind w:firstLine="480" w:firstLineChars="200"/>
              <w:textAlignment w:val="auto"/>
              <w:rPr>
                <w:rFonts w:hint="eastAsia" w:ascii="Times New Roman" w:hAnsi="Times New Roman" w:eastAsia="宋体" w:cs="Times New Roman"/>
                <w:color w:val="auto"/>
                <w:lang w:val="en-US" w:eastAsia="zh-CN" w:bidi="ar"/>
              </w:rPr>
            </w:pPr>
            <w:r>
              <w:rPr>
                <w:rFonts w:hint="default" w:ascii="Times New Roman" w:hAnsi="Times New Roman" w:cs="Times New Roman"/>
                <w:color w:val="auto"/>
                <w:lang w:bidi="ar"/>
              </w:rPr>
              <w:t>（1）</w:t>
            </w:r>
            <w:r>
              <w:rPr>
                <w:rFonts w:hint="eastAsia" w:cs="Times New Roman"/>
                <w:color w:val="auto"/>
                <w:lang w:val="en-US" w:eastAsia="zh-CN" w:bidi="ar"/>
              </w:rPr>
              <w:t>钻井岩屑</w:t>
            </w:r>
          </w:p>
          <w:p w14:paraId="476C3681">
            <w:pPr>
              <w:keepNext w:val="0"/>
              <w:keepLines w:val="0"/>
              <w:pageBreakBefore w:val="0"/>
              <w:kinsoku/>
              <w:wordWrap/>
              <w:overflowPunct/>
              <w:topLinePunct w:val="0"/>
              <w:bidi w:val="0"/>
              <w:snapToGrid w:val="0"/>
              <w:spacing w:line="500" w:lineRule="exact"/>
              <w:ind w:firstLine="480" w:firstLineChars="200"/>
              <w:textAlignment w:val="auto"/>
              <w:rPr>
                <w:rFonts w:hint="default" w:ascii="Times New Roman" w:hAnsi="Times New Roman" w:cs="Times New Roman"/>
                <w:color w:val="auto"/>
              </w:rPr>
            </w:pPr>
            <w:r>
              <w:rPr>
                <w:rFonts w:hint="eastAsia" w:cs="Times New Roman"/>
                <w:color w:val="auto"/>
                <w:lang w:val="en-US" w:eastAsia="zh-CN" w:bidi="ar"/>
              </w:rPr>
              <w:t>①</w:t>
            </w:r>
            <w:r>
              <w:rPr>
                <w:rFonts w:hint="default" w:ascii="Times New Roman" w:hAnsi="Times New Roman" w:cs="Times New Roman"/>
                <w:color w:val="auto"/>
                <w:lang w:bidi="ar"/>
              </w:rPr>
              <w:t>水基钻井岩屑</w:t>
            </w:r>
          </w:p>
          <w:p w14:paraId="302A1160">
            <w:pPr>
              <w:pStyle w:val="111"/>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default" w:ascii="Times New Roman" w:hAnsi="Times New Roman" w:cs="Times New Roman"/>
                <w:color w:val="auto"/>
                <w:lang w:val="en-US" w:eastAsia="zh-CN"/>
              </w:rPr>
            </w:pPr>
            <w:bookmarkStart w:id="78" w:name="_Hlk183357572"/>
            <w:r>
              <w:rPr>
                <w:rFonts w:hint="default" w:ascii="Times New Roman" w:hAnsi="Times New Roman" w:cs="Times New Roman"/>
                <w:color w:val="auto"/>
                <w:lang w:val="en-US" w:eastAsia="zh-CN"/>
              </w:rPr>
              <w:t>本项目</w:t>
            </w:r>
            <w:r>
              <w:rPr>
                <w:rFonts w:hint="eastAsia" w:cs="Times New Roman"/>
                <w:color w:val="auto"/>
                <w:lang w:val="en-US" w:eastAsia="zh-CN"/>
              </w:rPr>
              <w:t>一开和二开</w:t>
            </w:r>
            <w:r>
              <w:rPr>
                <w:rFonts w:hint="default" w:ascii="Times New Roman" w:hAnsi="Times New Roman" w:cs="Times New Roman"/>
                <w:color w:val="auto"/>
              </w:rPr>
              <w:t>采用水基钻井液，钻井时井筒返排的钻井液及岩屑经不落地设备分离，分离出的液相回用于水基钻井液配置，分离出的水基钻井岩屑暂存于水基钻井岩屑方罐中</w:t>
            </w:r>
            <w:bookmarkStart w:id="79" w:name="_Hlk69139413"/>
            <w:r>
              <w:rPr>
                <w:rFonts w:hint="default" w:ascii="Times New Roman" w:hAnsi="Times New Roman" w:cs="Times New Roman"/>
                <w:color w:val="auto"/>
              </w:rPr>
              <w:t>，水基钻井岩屑属于一般工业固体废物，根据《固体废物分类与代码目录（2024年）》，水基钻井岩屑废物种类为SW12钻井岩屑（废物代码：071-001-S12）</w:t>
            </w:r>
            <w:r>
              <w:rPr>
                <w:rFonts w:hint="eastAsia" w:cs="Times New Roman"/>
                <w:color w:val="auto"/>
                <w:lang w:eastAsia="zh-CN"/>
              </w:rPr>
              <w:t>，</w:t>
            </w:r>
            <w:r>
              <w:rPr>
                <w:rFonts w:hint="default" w:ascii="Times New Roman" w:hAnsi="Times New Roman" w:cs="Times New Roman"/>
                <w:color w:val="auto"/>
                <w:lang w:val="en-US" w:eastAsia="zh-CN"/>
              </w:rPr>
              <w:t>委托具有相应经营许可单位清运</w:t>
            </w:r>
            <w:r>
              <w:rPr>
                <w:rFonts w:hint="eastAsia" w:cs="Times New Roman"/>
                <w:color w:val="auto"/>
                <w:lang w:val="en-US" w:eastAsia="zh-CN"/>
              </w:rPr>
              <w:t>并</w:t>
            </w:r>
            <w:r>
              <w:rPr>
                <w:rFonts w:hint="default" w:ascii="Times New Roman" w:hAnsi="Times New Roman" w:cs="Times New Roman"/>
                <w:color w:val="auto"/>
                <w:lang w:val="en-US" w:eastAsia="zh-CN"/>
              </w:rPr>
              <w:t>处置。</w:t>
            </w:r>
          </w:p>
          <w:p w14:paraId="63C7FED9">
            <w:pPr>
              <w:pStyle w:val="111"/>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default" w:ascii="Times New Roman" w:hAnsi="Times New Roman" w:cs="Times New Roman"/>
                <w:color w:val="auto"/>
                <w:lang w:val="en-US" w:eastAsia="zh-CN"/>
              </w:rPr>
            </w:pPr>
          </w:p>
          <w:p w14:paraId="7D099BD7">
            <w:pPr>
              <w:pStyle w:val="111"/>
              <w:keepLines w:val="0"/>
              <w:pageBreakBefore w:val="0"/>
              <w:widowControl w:val="0"/>
              <w:kinsoku/>
              <w:wordWrap/>
              <w:overflowPunct/>
              <w:topLinePunct w:val="0"/>
              <w:bidi w:val="0"/>
              <w:spacing w:line="500" w:lineRule="exact"/>
              <w:textAlignment w:val="auto"/>
              <w:rPr>
                <w:rFonts w:hint="default" w:ascii="Times New Roman" w:hAnsi="Times New Roman" w:cs="Times New Roman"/>
                <w:color w:val="auto"/>
                <w:lang w:val="en-US" w:eastAsia="zh-CN"/>
              </w:rPr>
            </w:pPr>
            <w:r>
              <w:rPr>
                <w:color w:val="auto"/>
              </w:rPr>
              <mc:AlternateContent>
                <mc:Choice Requires="wpc">
                  <w:drawing>
                    <wp:anchor distT="0" distB="0" distL="114300" distR="114300" simplePos="0" relativeHeight="251667456" behindDoc="0" locked="0" layoutInCell="1" allowOverlap="1">
                      <wp:simplePos x="0" y="0"/>
                      <wp:positionH relativeFrom="column">
                        <wp:posOffset>-43180</wp:posOffset>
                      </wp:positionH>
                      <wp:positionV relativeFrom="paragraph">
                        <wp:posOffset>18415</wp:posOffset>
                      </wp:positionV>
                      <wp:extent cx="4617720" cy="1367155"/>
                      <wp:effectExtent l="0" t="0" r="10160" b="4445"/>
                      <wp:wrapNone/>
                      <wp:docPr id="86" name="画布 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2" name="矩形 72"/>
                              <wps:cNvSpPr/>
                              <wps:spPr>
                                <a:xfrm>
                                  <a:off x="3571240" y="92710"/>
                                  <a:ext cx="1046480" cy="91821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5795F9B">
                                    <w:pPr>
                                      <w:jc w:val="center"/>
                                      <w:rPr>
                                        <w:color w:val="000000"/>
                                        <w:sz w:val="21"/>
                                        <w:szCs w:val="21"/>
                                      </w:rPr>
                                    </w:pPr>
                                    <w:r>
                                      <w:rPr>
                                        <w:rFonts w:hint="eastAsia"/>
                                        <w:color w:val="000000"/>
                                        <w:sz w:val="21"/>
                                        <w:szCs w:val="21"/>
                                      </w:rPr>
                                      <w:t>岩屑方罐暂存后</w:t>
                                    </w:r>
                                    <w:r>
                                      <w:rPr>
                                        <w:rFonts w:hint="eastAsia"/>
                                        <w:color w:val="000000"/>
                                        <w:sz w:val="21"/>
                                        <w:szCs w:val="21"/>
                                        <w:lang w:val="en-US" w:eastAsia="zh-CN"/>
                                      </w:rPr>
                                      <w:t>委托第三方岩屑处置单位</w:t>
                                    </w:r>
                                    <w:r>
                                      <w:rPr>
                                        <w:rFonts w:hint="eastAsia"/>
                                        <w:color w:val="000000"/>
                                        <w:sz w:val="21"/>
                                        <w:szCs w:val="21"/>
                                      </w:rPr>
                                      <w:t>外拉运处置</w:t>
                                    </w:r>
                                  </w:p>
                                </w:txbxContent>
                              </wps:txbx>
                              <wps:bodyPr anchor="ctr" anchorCtr="0" upright="1"/>
                            </wps:wsp>
                            <wps:wsp>
                              <wps:cNvPr id="73" name="直接箭头连接符 73"/>
                              <wps:cNvCnPr/>
                              <wps:spPr>
                                <a:xfrm flipV="1">
                                  <a:off x="2871048" y="542922"/>
                                  <a:ext cx="700509" cy="2500"/>
                                </a:xfrm>
                                <a:prstGeom prst="straightConnector1">
                                  <a:avLst/>
                                </a:prstGeom>
                                <a:ln w="9525" cap="flat" cmpd="sng">
                                  <a:solidFill>
                                    <a:srgbClr val="000000"/>
                                  </a:solidFill>
                                  <a:prstDash val="solid"/>
                                  <a:headEnd type="none" w="med" len="med"/>
                                  <a:tailEnd type="arrow" w="med" len="med"/>
                                </a:ln>
                              </wps:spPr>
                              <wps:bodyPr/>
                            </wps:wsp>
                            <wps:wsp>
                              <wps:cNvPr id="74" name="矩形 74"/>
                              <wps:cNvSpPr/>
                              <wps:spPr>
                                <a:xfrm>
                                  <a:off x="1934902" y="1104244"/>
                                  <a:ext cx="1397218" cy="262911"/>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C558D00">
                                    <w:pPr>
                                      <w:jc w:val="center"/>
                                      <w:rPr>
                                        <w:color w:val="000000"/>
                                        <w:sz w:val="21"/>
                                        <w:szCs w:val="21"/>
                                      </w:rPr>
                                    </w:pPr>
                                    <w:r>
                                      <w:rPr>
                                        <w:rFonts w:hint="eastAsia"/>
                                        <w:color w:val="000000"/>
                                        <w:sz w:val="21"/>
                                        <w:szCs w:val="21"/>
                                      </w:rPr>
                                      <w:t>回用于钻井液配置</w:t>
                                    </w:r>
                                  </w:p>
                                </w:txbxContent>
                              </wps:txbx>
                              <wps:bodyPr anchor="ctr" anchorCtr="0" upright="1"/>
                            </wps:wsp>
                            <wps:wsp>
                              <wps:cNvPr id="75" name="直接箭头连接符 75"/>
                              <wps:cNvCnPr/>
                              <wps:spPr>
                                <a:xfrm>
                                  <a:off x="2632911" y="676927"/>
                                  <a:ext cx="600" cy="427317"/>
                                </a:xfrm>
                                <a:prstGeom prst="straightConnector1">
                                  <a:avLst/>
                                </a:prstGeom>
                                <a:ln w="9525" cap="flat" cmpd="sng">
                                  <a:solidFill>
                                    <a:srgbClr val="000000"/>
                                  </a:solidFill>
                                  <a:prstDash val="solid"/>
                                  <a:headEnd type="none" w="med" len="med"/>
                                  <a:tailEnd type="arrow" w="med" len="med"/>
                                </a:ln>
                              </wps:spPr>
                              <wps:bodyPr/>
                            </wps:wsp>
                            <wps:wsp>
                              <wps:cNvPr id="76" name="矩形 76"/>
                              <wps:cNvSpPr/>
                              <wps:spPr>
                                <a:xfrm>
                                  <a:off x="2594805" y="751230"/>
                                  <a:ext cx="469273" cy="262911"/>
                                </a:xfrm>
                                <a:prstGeom prst="rect">
                                  <a:avLst/>
                                </a:prstGeom>
                                <a:noFill/>
                                <a:ln w="6350">
                                  <a:noFill/>
                                </a:ln>
                              </wps:spPr>
                              <wps:txbx>
                                <w:txbxContent>
                                  <w:p w14:paraId="490EDFF6">
                                    <w:pPr>
                                      <w:jc w:val="center"/>
                                      <w:rPr>
                                        <w:color w:val="000000"/>
                                        <w:sz w:val="18"/>
                                        <w:szCs w:val="18"/>
                                      </w:rPr>
                                    </w:pPr>
                                    <w:r>
                                      <w:rPr>
                                        <w:rFonts w:hint="eastAsia"/>
                                        <w:color w:val="000000"/>
                                        <w:sz w:val="18"/>
                                        <w:szCs w:val="18"/>
                                      </w:rPr>
                                      <w:t>液相</w:t>
                                    </w:r>
                                  </w:p>
                                </w:txbxContent>
                              </wps:txbx>
                              <wps:bodyPr anchor="ctr" anchorCtr="0" upright="1"/>
                            </wps:wsp>
                            <wps:wsp>
                              <wps:cNvPr id="77" name="矩形 77"/>
                              <wps:cNvSpPr/>
                              <wps:spPr>
                                <a:xfrm>
                                  <a:off x="2925056" y="290112"/>
                                  <a:ext cx="683307" cy="504320"/>
                                </a:xfrm>
                                <a:prstGeom prst="rect">
                                  <a:avLst/>
                                </a:prstGeom>
                                <a:noFill/>
                                <a:ln w="6350">
                                  <a:noFill/>
                                </a:ln>
                              </wps:spPr>
                              <wps:txbx>
                                <w:txbxContent>
                                  <w:p w14:paraId="5AB2CB97">
                                    <w:pPr>
                                      <w:jc w:val="center"/>
                                      <w:rPr>
                                        <w:color w:val="000000"/>
                                        <w:sz w:val="18"/>
                                        <w:szCs w:val="18"/>
                                      </w:rPr>
                                    </w:pPr>
                                    <w:r>
                                      <w:rPr>
                                        <w:rFonts w:hint="eastAsia"/>
                                        <w:color w:val="000000"/>
                                        <w:sz w:val="18"/>
                                        <w:szCs w:val="18"/>
                                      </w:rPr>
                                      <w:t>水基钻井岩屑</w:t>
                                    </w:r>
                                  </w:p>
                                </w:txbxContent>
                              </wps:txbx>
                              <wps:bodyPr anchor="ctr" anchorCtr="0" upright="1"/>
                            </wps:wsp>
                            <wps:wsp>
                              <wps:cNvPr id="78" name="矩形 78"/>
                              <wps:cNvSpPr/>
                              <wps:spPr>
                                <a:xfrm>
                                  <a:off x="35906" y="315513"/>
                                  <a:ext cx="783122" cy="470619"/>
                                </a:xfrm>
                                <a:prstGeom prst="rect">
                                  <a:avLst/>
                                </a:prstGeom>
                                <a:noFill/>
                                <a:ln w="6350">
                                  <a:noFill/>
                                </a:ln>
                              </wps:spPr>
                              <wps:txbx>
                                <w:txbxContent>
                                  <w:p w14:paraId="183936ED">
                                    <w:pPr>
                                      <w:jc w:val="center"/>
                                      <w:rPr>
                                        <w:color w:val="000000"/>
                                        <w:sz w:val="21"/>
                                        <w:szCs w:val="21"/>
                                      </w:rPr>
                                    </w:pPr>
                                    <w:r>
                                      <w:rPr>
                                        <w:rFonts w:hint="eastAsia"/>
                                        <w:color w:val="000000"/>
                                        <w:sz w:val="21"/>
                                        <w:szCs w:val="21"/>
                                      </w:rPr>
                                      <w:t>钻井液及岩屑</w:t>
                                    </w:r>
                                  </w:p>
                                </w:txbxContent>
                              </wps:txbx>
                              <wps:bodyPr anchor="ctr" anchorCtr="0" upright="1"/>
                            </wps:wsp>
                            <wps:wsp>
                              <wps:cNvPr id="79" name="矩形 79"/>
                              <wps:cNvSpPr/>
                              <wps:spPr>
                                <a:xfrm>
                                  <a:off x="1598349" y="420917"/>
                                  <a:ext cx="458471" cy="263611"/>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5FCD81E">
                                    <w:pPr>
                                      <w:jc w:val="center"/>
                                      <w:rPr>
                                        <w:color w:val="000000"/>
                                        <w:sz w:val="21"/>
                                        <w:szCs w:val="21"/>
                                      </w:rPr>
                                    </w:pPr>
                                    <w:r>
                                      <w:rPr>
                                        <w:rFonts w:hint="eastAsia"/>
                                        <w:color w:val="000000"/>
                                        <w:sz w:val="21"/>
                                        <w:szCs w:val="21"/>
                                      </w:rPr>
                                      <w:t>振动</w:t>
                                    </w:r>
                                  </w:p>
                                </w:txbxContent>
                              </wps:txbx>
                              <wps:bodyPr anchor="ctr" anchorCtr="0" upright="1"/>
                            </wps:wsp>
                            <wps:wsp>
                              <wps:cNvPr id="80" name="矩形 80"/>
                              <wps:cNvSpPr/>
                              <wps:spPr>
                                <a:xfrm>
                                  <a:off x="2394073" y="413917"/>
                                  <a:ext cx="476974" cy="263011"/>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FFBF5AE">
                                    <w:pPr>
                                      <w:jc w:val="center"/>
                                      <w:rPr>
                                        <w:color w:val="000000"/>
                                        <w:sz w:val="21"/>
                                        <w:szCs w:val="21"/>
                                      </w:rPr>
                                    </w:pPr>
                                    <w:r>
                                      <w:rPr>
                                        <w:rFonts w:hint="eastAsia"/>
                                        <w:color w:val="000000"/>
                                        <w:sz w:val="21"/>
                                        <w:szCs w:val="21"/>
                                      </w:rPr>
                                      <w:t>离心</w:t>
                                    </w:r>
                                  </w:p>
                                </w:txbxContent>
                              </wps:txbx>
                              <wps:bodyPr anchor="ctr" anchorCtr="0" upright="1"/>
                            </wps:wsp>
                            <wps:wsp>
                              <wps:cNvPr id="81" name="直接箭头连接符 81"/>
                              <wps:cNvCnPr/>
                              <wps:spPr>
                                <a:xfrm flipV="1">
                                  <a:off x="2056821" y="545422"/>
                                  <a:ext cx="337253" cy="7700"/>
                                </a:xfrm>
                                <a:prstGeom prst="straightConnector1">
                                  <a:avLst/>
                                </a:prstGeom>
                                <a:ln w="9525" cap="flat" cmpd="sng">
                                  <a:solidFill>
                                    <a:srgbClr val="000000"/>
                                  </a:solidFill>
                                  <a:prstDash val="solid"/>
                                  <a:headEnd type="none" w="med" len="med"/>
                                  <a:tailEnd type="arrow" w="med" len="med"/>
                                </a:ln>
                              </wps:spPr>
                              <wps:bodyPr/>
                            </wps:wsp>
                            <wps:wsp>
                              <wps:cNvPr id="82" name="矩形 82"/>
                              <wps:cNvSpPr/>
                              <wps:spPr>
                                <a:xfrm>
                                  <a:off x="965150" y="179607"/>
                                  <a:ext cx="2031617" cy="579223"/>
                                </a:xfrm>
                                <a:prstGeom prst="rect">
                                  <a:avLst/>
                                </a:prstGeom>
                                <a:solidFill>
                                  <a:srgbClr val="000000">
                                    <a:alpha val="0"/>
                                  </a:srgbClr>
                                </a:solidFill>
                                <a:ln w="25400" cap="flat" cmpd="sng">
                                  <a:solidFill>
                                    <a:srgbClr val="00B0F0"/>
                                  </a:solidFill>
                                  <a:prstDash val="dash"/>
                                  <a:round/>
                                  <a:headEnd type="none" w="med" len="med"/>
                                  <a:tailEnd type="none" w="med" len="med"/>
                                </a:ln>
                              </wps:spPr>
                              <wps:bodyPr anchor="ctr" anchorCtr="0" upright="1"/>
                            </wps:wsp>
                            <wps:wsp>
                              <wps:cNvPr id="83" name="直接箭头连接符 83"/>
                              <wps:cNvCnPr/>
                              <wps:spPr>
                                <a:xfrm>
                                  <a:off x="819028" y="551222"/>
                                  <a:ext cx="779322" cy="1900"/>
                                </a:xfrm>
                                <a:prstGeom prst="straightConnector1">
                                  <a:avLst/>
                                </a:prstGeom>
                                <a:ln w="9525" cap="flat" cmpd="sng">
                                  <a:solidFill>
                                    <a:srgbClr val="000000"/>
                                  </a:solidFill>
                                  <a:prstDash val="solid"/>
                                  <a:headEnd type="none" w="med" len="med"/>
                                  <a:tailEnd type="arrow" w="med" len="med"/>
                                </a:ln>
                              </wps:spPr>
                              <wps:bodyPr/>
                            </wps:wsp>
                            <wps:wsp>
                              <wps:cNvPr id="84" name="矩形 84"/>
                              <wps:cNvSpPr/>
                              <wps:spPr>
                                <a:xfrm>
                                  <a:off x="777875" y="118745"/>
                                  <a:ext cx="1399540" cy="296545"/>
                                </a:xfrm>
                                <a:prstGeom prst="rect">
                                  <a:avLst/>
                                </a:prstGeom>
                                <a:noFill/>
                                <a:ln w="6350">
                                  <a:noFill/>
                                </a:ln>
                              </wps:spPr>
                              <wps:txbx>
                                <w:txbxContent>
                                  <w:p w14:paraId="700CD492">
                                    <w:pPr>
                                      <w:jc w:val="center"/>
                                      <w:rPr>
                                        <w:b/>
                                        <w:bCs/>
                                        <w:color w:val="00B0F0"/>
                                        <w:sz w:val="18"/>
                                        <w:szCs w:val="18"/>
                                      </w:rPr>
                                    </w:pPr>
                                    <w:r>
                                      <w:rPr>
                                        <w:rFonts w:hint="eastAsia"/>
                                        <w:b/>
                                        <w:bCs/>
                                        <w:color w:val="00B0F0"/>
                                        <w:sz w:val="18"/>
                                        <w:szCs w:val="18"/>
                                        <w:lang w:val="en-US" w:eastAsia="zh-CN"/>
                                      </w:rPr>
                                      <w:t>钻井液</w:t>
                                    </w:r>
                                    <w:r>
                                      <w:rPr>
                                        <w:rFonts w:hint="eastAsia"/>
                                        <w:b/>
                                        <w:bCs/>
                                        <w:color w:val="00B0F0"/>
                                        <w:sz w:val="18"/>
                                        <w:szCs w:val="18"/>
                                      </w:rPr>
                                      <w:t>不落地设备</w:t>
                                    </w:r>
                                  </w:p>
                                </w:txbxContent>
                              </wps:txbx>
                              <wps:bodyPr anchor="ctr" anchorCtr="0" upright="1"/>
                            </wps:wsp>
                            <wps:wsp>
                              <wps:cNvPr id="85" name="矩形 85"/>
                              <wps:cNvSpPr/>
                              <wps:spPr>
                                <a:xfrm>
                                  <a:off x="921944" y="288212"/>
                                  <a:ext cx="683307" cy="504320"/>
                                </a:xfrm>
                                <a:prstGeom prst="rect">
                                  <a:avLst/>
                                </a:prstGeom>
                                <a:noFill/>
                                <a:ln w="6350">
                                  <a:noFill/>
                                </a:ln>
                              </wps:spPr>
                              <wps:txbx>
                                <w:txbxContent>
                                  <w:p w14:paraId="3743E65E">
                                    <w:pPr>
                                      <w:jc w:val="center"/>
                                      <w:rPr>
                                        <w:color w:val="000000"/>
                                        <w:sz w:val="18"/>
                                        <w:szCs w:val="18"/>
                                      </w:rPr>
                                    </w:pPr>
                                    <w:r>
                                      <w:rPr>
                                        <w:rFonts w:hint="eastAsia"/>
                                        <w:color w:val="000000"/>
                                        <w:sz w:val="18"/>
                                        <w:szCs w:val="18"/>
                                      </w:rPr>
                                      <w:t>进罐</w:t>
                                    </w:r>
                                  </w:p>
                                  <w:p w14:paraId="42E96B68">
                                    <w:pPr>
                                      <w:jc w:val="center"/>
                                      <w:rPr>
                                        <w:color w:val="000000"/>
                                        <w:sz w:val="18"/>
                                        <w:szCs w:val="18"/>
                                      </w:rPr>
                                    </w:pPr>
                                    <w:r>
                                      <w:rPr>
                                        <w:rFonts w:hint="eastAsia"/>
                                        <w:color w:val="000000"/>
                                        <w:sz w:val="18"/>
                                        <w:szCs w:val="18"/>
                                      </w:rPr>
                                      <w:t>不落地</w:t>
                                    </w:r>
                                  </w:p>
                                </w:txbxContent>
                              </wps:txbx>
                              <wps:bodyPr anchor="ctr" anchorCtr="0" upright="1"/>
                            </wps:wsp>
                          </wpc:wpc>
                        </a:graphicData>
                      </a:graphic>
                    </wp:anchor>
                  </w:drawing>
                </mc:Choice>
                <mc:Fallback>
                  <w:pict>
                    <v:group id="_x0000_s1026" o:spid="_x0000_s1026" o:spt="203" style="position:absolute;left:0pt;margin-left:-3.4pt;margin-top:1.45pt;height:107.65pt;width:363.6pt;z-index:251667456;mso-width-relative:page;mso-height-relative:page;" coordsize="4617720,1367155" editas="canvas" o:gfxdata="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">
                      <o:lock v:ext="edit" aspectratio="f"/>
                      <v:shape id="_x0000_s1026" o:spid="_x0000_s1026" style="position:absolute;left:0;top:0;height:1367155;width:4617720;" filled="f" stroked="f" coordsize="21600,21600" o:gfxdata="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">
                        <v:fill on="f" focussize="0,0"/>
                        <v:stroke on="f"/>
                        <v:imagedata o:title=""/>
                        <o:lock v:ext="edit" aspectratio="t"/>
                      </v:shape>
                      <v:rect id="_x0000_s1026" o:spid="_x0000_s1026" o:spt="1" style="position:absolute;left:3571240;top:92710;height:918210;width:1046480;v-text-anchor:middle;" fillcolor="#FFFFFF" filled="t" stroked="t" coordsize="21600,21600" o:gfxdata="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OU6bDXAAAACAEA&#10;AA8AAAAAAAAAAQAgAAAAIgAAAGRycy9kb3ducmV2LnhtbFBLAQIUABQAAAAIAIdO4kAPtB1HGwIA&#10;AFAEAAAOAAAAAAAAAAEAIAAAACYBAABkcnMvZTJvRG9jLnhtbFBLBQYAAAAABgAGAFkBAACzBQAA&#10;AAA=&#10;">
                        <v:fill on="t" focussize="0,0"/>
                        <v:stroke weight="0.5pt" color="#000000" joinstyle="round"/>
                        <v:imagedata o:title=""/>
                        <o:lock v:ext="edit" aspectratio="f"/>
                        <v:textbox>
                          <w:txbxContent>
                            <w:p w14:paraId="35795F9B">
                              <w:pPr>
                                <w:jc w:val="center"/>
                                <w:rPr>
                                  <w:color w:val="000000"/>
                                  <w:sz w:val="21"/>
                                  <w:szCs w:val="21"/>
                                </w:rPr>
                              </w:pPr>
                              <w:r>
                                <w:rPr>
                                  <w:rFonts w:hint="eastAsia"/>
                                  <w:color w:val="000000"/>
                                  <w:sz w:val="21"/>
                                  <w:szCs w:val="21"/>
                                </w:rPr>
                                <w:t>岩屑方罐暂存后</w:t>
                              </w:r>
                              <w:r>
                                <w:rPr>
                                  <w:rFonts w:hint="eastAsia"/>
                                  <w:color w:val="000000"/>
                                  <w:sz w:val="21"/>
                                  <w:szCs w:val="21"/>
                                  <w:lang w:val="en-US" w:eastAsia="zh-CN"/>
                                </w:rPr>
                                <w:t>委托第三方岩屑处置单位</w:t>
                              </w:r>
                              <w:r>
                                <w:rPr>
                                  <w:rFonts w:hint="eastAsia"/>
                                  <w:color w:val="000000"/>
                                  <w:sz w:val="21"/>
                                  <w:szCs w:val="21"/>
                                </w:rPr>
                                <w:t>外拉运处置</w:t>
                              </w:r>
                            </w:p>
                          </w:txbxContent>
                        </v:textbox>
                      </v:rect>
                      <v:shape id="_x0000_s1026" o:spid="_x0000_s1026" o:spt="32" type="#_x0000_t32" style="position:absolute;left:2871048;top:542922;flip:y;height:2500;width:700509;" filled="f" stroked="t" coordsize="21600,21600" o:gfxdata="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8rcyO1wAAAAgB&#10;AAAPAAAAAAAAAAEAIAAAACIAAABkcnMvZG93bnJldi54bWxQSwECFAAUAAAACACHTuJAr7itchwC&#10;AAAGBAAADgAAAAAAAAABACAAAAAmAQAAZHJzL2Uyb0RvYy54bWxQSwUGAAAAAAYABgBZAQAAtAUA&#10;AAAA&#10;">
                        <v:fill on="f" focussize="0,0"/>
                        <v:stroke color="#000000" joinstyle="round" endarrow="open"/>
                        <v:imagedata o:title=""/>
                        <o:lock v:ext="edit" aspectratio="f"/>
                      </v:shape>
                      <v:rect id="_x0000_s1026" o:spid="_x0000_s1026" o:spt="1" style="position:absolute;left:1934902;top:1104244;height:262911;width:1397218;v-text-anchor:middle;" fillcolor="#FFFFFF" filled="t" stroked="t" coordsize="21600,21600" o:gfxdata="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5TpsNcAAAAI&#10;AQAADwAAAAAAAAABACAAAAAiAAAAZHJzL2Rvd25yZXYueG1sUEsBAhQAFAAAAAgAh07iQPKgW+Md&#10;AgAAUgQAAA4AAAAAAAAAAQAgAAAAJgEAAGRycy9lMm9Eb2MueG1sUEsFBgAAAAAGAAYAWQEAALUF&#10;AAAAAA==&#10;">
                        <v:fill on="t" focussize="0,0"/>
                        <v:stroke weight="0.5pt" color="#000000" joinstyle="round"/>
                        <v:imagedata o:title=""/>
                        <o:lock v:ext="edit" aspectratio="f"/>
                        <v:textbox>
                          <w:txbxContent>
                            <w:p w14:paraId="0C558D00">
                              <w:pPr>
                                <w:jc w:val="center"/>
                                <w:rPr>
                                  <w:color w:val="000000"/>
                                  <w:sz w:val="21"/>
                                  <w:szCs w:val="21"/>
                                </w:rPr>
                              </w:pPr>
                              <w:r>
                                <w:rPr>
                                  <w:rFonts w:hint="eastAsia"/>
                                  <w:color w:val="000000"/>
                                  <w:sz w:val="21"/>
                                  <w:szCs w:val="21"/>
                                </w:rPr>
                                <w:t>回用于钻井液配置</w:t>
                              </w:r>
                            </w:p>
                          </w:txbxContent>
                        </v:textbox>
                      </v:rect>
                      <v:shape id="_x0000_s1026" o:spid="_x0000_s1026" o:spt="32" type="#_x0000_t32" style="position:absolute;left:2632911;top:676927;height:427317;width:600;" filled="f" stroked="t" coordsize="21600,21600" o:gfxdata="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akGIL1gAAAAgBAAAPAAAAAAAA&#10;AAEAIAAAACIAAABkcnMvZG93bnJldi54bWxQSwECFAAUAAAACACHTuJAVZzMcxQCAAD7AwAADgAA&#10;AAAAAAABACAAAAAlAQAAZHJzL2Uyb0RvYy54bWxQSwUGAAAAAAYABgBZAQAAqwUAAAAA&#10;">
                        <v:fill on="f" focussize="0,0"/>
                        <v:stroke color="#000000" joinstyle="round" endarrow="open"/>
                        <v:imagedata o:title=""/>
                        <o:lock v:ext="edit" aspectratio="f"/>
                      </v:shape>
                      <v:rect id="_x0000_s1026" o:spid="_x0000_s1026" o:spt="1" style="position:absolute;left:2594805;top:751230;height:262911;width:469273;v-text-anchor:middle;" filled="f" stroked="f" coordsize="21600,21600" o:gfxdata="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8DgRNgAAAAIAQAADwAAAAAAAAABACAAAAAiAAAAZHJzL2Rvd25y&#10;ZXYueG1sUEsBAhQAFAAAAAgAh07iQHw/jVvFAQAAcQMAAA4AAAAAAAAAAQAgAAAAJwEAAGRycy9l&#10;Mm9Eb2MueG1sUEsFBgAAAAAGAAYAWQEAAF4FAAAAAA==&#10;">
                        <v:fill on="f" focussize="0,0"/>
                        <v:stroke on="f" weight="0.5pt"/>
                        <v:imagedata o:title=""/>
                        <o:lock v:ext="edit" aspectratio="f"/>
                        <v:textbox>
                          <w:txbxContent>
                            <w:p w14:paraId="490EDFF6">
                              <w:pPr>
                                <w:jc w:val="center"/>
                                <w:rPr>
                                  <w:color w:val="000000"/>
                                  <w:sz w:val="18"/>
                                  <w:szCs w:val="18"/>
                                </w:rPr>
                              </w:pPr>
                              <w:r>
                                <w:rPr>
                                  <w:rFonts w:hint="eastAsia"/>
                                  <w:color w:val="000000"/>
                                  <w:sz w:val="18"/>
                                  <w:szCs w:val="18"/>
                                </w:rPr>
                                <w:t>液相</w:t>
                              </w:r>
                            </w:p>
                          </w:txbxContent>
                        </v:textbox>
                      </v:rect>
                      <v:rect id="_x0000_s1026" o:spid="_x0000_s1026" o:spt="1" style="position:absolute;left:2925056;top:290112;height:504320;width:683307;v-text-anchor:middle;" filled="f" stroked="f" coordsize="21600,21600" o:gfxdata="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TwOBE2AAAAAgBAAAPAAAAAAAAAAEAIAAAACIAAABkcnMvZG93bnJl&#10;di54bWxQSwECFAAUAAAACACHTuJAbF5LpcQBAABxAwAADgAAAAAAAAABACAAAAAnAQAAZHJzL2Uy&#10;b0RvYy54bWxQSwUGAAAAAAYABgBZAQAAXQUAAAAA&#10;">
                        <v:fill on="f" focussize="0,0"/>
                        <v:stroke on="f" weight="0.5pt"/>
                        <v:imagedata o:title=""/>
                        <o:lock v:ext="edit" aspectratio="f"/>
                        <v:textbox>
                          <w:txbxContent>
                            <w:p w14:paraId="5AB2CB97">
                              <w:pPr>
                                <w:jc w:val="center"/>
                                <w:rPr>
                                  <w:color w:val="000000"/>
                                  <w:sz w:val="18"/>
                                  <w:szCs w:val="18"/>
                                </w:rPr>
                              </w:pPr>
                              <w:r>
                                <w:rPr>
                                  <w:rFonts w:hint="eastAsia"/>
                                  <w:color w:val="000000"/>
                                  <w:sz w:val="18"/>
                                  <w:szCs w:val="18"/>
                                </w:rPr>
                                <w:t>水基钻井岩屑</w:t>
                              </w:r>
                            </w:p>
                          </w:txbxContent>
                        </v:textbox>
                      </v:rect>
                      <v:rect id="_x0000_s1026" o:spid="_x0000_s1026" o:spt="1" style="position:absolute;left:35906;top:315513;height:470619;width:783122;v-text-anchor:middle;" filled="f" stroked="f" coordsize="21600,21600" o:gfxdata="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8DgRNgAAAAIAQAADwAAAAAAAAABACAAAAAiAAAAZHJzL2Rvd25y&#10;ZXYueG1sUEsBAhQAFAAAAAgAh07iQPUrvr/FAQAAbwMAAA4AAAAAAAAAAQAgAAAAJwEAAGRycy9l&#10;Mm9Eb2MueG1sUEsFBgAAAAAGAAYAWQEAAF4FAAAAAA==&#10;">
                        <v:fill on="f" focussize="0,0"/>
                        <v:stroke on="f" weight="0.5pt"/>
                        <v:imagedata o:title=""/>
                        <o:lock v:ext="edit" aspectratio="f"/>
                        <v:textbox>
                          <w:txbxContent>
                            <w:p w14:paraId="183936ED">
                              <w:pPr>
                                <w:jc w:val="center"/>
                                <w:rPr>
                                  <w:color w:val="000000"/>
                                  <w:sz w:val="21"/>
                                  <w:szCs w:val="21"/>
                                </w:rPr>
                              </w:pPr>
                              <w:r>
                                <w:rPr>
                                  <w:rFonts w:hint="eastAsia"/>
                                  <w:color w:val="000000"/>
                                  <w:sz w:val="21"/>
                                  <w:szCs w:val="21"/>
                                </w:rPr>
                                <w:t>钻井液及岩屑</w:t>
                              </w:r>
                            </w:p>
                          </w:txbxContent>
                        </v:textbox>
                      </v:rect>
                      <v:rect id="_x0000_s1026" o:spid="_x0000_s1026" o:spt="1" style="position:absolute;left:1598349;top:420917;height:263611;width:458471;v-text-anchor:middle;" fillcolor="#FFFFFF" filled="t" stroked="t" coordsize="21600,21600" o:gfxdata="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zlOmw1wAAAAgB&#10;AAAPAAAAAAAAAAEAIAAAACIAAABkcnMvZG93bnJldi54bWxQSwECFAAUAAAACACHTuJAJVwEvBwC&#10;AABQBAAADgAAAAAAAAABACAAAAAmAQAAZHJzL2Uyb0RvYy54bWxQSwUGAAAAAAYABgBZAQAAtAUA&#10;AAAA&#10;">
                        <v:fill on="t" focussize="0,0"/>
                        <v:stroke weight="0.5pt" color="#000000" joinstyle="round"/>
                        <v:imagedata o:title=""/>
                        <o:lock v:ext="edit" aspectratio="f"/>
                        <v:textbox>
                          <w:txbxContent>
                            <w:p w14:paraId="65FCD81E">
                              <w:pPr>
                                <w:jc w:val="center"/>
                                <w:rPr>
                                  <w:color w:val="000000"/>
                                  <w:sz w:val="21"/>
                                  <w:szCs w:val="21"/>
                                </w:rPr>
                              </w:pPr>
                              <w:r>
                                <w:rPr>
                                  <w:rFonts w:hint="eastAsia"/>
                                  <w:color w:val="000000"/>
                                  <w:sz w:val="21"/>
                                  <w:szCs w:val="21"/>
                                </w:rPr>
                                <w:t>振动</w:t>
                              </w:r>
                            </w:p>
                          </w:txbxContent>
                        </v:textbox>
                      </v:rect>
                      <v:rect id="_x0000_s1026" o:spid="_x0000_s1026" o:spt="1" style="position:absolute;left:2394073;top:413917;height:263011;width:476974;v-text-anchor:middle;" fillcolor="#FFFFFF" filled="t" stroked="t" coordsize="21600,21600" o:gfxdata="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OU6bDXAAAA&#10;CAEAAA8AAAAAAAAAAQAgAAAAIgAAAGRycy9kb3ducmV2LnhtbFBLAQIUABQAAAAIAIdO4kCtuHUm&#10;HgIAAFAEAAAOAAAAAAAAAAEAIAAAACYBAABkcnMvZTJvRG9jLnhtbFBLBQYAAAAABgAGAFkBAAC2&#10;BQAAAAA=&#10;">
                        <v:fill on="t" focussize="0,0"/>
                        <v:stroke weight="0.5pt" color="#000000" joinstyle="round"/>
                        <v:imagedata o:title=""/>
                        <o:lock v:ext="edit" aspectratio="f"/>
                        <v:textbox>
                          <w:txbxContent>
                            <w:p w14:paraId="2FFBF5AE">
                              <w:pPr>
                                <w:jc w:val="center"/>
                                <w:rPr>
                                  <w:color w:val="000000"/>
                                  <w:sz w:val="21"/>
                                  <w:szCs w:val="21"/>
                                </w:rPr>
                              </w:pPr>
                              <w:r>
                                <w:rPr>
                                  <w:rFonts w:hint="eastAsia"/>
                                  <w:color w:val="000000"/>
                                  <w:sz w:val="21"/>
                                  <w:szCs w:val="21"/>
                                </w:rPr>
                                <w:t>离心</w:t>
                              </w:r>
                            </w:p>
                          </w:txbxContent>
                        </v:textbox>
                      </v:rect>
                      <v:shape id="_x0000_s1026" o:spid="_x0000_s1026" o:spt="32" type="#_x0000_t32" style="position:absolute;left:2056821;top:545422;flip:y;height:7700;width:337253;" filled="f" stroked="t" coordsize="21600,21600" o:gfxdata="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3MjtcAAAAI&#10;AQAADwAAAAAAAAABACAAAAAiAAAAZHJzL2Rvd25yZXYueG1sUEsBAhQAFAAAAAgAh07iQGa7CB0d&#10;AgAABgQAAA4AAAAAAAAAAQAgAAAAJgEAAGRycy9lMm9Eb2MueG1sUEsFBgAAAAAGAAYAWQEAALUF&#10;AAAAAA==&#10;">
                        <v:fill on="f" focussize="0,0"/>
                        <v:stroke color="#000000" joinstyle="round" endarrow="open"/>
                        <v:imagedata o:title=""/>
                        <o:lock v:ext="edit" aspectratio="f"/>
                      </v:shape>
                      <v:rect id="_x0000_s1026" o:spid="_x0000_s1026" o:spt="1" style="position:absolute;left:965150;top:179607;height:579223;width:2031617;v-text-anchor:middle;" fillcolor="#000000" filled="t" stroked="t" coordsize="21600,21600" o:gfxdata="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TQg5u2AAAAAgBAAAPAAAAAAAAAAEAIAAAACIAAABkcnMvZG93bnJldi54bWxQSwECFAAUAAAA&#10;CACHTuJAI2mMgycCAABiBAAADgAAAAAAAAABACAAAAAnAQAAZHJzL2Uyb0RvYy54bWxQSwUGAAAA&#10;AAYABgBZAQAAwAUAAAAA&#10;">
                        <v:fill on="t" opacity="0f" focussize="0,0"/>
                        <v:stroke weight="2pt" color="#00B0F0" joinstyle="round" dashstyle="dash"/>
                        <v:imagedata o:title=""/>
                        <o:lock v:ext="edit" aspectratio="f"/>
                      </v:rect>
                      <v:shape id="_x0000_s1026" o:spid="_x0000_s1026" o:spt="32" type="#_x0000_t32" style="position:absolute;left:819028;top:551222;height:1900;width:779322;" filled="f" stroked="t" coordsize="21600,21600" o:gfxdata="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akGIL1gAAAAgBAAAPAAAAAAAAAAEA&#10;IAAAACIAAABkcnMvZG93bnJldi54bWxQSwECFAAUAAAACACHTuJAUDYnPBECAAD7AwAADgAAAAAA&#10;AAABACAAAAAlAQAAZHJzL2Uyb0RvYy54bWxQSwUGAAAAAAYABgBZAQAAqAUAAAAA&#10;">
                        <v:fill on="f" focussize="0,0"/>
                        <v:stroke color="#000000" joinstyle="round" endarrow="open"/>
                        <v:imagedata o:title=""/>
                        <o:lock v:ext="edit" aspectratio="f"/>
                      </v:shape>
                      <v:rect id="_x0000_s1026" o:spid="_x0000_s1026" o:spt="1" style="position:absolute;left:777875;top:118745;height:296545;width:1399540;v-text-anchor:middle;" filled="f" stroked="f" coordsize="21600,21600" o:gfxdata="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TwOBE2AAAAAgBAAAPAAAAAAAAAAEAIAAAACIAAABkcnMvZG93&#10;bnJldi54bWxQSwECFAAUAAAACACHTuJARmfvh8cBAABxAwAADgAAAAAAAAABACAAAAAnAQAAZHJz&#10;L2Uyb0RvYy54bWxQSwUGAAAAAAYABgBZAQAAYAUAAAAA&#10;">
                        <v:fill on="f" focussize="0,0"/>
                        <v:stroke on="f" weight="0.5pt"/>
                        <v:imagedata o:title=""/>
                        <o:lock v:ext="edit" aspectratio="f"/>
                        <v:textbox>
                          <w:txbxContent>
                            <w:p w14:paraId="700CD492">
                              <w:pPr>
                                <w:jc w:val="center"/>
                                <w:rPr>
                                  <w:b/>
                                  <w:bCs/>
                                  <w:color w:val="00B0F0"/>
                                  <w:sz w:val="18"/>
                                  <w:szCs w:val="18"/>
                                </w:rPr>
                              </w:pPr>
                              <w:r>
                                <w:rPr>
                                  <w:rFonts w:hint="eastAsia"/>
                                  <w:b/>
                                  <w:bCs/>
                                  <w:color w:val="00B0F0"/>
                                  <w:sz w:val="18"/>
                                  <w:szCs w:val="18"/>
                                  <w:lang w:val="en-US" w:eastAsia="zh-CN"/>
                                </w:rPr>
                                <w:t>钻井液</w:t>
                              </w:r>
                              <w:r>
                                <w:rPr>
                                  <w:rFonts w:hint="eastAsia"/>
                                  <w:b/>
                                  <w:bCs/>
                                  <w:color w:val="00B0F0"/>
                                  <w:sz w:val="18"/>
                                  <w:szCs w:val="18"/>
                                </w:rPr>
                                <w:t>不落地设备</w:t>
                              </w:r>
                            </w:p>
                          </w:txbxContent>
                        </v:textbox>
                      </v:rect>
                      <v:rect id="_x0000_s1026" o:spid="_x0000_s1026" o:spt="1" style="position:absolute;left:921944;top:288212;height:504320;width:683307;v-text-anchor:middle;" filled="f" stroked="f" coordsize="21600,21600" o:gfxdata="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PA4ETYAAAACAEAAA8AAAAAAAAAAQAgAAAAIgAAAGRycy9kb3du&#10;cmV2LnhtbFBLAQIUABQAAAAIAIdO4kB6fQ9dxgEAAHADAAAOAAAAAAAAAAEAIAAAACcBAABkcnMv&#10;ZTJvRG9jLnhtbFBLBQYAAAAABgAGAFkBAABfBQAAAAA=&#10;">
                        <v:fill on="f" focussize="0,0"/>
                        <v:stroke on="f" weight="0.5pt"/>
                        <v:imagedata o:title=""/>
                        <o:lock v:ext="edit" aspectratio="f"/>
                        <v:textbox>
                          <w:txbxContent>
                            <w:p w14:paraId="3743E65E">
                              <w:pPr>
                                <w:jc w:val="center"/>
                                <w:rPr>
                                  <w:color w:val="000000"/>
                                  <w:sz w:val="18"/>
                                  <w:szCs w:val="18"/>
                                </w:rPr>
                              </w:pPr>
                              <w:r>
                                <w:rPr>
                                  <w:rFonts w:hint="eastAsia"/>
                                  <w:color w:val="000000"/>
                                  <w:sz w:val="18"/>
                                  <w:szCs w:val="18"/>
                                </w:rPr>
                                <w:t>进罐</w:t>
                              </w:r>
                            </w:p>
                            <w:p w14:paraId="42E96B68">
                              <w:pPr>
                                <w:jc w:val="center"/>
                                <w:rPr>
                                  <w:color w:val="000000"/>
                                  <w:sz w:val="18"/>
                                  <w:szCs w:val="18"/>
                                </w:rPr>
                              </w:pPr>
                              <w:r>
                                <w:rPr>
                                  <w:rFonts w:hint="eastAsia"/>
                                  <w:color w:val="000000"/>
                                  <w:sz w:val="18"/>
                                  <w:szCs w:val="18"/>
                                </w:rPr>
                                <w:t>不落地</w:t>
                              </w:r>
                            </w:p>
                          </w:txbxContent>
                        </v:textbox>
                      </v:rect>
                    </v:group>
                  </w:pict>
                </mc:Fallback>
              </mc:AlternateContent>
            </w:r>
          </w:p>
          <w:p w14:paraId="257053DB">
            <w:pPr>
              <w:pStyle w:val="111"/>
              <w:keepLines w:val="0"/>
              <w:pageBreakBefore w:val="0"/>
              <w:widowControl w:val="0"/>
              <w:kinsoku/>
              <w:wordWrap/>
              <w:overflowPunct/>
              <w:topLinePunct w:val="0"/>
              <w:bidi w:val="0"/>
              <w:spacing w:line="500" w:lineRule="exact"/>
              <w:textAlignment w:val="auto"/>
              <w:rPr>
                <w:rFonts w:hint="default" w:ascii="Times New Roman" w:hAnsi="Times New Roman" w:cs="Times New Roman"/>
                <w:color w:val="auto"/>
                <w:lang w:val="en-US" w:eastAsia="zh-CN"/>
              </w:rPr>
            </w:pPr>
          </w:p>
          <w:p w14:paraId="43026A0B">
            <w:pPr>
              <w:pStyle w:val="111"/>
              <w:keepLines w:val="0"/>
              <w:pageBreakBefore w:val="0"/>
              <w:widowControl w:val="0"/>
              <w:kinsoku/>
              <w:wordWrap/>
              <w:overflowPunct/>
              <w:topLinePunct w:val="0"/>
              <w:bidi w:val="0"/>
              <w:spacing w:line="500" w:lineRule="exact"/>
              <w:textAlignment w:val="auto"/>
              <w:rPr>
                <w:rFonts w:hint="default" w:ascii="Times New Roman" w:hAnsi="Times New Roman" w:cs="Times New Roman"/>
                <w:color w:val="auto"/>
                <w:lang w:val="en-US" w:eastAsia="zh-CN"/>
              </w:rPr>
            </w:pPr>
          </w:p>
          <w:p w14:paraId="08029E68">
            <w:pPr>
              <w:pStyle w:val="111"/>
              <w:keepLines w:val="0"/>
              <w:pageBreakBefore w:val="0"/>
              <w:widowControl w:val="0"/>
              <w:kinsoku/>
              <w:wordWrap/>
              <w:overflowPunct/>
              <w:topLinePunct w:val="0"/>
              <w:bidi w:val="0"/>
              <w:spacing w:line="500" w:lineRule="exact"/>
              <w:textAlignment w:val="auto"/>
              <w:rPr>
                <w:rFonts w:hint="default" w:ascii="Times New Roman" w:hAnsi="Times New Roman" w:cs="Times New Roman"/>
                <w:color w:val="auto"/>
                <w:lang w:val="en-US" w:eastAsia="zh-CN"/>
              </w:rPr>
            </w:pPr>
          </w:p>
          <w:p w14:paraId="3C90F61F">
            <w:pPr>
              <w:pStyle w:val="6"/>
              <w:keepNext/>
              <w:keepLines w:val="0"/>
              <w:pageBreakBefore w:val="0"/>
              <w:widowControl w:val="0"/>
              <w:kinsoku/>
              <w:wordWrap/>
              <w:overflowPunct/>
              <w:topLinePunct w:val="0"/>
              <w:autoSpaceDE/>
              <w:autoSpaceDN/>
              <w:bidi w:val="0"/>
              <w:adjustRightInd/>
              <w:snapToGrid/>
              <w:spacing w:line="700" w:lineRule="exact"/>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图</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水基钻井岩屑处理工艺流程</w:t>
            </w:r>
          </w:p>
          <w:bookmarkEnd w:id="77"/>
          <w:bookmarkEnd w:id="78"/>
          <w:bookmarkEnd w:id="79"/>
          <w:p w14:paraId="605C9E02">
            <w:pPr>
              <w:pStyle w:val="23"/>
              <w:keepNext w:val="0"/>
              <w:keepLines w:val="0"/>
              <w:pageBreakBefore w:val="0"/>
              <w:widowControl w:val="0"/>
              <w:kinsoku/>
              <w:wordWrap/>
              <w:overflowPunct/>
              <w:topLinePunct w:val="0"/>
              <w:autoSpaceDE/>
              <w:autoSpaceDN/>
              <w:bidi w:val="0"/>
              <w:adjustRightInd/>
              <w:snapToGrid w:val="0"/>
              <w:spacing w:before="0" w:beforeAutospacing="0" w:after="0" w:afterAutospacing="0" w:line="500" w:lineRule="exact"/>
              <w:ind w:firstLine="480" w:firstLineChars="200"/>
              <w:jc w:val="both"/>
              <w:textAlignment w:val="auto"/>
              <w:rPr>
                <w:rFonts w:hint="default" w:ascii="Times New Roman" w:hAnsi="Times New Roman" w:cs="Times New Roman"/>
                <w:color w:val="auto"/>
                <w:kern w:val="2"/>
                <w:lang w:bidi="ar"/>
              </w:rPr>
            </w:pPr>
            <w:r>
              <w:rPr>
                <w:rFonts w:hint="eastAsia" w:ascii="Times New Roman" w:hAnsi="Times New Roman" w:cs="Times New Roman"/>
                <w:color w:val="auto"/>
                <w:kern w:val="2"/>
                <w:lang w:val="en-US" w:eastAsia="zh-CN" w:bidi="ar"/>
              </w:rPr>
              <w:t>②</w:t>
            </w:r>
            <w:r>
              <w:rPr>
                <w:rFonts w:hint="default" w:ascii="Times New Roman" w:hAnsi="Times New Roman" w:cs="Times New Roman"/>
                <w:color w:val="auto"/>
                <w:kern w:val="2"/>
                <w:lang w:bidi="ar"/>
              </w:rPr>
              <w:t>油基钻井岩屑</w:t>
            </w:r>
          </w:p>
          <w:p w14:paraId="046BAC8B">
            <w:pPr>
              <w:pStyle w:val="23"/>
              <w:keepNext w:val="0"/>
              <w:keepLines w:val="0"/>
              <w:pageBreakBefore w:val="0"/>
              <w:widowControl w:val="0"/>
              <w:kinsoku/>
              <w:wordWrap/>
              <w:overflowPunct/>
              <w:topLinePunct w:val="0"/>
              <w:autoSpaceDE/>
              <w:autoSpaceDN/>
              <w:bidi w:val="0"/>
              <w:adjustRightInd/>
              <w:snapToGrid w:val="0"/>
              <w:spacing w:before="0" w:beforeAutospacing="0" w:after="0" w:afterAutospacing="0" w:line="500" w:lineRule="exact"/>
              <w:ind w:firstLine="480" w:firstLineChars="200"/>
              <w:jc w:val="both"/>
              <w:textAlignment w:val="auto"/>
              <w:rPr>
                <w:rFonts w:hint="default" w:ascii="Times New Roman" w:hAnsi="Times New Roman" w:cs="Times New Roman"/>
                <w:color w:val="auto"/>
                <w:kern w:val="2"/>
                <w:lang w:bidi="ar"/>
              </w:rPr>
            </w:pPr>
            <w:r>
              <w:rPr>
                <w:rFonts w:hint="default" w:ascii="Times New Roman" w:hAnsi="Times New Roman" w:cs="Times New Roman"/>
                <w:color w:val="auto"/>
                <w:kern w:val="2"/>
                <w:lang w:bidi="ar"/>
              </w:rPr>
              <w:t>三开</w:t>
            </w:r>
            <w:r>
              <w:rPr>
                <w:rFonts w:hint="eastAsia" w:ascii="Times New Roman" w:hAnsi="Times New Roman" w:cs="Times New Roman"/>
                <w:color w:val="auto"/>
                <w:kern w:val="2"/>
                <w:lang w:eastAsia="zh-CN" w:bidi="ar"/>
              </w:rPr>
              <w:t>、</w:t>
            </w:r>
            <w:r>
              <w:rPr>
                <w:rFonts w:hint="eastAsia" w:ascii="Times New Roman" w:hAnsi="Times New Roman" w:cs="Times New Roman"/>
                <w:color w:val="auto"/>
                <w:kern w:val="2"/>
                <w:lang w:val="en-US" w:eastAsia="zh-CN" w:bidi="ar"/>
              </w:rPr>
              <w:t>四开和五开</w:t>
            </w:r>
            <w:r>
              <w:rPr>
                <w:rFonts w:hint="default" w:ascii="Times New Roman" w:hAnsi="Times New Roman" w:cs="Times New Roman"/>
                <w:color w:val="auto"/>
                <w:kern w:val="2"/>
                <w:lang w:bidi="ar"/>
              </w:rPr>
              <w:t>采用油基钻井液，钻井时井筒返排的钻井液及岩屑经不落地设备进行初步分离，液相回用于油基钻井液配置；固相再由甩干机进行第一次固液分离，然后由离心机对甩干机排出的液体进行第二次固液分离，从而实现深度分离，分离出的液相回用于油基钻井液配置，分离出的固相（即油基钻井岩屑）属于HW08类危险废物（废物代码：071-002-08），采用专用储罐进行收集，交由有相应危险废物处置资质的单位接收、转运和处置。油基钻井岩屑临时贮存在岩屑专用储罐内，储罐底部铺设防渗膜，油基钻井岩屑在井场临时贮存应满足《危险废物贮存污染控制标准》（GB18597-2023）</w:t>
            </w:r>
            <w:r>
              <w:rPr>
                <w:rFonts w:hint="eastAsia" w:ascii="Times New Roman" w:hAnsi="Times New Roman" w:cs="Times New Roman"/>
                <w:color w:val="auto"/>
                <w:kern w:val="2"/>
                <w:lang w:eastAsia="zh-CN" w:bidi="ar"/>
              </w:rPr>
              <w:t>《</w:t>
            </w:r>
            <w:r>
              <w:rPr>
                <w:rFonts w:hint="eastAsia" w:ascii="Times New Roman" w:hAnsi="Times New Roman" w:cs="Times New Roman"/>
                <w:color w:val="auto"/>
                <w:kern w:val="2"/>
                <w:lang w:val="en-US" w:eastAsia="zh-CN" w:bidi="ar"/>
              </w:rPr>
              <w:t>危险废物收集、贮存、运输技术规范</w:t>
            </w:r>
            <w:r>
              <w:rPr>
                <w:rFonts w:hint="eastAsia" w:ascii="Times New Roman" w:hAnsi="Times New Roman" w:cs="Times New Roman"/>
                <w:color w:val="auto"/>
                <w:kern w:val="2"/>
                <w:lang w:eastAsia="zh-CN" w:bidi="ar"/>
              </w:rPr>
              <w:t>》（</w:t>
            </w:r>
            <w:r>
              <w:rPr>
                <w:rFonts w:hint="eastAsia" w:ascii="Times New Roman" w:hAnsi="Times New Roman" w:cs="Times New Roman"/>
                <w:color w:val="auto"/>
                <w:kern w:val="2"/>
                <w:lang w:val="en-US" w:eastAsia="zh-CN" w:bidi="ar"/>
              </w:rPr>
              <w:t>HJ2025-2012</w:t>
            </w:r>
            <w:r>
              <w:rPr>
                <w:rFonts w:hint="eastAsia" w:ascii="Times New Roman" w:hAnsi="Times New Roman" w:cs="Times New Roman"/>
                <w:color w:val="auto"/>
                <w:kern w:val="2"/>
                <w:lang w:eastAsia="zh-CN" w:bidi="ar"/>
              </w:rPr>
              <w:t>）</w:t>
            </w:r>
            <w:r>
              <w:rPr>
                <w:rFonts w:hint="default" w:ascii="Times New Roman" w:hAnsi="Times New Roman" w:cs="Times New Roman"/>
                <w:color w:val="auto"/>
                <w:kern w:val="2"/>
                <w:lang w:bidi="ar"/>
              </w:rPr>
              <w:t>相关要求。</w:t>
            </w:r>
          </w:p>
          <w:p w14:paraId="61C9F757">
            <w:pPr>
              <w:pStyle w:val="23"/>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0" w:firstLineChars="0"/>
              <w:jc w:val="center"/>
              <w:textAlignment w:val="auto"/>
              <w:rPr>
                <w:color w:val="auto"/>
              </w:rPr>
            </w:pPr>
            <w:r>
              <w:rPr>
                <w:color w:val="auto"/>
              </w:rPr>
              <w:drawing>
                <wp:inline distT="0" distB="0" distL="114300" distR="114300">
                  <wp:extent cx="4169410" cy="2226945"/>
                  <wp:effectExtent l="0" t="0" r="2540" b="190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69410" cy="2226945"/>
                          </a:xfrm>
                          <a:prstGeom prst="rect">
                            <a:avLst/>
                          </a:prstGeom>
                          <a:noFill/>
                          <a:ln>
                            <a:noFill/>
                          </a:ln>
                          <a:effectLst/>
                        </pic:spPr>
                      </pic:pic>
                    </a:graphicData>
                  </a:graphic>
                </wp:inline>
              </w:drawing>
            </w:r>
          </w:p>
          <w:p w14:paraId="2DD8DC41">
            <w:pPr>
              <w:pStyle w:val="23"/>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0" w:firstLineChars="0"/>
              <w:jc w:val="center"/>
              <w:textAlignment w:val="auto"/>
              <w:rPr>
                <w:rFonts w:hint="default" w:ascii="Times New Roman" w:hAnsi="Times New Roman" w:eastAsia="黑体" w:cs="Times New Roman"/>
                <w:color w:val="auto"/>
                <w:kern w:val="2"/>
                <w:sz w:val="21"/>
                <w:szCs w:val="21"/>
                <w:lang w:val="en-US" w:eastAsia="zh-CN" w:bidi="ar-SA"/>
              </w:rPr>
            </w:pPr>
            <w:r>
              <w:rPr>
                <w:rFonts w:hint="eastAsia" w:ascii="Times New Roman" w:hAnsi="Times New Roman" w:eastAsia="黑体" w:cs="Times New Roman"/>
                <w:color w:val="auto"/>
                <w:kern w:val="2"/>
                <w:sz w:val="21"/>
                <w:szCs w:val="21"/>
                <w:lang w:val="en-US" w:eastAsia="zh-CN" w:bidi="ar-SA"/>
              </w:rPr>
              <w:t>图</w:t>
            </w:r>
            <w:r>
              <w:rPr>
                <w:rFonts w:hint="default" w:ascii="Times New Roman" w:hAnsi="Times New Roman" w:eastAsia="黑体" w:cs="Times New Roman"/>
                <w:color w:val="auto"/>
                <w:kern w:val="2"/>
                <w:sz w:val="21"/>
                <w:szCs w:val="21"/>
                <w:lang w:val="en-US" w:eastAsia="zh-CN" w:bidi="ar-SA"/>
              </w:rPr>
              <w:t>5-</w:t>
            </w:r>
            <w:r>
              <w:rPr>
                <w:rFonts w:hint="eastAsia" w:ascii="Times New Roman" w:hAnsi="Times New Roman" w:eastAsia="黑体" w:cs="Times New Roman"/>
                <w:color w:val="auto"/>
                <w:kern w:val="2"/>
                <w:sz w:val="21"/>
                <w:szCs w:val="21"/>
                <w:lang w:val="en-US" w:eastAsia="zh-CN" w:bidi="ar-SA"/>
              </w:rPr>
              <w:t>3</w:t>
            </w:r>
            <w:r>
              <w:rPr>
                <w:rFonts w:hint="default" w:ascii="Times New Roman" w:hAnsi="Times New Roman" w:eastAsia="黑体" w:cs="Times New Roman"/>
                <w:color w:val="auto"/>
                <w:kern w:val="2"/>
                <w:sz w:val="21"/>
                <w:szCs w:val="21"/>
                <w:lang w:val="en-US" w:eastAsia="zh-CN" w:bidi="ar-SA"/>
              </w:rPr>
              <w:t xml:space="preserve">  </w:t>
            </w:r>
            <w:r>
              <w:rPr>
                <w:rFonts w:hint="eastAsia" w:ascii="Times New Roman" w:hAnsi="Times New Roman" w:eastAsia="黑体" w:cs="Times New Roman"/>
                <w:color w:val="auto"/>
                <w:kern w:val="2"/>
                <w:sz w:val="21"/>
                <w:szCs w:val="21"/>
                <w:lang w:val="en-US" w:eastAsia="zh-CN" w:bidi="ar-SA"/>
              </w:rPr>
              <w:t>油基钻井岩屑处理工艺流程</w:t>
            </w:r>
          </w:p>
          <w:p w14:paraId="36A24791">
            <w:pPr>
              <w:pStyle w:val="23"/>
              <w:keepNext w:val="0"/>
              <w:keepLines w:val="0"/>
              <w:pageBreakBefore w:val="0"/>
              <w:widowControl w:val="0"/>
              <w:kinsoku/>
              <w:wordWrap/>
              <w:overflowPunct/>
              <w:topLinePunct w:val="0"/>
              <w:autoSpaceDE/>
              <w:autoSpaceDN/>
              <w:bidi w:val="0"/>
              <w:snapToGrid w:val="0"/>
              <w:spacing w:before="0" w:beforeAutospacing="0" w:after="0" w:afterAutospacing="0" w:line="500" w:lineRule="exact"/>
              <w:ind w:firstLine="48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kern w:val="2"/>
                <w:lang w:bidi="ar"/>
              </w:rPr>
              <w:t>（</w:t>
            </w:r>
            <w:r>
              <w:rPr>
                <w:rFonts w:hint="eastAsia" w:ascii="Times New Roman" w:hAnsi="Times New Roman" w:cs="Times New Roman"/>
                <w:color w:val="auto"/>
                <w:kern w:val="2"/>
                <w:lang w:val="en-US" w:eastAsia="zh-CN" w:bidi="ar"/>
              </w:rPr>
              <w:t>2</w:t>
            </w:r>
            <w:r>
              <w:rPr>
                <w:rFonts w:hint="default" w:ascii="Times New Roman" w:hAnsi="Times New Roman" w:cs="Times New Roman"/>
                <w:color w:val="auto"/>
                <w:kern w:val="2"/>
                <w:lang w:bidi="ar"/>
              </w:rPr>
              <w:t>）沾油废防渗材料</w:t>
            </w:r>
          </w:p>
          <w:p w14:paraId="24BA89F9">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bidi="ar"/>
              </w:rPr>
              <w:t>本项目</w:t>
            </w:r>
            <w:r>
              <w:rPr>
                <w:rFonts w:hint="default" w:ascii="Times New Roman" w:hAnsi="Times New Roman" w:cs="Times New Roman"/>
                <w:color w:val="auto"/>
                <w:lang w:bidi="ar"/>
              </w:rPr>
              <w:t>施工结束后清理场地时产生的未沾油防渗材料由施工单位集中回收利用，沾油废防渗材料（废物代码为900-249-08，危险特性为毒性和易燃性）分区暂存在井场设置的危险废物贮存点，定期由具有相应危险废物处置资质的单位进行接收、转运和处置。</w:t>
            </w:r>
          </w:p>
          <w:p w14:paraId="234BD72C">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3</w:t>
            </w:r>
            <w:r>
              <w:rPr>
                <w:rFonts w:hint="default" w:ascii="Times New Roman" w:hAnsi="Times New Roman" w:cs="Times New Roman"/>
                <w:color w:val="auto"/>
              </w:rPr>
              <w:t>）废润滑油、废润滑油桶</w:t>
            </w:r>
          </w:p>
          <w:p w14:paraId="2F8A71ED">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本项目</w:t>
            </w:r>
            <w:r>
              <w:rPr>
                <w:rFonts w:hint="default" w:ascii="Times New Roman" w:hAnsi="Times New Roman" w:cs="Times New Roman"/>
                <w:color w:val="auto"/>
              </w:rPr>
              <w:t>施工过程中机械、设备检修和维护过程中产生的废润滑油、废润滑油桶</w:t>
            </w:r>
            <w:r>
              <w:rPr>
                <w:rFonts w:hint="eastAsia" w:cs="Times New Roman"/>
                <w:color w:val="auto"/>
                <w:lang w:eastAsia="zh-CN"/>
              </w:rPr>
              <w:t>（废物代码分别为900-214-08）</w:t>
            </w:r>
            <w:r>
              <w:rPr>
                <w:rFonts w:hint="default" w:ascii="Times New Roman" w:hAnsi="Times New Roman" w:cs="Times New Roman"/>
                <w:color w:val="auto"/>
              </w:rPr>
              <w:t>分区暂存在井场设置的危险废物贮存点，定期由具有相应危险废物处置资质的单位进行接收、转运和处置。</w:t>
            </w:r>
            <w:bookmarkEnd w:id="75"/>
          </w:p>
          <w:p w14:paraId="1D0823E6">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（4）</w:t>
            </w:r>
            <w:r>
              <w:rPr>
                <w:rFonts w:hint="eastAsia" w:ascii="Times New Roman" w:hAnsi="Times New Roman" w:cs="Times New Roman"/>
                <w:color w:val="auto"/>
                <w:lang w:val="en-US" w:eastAsia="zh-CN"/>
              </w:rPr>
              <w:t>落地油</w:t>
            </w:r>
          </w:p>
          <w:p w14:paraId="65791B7F">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本项目钻试过程中，事故状态下，如发生储罐泄漏，防渗材料破裂，将会产生落地油（</w:t>
            </w:r>
            <w:r>
              <w:rPr>
                <w:rFonts w:hint="eastAsia" w:ascii="Times New Roman" w:hAnsi="Times New Roman" w:cs="Times New Roman"/>
                <w:color w:val="auto"/>
              </w:rPr>
              <w:t>废物代码为HW08-071-001-08</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发生泄漏及时采取有效的堵漏措施，将产生的落地油集中收集，不在井场贮存，直接交由具有相应危废处置资质的单位进行接收、转运和处置。</w:t>
            </w:r>
          </w:p>
          <w:p w14:paraId="71B8FFF4">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w:t>
            </w:r>
            <w:r>
              <w:rPr>
                <w:rFonts w:hint="eastAsia" w:ascii="Times New Roman" w:hAnsi="Times New Roman" w:cs="Times New Roman"/>
                <w:color w:val="auto"/>
                <w:lang w:val="en-US" w:eastAsia="zh-CN"/>
              </w:rPr>
              <w:t>5</w:t>
            </w:r>
            <w:r>
              <w:rPr>
                <w:rFonts w:hint="default" w:ascii="Times New Roman" w:hAnsi="Times New Roman" w:cs="Times New Roman"/>
                <w:color w:val="auto"/>
              </w:rPr>
              <w:t>）</w:t>
            </w:r>
            <w:r>
              <w:rPr>
                <w:rFonts w:hint="eastAsia" w:ascii="Times New Roman" w:hAnsi="Times New Roman" w:cs="Times New Roman"/>
                <w:color w:val="auto"/>
                <w:lang w:val="en-US" w:eastAsia="zh-CN"/>
              </w:rPr>
              <w:t>沾油劳保用品</w:t>
            </w:r>
          </w:p>
          <w:p w14:paraId="2B5C81FE">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本项目钻试过程中机械检修会产生沾油抹布、手套等沾油劳保用品（</w:t>
            </w:r>
            <w:r>
              <w:rPr>
                <w:rFonts w:hint="eastAsia" w:ascii="Times New Roman" w:hAnsi="Times New Roman" w:cs="Times New Roman"/>
                <w:color w:val="auto"/>
              </w:rPr>
              <w:t>废物代码为</w:t>
            </w:r>
            <w:r>
              <w:rPr>
                <w:rFonts w:hint="eastAsia" w:ascii="Times New Roman" w:hAnsi="Times New Roman" w:cs="Times New Roman"/>
                <w:color w:val="auto"/>
                <w:lang w:val="en-US" w:eastAsia="zh-CN"/>
              </w:rPr>
              <w:t>900-041-49），分区暂存在井场设置的危险废物贮存点，</w:t>
            </w:r>
            <w:r>
              <w:rPr>
                <w:rFonts w:hint="default" w:ascii="Times New Roman" w:hAnsi="Times New Roman" w:cs="Times New Roman"/>
                <w:color w:val="auto"/>
              </w:rPr>
              <w:t>定期由具有相应危险废物处置资质的单位进行接收、转运和处置。</w:t>
            </w:r>
          </w:p>
          <w:p w14:paraId="58B86998">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6</w:t>
            </w:r>
            <w:r>
              <w:rPr>
                <w:rFonts w:hint="default" w:ascii="Times New Roman" w:hAnsi="Times New Roman" w:cs="Times New Roman"/>
                <w:color w:val="auto"/>
              </w:rPr>
              <w:t>）生活垃圾</w:t>
            </w:r>
          </w:p>
          <w:p w14:paraId="1D09F8B9">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eastAsia" w:cs="Times New Roman"/>
                <w:bCs/>
                <w:color w:val="auto"/>
                <w:lang w:val="en-US" w:eastAsia="zh-CN"/>
              </w:rPr>
            </w:pPr>
            <w:r>
              <w:rPr>
                <w:rFonts w:hint="eastAsia" w:cs="Times New Roman"/>
                <w:bCs/>
                <w:color w:val="auto"/>
                <w:lang w:val="en-US" w:eastAsia="zh-CN"/>
              </w:rPr>
              <w:t>本项目产生的生活垃圾集中收集在垃圾箱后交玛纳斯县生活垃圾填埋场处置；钻试期共计产生7.22t生活垃圾。</w:t>
            </w:r>
          </w:p>
          <w:p w14:paraId="130C585D">
            <w:pPr>
              <w:pStyle w:val="32"/>
              <w:keepNext w:val="0"/>
              <w:keepLines w:val="0"/>
              <w:pageBreakBefore w:val="0"/>
              <w:kinsoku/>
              <w:wordWrap/>
              <w:overflowPunct/>
              <w:topLinePunct w:val="0"/>
              <w:autoSpaceDE/>
              <w:autoSpaceDN/>
              <w:bidi w:val="0"/>
              <w:spacing w:line="500" w:lineRule="exact"/>
              <w:ind w:firstLine="456"/>
              <w:textAlignment w:val="auto"/>
              <w:rPr>
                <w:rFonts w:hint="eastAsia" w:cs="Times New Roman"/>
                <w:bCs/>
                <w:color w:val="auto"/>
                <w:lang w:val="en-US" w:eastAsia="zh-CN"/>
              </w:rPr>
            </w:pPr>
            <w:r>
              <w:rPr>
                <w:rFonts w:hint="eastAsia" w:cs="Times New Roman"/>
                <w:bCs/>
                <w:color w:val="auto"/>
                <w:lang w:val="en-US" w:eastAsia="zh-CN"/>
              </w:rPr>
              <w:t>玛纳斯县生活垃圾填埋场位于县城以北4.5km、兰州湾镇下兰州湾村北侧，该填埋场于2008年12月17日通过原新疆维吾尔自治区环境保护厅对《玛纳斯县城生活垃圾处理工程环境影响报告书》的批复（新环监函〔2008〕569号）；一期工程于2016年1月通过竣工环保验收，二期于2019年1月通过竣工环保验收。该垃圾填埋场设计有效库容为54.2万m</w:t>
            </w:r>
            <w:r>
              <w:rPr>
                <w:rFonts w:hint="eastAsia" w:cs="Times New Roman"/>
                <w:bCs/>
                <w:color w:val="auto"/>
                <w:vertAlign w:val="superscript"/>
                <w:lang w:val="en-US" w:eastAsia="zh-CN"/>
              </w:rPr>
              <w:t>3</w:t>
            </w:r>
            <w:r>
              <w:rPr>
                <w:rFonts w:hint="eastAsia" w:cs="Times New Roman"/>
                <w:bCs/>
                <w:color w:val="auto"/>
                <w:lang w:val="en-US" w:eastAsia="zh-CN"/>
              </w:rPr>
              <w:t>，使用年限10年，采用卫生填埋工艺，日处理垃圾量约100t。</w:t>
            </w:r>
          </w:p>
          <w:p w14:paraId="74F464A6">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lang w:bidi="ar"/>
              </w:rPr>
            </w:pPr>
            <w:r>
              <w:rPr>
                <w:rFonts w:hint="eastAsia" w:cs="Times New Roman"/>
                <w:bCs/>
                <w:color w:val="auto"/>
                <w:lang w:val="en-US" w:eastAsia="zh-CN"/>
              </w:rPr>
              <w:t>玛纳斯县生活垃圾填埋场位于本项目北侧约23km处，本项目施工期生活垃圾产生量较少，相对于该垃圾填埋场的库容占比较小，依托可行。</w:t>
            </w:r>
          </w:p>
          <w:p w14:paraId="34001787">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highlight w:val="none"/>
              </w:rPr>
            </w:pPr>
          </w:p>
          <w:p w14:paraId="3DC01E41">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建筑垃圾</w:t>
            </w:r>
          </w:p>
          <w:p w14:paraId="54BD6EBB">
            <w:pPr>
              <w:pStyle w:val="9"/>
              <w:keepNext w:val="0"/>
              <w:keepLines w:val="0"/>
              <w:pageBreakBefore w:val="0"/>
              <w:kinsoku/>
              <w:wordWrap/>
              <w:overflowPunct/>
              <w:topLinePunct w:val="0"/>
              <w:autoSpaceDE/>
              <w:autoSpaceDN/>
              <w:bidi w:val="0"/>
              <w:spacing w:line="500" w:lineRule="exact"/>
              <w:ind w:firstLine="480"/>
              <w:textAlignment w:val="auto"/>
              <w:rPr>
                <w:rFonts w:hint="default" w:ascii="Times New Roman" w:hAnsi="Times New Roman" w:cs="Times New Roman"/>
                <w:b w:val="0"/>
                <w:bCs w:val="0"/>
                <w:color w:val="auto"/>
                <w:highlight w:val="yellow"/>
                <w:lang w:val="en-US"/>
              </w:rPr>
            </w:pPr>
            <w:r>
              <w:rPr>
                <w:rFonts w:hint="eastAsia" w:ascii="Times New Roman" w:hAnsi="Times New Roman" w:cs="Times New Roman"/>
                <w:b w:val="0"/>
                <w:bCs w:val="0"/>
                <w:color w:val="auto"/>
                <w:highlight w:val="none"/>
                <w:lang w:val="en-US" w:eastAsia="zh-CN"/>
              </w:rPr>
              <w:t>本项目建筑垃圾主要为施工过程及施工结束时产生的废料（如石块、钢筋）、废包装等，建筑垃圾处置应遵循减量化、资源化、无害化的原则，首先对生产的建筑垃圾进行分类，尽量由施工单位统一回收利用，无法再利用的送至玛纳斯县建筑垃圾填埋场填埋处理。</w:t>
            </w:r>
          </w:p>
          <w:p w14:paraId="3789062A">
            <w:pPr>
              <w:pStyle w:val="9"/>
              <w:keepNext w:val="0"/>
              <w:keepLines w:val="0"/>
              <w:pageBreakBefore w:val="0"/>
              <w:kinsoku/>
              <w:wordWrap/>
              <w:overflowPunct/>
              <w:topLinePunct w:val="0"/>
              <w:autoSpaceDE/>
              <w:autoSpaceDN/>
              <w:bidi w:val="0"/>
              <w:spacing w:line="500" w:lineRule="exact"/>
              <w:ind w:firstLine="480"/>
              <w:textAlignment w:val="auto"/>
              <w:rPr>
                <w:rFonts w:hint="default" w:ascii="Times New Roman" w:hAnsi="Times New Roman" w:cs="Times New Roman"/>
                <w:b w:val="0"/>
                <w:bCs w:val="0"/>
                <w:color w:val="auto"/>
                <w:highlight w:val="yellow"/>
                <w:lang w:val="en-US"/>
              </w:rPr>
            </w:pPr>
            <w:r>
              <w:rPr>
                <w:rFonts w:hint="eastAsia" w:ascii="Times New Roman" w:hAnsi="Times New Roman" w:cs="Times New Roman"/>
                <w:b w:val="0"/>
                <w:bCs w:val="0"/>
                <w:color w:val="auto"/>
                <w:highlight w:val="none"/>
                <w:lang w:val="en-US" w:eastAsia="zh-CN"/>
              </w:rPr>
              <w:t>玛纳斯县建筑垃圾填埋场位于县城东南方向约3.5km的废弃砂石料坑处，该填埋场于2023年2月14日取得昌吉回族自治州生态环境局对《昌吉州玛纳斯县建筑垃圾填埋场建设项目环境影响报告表》的批复（昌州环评〔2023〕12号）；该填埋场日处理量1000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，设计总库容50.55万m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。其中，建筑垃圾填埋区库容16.6万m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，占地面积25860.38m</w:t>
            </w:r>
            <w:r>
              <w:rPr>
                <w:rFonts w:hint="eastAsia" w:ascii="Times New Roman" w:hAnsi="Times New Roman" w:cs="Times New Roman"/>
                <w:b w:val="0"/>
                <w:bCs w:val="0"/>
                <w:color w:val="auto"/>
                <w:highlight w:val="none"/>
                <w:vertAlign w:val="superscript"/>
                <w:lang w:val="en-US" w:eastAsia="zh-CN"/>
              </w:rPr>
              <w:t>2</w:t>
            </w:r>
            <w:r>
              <w:rPr>
                <w:rFonts w:hint="eastAsia" w:ascii="Times New Roman" w:hAnsi="Times New Roman" w:cs="Times New Roman"/>
                <w:b w:val="0"/>
                <w:bCs w:val="0"/>
                <w:color w:val="auto"/>
                <w:highlight w:val="none"/>
                <w:lang w:val="en-US" w:eastAsia="zh-CN"/>
              </w:rPr>
              <w:t>；建筑垃圾堆填区库容33.95万m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，占地面积59571.41m</w:t>
            </w:r>
            <w:r>
              <w:rPr>
                <w:rFonts w:hint="eastAsia" w:ascii="Times New Roman" w:hAnsi="Times New Roman" w:cs="Times New Roman"/>
                <w:b w:val="0"/>
                <w:bCs w:val="0"/>
                <w:color w:val="auto"/>
                <w:highlight w:val="none"/>
                <w:vertAlign w:val="superscript"/>
                <w:lang w:val="en-US" w:eastAsia="zh-CN"/>
              </w:rPr>
              <w:t>2</w:t>
            </w:r>
            <w:r>
              <w:rPr>
                <w:rFonts w:hint="eastAsia" w:ascii="Times New Roman" w:hAnsi="Times New Roman" w:cs="Times New Roman"/>
                <w:b w:val="0"/>
                <w:bCs w:val="0"/>
                <w:color w:val="auto"/>
                <w:highlight w:val="none"/>
                <w:lang w:val="en-US" w:eastAsia="zh-CN"/>
              </w:rPr>
              <w:t>。使用年限不少于16年。</w:t>
            </w:r>
          </w:p>
          <w:p w14:paraId="07A2A879">
            <w:pPr>
              <w:pStyle w:val="11"/>
              <w:keepNext w:val="0"/>
              <w:keepLines w:val="0"/>
              <w:pageBreakBefore w:val="0"/>
              <w:kinsoku/>
              <w:wordWrap/>
              <w:overflowPunct/>
              <w:topLinePunct w:val="0"/>
              <w:autoSpaceDE/>
              <w:autoSpaceDN/>
              <w:bidi w:val="0"/>
              <w:spacing w:line="500" w:lineRule="exact"/>
              <w:textAlignment w:val="auto"/>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t>玛纳斯县生活垃圾填埋场位于本项目北侧约</w:t>
            </w:r>
            <w:r>
              <w:rPr>
                <w:rFonts w:hint="eastAsia" w:cs="Times New Roman"/>
                <w:color w:val="auto"/>
                <w:sz w:val="24"/>
                <w:lang w:val="en-US" w:eastAsia="zh-CN"/>
              </w:rPr>
              <w:t>15</w:t>
            </w:r>
            <w:r>
              <w:rPr>
                <w:rFonts w:hint="default" w:ascii="Times New Roman" w:hAnsi="Times New Roman" w:cs="Times New Roman"/>
                <w:color w:val="auto"/>
                <w:sz w:val="24"/>
              </w:rPr>
              <w:t>km处，本项目产生</w:t>
            </w:r>
            <w:r>
              <w:rPr>
                <w:rFonts w:hint="eastAsia" w:cs="Times New Roman"/>
                <w:color w:val="auto"/>
                <w:sz w:val="24"/>
                <w:lang w:eastAsia="zh-CN"/>
              </w:rPr>
              <w:t>的</w:t>
            </w:r>
            <w:r>
              <w:rPr>
                <w:rFonts w:hint="eastAsia" w:cs="Times New Roman"/>
                <w:color w:val="auto"/>
                <w:sz w:val="24"/>
                <w:lang w:val="en-US" w:eastAsia="zh-CN"/>
              </w:rPr>
              <w:t>建筑垃圾</w:t>
            </w:r>
            <w:r>
              <w:rPr>
                <w:rFonts w:hint="default" w:ascii="Times New Roman" w:hAnsi="Times New Roman" w:cs="Times New Roman"/>
                <w:color w:val="auto"/>
                <w:sz w:val="24"/>
              </w:rPr>
              <w:t>量较少，相对于该垃圾填埋场的库容占比较小，依托可行</w:t>
            </w:r>
            <w:r>
              <w:rPr>
                <w:rFonts w:hint="eastAsia" w:cs="Times New Roman"/>
                <w:color w:val="auto"/>
                <w:sz w:val="24"/>
                <w:lang w:eastAsia="zh-CN"/>
              </w:rPr>
              <w:t>。</w:t>
            </w:r>
          </w:p>
          <w:p w14:paraId="08EF29A4">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bidi="ar"/>
              </w:rPr>
              <w:t>（</w:t>
            </w:r>
            <w:r>
              <w:rPr>
                <w:rFonts w:hint="eastAsia" w:ascii="Times New Roman" w:hAnsi="Times New Roman" w:cs="Times New Roman"/>
                <w:color w:val="auto"/>
                <w:lang w:val="en-US" w:eastAsia="zh-CN" w:bidi="ar"/>
              </w:rPr>
              <w:t>8</w:t>
            </w:r>
            <w:r>
              <w:rPr>
                <w:rFonts w:hint="default" w:ascii="Times New Roman" w:hAnsi="Times New Roman" w:cs="Times New Roman"/>
                <w:color w:val="auto"/>
                <w:lang w:bidi="ar"/>
              </w:rPr>
              <w:t>）一般工业固体废物环境管理要求</w:t>
            </w:r>
          </w:p>
          <w:p w14:paraId="71F0F9B6">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bidi="ar"/>
              </w:rPr>
              <w:t>①建设单位应落实污染环境防治责任制度，建立健全工业固体废物产生、收集、贮存、运输、利用、处置全过程的污染环境防治责任制度。建立工业固体废物管理台账，如实记录产生工业固体废物的种类、数量、流向、贮存、利用、处置等信息，实现工业固体废物可追溯、可查询。</w:t>
            </w:r>
          </w:p>
          <w:p w14:paraId="10F3BE4E">
            <w:pPr>
              <w:pStyle w:val="23"/>
              <w:keepNext w:val="0"/>
              <w:keepLines w:val="0"/>
              <w:pageBreakBefore w:val="0"/>
              <w:widowControl w:val="0"/>
              <w:kinsoku/>
              <w:wordWrap/>
              <w:overflowPunct/>
              <w:topLinePunct w:val="0"/>
              <w:autoSpaceDE/>
              <w:autoSpaceDN/>
              <w:bidi w:val="0"/>
              <w:spacing w:before="0" w:beforeAutospacing="0" w:after="0" w:afterAutospacing="0" w:line="500" w:lineRule="exact"/>
              <w:ind w:left="-125" w:right="-56" w:firstLine="570"/>
              <w:jc w:val="both"/>
              <w:textAlignment w:val="auto"/>
              <w:rPr>
                <w:rFonts w:hint="default" w:ascii="Times New Roman" w:hAnsi="Times New Roman" w:cs="Times New Roman"/>
                <w:color w:val="auto"/>
              </w:rPr>
            </w:pPr>
            <w:r>
              <w:rPr>
                <w:rFonts w:hint="default" w:ascii="Times New Roman" w:hAnsi="Times New Roman" w:cs="Times New Roman"/>
                <w:color w:val="auto"/>
                <w:kern w:val="2"/>
                <w:lang w:bidi="ar"/>
              </w:rPr>
              <w:t>②建设单位应与具有相应具有固体废物处置资质的单位签订书面合同，在合同中约定污染防治要求，由受托方负责处置水基岩屑。</w:t>
            </w:r>
          </w:p>
          <w:p w14:paraId="3F6DFF11">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eastAsia" w:cs="Times New Roman"/>
                <w:color w:val="auto"/>
                <w:sz w:val="24"/>
                <w:lang w:val="en-US" w:eastAsia="zh-CN"/>
              </w:rPr>
              <w:t>9</w:t>
            </w:r>
            <w:r>
              <w:rPr>
                <w:rFonts w:hint="default" w:ascii="Times New Roman" w:hAnsi="Times New Roman" w:cs="Times New Roman"/>
                <w:color w:val="auto"/>
                <w:sz w:val="24"/>
              </w:rPr>
              <w:t>）危险废物贮存点</w:t>
            </w:r>
          </w:p>
          <w:p w14:paraId="79DF1693">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本项目</w:t>
            </w:r>
            <w:r>
              <w:rPr>
                <w:rFonts w:hint="default" w:ascii="Times New Roman" w:hAnsi="Times New Roman" w:cs="Times New Roman"/>
                <w:color w:val="auto"/>
                <w:sz w:val="24"/>
              </w:rPr>
              <w:t>在井场内设置</w:t>
            </w:r>
            <w:r>
              <w:rPr>
                <w:rFonts w:hint="eastAsia" w:cs="Times New Roman"/>
                <w:color w:val="auto"/>
                <w:sz w:val="24"/>
                <w:lang w:val="en-US" w:eastAsia="zh-CN"/>
              </w:rPr>
              <w:t>1</w:t>
            </w:r>
            <w:r>
              <w:rPr>
                <w:rFonts w:hint="default" w:ascii="Times New Roman" w:hAnsi="Times New Roman" w:cs="Times New Roman"/>
                <w:color w:val="auto"/>
                <w:sz w:val="24"/>
              </w:rPr>
              <w:t>座临时危险废物暂存点，其选址符合《危险废物贮存污染控制标准》（GB18597-2023）的选址要求，建设过程中应严格按照《危险废物贮存污染控制标准》（GB18597-2023）中的相关要求建设，具体要求如下：</w:t>
            </w:r>
          </w:p>
          <w:p w14:paraId="7E71F8B7">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①贮存设施应根据危险废物的形态、物理化学性质、包装形式和污染物迁移途径，采取必要的防风、防晒、防雨、防漏、防渗、防腐以及其他环境污染防治措施，不应露天堆放危险废物。</w:t>
            </w:r>
          </w:p>
          <w:p w14:paraId="755F734C">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②贮存设施应根据危险废物的类别、数量、形态、物理化学性质和污染防治等要求设置必要的贮存分区，避免不相容的危险废物接触、混合。</w:t>
            </w:r>
          </w:p>
          <w:p w14:paraId="69D71D53">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③贮存设施地面与裙脚应采取表面防渗措施；表面防渗材料应与所接触的物料或污染物相容，可采用抗渗混凝土、高密度聚乙烯膜、钠基膨润土防水毯或其他防渗性能等效的材料。</w:t>
            </w:r>
          </w:p>
          <w:p w14:paraId="7C8CD696">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④同一贮存设施采用相同的防渗、防腐工艺（包括防渗、防腐结构或材料），防渗、防腐材料应覆盖所有可能与废物及其渗滤液、渗漏液等接触的构筑物表面；贮存设施应采取技术和管理措施防止无关人员进入。</w:t>
            </w:r>
          </w:p>
          <w:p w14:paraId="421125BD">
            <w:pPr>
              <w:pStyle w:val="11"/>
              <w:keepNext w:val="0"/>
              <w:keepLines w:val="0"/>
              <w:pageBreakBefore w:val="0"/>
              <w:widowControl w:val="0"/>
              <w:kinsoku/>
              <w:wordWrap/>
              <w:overflowPunct/>
              <w:topLinePunct w:val="0"/>
              <w:autoSpaceDE/>
              <w:autoSpaceDN/>
              <w:bidi w:val="0"/>
              <w:adjustRightInd/>
              <w:snapToGrid/>
              <w:spacing w:line="500" w:lineRule="exact"/>
              <w:ind w:left="-125" w:right="-57" w:firstLine="573"/>
              <w:textAlignment w:val="auto"/>
              <w:rPr>
                <w:rFonts w:hint="default" w:ascii="Times New Roman" w:hAnsi="Times New Roman" w:cs="Times New Roman"/>
                <w:color w:val="auto"/>
                <w:sz w:val="24"/>
              </w:rPr>
            </w:pPr>
            <w:r>
              <w:rPr>
                <w:rFonts w:hint="default" w:ascii="Times New Roman" w:hAnsi="Times New Roman" w:cs="Times New Roman"/>
                <w:color w:val="auto"/>
                <w:sz w:val="24"/>
              </w:rPr>
              <w:t>⑤容器和包装物污染控制要求</w:t>
            </w:r>
          </w:p>
          <w:p w14:paraId="26E19735">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废润滑油采用桶装，容器材质、内衬应与盛装的危险废物相容；容器满足相应的防渗、防漏、防腐和强度等要求；容器内部应留有适当的空间，以适应因温度变化等可能引发的收缩和膨胀，防止其导致容器渗漏或永久变形；容器外表面应保持清洁。</w:t>
            </w:r>
          </w:p>
          <w:p w14:paraId="37729409">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⑥贮存过程污染控制要求</w:t>
            </w:r>
          </w:p>
          <w:p w14:paraId="41A5F78F">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废润滑油、废润滑油桶和沾油废防渗材料分类堆放贮存，废润滑油装入桶内贮存，桶顶部带盖。</w:t>
            </w:r>
          </w:p>
          <w:p w14:paraId="1716FE12">
            <w:pPr>
              <w:pStyle w:val="11"/>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⑦运行环境管理要求</w:t>
            </w:r>
          </w:p>
          <w:p w14:paraId="2C7EF772">
            <w:pPr>
              <w:pStyle w:val="11"/>
              <w:keepNext w:val="0"/>
              <w:keepLines w:val="0"/>
              <w:pageBreakBefore w:val="0"/>
              <w:kinsoku/>
              <w:wordWrap/>
              <w:overflowPunct/>
              <w:topLinePunct w:val="0"/>
              <w:autoSpaceDE/>
              <w:autoSpaceDN/>
              <w:bidi w:val="0"/>
              <w:spacing w:line="500" w:lineRule="exact"/>
              <w:textAlignment w:val="auto"/>
              <w:rPr>
                <w:rFonts w:hint="default" w:cs="Times New Roman"/>
                <w:color w:val="auto"/>
                <w:sz w:val="24"/>
                <w:lang w:val="en-US" w:eastAsia="zh-CN"/>
              </w:rPr>
            </w:pPr>
            <w:r>
              <w:rPr>
                <w:rFonts w:hint="eastAsia" w:cs="Times New Roman"/>
                <w:color w:val="auto"/>
                <w:sz w:val="24"/>
                <w:lang w:val="en-US" w:eastAsia="zh-CN"/>
              </w:rPr>
              <w:t>建设单位应按照《危险废物收集、贮存、运输技术规范》（HJ2025-2012）中有关危险废物的收集、贮存和运输要求执行，具体如下：</w:t>
            </w:r>
          </w:p>
          <w:p w14:paraId="31635CD9">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危险废物收集、贮存、运输时应按腐蚀性、毒性、易燃性、反应性和感染性等危险特性对危险废物进行分类、包装并设置相应的标志及标签；</w:t>
            </w:r>
          </w:p>
          <w:p w14:paraId="1534A98C">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应定期检查危险废物的贮存状况，及时清理贮存设施地面，更换破损泄漏的危险废物贮存容器，保证堆存危险废物的防雨、防风、防扬尘等设施功能完好；</w:t>
            </w:r>
          </w:p>
          <w:p w14:paraId="32DADA93">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贮存设施所有者或运营者应建立贮存设施环境管理制度、管理人员岗位职责制度、设施运行操作制度、人员岗位培训制度等</w:t>
            </w:r>
            <w:r>
              <w:rPr>
                <w:rFonts w:hint="eastAsia" w:cs="Times New Roman"/>
                <w:color w:val="auto"/>
                <w:sz w:val="24"/>
                <w:lang w:eastAsia="zh-CN"/>
              </w:rPr>
              <w:t>；</w:t>
            </w:r>
          </w:p>
          <w:p w14:paraId="09BCFE8A">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eastAsia" w:cs="Times New Roman"/>
                <w:color w:val="auto"/>
                <w:sz w:val="24"/>
                <w:lang w:val="en-US" w:eastAsia="zh-CN"/>
              </w:rPr>
              <w:t>项目危险废物应交具有危险废物经营许可证，</w:t>
            </w:r>
            <w:r>
              <w:rPr>
                <w:rFonts w:hint="default" w:ascii="Times New Roman" w:hAnsi="Times New Roman" w:cs="Times New Roman"/>
                <w:color w:val="auto"/>
                <w:sz w:val="24"/>
              </w:rPr>
              <w:t>从事危险废物收集、贮存、运输经营活动的单位</w:t>
            </w:r>
            <w:r>
              <w:rPr>
                <w:rFonts w:hint="eastAsia" w:cs="Times New Roman"/>
                <w:color w:val="auto"/>
                <w:sz w:val="24"/>
                <w:lang w:val="en-US" w:eastAsia="zh-CN"/>
              </w:rPr>
              <w:t>处置；</w:t>
            </w:r>
          </w:p>
          <w:p w14:paraId="35679279">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eastAsia" w:cs="Times New Roman"/>
                <w:color w:val="auto"/>
                <w:sz w:val="24"/>
                <w:lang w:eastAsia="zh-CN"/>
              </w:rPr>
              <w:t>危险废物转移过程应按《危险废物转移联单管理办法》执行；</w:t>
            </w:r>
          </w:p>
          <w:p w14:paraId="128BD238">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eastAsia" w:cs="Times New Roman"/>
                <w:color w:val="auto"/>
                <w:sz w:val="24"/>
                <w:lang w:eastAsia="zh-CN"/>
              </w:rPr>
              <w:t>危险废物收集和转运作业人员应根据工作需要配备必要的个人防护装备，如手套、防护镜、防护服</w:t>
            </w:r>
            <w:r>
              <w:rPr>
                <w:rFonts w:hint="eastAsia" w:cs="Times New Roman"/>
                <w:color w:val="auto"/>
                <w:sz w:val="24"/>
                <w:lang w:val="en-US" w:eastAsia="zh-CN"/>
              </w:rPr>
              <w:t>等</w:t>
            </w:r>
            <w:r>
              <w:rPr>
                <w:rFonts w:hint="eastAsia" w:cs="Times New Roman"/>
                <w:color w:val="auto"/>
                <w:sz w:val="24"/>
                <w:lang w:eastAsia="zh-CN"/>
              </w:rPr>
              <w:t>；</w:t>
            </w:r>
          </w:p>
          <w:p w14:paraId="6AE45577">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eastAsia" w:cs="Times New Roman"/>
                <w:color w:val="auto"/>
                <w:sz w:val="24"/>
                <w:lang w:val="en-US" w:eastAsia="zh-CN"/>
              </w:rPr>
              <w:t>危险废物收集时应在作业区域设置作业界线标志和警示牌</w:t>
            </w:r>
            <w:r>
              <w:rPr>
                <w:rFonts w:hint="eastAsia" w:cs="Times New Roman"/>
                <w:color w:val="auto"/>
                <w:sz w:val="24"/>
                <w:lang w:eastAsia="zh-CN"/>
              </w:rPr>
              <w:t>；</w:t>
            </w:r>
            <w:r>
              <w:rPr>
                <w:rFonts w:hint="eastAsia" w:cs="Times New Roman"/>
                <w:color w:val="auto"/>
                <w:sz w:val="24"/>
                <w:lang w:val="en-US" w:eastAsia="zh-CN"/>
              </w:rPr>
              <w:t>收集结束后应清理和恢复作业区域，确保作业区域环境整洁安全。</w:t>
            </w:r>
          </w:p>
          <w:p w14:paraId="53529356">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eastAsia" w:cs="Times New Roman"/>
                <w:color w:val="auto"/>
                <w:sz w:val="24"/>
                <w:lang w:val="en-US" w:eastAsia="zh-CN"/>
              </w:rPr>
              <w:t>危险废物贮存时应建立危险废物贮存台账制度</w:t>
            </w:r>
            <w:r>
              <w:rPr>
                <w:rFonts w:hint="eastAsia" w:cs="Times New Roman"/>
                <w:color w:val="auto"/>
                <w:sz w:val="24"/>
                <w:lang w:eastAsia="zh-CN"/>
              </w:rPr>
              <w:t>；</w:t>
            </w:r>
          </w:p>
          <w:p w14:paraId="681DB933">
            <w:pPr>
              <w:pStyle w:val="11"/>
              <w:keepNext w:val="0"/>
              <w:keepLines w:val="0"/>
              <w:pageBreakBefore w:val="0"/>
              <w:numPr>
                <w:ilvl w:val="0"/>
                <w:numId w:val="6"/>
              </w:numPr>
              <w:kinsoku/>
              <w:wordWrap/>
              <w:overflowPunct/>
              <w:topLinePunct w:val="0"/>
              <w:autoSpaceDE/>
              <w:autoSpaceDN/>
              <w:bidi w:val="0"/>
              <w:spacing w:line="500" w:lineRule="exact"/>
              <w:textAlignment w:val="auto"/>
              <w:rPr>
                <w:rFonts w:hint="default" w:ascii="Times New Roman" w:hAnsi="Times New Roman" w:cs="Times New Roman"/>
                <w:color w:val="auto"/>
                <w:sz w:val="24"/>
              </w:rPr>
            </w:pPr>
            <w:r>
              <w:rPr>
                <w:rFonts w:hint="eastAsia" w:cs="Times New Roman"/>
                <w:color w:val="auto"/>
                <w:sz w:val="24"/>
                <w:lang w:val="en-US" w:eastAsia="zh-CN"/>
              </w:rPr>
              <w:t>危险废物运输应由持有危险废物经营许可证的单位按照其许可证的经营范围组织实施，承担危险废物运输的单位应获得交通运输部门颁发的危险货物运输资质。</w:t>
            </w:r>
          </w:p>
          <w:bookmarkEnd w:id="76"/>
          <w:p w14:paraId="2637A634">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bookmarkStart w:id="80" w:name="_Hlk183361156"/>
            <w:bookmarkStart w:id="81" w:name="_Hlk136792721"/>
            <w:r>
              <w:rPr>
                <w:rFonts w:hint="default" w:ascii="Times New Roman" w:hAnsi="Times New Roman" w:cs="Times New Roman"/>
                <w:color w:val="auto"/>
                <w:lang w:bidi="ar"/>
              </w:rPr>
              <w:t>（</w:t>
            </w:r>
            <w:r>
              <w:rPr>
                <w:rFonts w:hint="eastAsia" w:cs="Times New Roman"/>
                <w:color w:val="auto"/>
                <w:lang w:val="en-US" w:eastAsia="zh-CN" w:bidi="ar"/>
              </w:rPr>
              <w:t>10</w:t>
            </w:r>
            <w:r>
              <w:rPr>
                <w:rFonts w:hint="default" w:ascii="Times New Roman" w:hAnsi="Times New Roman" w:cs="Times New Roman"/>
                <w:color w:val="auto"/>
                <w:lang w:bidi="ar"/>
              </w:rPr>
              <w:t>）</w:t>
            </w:r>
            <w:bookmarkStart w:id="82" w:name="_Hlk183363774"/>
            <w:r>
              <w:rPr>
                <w:rFonts w:hint="default" w:ascii="Times New Roman" w:hAnsi="Times New Roman" w:cs="Times New Roman"/>
                <w:color w:val="auto"/>
                <w:lang w:bidi="ar"/>
              </w:rPr>
              <w:t>危险废物环境管理要求</w:t>
            </w:r>
            <w:bookmarkEnd w:id="82"/>
          </w:p>
          <w:bookmarkEnd w:id="80"/>
          <w:p w14:paraId="464FFE3B">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建设单位及施工单位应对油基钻井岩屑、废润滑油、废润滑油桶和沾油的废防渗材料按照《危险废物环境管理指南  陆上石油天然气开采》中的危险废物环境管理要求进行管理，具体如下：</w:t>
            </w:r>
          </w:p>
          <w:p w14:paraId="01602998">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①落实污染环境防治责任制度，建立健全工业危险废物产生、收集、贮存、运输、利用、处置全过程的污染环境防治责任制度。</w:t>
            </w:r>
          </w:p>
          <w:p w14:paraId="54980929">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②</w:t>
            </w:r>
            <w:r>
              <w:rPr>
                <w:rFonts w:hint="eastAsia" w:ascii="宋体" w:hAnsi="宋体" w:cs="宋体"/>
                <w:color w:val="auto"/>
              </w:rPr>
              <w:t>落实危险废物识别标志制度</w:t>
            </w:r>
            <w:r>
              <w:rPr>
                <w:rFonts w:hint="eastAsia" w:ascii="宋体" w:hAnsi="宋体" w:cs="宋体"/>
                <w:color w:val="auto"/>
                <w:lang w:eastAsia="zh-CN"/>
              </w:rPr>
              <w:t>，</w:t>
            </w:r>
            <w:r>
              <w:rPr>
                <w:rFonts w:hint="eastAsia" w:ascii="宋体" w:hAnsi="宋体" w:cs="宋体"/>
                <w:color w:val="auto"/>
              </w:rPr>
              <w:t>按照《环境保护图形标志 固体废物贮存（处置）场》（GB15562.2</w:t>
            </w:r>
            <w:r>
              <w:rPr>
                <w:rFonts w:ascii="宋体" w:hAnsi="宋体" w:cs="宋体"/>
                <w:color w:val="auto"/>
              </w:rPr>
              <w:t>-1995</w:t>
            </w:r>
            <w:r>
              <w:rPr>
                <w:rFonts w:hint="eastAsia" w:ascii="宋体" w:hAnsi="宋体" w:cs="宋体"/>
                <w:color w:val="auto"/>
              </w:rPr>
              <w:t>）及修改单、《危险废物识别标志设置技术规范》（HJ1276-2022）等有关规定，对危险废物的容器和收集、贮存、危险废物的场所设置危险废物识别标志</w:t>
            </w:r>
            <w:r>
              <w:rPr>
                <w:rFonts w:hint="default" w:ascii="Times New Roman" w:hAnsi="Times New Roman" w:cs="Times New Roman"/>
                <w:color w:val="auto"/>
              </w:rPr>
              <w:t>。</w:t>
            </w:r>
          </w:p>
          <w:p w14:paraId="67A45A36">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③</w:t>
            </w:r>
            <w:r>
              <w:rPr>
                <w:rFonts w:hint="eastAsia" w:ascii="宋体" w:hAnsi="宋体" w:cs="宋体"/>
                <w:color w:val="auto"/>
              </w:rPr>
              <w:t>落实危险废物管理计划制度，按照《</w:t>
            </w:r>
            <w:r>
              <w:rPr>
                <w:color w:val="auto"/>
              </w:rPr>
              <w:fldChar w:fldCharType="begin"/>
            </w:r>
            <w:r>
              <w:rPr>
                <w:color w:val="auto"/>
              </w:rPr>
              <w:instrText xml:space="preserve"> HYPERLINK "https://www.mee.gov.cn/gkml/hbb/bgg/201601/W020160128385366835993.pdf" </w:instrText>
            </w:r>
            <w:r>
              <w:rPr>
                <w:color w:val="auto"/>
              </w:rPr>
              <w:fldChar w:fldCharType="separate"/>
            </w:r>
            <w:r>
              <w:rPr>
                <w:rFonts w:hint="eastAsia" w:ascii="宋体" w:hAnsi="宋体" w:cs="宋体"/>
                <w:color w:val="auto"/>
              </w:rPr>
              <w:t>危险废物管理计划和</w:t>
            </w:r>
            <w:r>
              <w:rPr>
                <w:rFonts w:hint="eastAsia" w:ascii="宋体" w:hAnsi="宋体" w:cs="宋体"/>
                <w:color w:val="auto"/>
              </w:rPr>
              <w:fldChar w:fldCharType="end"/>
            </w:r>
            <w:r>
              <w:rPr>
                <w:rFonts w:hint="eastAsia" w:ascii="宋体" w:hAnsi="宋体" w:cs="宋体"/>
                <w:color w:val="auto"/>
              </w:rPr>
              <w:t>管理台账制定技术导则》（HJ1259-2022）等有关要求制定危险废物管理计划，并报所在地生态环境主管部门备案</w:t>
            </w:r>
            <w:r>
              <w:rPr>
                <w:rFonts w:hint="default" w:ascii="Times New Roman" w:hAnsi="Times New Roman" w:cs="Times New Roman"/>
                <w:color w:val="auto"/>
              </w:rPr>
              <w:t>。</w:t>
            </w:r>
          </w:p>
          <w:p w14:paraId="2725AE2C">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④落实危险废物管理台账及申报制度，建立危险废物管理台账，如实记录有关信息，并通过国家危险废物信息管理系统向所在地生态环境主管部门申报危险废物的种类、产生量、流向、贮存、处置等有关资料。</w:t>
            </w:r>
          </w:p>
          <w:p w14:paraId="6B979EAE">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⑤落实危险废物转移联单制度，转移危险废物的，应当按照《危险废物转移管理办法》的有关规定填写、运行危险废物转移联单。</w:t>
            </w:r>
          </w:p>
          <w:bookmarkEnd w:id="81"/>
          <w:p w14:paraId="0EACA1E2">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综上，严格落实各项</w:t>
            </w:r>
            <w:r>
              <w:rPr>
                <w:rFonts w:hint="default" w:ascii="Times New Roman" w:hAnsi="Times New Roman" w:cs="Times New Roman"/>
                <w:color w:val="auto"/>
              </w:rPr>
              <w:t>固体废物处置措施</w:t>
            </w:r>
            <w:r>
              <w:rPr>
                <w:rFonts w:hint="default" w:ascii="Times New Roman" w:hAnsi="Times New Roman" w:cs="Times New Roman"/>
                <w:color w:val="auto"/>
                <w:lang w:val="en-US" w:eastAsia="zh-CN"/>
              </w:rPr>
              <w:t>后</w:t>
            </w:r>
            <w:r>
              <w:rPr>
                <w:rFonts w:hint="default" w:ascii="Times New Roman" w:hAnsi="Times New Roman" w:cs="Times New Roman"/>
                <w:color w:val="auto"/>
              </w:rPr>
              <w:t>，</w:t>
            </w:r>
            <w:r>
              <w:rPr>
                <w:rFonts w:hint="default" w:ascii="Times New Roman" w:hAnsi="Times New Roman" w:cs="Times New Roman"/>
                <w:color w:val="auto"/>
                <w:lang w:val="en-US" w:eastAsia="zh-CN"/>
              </w:rPr>
              <w:t>项目施工期</w:t>
            </w:r>
            <w:r>
              <w:rPr>
                <w:rFonts w:hint="default" w:ascii="Times New Roman" w:hAnsi="Times New Roman" w:cs="Times New Roman"/>
                <w:color w:val="auto"/>
              </w:rPr>
              <w:t>产生的固体废物均得到妥善处置，不会对环境造成不利影响。</w:t>
            </w:r>
          </w:p>
          <w:p w14:paraId="0FCB21FD">
            <w:pPr>
              <w:keepNext w:val="0"/>
              <w:keepLines w:val="0"/>
              <w:pageBreakBefore w:val="0"/>
              <w:kinsoku/>
              <w:wordWrap/>
              <w:overflowPunct/>
              <w:topLinePunct w:val="0"/>
              <w:autoSpaceDE/>
              <w:autoSpaceDN/>
              <w:bidi w:val="0"/>
              <w:snapToGrid w:val="0"/>
              <w:spacing w:line="500" w:lineRule="exact"/>
              <w:ind w:firstLine="482" w:firstLineChars="20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7</w:t>
            </w:r>
            <w:r>
              <w:rPr>
                <w:rFonts w:hint="default" w:ascii="Times New Roman" w:hAnsi="Times New Roman" w:cs="Times New Roman"/>
                <w:b/>
                <w:bCs/>
                <w:color w:val="auto"/>
              </w:rPr>
              <w:t>、环境风险应急措施及应急要求</w:t>
            </w:r>
          </w:p>
          <w:p w14:paraId="7EE393F0">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rPr>
              <w:t>（1）建设单位以及施工钻井队结合行业作业规范，</w:t>
            </w:r>
            <w:r>
              <w:rPr>
                <w:rFonts w:hint="eastAsia" w:ascii="Times New Roman" w:hAnsi="Times New Roman" w:cs="Times New Roman"/>
                <w:color w:val="auto"/>
                <w:lang w:eastAsia="zh-CN"/>
              </w:rPr>
              <w:t>设置</w:t>
            </w:r>
            <w:r>
              <w:rPr>
                <w:rFonts w:hint="default" w:ascii="Times New Roman" w:hAnsi="Times New Roman" w:cs="Times New Roman"/>
                <w:color w:val="auto"/>
              </w:rPr>
              <w:t>专职安全环保管理人员，把安全、环境管理纳入生产管理的各个环节，对防止事故的发生能起到非常积极的作用。现场作业严格按照《石油天然气钻井作业健康、安全与环境管理导则》（Q/SY08053-2017）的要求执行。</w:t>
            </w:r>
          </w:p>
          <w:p w14:paraId="7BAF64C1">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（2）井喷环境风险防范措施</w:t>
            </w:r>
          </w:p>
          <w:p w14:paraId="12B94903">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w:t>
            </w:r>
            <w:r>
              <w:rPr>
                <w:rFonts w:hint="eastAsia" w:cs="Times New Roman"/>
                <w:color w:val="auto"/>
                <w:lang w:val="en-US" w:eastAsia="zh-CN"/>
              </w:rPr>
              <w:t>井场</w:t>
            </w:r>
            <w:r>
              <w:rPr>
                <w:rFonts w:hint="default" w:ascii="Times New Roman" w:hAnsi="Times New Roman" w:cs="Times New Roman"/>
                <w:color w:val="auto"/>
              </w:rPr>
              <w:t>设井控装置，钻井工程中各岗位必须严格分工，定期对井控装置进行维护、保养、检查，保证井控装置及工具灵活可用、始终处于待命状态；落实溢流监测岗位、关井操作岗位和钻井队干部值班制度。</w:t>
            </w:r>
          </w:p>
          <w:p w14:paraId="6932A62B">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②</w:t>
            </w:r>
            <w:r>
              <w:rPr>
                <w:rFonts w:hint="eastAsia" w:ascii="宋体" w:hAnsi="宋体" w:cs="宋体"/>
                <w:color w:val="auto"/>
              </w:rPr>
              <w:t>钻开油层后：落实专人坐岗，观察井口和循环池液面变化，发现溢流立即正确关井，疑似溢流立即关井检查；加强溢流预兆显示的观察，及时发现溢流；钻开油层后，每次起下钻（活动时间间隔超过5d）对闸板防喷器及手动锁紧装置开关活动一次，定期对井控装置进行试压；起钻杆时每3～5柱向环空灌满泥浆，起钻铤要连续灌浆，</w:t>
            </w:r>
            <w:r>
              <w:rPr>
                <w:rFonts w:hint="eastAsia" w:ascii="宋体" w:hAnsi="宋体" w:cs="宋体"/>
                <w:color w:val="auto"/>
                <w:lang w:eastAsia="zh-CN"/>
              </w:rPr>
              <w:t>做好</w:t>
            </w:r>
            <w:r>
              <w:rPr>
                <w:rFonts w:hint="eastAsia" w:ascii="宋体" w:hAnsi="宋体" w:cs="宋体"/>
                <w:color w:val="auto"/>
              </w:rPr>
              <w:t>记录、校核，若灌入泥浆量大于或小于应灌入量，均应停止起钻作业并进行观察。如有溢流应及时关井。如有井漏，应及时采取相应措施。安排专人观察出口管钻井液返出情况，严禁在空井情况下检修设备；钻开油层后，所有车辆应停放在距井口以外30m，必须进入距井口30m以内的车辆，应安装阻火器，车头朝外停放</w:t>
            </w:r>
            <w:r>
              <w:rPr>
                <w:rFonts w:hint="default" w:ascii="Times New Roman" w:hAnsi="Times New Roman" w:cs="Times New Roman"/>
                <w:color w:val="auto"/>
              </w:rPr>
              <w:t>。</w:t>
            </w:r>
          </w:p>
          <w:p w14:paraId="571DB4A8">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③</w:t>
            </w:r>
            <w:r>
              <w:rPr>
                <w:rFonts w:hint="eastAsia" w:ascii="宋体" w:hAnsi="宋体" w:cs="宋体"/>
                <w:color w:val="auto"/>
              </w:rPr>
              <w:t>溢流处理和压井措施：最大允许关井套压不得超过井口装置额定工作压力、套管抗内压强度的80%和薄弱地层破裂压力所允许关井套压三者中的最小值。在允许关井套压内严禁放喷。天然气溢流不允许长时间关井而不作处理。在等候加重材料或在加重过程中，视情况间隔一段时间向井内灌注加重钻井液，同时用节流管汇控制回压，保持井底压力略大于地层压力，排放井口附近含气钻井液。若等候时间长，应及时实施司钻法第一步排除溢流，防止井口压力过高。空井溢流关井后，根据溢流的严重程度，可采用强行下钻分段压井法、置换法、压回法等方法进行处理</w:t>
            </w:r>
            <w:r>
              <w:rPr>
                <w:rFonts w:hint="default" w:ascii="Times New Roman" w:hAnsi="Times New Roman" w:cs="Times New Roman"/>
                <w:color w:val="auto"/>
              </w:rPr>
              <w:t>。</w:t>
            </w:r>
          </w:p>
          <w:p w14:paraId="29A88698">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④</w:t>
            </w:r>
            <w:r>
              <w:rPr>
                <w:rFonts w:hint="eastAsia" w:ascii="宋体" w:hAnsi="宋体" w:cs="宋体"/>
                <w:color w:val="auto"/>
              </w:rPr>
              <w:t>测井、固井、完井等作业时，要严格执行安全操作规程和井控措施，避免发生井下复杂情况和井喷失控事故。测井队到井后应向井队了解井况，确认</w:t>
            </w:r>
            <w:r>
              <w:rPr>
                <w:rFonts w:hint="eastAsia" w:ascii="宋体" w:hAnsi="宋体" w:cs="宋体"/>
                <w:color w:val="auto"/>
                <w:lang w:eastAsia="zh-CN"/>
              </w:rPr>
              <w:t>有效</w:t>
            </w:r>
            <w:r>
              <w:rPr>
                <w:rFonts w:hint="eastAsia" w:ascii="宋体" w:hAnsi="宋体" w:cs="宋体"/>
                <w:color w:val="auto"/>
              </w:rPr>
              <w:t>时间，电测时发生溢流应立即停止电测，尽快起出井内电缆；当不具备起出电缆条件、钻井液涌出转盘面时，可以在井口实施剪断电缆。由钻井队队长决定何时切断电缆并进行关井作业，测井队专用剪切工具应放置在钻台上，测井中随时处于待命状态，测井队队长负责实施剪断电缆工作</w:t>
            </w:r>
            <w:r>
              <w:rPr>
                <w:rFonts w:hint="default" w:ascii="Times New Roman" w:hAnsi="Times New Roman" w:cs="Times New Roman"/>
                <w:color w:val="auto"/>
              </w:rPr>
              <w:t>。</w:t>
            </w:r>
          </w:p>
          <w:p w14:paraId="41404ED5">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bookmarkStart w:id="83" w:name="_Hlk183350582"/>
            <w:r>
              <w:rPr>
                <w:rFonts w:hint="default" w:ascii="Times New Roman" w:hAnsi="Times New Roman" w:cs="Times New Roman"/>
                <w:color w:val="auto"/>
                <w:lang w:bidi="ar"/>
              </w:rPr>
              <w:t>⑤</w:t>
            </w:r>
            <w:r>
              <w:rPr>
                <w:rFonts w:hint="eastAsia" w:asciiTheme="minorEastAsia" w:hAnsiTheme="minorEastAsia" w:eastAsiaTheme="minorEastAsia" w:cstheme="minorEastAsia"/>
                <w:color w:val="auto"/>
              </w:rPr>
              <w:t>一旦发生井喷突发事件</w:t>
            </w:r>
            <w:r>
              <w:rPr>
                <w:rFonts w:hint="eastAsia" w:ascii="宋体" w:hAnsi="宋体" w:cs="宋体"/>
                <w:color w:val="auto"/>
              </w:rPr>
              <w:t>，应立即启动相应的环境突发事件专项应急预案，立即关闭井口切断污染源，立即通过放喷管线将井喷液体排放至放喷池内，控制原油污染面积，对放喷液进行集中收集处理。同时及时通知可能受影响的人员进行疏散；切断一切可能扩大污染范围的环节，严防污染区域的扩大。井喷失控事故后采取围、堵等措施限制固体废弃物和溢油扩散范围；将溢油最大限度地回收，对少量确实无法回收的油，采用铲除油泥层等有效方法，以降低残油对生态环境的污染程度；迅速布点监测，在第一时间确定污染物种类和浓度，出具监测数据，评估污染物转移、扩散速率；对污染状况进行跟踪调查，根据监测数据分析，预测污染迁移强度、速度和影响范围，及时调整对策。</w:t>
            </w:r>
            <w:bookmarkEnd w:id="83"/>
          </w:p>
          <w:p w14:paraId="5B1D2482">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⑥试油期产生的伴生气气量不稳定，不具备回收利用条件，经放喷管线充分燃烧后排放；建设单位应定期检查伴生气燃烧设备，加强燃烧设备的运营维护，确保伴生气充分燃烧，减少污染物的排放。</w:t>
            </w:r>
          </w:p>
          <w:p w14:paraId="080E74FC">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（3）储罐泄漏防范措施</w:t>
            </w:r>
          </w:p>
          <w:p w14:paraId="2DAA8E49">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①选用质量、防腐措施合格的储罐。安装过程中焊接要经过100%的探伤，安装时应选择刚性不燃的坚固基础作为罐体基础。储罐在投用前，必须严格按照《压力容器安全技术监察规程》进行强度和气密性试验。</w:t>
            </w:r>
          </w:p>
          <w:p w14:paraId="03215CD7">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②储罐区应严格用火管理，采用有效的避雷装置和接地装置等防止雷电的措施。</w:t>
            </w:r>
          </w:p>
          <w:p w14:paraId="31F3612C">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③加强储罐和管线接口的检查工作，防止腐蚀穿孔。定期进行壁厚检测，腐蚀余量低于规定的允许值时，要及时进行检修和更换。</w:t>
            </w:r>
          </w:p>
          <w:p w14:paraId="60E3B03F">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bookmarkStart w:id="84" w:name="_Hlk183350612"/>
            <w:r>
              <w:rPr>
                <w:rFonts w:hint="default" w:ascii="Times New Roman" w:hAnsi="Times New Roman" w:cs="Times New Roman"/>
                <w:color w:val="auto"/>
                <w:lang w:bidi="ar"/>
              </w:rPr>
              <w:t>④</w:t>
            </w:r>
            <w:bookmarkStart w:id="85" w:name="_Hlk183364061"/>
            <w:r>
              <w:rPr>
                <w:rFonts w:hint="default" w:ascii="Times New Roman" w:hAnsi="Times New Roman" w:cs="Times New Roman"/>
                <w:color w:val="auto"/>
                <w:lang w:bidi="ar"/>
              </w:rPr>
              <w:t>井场各类储罐、特别是油类物质及危险废物储罐底部均应铺设符合要求的防渗材料，一旦发生泄漏须及时发现并采取有效的堵漏措施，同时对产生的落地油集中收集，不在井场贮存，直接交由具有相应危废处置资质的单位进行接收、转运和处置；加强储罐运输环节的管理，避免出现储罐泄漏风险事故发生。</w:t>
            </w:r>
            <w:bookmarkEnd w:id="84"/>
            <w:bookmarkEnd w:id="85"/>
          </w:p>
          <w:p w14:paraId="19ED5ADF">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⑤加强消防安全管理</w:t>
            </w:r>
          </w:p>
          <w:p w14:paraId="41C3EBC3">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定期进行消防培训与实战演练，要求岗位工作人员具有较强的消防安全意识，加强巡检，确保无异常情况出现。</w:t>
            </w:r>
          </w:p>
          <w:p w14:paraId="14386E03">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（4）井漏防范措施</w:t>
            </w:r>
          </w:p>
          <w:p w14:paraId="53E11838">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①建立、健全各项安全管理制度以及配套的工艺、设备安全操作规程并严格执行，确保施工质量，防漏、防窜，做好防腐工作。</w:t>
            </w:r>
          </w:p>
          <w:p w14:paraId="7D6AFFD8">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②操作人员应密切注意设备运行状况，发现管件破裂刺漏等问题及时处理；作业现场应配备消防设备以备应急救援。</w:t>
            </w:r>
          </w:p>
          <w:p w14:paraId="0CE60A11">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③严格要求套管下入深度、确保固井质量。</w:t>
            </w:r>
          </w:p>
          <w:p w14:paraId="701CE6BE">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④工程施工单位</w:t>
            </w:r>
            <w:r>
              <w:rPr>
                <w:rFonts w:hint="eastAsia" w:cs="Times New Roman"/>
                <w:color w:val="auto"/>
                <w:lang w:eastAsia="zh-CN"/>
              </w:rPr>
              <w:t>须具备</w:t>
            </w:r>
            <w:r>
              <w:rPr>
                <w:rFonts w:hint="default" w:ascii="Times New Roman" w:hAnsi="Times New Roman" w:cs="Times New Roman"/>
                <w:color w:val="auto"/>
              </w:rPr>
              <w:t>相应资质，加强对施工现场的安全组织管理和监督。</w:t>
            </w:r>
          </w:p>
          <w:p w14:paraId="1FCD0C8C">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（5）硫化氢防范措施</w:t>
            </w:r>
          </w:p>
          <w:p w14:paraId="186724B6">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①在</w:t>
            </w:r>
            <w:r>
              <w:rPr>
                <w:rFonts w:hint="default" w:ascii="Times New Roman" w:hAnsi="Times New Roman" w:cs="Times New Roman"/>
                <w:color w:val="auto"/>
                <w:lang w:val="en-US" w:eastAsia="zh-CN"/>
              </w:rPr>
              <w:t>项目施工</w:t>
            </w:r>
            <w:r>
              <w:rPr>
                <w:rFonts w:hint="default" w:ascii="Times New Roman" w:hAnsi="Times New Roman" w:cs="Times New Roman"/>
                <w:color w:val="auto"/>
              </w:rPr>
              <w:t>过程中配备便携式硫化氢监测仪，做好硫化氢监测预警工作，并制定防硫化氢应急预案。当监测到硫化氢浓度大于75mg/m</w:t>
            </w:r>
            <w:r>
              <w:rPr>
                <w:rFonts w:hint="default" w:ascii="Times New Roman" w:hAnsi="Times New Roman" w:cs="Times New Roman"/>
                <w:color w:val="auto"/>
                <w:vertAlign w:val="superscript"/>
              </w:rPr>
              <w:t>3</w:t>
            </w:r>
            <w:r>
              <w:rPr>
                <w:rFonts w:hint="default" w:ascii="Times New Roman" w:hAnsi="Times New Roman" w:cs="Times New Roman"/>
                <w:color w:val="auto"/>
              </w:rPr>
              <w:t>（50ppm）时，按照含硫油气井作业规程执行。</w:t>
            </w:r>
          </w:p>
          <w:p w14:paraId="47F82964">
            <w:pPr>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②钻井期在作业现场显著位置设置5处风向标；试油期设置2处风向标，并在不同方向上划定2个紧急集合点，并规划撤离路线，发生紧急情况时向上风向撤离。</w:t>
            </w:r>
          </w:p>
          <w:p w14:paraId="1658C1EA">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rPr>
              <w:t>（6）物料运输环境风险防范措施</w:t>
            </w:r>
          </w:p>
          <w:p w14:paraId="6613E6A7">
            <w:pPr>
              <w:pStyle w:val="32"/>
              <w:keepNext w:val="0"/>
              <w:keepLines w:val="0"/>
              <w:pageBreakBefore w:val="0"/>
              <w:kinsoku/>
              <w:wordWrap/>
              <w:overflowPunct/>
              <w:topLinePunct w:val="0"/>
              <w:autoSpaceDE/>
              <w:autoSpaceDN/>
              <w:bidi w:val="0"/>
              <w:spacing w:line="500" w:lineRule="exact"/>
              <w:textAlignment w:val="auto"/>
              <w:rPr>
                <w:rFonts w:hint="default" w:ascii="Times New Roman" w:hAnsi="Times New Roman" w:cs="Times New Roman"/>
                <w:color w:val="auto"/>
              </w:rPr>
            </w:pPr>
            <w:r>
              <w:rPr>
                <w:rFonts w:hint="default" w:ascii="Times New Roman" w:hAnsi="Times New Roman" w:cs="Times New Roman"/>
                <w:color w:val="auto"/>
              </w:rPr>
              <w:t>加强各类储罐运输环节的管理，避免出现储罐泄漏风险事故发生。危险废物在储存、转移、处理过程中应严格执行《危险废物转移管理办法》（部令第23号）并制定内部转移、转运制度。确保危险废物的运输安全可靠，减少或避免运输过程中的二次污染和可能造成的环境风险。</w:t>
            </w:r>
          </w:p>
          <w:p w14:paraId="0AC77605">
            <w:pPr>
              <w:pStyle w:val="32"/>
              <w:keepNext w:val="0"/>
              <w:keepLines w:val="0"/>
              <w:pageBreakBefore w:val="0"/>
              <w:kinsoku/>
              <w:wordWrap/>
              <w:overflowPunct/>
              <w:topLinePunct w:val="0"/>
              <w:autoSpaceDE/>
              <w:autoSpaceDN/>
              <w:bidi w:val="0"/>
              <w:spacing w:line="500" w:lineRule="exact"/>
              <w:textAlignment w:val="auto"/>
              <w:rPr>
                <w:rFonts w:hint="eastAsia"/>
                <w:color w:val="auto"/>
              </w:rPr>
            </w:pPr>
            <w:bookmarkStart w:id="86" w:name="_Hlk193818713"/>
            <w:r>
              <w:rPr>
                <w:rFonts w:hint="eastAsia"/>
                <w:color w:val="auto"/>
              </w:rPr>
              <w:t>（7）</w:t>
            </w:r>
            <w:bookmarkStart w:id="87" w:name="_Hlk193818700"/>
            <w:r>
              <w:rPr>
                <w:rFonts w:hint="eastAsia"/>
                <w:color w:val="auto"/>
              </w:rPr>
              <w:t>对耕地的风险防范措施</w:t>
            </w:r>
            <w:bookmarkEnd w:id="87"/>
          </w:p>
          <w:bookmarkEnd w:id="86"/>
          <w:p w14:paraId="004B5787">
            <w:pPr>
              <w:pStyle w:val="35"/>
              <w:keepNext w:val="0"/>
              <w:keepLines w:val="0"/>
              <w:pageBreakBefore w:val="0"/>
              <w:kinsoku/>
              <w:wordWrap/>
              <w:overflowPunct/>
              <w:topLinePunct w:val="0"/>
              <w:autoSpaceDE/>
              <w:autoSpaceDN/>
              <w:bidi w:val="0"/>
              <w:spacing w:line="500" w:lineRule="exact"/>
              <w:ind w:firstLine="480"/>
              <w:textAlignment w:val="auto"/>
              <w:rPr>
                <w:rFonts w:hint="eastAsia"/>
                <w:color w:val="auto"/>
              </w:rPr>
            </w:pPr>
            <w:r>
              <w:rPr>
                <w:rFonts w:hint="eastAsia"/>
                <w:color w:val="auto"/>
              </w:rPr>
              <w:t>①严格执行安全操作规程和井控措施，避免发生井下复杂情况和井喷失控事故，对井控装置进行维护、保养、检查，保证井控装置及工具灵活好用，始终处于待命状态。</w:t>
            </w:r>
          </w:p>
          <w:p w14:paraId="656980E6">
            <w:pPr>
              <w:pStyle w:val="35"/>
              <w:keepNext w:val="0"/>
              <w:keepLines w:val="0"/>
              <w:pageBreakBefore w:val="0"/>
              <w:kinsoku/>
              <w:wordWrap/>
              <w:overflowPunct/>
              <w:topLinePunct w:val="0"/>
              <w:autoSpaceDE/>
              <w:autoSpaceDN/>
              <w:bidi w:val="0"/>
              <w:spacing w:line="500" w:lineRule="exact"/>
              <w:ind w:firstLine="480"/>
              <w:textAlignment w:val="auto"/>
              <w:rPr>
                <w:rFonts w:hint="eastAsia"/>
                <w:color w:val="auto"/>
              </w:rPr>
            </w:pPr>
            <w:r>
              <w:rPr>
                <w:rFonts w:hint="eastAsia"/>
                <w:color w:val="auto"/>
              </w:rPr>
              <w:t>②严禁</w:t>
            </w:r>
            <w:r>
              <w:rPr>
                <w:rFonts w:hint="eastAsia"/>
                <w:color w:val="auto"/>
                <w:lang w:val="en-US" w:eastAsia="zh-CN"/>
              </w:rPr>
              <w:t>将</w:t>
            </w:r>
            <w:r>
              <w:rPr>
                <w:rFonts w:hint="eastAsia"/>
                <w:color w:val="auto"/>
              </w:rPr>
              <w:t>钻试期产生的废水、固废</w:t>
            </w:r>
            <w:r>
              <w:rPr>
                <w:rFonts w:hint="eastAsia"/>
                <w:color w:val="auto"/>
                <w:lang w:val="en-US" w:eastAsia="zh-CN"/>
              </w:rPr>
              <w:t>排入</w:t>
            </w:r>
            <w:r>
              <w:rPr>
                <w:rFonts w:hint="eastAsia"/>
                <w:color w:val="auto"/>
              </w:rPr>
              <w:t>附近</w:t>
            </w:r>
            <w:r>
              <w:rPr>
                <w:rFonts w:hint="eastAsia"/>
                <w:color w:val="auto"/>
                <w:lang w:val="en-US" w:eastAsia="zh-CN"/>
              </w:rPr>
              <w:t>耕地内，造成对</w:t>
            </w:r>
            <w:r>
              <w:rPr>
                <w:rFonts w:hint="eastAsia"/>
                <w:color w:val="auto"/>
              </w:rPr>
              <w:t>农作物和土壤污染。</w:t>
            </w:r>
          </w:p>
          <w:p w14:paraId="0CE38A4A">
            <w:pPr>
              <w:pStyle w:val="32"/>
              <w:keepNext w:val="0"/>
              <w:keepLines w:val="0"/>
              <w:pageBreakBefore w:val="0"/>
              <w:kinsoku/>
              <w:wordWrap/>
              <w:overflowPunct/>
              <w:topLinePunct w:val="0"/>
              <w:autoSpaceDE/>
              <w:autoSpaceDN/>
              <w:bidi w:val="0"/>
              <w:adjustRightInd w:val="0"/>
              <w:snapToGrid w:val="0"/>
              <w:spacing w:line="500" w:lineRule="exact"/>
              <w:textAlignment w:val="auto"/>
              <w:rPr>
                <w:rFonts w:hint="eastAsia"/>
                <w:bCs/>
                <w:color w:val="auto"/>
              </w:rPr>
            </w:pPr>
            <w:r>
              <w:rPr>
                <w:rFonts w:hint="eastAsia"/>
                <w:bCs/>
                <w:color w:val="auto"/>
                <w:lang w:val="en-US" w:eastAsia="zh-CN"/>
              </w:rPr>
              <w:t>③</w:t>
            </w:r>
            <w:r>
              <w:rPr>
                <w:rFonts w:hint="eastAsia"/>
                <w:bCs/>
                <w:color w:val="auto"/>
              </w:rPr>
              <w:t>加强施工期管理，严禁施工人员和车辆随意进入占地范围外的耕地区域，人为破坏</w:t>
            </w:r>
            <w:r>
              <w:rPr>
                <w:rFonts w:hint="eastAsia"/>
                <w:bCs/>
                <w:color w:val="auto"/>
                <w:lang w:val="en-US" w:eastAsia="zh-CN"/>
              </w:rPr>
              <w:t>周边</w:t>
            </w:r>
            <w:r>
              <w:rPr>
                <w:rFonts w:hint="eastAsia"/>
                <w:bCs/>
                <w:color w:val="auto"/>
              </w:rPr>
              <w:t>农作物。</w:t>
            </w:r>
          </w:p>
          <w:p w14:paraId="33766FF9">
            <w:pPr>
              <w:pStyle w:val="32"/>
              <w:keepNext w:val="0"/>
              <w:keepLines w:val="0"/>
              <w:pageBreakBefore w:val="0"/>
              <w:kinsoku/>
              <w:wordWrap/>
              <w:overflowPunct/>
              <w:topLinePunct w:val="0"/>
              <w:autoSpaceDE/>
              <w:autoSpaceDN/>
              <w:bidi w:val="0"/>
              <w:adjustRightInd w:val="0"/>
              <w:snapToGrid w:val="0"/>
              <w:spacing w:line="500" w:lineRule="exact"/>
              <w:textAlignment w:val="auto"/>
              <w:rPr>
                <w:rFonts w:hint="eastAsia"/>
                <w:bCs/>
                <w:color w:val="auto"/>
              </w:rPr>
            </w:pPr>
            <w:r>
              <w:rPr>
                <w:rFonts w:hint="eastAsia"/>
                <w:bCs/>
                <w:color w:val="auto"/>
                <w:lang w:val="en-US" w:eastAsia="zh-CN"/>
              </w:rPr>
              <w:t>④</w:t>
            </w:r>
            <w:r>
              <w:rPr>
                <w:rFonts w:hint="eastAsia"/>
                <w:bCs/>
                <w:color w:val="auto"/>
              </w:rPr>
              <w:t>若发生井喷等油品泄漏事故，事故后应及时清理沾染油污的</w:t>
            </w:r>
            <w:r>
              <w:rPr>
                <w:rFonts w:hint="eastAsia"/>
                <w:bCs/>
                <w:color w:val="auto"/>
                <w:lang w:val="en-US" w:eastAsia="zh-CN"/>
              </w:rPr>
              <w:t>农</w:t>
            </w:r>
            <w:r>
              <w:rPr>
                <w:rFonts w:hint="eastAsia"/>
                <w:bCs/>
                <w:color w:val="auto"/>
              </w:rPr>
              <w:t>作物，对受污染的土壤集中收集后由有相应危废处置资质的单位进行回收处置。</w:t>
            </w:r>
          </w:p>
          <w:p w14:paraId="6A37D9D4">
            <w:pPr>
              <w:pStyle w:val="32"/>
              <w:keepNext w:val="0"/>
              <w:keepLines w:val="0"/>
              <w:pageBreakBefore w:val="0"/>
              <w:kinsoku/>
              <w:wordWrap/>
              <w:overflowPunct/>
              <w:topLinePunct w:val="0"/>
              <w:autoSpaceDE/>
              <w:autoSpaceDN/>
              <w:bidi w:val="0"/>
              <w:adjustRightInd w:val="0"/>
              <w:snapToGrid w:val="0"/>
              <w:spacing w:line="500" w:lineRule="exact"/>
              <w:textAlignment w:val="auto"/>
              <w:rPr>
                <w:rFonts w:hint="eastAsia"/>
                <w:bCs/>
                <w:color w:val="auto"/>
              </w:rPr>
            </w:pPr>
            <w:r>
              <w:rPr>
                <w:rFonts w:hint="eastAsia"/>
                <w:bCs/>
                <w:color w:val="auto"/>
                <w:lang w:val="en-US" w:eastAsia="zh-CN"/>
              </w:rPr>
              <w:t>⑤</w:t>
            </w:r>
            <w:r>
              <w:rPr>
                <w:rFonts w:hint="eastAsia"/>
                <w:bCs/>
                <w:color w:val="auto"/>
              </w:rPr>
              <w:t>选用质量、防腐措施合格的储罐。储罐区应严格用火管理，采用有效的避雷装置和接地装置等防止雷电的措施。加强储罐和管线接口的检查工作，防止腐蚀穿孔。定期进行壁厚检测，腐蚀余量低于规定的允许值时，要及时进行检修和更换。</w:t>
            </w:r>
          </w:p>
          <w:p w14:paraId="0B1D959A">
            <w:pPr>
              <w:pStyle w:val="32"/>
              <w:keepNext w:val="0"/>
              <w:keepLines w:val="0"/>
              <w:pageBreakBefore w:val="0"/>
              <w:kinsoku/>
              <w:wordWrap/>
              <w:overflowPunct/>
              <w:topLinePunct w:val="0"/>
              <w:autoSpaceDE/>
              <w:autoSpaceDN/>
              <w:bidi w:val="0"/>
              <w:spacing w:line="500" w:lineRule="exact"/>
              <w:textAlignment w:val="auto"/>
              <w:rPr>
                <w:rFonts w:hint="eastAsia"/>
                <w:color w:val="auto"/>
              </w:rPr>
            </w:pPr>
            <w:r>
              <w:rPr>
                <w:rFonts w:hint="eastAsia"/>
                <w:color w:val="auto"/>
              </w:rPr>
              <w:t>（</w:t>
            </w:r>
            <w:r>
              <w:rPr>
                <w:rFonts w:hint="eastAsia"/>
                <w:color w:val="auto"/>
                <w:lang w:val="en-US" w:eastAsia="zh-CN"/>
              </w:rPr>
              <w:t>8</w:t>
            </w:r>
            <w:r>
              <w:rPr>
                <w:rFonts w:hint="eastAsia"/>
                <w:color w:val="auto"/>
              </w:rPr>
              <w:t>）对</w:t>
            </w:r>
            <w:r>
              <w:rPr>
                <w:rFonts w:hint="eastAsia"/>
                <w:color w:val="auto"/>
                <w:lang w:val="en-US" w:eastAsia="zh-CN"/>
              </w:rPr>
              <w:t>地表水体的</w:t>
            </w:r>
            <w:r>
              <w:rPr>
                <w:rFonts w:hint="eastAsia"/>
                <w:color w:val="auto"/>
              </w:rPr>
              <w:t>风险防范措施</w:t>
            </w:r>
          </w:p>
          <w:p w14:paraId="28D09C6A">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lang w:val="en-US" w:eastAsia="zh-CN"/>
              </w:rPr>
            </w:pPr>
            <w:r>
              <w:rPr>
                <w:rFonts w:hint="eastAsia" w:cs="Times New Roman"/>
                <w:color w:val="auto"/>
                <w:lang w:val="en-US" w:eastAsia="zh-CN"/>
              </w:rPr>
              <w:t>①本项目实施过程严格控制施工范围，不允许超范围施工作业。</w:t>
            </w:r>
          </w:p>
          <w:p w14:paraId="5FA0E7A4">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lang w:val="en-US" w:eastAsia="zh-CN"/>
              </w:rPr>
            </w:pPr>
            <w:r>
              <w:rPr>
                <w:rFonts w:hint="eastAsia" w:cs="Times New Roman"/>
                <w:color w:val="auto"/>
                <w:lang w:val="en-US" w:eastAsia="zh-CN"/>
              </w:rPr>
              <w:t>②对施工产生的废水和固废进行严格管理，严禁随意乱排放。</w:t>
            </w:r>
          </w:p>
          <w:p w14:paraId="4D190EB9">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lang w:val="en-US" w:eastAsia="zh-CN"/>
              </w:rPr>
            </w:pPr>
            <w:r>
              <w:rPr>
                <w:rFonts w:hint="eastAsia" w:cs="Times New Roman"/>
                <w:color w:val="auto"/>
                <w:lang w:val="en-US" w:eastAsia="zh-CN"/>
              </w:rPr>
              <w:t>③严格划定车辆行驶路线，运输车辆在规定范围内行驶。</w:t>
            </w:r>
          </w:p>
          <w:p w14:paraId="5982109A">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eastAsia" w:cs="Times New Roman"/>
                <w:color w:val="auto"/>
                <w:lang w:val="en-US" w:eastAsia="zh-CN"/>
              </w:rPr>
              <w:t>④确保运输罐车罐体完好，防止在运输过程发生泄漏，流入周边地表水体中。车辆驾驶人员严禁疲劳、超速、超载行驶，严格遵守交通法规，防止发生交通事故发生。</w:t>
            </w:r>
          </w:p>
          <w:p w14:paraId="24847AC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9</w:t>
            </w:r>
            <w:r>
              <w:rPr>
                <w:rFonts w:hint="default" w:ascii="Times New Roman" w:hAnsi="Times New Roman" w:cs="Times New Roman"/>
                <w:color w:val="auto"/>
              </w:rPr>
              <w:t>）环境风险应急预案</w:t>
            </w:r>
          </w:p>
          <w:p w14:paraId="0967ADB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本项目归属中国石油新疆油田分公司勘探事业部管辖，应将项目实施区域纳入《中国石油新疆油田分公司勘探事业部突发环境事件应急预案》。</w:t>
            </w:r>
          </w:p>
          <w:p w14:paraId="697F210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10</w:t>
            </w:r>
            <w:r>
              <w:rPr>
                <w:rFonts w:hint="default" w:ascii="Times New Roman" w:hAnsi="Times New Roman" w:cs="Times New Roman"/>
                <w:color w:val="auto"/>
              </w:rPr>
              <w:t>）结论</w:t>
            </w:r>
          </w:p>
          <w:p w14:paraId="3F0527B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color w:val="auto"/>
              </w:rPr>
            </w:pPr>
            <w:r>
              <w:rPr>
                <w:rFonts w:hint="default" w:ascii="Times New Roman" w:hAnsi="Times New Roman" w:cs="Times New Roman"/>
                <w:color w:val="auto"/>
              </w:rPr>
              <w:t>施工期发生风险事故的概率较小，且制定了较为周全的风险事故防范措施和事故应急预案，当发生风险事故时立即启动事故应急预案，确保事故不扩大，避免对周边环境造成较大危害。在采取严格的安全防护和风险防范措施后，环境风险可控。</w:t>
            </w:r>
          </w:p>
        </w:tc>
      </w:tr>
      <w:tr w14:paraId="770E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367" w:type="pct"/>
            <w:vAlign w:val="center"/>
          </w:tcPr>
          <w:p w14:paraId="259B61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rPr>
            </w:pPr>
            <w:r>
              <w:rPr>
                <w:rFonts w:hint="default" w:ascii="Times New Roman" w:hAnsi="Times New Roman" w:cs="Times New Roman"/>
                <w:bCs/>
                <w:color w:val="auto"/>
                <w:spacing w:val="10"/>
              </w:rPr>
              <w:t>运营期生态环境保护措施</w:t>
            </w:r>
          </w:p>
        </w:tc>
        <w:tc>
          <w:tcPr>
            <w:tcW w:w="4633" w:type="pct"/>
            <w:vAlign w:val="center"/>
          </w:tcPr>
          <w:p w14:paraId="49A128A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color w:val="auto"/>
              </w:rPr>
            </w:pPr>
            <w:r>
              <w:rPr>
                <w:rFonts w:hint="eastAsia"/>
                <w:color w:val="auto"/>
              </w:rPr>
              <w:t>本项目无运营期，无需提出环境保护措施及环境监测计划。</w:t>
            </w:r>
          </w:p>
          <w:p w14:paraId="4362E847">
            <w:pPr>
              <w:pStyle w:val="32"/>
              <w:keepNext w:val="0"/>
              <w:keepLines w:val="0"/>
              <w:pageBreakBefore w:val="0"/>
              <w:widowControl w:val="0"/>
              <w:kinsoku/>
              <w:wordWrap/>
              <w:overflowPunct/>
              <w:topLinePunct w:val="0"/>
              <w:autoSpaceDE/>
              <w:autoSpaceDN/>
              <w:bidi w:val="0"/>
              <w:adjustRightIn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根据试采结果决定新钻井是否转为生产井，若可转为生产井，则应当在产能开发建设前对其开展环境影响评价工作，编制环境影响评价文件；</w:t>
            </w:r>
            <w:bookmarkStart w:id="88" w:name="_Hlk140836626"/>
            <w:r>
              <w:rPr>
                <w:rFonts w:hint="eastAsia"/>
                <w:color w:val="auto"/>
              </w:rPr>
              <w:t>若不具备转产条件，则应根据《废弃井封井回填技术指南（试行）》《矿山生态环境保护与恢复治理技术规范（试行）》（HJ651-2013）、《陆上石油天然气开采业绿色矿山建设规范（DZ/T0317-2018）》和中国石油新疆油田分公司的</w:t>
            </w:r>
            <w:bookmarkStart w:id="89" w:name="OLE_LINK131"/>
            <w:r>
              <w:rPr>
                <w:rFonts w:hint="eastAsia"/>
                <w:color w:val="auto"/>
              </w:rPr>
              <w:t>相关要求对新钻井进行封堵，并拆除相关设施，确保无土壤及地下水环境污染遗留问题、废弃物均得到妥善处置，制定生态恢复方案</w:t>
            </w:r>
            <w:bookmarkEnd w:id="89"/>
            <w:r>
              <w:rPr>
                <w:rFonts w:hint="eastAsia"/>
                <w:color w:val="auto"/>
              </w:rPr>
              <w:t>，并做好生态保护措施</w:t>
            </w:r>
            <w:bookmarkEnd w:id="88"/>
            <w:r>
              <w:rPr>
                <w:rFonts w:hint="eastAsia"/>
                <w:color w:val="auto"/>
                <w:lang w:eastAsia="zh-CN"/>
              </w:rPr>
              <w:t>，</w:t>
            </w:r>
            <w:r>
              <w:rPr>
                <w:rFonts w:hint="eastAsia"/>
                <w:color w:val="auto"/>
                <w:lang w:val="en-US" w:eastAsia="zh-CN"/>
              </w:rPr>
              <w:t>具体措施如下：</w:t>
            </w:r>
          </w:p>
          <w:p w14:paraId="79BFFC23">
            <w:pPr>
              <w:pStyle w:val="32"/>
              <w:keepNext w:val="0"/>
              <w:keepLines w:val="0"/>
              <w:pageBreakBefore w:val="0"/>
              <w:widowControl w:val="0"/>
              <w:kinsoku/>
              <w:wordWrap/>
              <w:overflowPunct/>
              <w:topLinePunct w:val="0"/>
              <w:autoSpaceDE/>
              <w:autoSpaceDN/>
              <w:bidi w:val="0"/>
              <w:adjustRightInd/>
              <w:textAlignment w:val="auto"/>
              <w:rPr>
                <w:rFonts w:hint="eastAsia"/>
                <w:color w:val="auto"/>
              </w:rPr>
            </w:pPr>
            <w:r>
              <w:rPr>
                <w:rFonts w:hint="eastAsia"/>
                <w:color w:val="auto"/>
              </w:rPr>
              <w:t>（1）封井材料应无污染，不得使用可能对地下水造成污染的材料。</w:t>
            </w:r>
          </w:p>
          <w:p w14:paraId="5538B902">
            <w:pPr>
              <w:pStyle w:val="32"/>
              <w:keepNext w:val="0"/>
              <w:keepLines w:val="0"/>
              <w:pageBreakBefore w:val="0"/>
              <w:widowControl w:val="0"/>
              <w:kinsoku/>
              <w:wordWrap/>
              <w:overflowPunct/>
              <w:topLinePunct w:val="0"/>
              <w:autoSpaceDE/>
              <w:autoSpaceDN/>
              <w:bidi w:val="0"/>
              <w:adjustRightInd/>
              <w:textAlignment w:val="auto"/>
              <w:rPr>
                <w:rFonts w:hint="eastAsia"/>
                <w:color w:val="auto"/>
              </w:rPr>
            </w:pPr>
            <w:r>
              <w:rPr>
                <w:rFonts w:hint="eastAsia"/>
                <w:color w:val="auto"/>
              </w:rPr>
              <w:t>（2）应开展井盖封堵或密闭填充，对废弃井进行封井回填并做好井口处置，确保地表污染物不进入井内，各层位地下水不连通。</w:t>
            </w:r>
          </w:p>
          <w:p w14:paraId="7C1E69F3">
            <w:pPr>
              <w:pStyle w:val="32"/>
              <w:keepNext w:val="0"/>
              <w:keepLines w:val="0"/>
              <w:pageBreakBefore w:val="0"/>
              <w:widowControl w:val="0"/>
              <w:kinsoku/>
              <w:wordWrap/>
              <w:overflowPunct/>
              <w:topLinePunct w:val="0"/>
              <w:autoSpaceDE/>
              <w:autoSpaceDN/>
              <w:bidi w:val="0"/>
              <w:adjustRightInd/>
              <w:textAlignment w:val="auto"/>
              <w:rPr>
                <w:rFonts w:hint="eastAsia"/>
                <w:color w:val="auto"/>
              </w:rPr>
            </w:pPr>
            <w:r>
              <w:rPr>
                <w:rFonts w:hint="eastAsia"/>
                <w:color w:val="auto"/>
              </w:rPr>
              <w:t>（3）确保封井质量合格。</w:t>
            </w:r>
          </w:p>
          <w:p w14:paraId="2A0E2246">
            <w:pPr>
              <w:pStyle w:val="32"/>
              <w:keepNext w:val="0"/>
              <w:keepLines w:val="0"/>
              <w:pageBreakBefore w:val="0"/>
              <w:widowControl w:val="0"/>
              <w:kinsoku/>
              <w:wordWrap/>
              <w:overflowPunct/>
              <w:topLinePunct w:val="0"/>
              <w:autoSpaceDE/>
              <w:autoSpaceDN/>
              <w:bidi w:val="0"/>
              <w:adjustRightInd/>
              <w:textAlignment w:val="auto"/>
              <w:rPr>
                <w:rFonts w:hint="eastAsia" w:ascii="Times New Roman" w:hAnsi="Times New Roman" w:eastAsia="宋体" w:cs="Times New Roman"/>
                <w:color w:val="auto"/>
                <w:lang w:val="en-US" w:eastAsia="zh-CN"/>
              </w:rPr>
            </w:pPr>
            <w:r>
              <w:rPr>
                <w:rFonts w:hint="eastAsia"/>
                <w:color w:val="auto"/>
              </w:rPr>
              <w:t>（4）封井作业结束后及时清理作业现场，各个建构筑物和基础设施应全部拆除，做到“工完、料尽、场地清”，确保采取的封井措施有效可行。施工区域采用临时占地剥离表土对其进行覆盖，以便植被自然恢复。各个建构筑物和基础设施拆除过程中会产生一定扬尘，应避开大风天气施工。</w:t>
            </w:r>
          </w:p>
        </w:tc>
      </w:tr>
      <w:tr w14:paraId="2B3D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08DA705E">
            <w:pPr>
              <w:adjustRightInd w:val="0"/>
              <w:snapToGrid w:val="0"/>
              <w:jc w:val="center"/>
              <w:rPr>
                <w:rFonts w:hint="default" w:ascii="Times New Roman" w:hAnsi="Times New Roman" w:cs="Times New Roman"/>
                <w:color w:val="auto"/>
              </w:rPr>
            </w:pPr>
            <w:r>
              <w:rPr>
                <w:rFonts w:hint="default" w:ascii="Times New Roman" w:hAnsi="Times New Roman" w:cs="Times New Roman"/>
                <w:bCs/>
                <w:color w:val="auto"/>
              </w:rPr>
              <w:t>其他</w:t>
            </w:r>
          </w:p>
        </w:tc>
        <w:tc>
          <w:tcPr>
            <w:tcW w:w="4633" w:type="pct"/>
            <w:vAlign w:val="center"/>
          </w:tcPr>
          <w:p w14:paraId="44C217A0">
            <w:pPr>
              <w:keepNext w:val="0"/>
              <w:keepLines w:val="0"/>
              <w:pageBreakBefore w:val="0"/>
              <w:widowControl w:val="0"/>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cs="Times New Roman"/>
                <w:b/>
                <w:bCs/>
                <w:color w:val="auto"/>
              </w:rPr>
            </w:pPr>
            <w:r>
              <w:rPr>
                <w:rFonts w:hint="default" w:ascii="Times New Roman" w:hAnsi="Times New Roman" w:cs="Times New Roman"/>
                <w:b/>
                <w:bCs/>
                <w:color w:val="auto"/>
              </w:rPr>
              <w:t>1、环境管理</w:t>
            </w:r>
          </w:p>
          <w:p w14:paraId="3F1580D1">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lang w:eastAsia="zh-CN"/>
              </w:rPr>
              <w:t>本</w:t>
            </w:r>
            <w:r>
              <w:rPr>
                <w:rFonts w:hint="default" w:ascii="Times New Roman" w:hAnsi="Times New Roman" w:cs="Times New Roman"/>
                <w:color w:val="auto"/>
              </w:rPr>
              <w:t>项目实施过程中，将根据中国石油新疆油田分公司在环境管理上建立的健康、安全与环境管理体系（HSE管理体系），落实各项环保和安全措施，减少项目开发对周围环境的影响。本报告提出的环境管理主要内容见表</w:t>
            </w:r>
            <w:r>
              <w:rPr>
                <w:rFonts w:hint="default" w:ascii="Times New Roman" w:hAnsi="Times New Roman" w:cs="Times New Roman"/>
                <w:color w:val="auto"/>
                <w:lang w:val="en-US" w:eastAsia="zh-CN"/>
              </w:rPr>
              <w:t>5-</w:t>
            </w:r>
            <w:r>
              <w:rPr>
                <w:rFonts w:hint="eastAsia" w:cs="Times New Roman"/>
                <w:color w:val="auto"/>
                <w:lang w:val="en-US" w:eastAsia="zh-CN"/>
              </w:rPr>
              <w:t>4</w:t>
            </w:r>
            <w:r>
              <w:rPr>
                <w:rFonts w:hint="default" w:ascii="Times New Roman" w:hAnsi="Times New Roman" w:cs="Times New Roman"/>
                <w:color w:val="auto"/>
              </w:rPr>
              <w:t>。</w:t>
            </w:r>
          </w:p>
          <w:p w14:paraId="36FBB462">
            <w:pPr>
              <w:pStyle w:val="6"/>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4</w:t>
            </w:r>
            <w:r>
              <w:rPr>
                <w:rFonts w:hint="default" w:ascii="Times New Roman" w:hAnsi="Times New Roman" w:cs="Times New Roman"/>
                <w:color w:val="auto"/>
              </w:rPr>
              <w:t xml:space="preserve">  施工期环境保护行动计划表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73"/>
              <w:gridCol w:w="1017"/>
              <w:gridCol w:w="6090"/>
            </w:tblGrid>
            <w:tr w14:paraId="701532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726EFCB8">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bookmarkStart w:id="90" w:name="_Hlk183042634"/>
                  <w:r>
                    <w:rPr>
                      <w:rFonts w:hint="default" w:ascii="Times New Roman" w:hAnsi="Times New Roman" w:eastAsia="宋体" w:cs="Times New Roman"/>
                      <w:color w:val="auto"/>
                      <w:sz w:val="21"/>
                      <w:szCs w:val="21"/>
                    </w:rPr>
                    <w:t>序号</w:t>
                  </w:r>
                </w:p>
              </w:tc>
              <w:tc>
                <w:tcPr>
                  <w:tcW w:w="662" w:type="pct"/>
                  <w:tcMar>
                    <w:left w:w="0" w:type="dxa"/>
                    <w:right w:w="0" w:type="dxa"/>
                  </w:tcMar>
                  <w:vAlign w:val="center"/>
                </w:tcPr>
                <w:p w14:paraId="28F9C48B">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影响因素</w:t>
                  </w:r>
                </w:p>
              </w:tc>
              <w:tc>
                <w:tcPr>
                  <w:tcW w:w="3964" w:type="pct"/>
                  <w:tcMar>
                    <w:left w:w="0" w:type="dxa"/>
                    <w:right w:w="0" w:type="dxa"/>
                  </w:tcMar>
                  <w:vAlign w:val="center"/>
                </w:tcPr>
                <w:p w14:paraId="65CC9F81">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环保措施</w:t>
                  </w:r>
                </w:p>
              </w:tc>
            </w:tr>
            <w:tr w14:paraId="1C9E99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330350A9">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662" w:type="pct"/>
                  <w:tcMar>
                    <w:left w:w="0" w:type="dxa"/>
                    <w:right w:w="0" w:type="dxa"/>
                  </w:tcMar>
                  <w:vAlign w:val="center"/>
                </w:tcPr>
                <w:p w14:paraId="6A3A41F1">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大气环境</w:t>
                  </w:r>
                </w:p>
              </w:tc>
              <w:tc>
                <w:tcPr>
                  <w:tcW w:w="3964" w:type="pct"/>
                  <w:tcMar>
                    <w:left w:w="0" w:type="dxa"/>
                    <w:right w:w="0" w:type="dxa"/>
                  </w:tcMar>
                  <w:vAlign w:val="center"/>
                </w:tcPr>
                <w:p w14:paraId="7D60FCB6">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对易起尘物料存放，运输过程进程苫盖、</w:t>
                  </w:r>
                  <w:r>
                    <w:rPr>
                      <w:rFonts w:hint="default" w:ascii="Times New Roman" w:hAnsi="Times New Roman" w:eastAsia="宋体" w:cs="Times New Roman"/>
                      <w:color w:val="auto"/>
                      <w:sz w:val="21"/>
                      <w:szCs w:val="21"/>
                    </w:rPr>
                    <w:t>避免大风天气</w:t>
                  </w:r>
                  <w:r>
                    <w:rPr>
                      <w:rFonts w:hint="default" w:ascii="Times New Roman" w:hAnsi="Times New Roman" w:eastAsia="宋体" w:cs="Times New Roman"/>
                      <w:color w:val="auto"/>
                      <w:sz w:val="21"/>
                      <w:szCs w:val="21"/>
                      <w:lang w:val="en-US" w:eastAsia="zh-CN"/>
                    </w:rPr>
                    <w:t>进行易起尘施工，</w:t>
                  </w:r>
                  <w:r>
                    <w:rPr>
                      <w:rFonts w:hint="default" w:ascii="Times New Roman" w:hAnsi="Times New Roman" w:eastAsia="宋体" w:cs="Times New Roman"/>
                      <w:color w:val="auto"/>
                      <w:sz w:val="21"/>
                      <w:szCs w:val="21"/>
                    </w:rPr>
                    <w:t>施工</w:t>
                  </w:r>
                  <w:r>
                    <w:rPr>
                      <w:rFonts w:hint="default" w:ascii="Times New Roman" w:hAnsi="Times New Roman" w:eastAsia="宋体" w:cs="Times New Roman"/>
                      <w:color w:val="auto"/>
                      <w:sz w:val="21"/>
                      <w:szCs w:val="21"/>
                      <w:lang w:val="en-US" w:eastAsia="zh-CN"/>
                    </w:rPr>
                    <w:t>机械设备和车辆</w:t>
                  </w:r>
                  <w:r>
                    <w:rPr>
                      <w:rFonts w:hint="default" w:ascii="Times New Roman" w:hAnsi="Times New Roman" w:eastAsia="宋体" w:cs="Times New Roman"/>
                      <w:color w:val="auto"/>
                      <w:sz w:val="21"/>
                      <w:szCs w:val="21"/>
                    </w:rPr>
                    <w:t>使用符合国家标准的油品，并定期保养维护</w:t>
                  </w:r>
                  <w:r>
                    <w:rPr>
                      <w:rFonts w:hint="default" w:ascii="Times New Roman" w:hAnsi="Times New Roman" w:eastAsia="宋体" w:cs="Times New Roman"/>
                      <w:color w:val="auto"/>
                      <w:sz w:val="21"/>
                      <w:szCs w:val="21"/>
                      <w:lang w:val="en-US" w:eastAsia="zh-CN"/>
                    </w:rPr>
                    <w:t>确保正常运行</w:t>
                  </w:r>
                  <w:r>
                    <w:rPr>
                      <w:rFonts w:hint="default" w:ascii="Times New Roman" w:hAnsi="Times New Roman" w:eastAsia="宋体" w:cs="Times New Roman"/>
                      <w:color w:val="auto"/>
                      <w:sz w:val="21"/>
                      <w:szCs w:val="21"/>
                    </w:rPr>
                    <w:t>，采出液采用密闭装载方式，柴油</w:t>
                  </w:r>
                  <w:r>
                    <w:rPr>
                      <w:rFonts w:hint="default" w:ascii="Times New Roman" w:hAnsi="Times New Roman" w:eastAsia="宋体" w:cs="Times New Roman"/>
                      <w:color w:val="auto"/>
                      <w:sz w:val="21"/>
                      <w:szCs w:val="21"/>
                      <w:lang w:val="en-US" w:eastAsia="zh-CN"/>
                    </w:rPr>
                    <w:t>密闭储存</w:t>
                  </w:r>
                  <w:r>
                    <w:rPr>
                      <w:rFonts w:hint="eastAsia" w:cs="Times New Roman"/>
                      <w:color w:val="auto"/>
                      <w:sz w:val="21"/>
                      <w:szCs w:val="21"/>
                      <w:lang w:val="en-US" w:eastAsia="zh-CN"/>
                    </w:rPr>
                    <w:t>；试油期产生的伴生气充分燃烧后排放；定期检查设备，加强维护</w:t>
                  </w:r>
                  <w:r>
                    <w:rPr>
                      <w:rFonts w:hint="default" w:ascii="Times New Roman" w:hAnsi="Times New Roman" w:eastAsia="宋体" w:cs="Times New Roman"/>
                      <w:color w:val="auto"/>
                      <w:sz w:val="21"/>
                      <w:szCs w:val="21"/>
                    </w:rPr>
                    <w:t>。</w:t>
                  </w:r>
                </w:p>
              </w:tc>
            </w:tr>
            <w:tr w14:paraId="792A72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2D62CD4F">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662" w:type="pct"/>
                  <w:tcMar>
                    <w:left w:w="0" w:type="dxa"/>
                    <w:right w:w="0" w:type="dxa"/>
                  </w:tcMar>
                  <w:vAlign w:val="center"/>
                </w:tcPr>
                <w:p w14:paraId="4759804A">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声环境</w:t>
                  </w:r>
                </w:p>
              </w:tc>
              <w:tc>
                <w:tcPr>
                  <w:tcW w:w="3964" w:type="pct"/>
                  <w:tcMar>
                    <w:left w:w="0" w:type="dxa"/>
                    <w:right w:w="0" w:type="dxa"/>
                  </w:tcMar>
                  <w:vAlign w:val="center"/>
                </w:tcPr>
                <w:p w14:paraId="7220FAF1">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施工单位应使用低噪声的施工设备、机械，并定期进行检修和维护，使其处于运行良好的状态。</w:t>
                  </w:r>
                </w:p>
              </w:tc>
            </w:tr>
            <w:tr w14:paraId="5C5FDE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6690C8E1">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662" w:type="pct"/>
                  <w:tcMar>
                    <w:left w:w="0" w:type="dxa"/>
                    <w:right w:w="0" w:type="dxa"/>
                  </w:tcMar>
                  <w:vAlign w:val="center"/>
                </w:tcPr>
                <w:p w14:paraId="6AAD1ACB">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水环境和土壤环境</w:t>
                  </w:r>
                </w:p>
              </w:tc>
              <w:tc>
                <w:tcPr>
                  <w:tcW w:w="3964" w:type="pct"/>
                  <w:tcMar>
                    <w:left w:w="0" w:type="dxa"/>
                    <w:right w:w="0" w:type="dxa"/>
                  </w:tcMar>
                  <w:vAlign w:val="center"/>
                </w:tcPr>
                <w:p w14:paraId="069F3276">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钻井液采用不落地设备进行处理后回用于钻井液配置，不外排；试油期废水收集至地面储罐后由罐车拉运至采油一厂车89处理站；施工人员产生的生活污水排入防渗收集池后由吸污车运至</w:t>
                  </w:r>
                  <w:r>
                    <w:rPr>
                      <w:rFonts w:hint="eastAsia" w:cs="Times New Roman"/>
                      <w:color w:val="auto"/>
                      <w:sz w:val="21"/>
                      <w:szCs w:val="21"/>
                      <w:lang w:eastAsia="zh-CN"/>
                    </w:rPr>
                    <w:t>玛纳斯县城污水处理厂</w:t>
                  </w:r>
                  <w:r>
                    <w:rPr>
                      <w:rFonts w:hint="default" w:ascii="Times New Roman" w:hAnsi="Times New Roman" w:eastAsia="宋体" w:cs="Times New Roman"/>
                      <w:color w:val="auto"/>
                      <w:sz w:val="21"/>
                      <w:szCs w:val="21"/>
                    </w:rPr>
                    <w:t>处置。做好关键区域的防渗措施；采用套管与地层隔离开、并在套管与地层之间注入水泥进行固井，且固井质量合格；各类废水和固体废物得到妥善处置。</w:t>
                  </w:r>
                  <w:r>
                    <w:rPr>
                      <w:rFonts w:hint="eastAsia" w:cs="Times New Roman"/>
                      <w:color w:val="auto"/>
                      <w:sz w:val="21"/>
                      <w:szCs w:val="21"/>
                      <w:lang w:val="en-US" w:eastAsia="zh-CN"/>
                    </w:rPr>
                    <w:t>井场进行分区防渗。</w:t>
                  </w:r>
                </w:p>
              </w:tc>
            </w:tr>
            <w:tr w14:paraId="55DD84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2DB8B831">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662" w:type="pct"/>
                  <w:tcMar>
                    <w:left w:w="0" w:type="dxa"/>
                    <w:right w:w="0" w:type="dxa"/>
                  </w:tcMar>
                  <w:vAlign w:val="center"/>
                </w:tcPr>
                <w:p w14:paraId="396163AF">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固体废物</w:t>
                  </w:r>
                </w:p>
              </w:tc>
              <w:tc>
                <w:tcPr>
                  <w:tcW w:w="3964" w:type="pct"/>
                  <w:tcMar>
                    <w:left w:w="0" w:type="dxa"/>
                    <w:right w:w="0" w:type="dxa"/>
                  </w:tcMar>
                  <w:vAlign w:val="center"/>
                </w:tcPr>
                <w:p w14:paraId="7871FF60">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cs="Times New Roman"/>
                      <w:color w:val="auto"/>
                      <w:sz w:val="21"/>
                      <w:szCs w:val="21"/>
                      <w:lang w:val="en-US" w:eastAsia="zh-CN"/>
                    </w:rPr>
                  </w:pPr>
                  <w:r>
                    <w:rPr>
                      <w:rFonts w:hint="default" w:ascii="Times New Roman" w:hAnsi="Times New Roman" w:eastAsia="宋体" w:cs="Times New Roman"/>
                      <w:color w:val="auto"/>
                      <w:sz w:val="21"/>
                      <w:szCs w:val="21"/>
                    </w:rPr>
                    <w:t>产生的生活垃圾集中收集在垃圾箱后交玛纳斯县生活垃圾填埋场处置。</w:t>
                  </w:r>
                  <w:r>
                    <w:rPr>
                      <w:rFonts w:hint="eastAsia" w:cs="Times New Roman"/>
                      <w:color w:val="auto"/>
                      <w:sz w:val="21"/>
                      <w:szCs w:val="21"/>
                      <w:lang w:val="en-US" w:eastAsia="zh-CN"/>
                    </w:rPr>
                    <w:t>建筑垃圾进行分类，统一回收利用，无法再利用的送至玛纳斯县建筑垃圾填埋场填埋处置。</w:t>
                  </w:r>
                </w:p>
                <w:p w14:paraId="14C05E8F">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钻井期产生的水基钻井岩屑暂存于水基钻井岩屑方罐</w:t>
                  </w:r>
                  <w:r>
                    <w:rPr>
                      <w:rFonts w:hint="default" w:ascii="Times New Roman" w:hAnsi="Times New Roman" w:eastAsia="宋体" w:cs="Times New Roman"/>
                      <w:color w:val="auto"/>
                      <w:sz w:val="21"/>
                      <w:szCs w:val="21"/>
                      <w:lang w:val="en-US" w:eastAsia="zh-CN"/>
                    </w:rPr>
                    <w:t>后</w:t>
                  </w:r>
                  <w:r>
                    <w:rPr>
                      <w:rFonts w:hint="default" w:ascii="Times New Roman" w:hAnsi="Times New Roman" w:eastAsia="宋体" w:cs="Times New Roman"/>
                      <w:color w:val="auto"/>
                      <w:sz w:val="21"/>
                      <w:szCs w:val="21"/>
                    </w:rPr>
                    <w:t>委托</w:t>
                  </w:r>
                  <w:r>
                    <w:rPr>
                      <w:rFonts w:hint="eastAsia" w:cs="Times New Roman"/>
                      <w:color w:val="auto"/>
                      <w:sz w:val="21"/>
                      <w:szCs w:val="21"/>
                      <w:lang w:val="en-US" w:eastAsia="zh-CN"/>
                    </w:rPr>
                    <w:t>第三方</w:t>
                  </w:r>
                  <w:r>
                    <w:rPr>
                      <w:rFonts w:hint="default" w:ascii="Times New Roman" w:hAnsi="Times New Roman" w:eastAsia="宋体" w:cs="Times New Roman"/>
                      <w:color w:val="auto"/>
                      <w:sz w:val="21"/>
                      <w:szCs w:val="21"/>
                    </w:rPr>
                    <w:t>岩屑处置单位处置；油基岩屑排入专用岩屑罐中，交由有危废处置资质单位进行处置</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沾油废防渗材料、废润滑油和废润滑油桶</w:t>
                  </w:r>
                  <w:r>
                    <w:rPr>
                      <w:rFonts w:hint="eastAsia" w:cs="Times New Roman"/>
                      <w:color w:val="auto"/>
                      <w:sz w:val="21"/>
                      <w:szCs w:val="21"/>
                      <w:lang w:eastAsia="zh-CN"/>
                    </w:rPr>
                    <w:t>、</w:t>
                  </w:r>
                  <w:r>
                    <w:rPr>
                      <w:rFonts w:hint="eastAsia" w:cs="Times New Roman"/>
                      <w:color w:val="auto"/>
                      <w:sz w:val="21"/>
                      <w:szCs w:val="21"/>
                      <w:lang w:val="en-US" w:eastAsia="zh-CN"/>
                    </w:rPr>
                    <w:t>沾油劳保用品</w:t>
                  </w:r>
                  <w:r>
                    <w:rPr>
                      <w:rFonts w:hint="default" w:ascii="Times New Roman" w:hAnsi="Times New Roman" w:eastAsia="宋体" w:cs="Times New Roman"/>
                      <w:color w:val="auto"/>
                      <w:sz w:val="21"/>
                      <w:szCs w:val="21"/>
                      <w:lang w:val="en-US" w:eastAsia="zh-CN"/>
                    </w:rPr>
                    <w:t>等危险废物</w:t>
                  </w:r>
                  <w:r>
                    <w:rPr>
                      <w:rFonts w:hint="default" w:ascii="Times New Roman" w:hAnsi="Times New Roman" w:eastAsia="宋体" w:cs="Times New Roman"/>
                      <w:color w:val="auto"/>
                      <w:sz w:val="21"/>
                      <w:szCs w:val="21"/>
                    </w:rPr>
                    <w:t>分区暂存在井场的危险废物贮存点，</w:t>
                  </w:r>
                  <w:r>
                    <w:rPr>
                      <w:rFonts w:hint="default" w:ascii="Times New Roman" w:hAnsi="Times New Roman" w:eastAsia="宋体" w:cs="Times New Roman"/>
                      <w:color w:val="auto"/>
                      <w:sz w:val="21"/>
                      <w:szCs w:val="21"/>
                      <w:lang w:val="en-US" w:eastAsia="zh-CN"/>
                    </w:rPr>
                    <w:t>及时委托</w:t>
                  </w:r>
                  <w:r>
                    <w:rPr>
                      <w:rFonts w:hint="default" w:ascii="Times New Roman" w:hAnsi="Times New Roman" w:eastAsia="宋体" w:cs="Times New Roman"/>
                      <w:color w:val="auto"/>
                      <w:sz w:val="21"/>
                      <w:szCs w:val="21"/>
                    </w:rPr>
                    <w:t>具有相应危废处置资质的单位处置。</w:t>
                  </w:r>
                  <w:r>
                    <w:rPr>
                      <w:rFonts w:hint="eastAsia" w:cs="Times New Roman"/>
                      <w:color w:val="auto"/>
                      <w:sz w:val="21"/>
                      <w:szCs w:val="21"/>
                      <w:lang w:val="en-US" w:eastAsia="zh-CN"/>
                    </w:rPr>
                    <w:t>事故状态下产生的落地油集中收集后直接交由具有相应危废处置资质的单位进行接收、转运和处置。</w:t>
                  </w:r>
                </w:p>
              </w:tc>
            </w:tr>
            <w:tr w14:paraId="351C08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7D41CD7F">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662" w:type="pct"/>
                  <w:tcMar>
                    <w:left w:w="0" w:type="dxa"/>
                    <w:right w:w="0" w:type="dxa"/>
                  </w:tcMar>
                  <w:vAlign w:val="center"/>
                </w:tcPr>
                <w:p w14:paraId="0105CDF2">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生态环境</w:t>
                  </w:r>
                </w:p>
              </w:tc>
              <w:tc>
                <w:tcPr>
                  <w:tcW w:w="3964" w:type="pct"/>
                  <w:tcMar>
                    <w:left w:w="0" w:type="dxa"/>
                    <w:right w:w="0" w:type="dxa"/>
                  </w:tcMar>
                  <w:vAlign w:val="center"/>
                </w:tcPr>
                <w:p w14:paraId="7C32D041">
                  <w:pPr>
                    <w:pStyle w:val="36"/>
                    <w:keepNext w:val="0"/>
                    <w:keepLines w:val="0"/>
                    <w:pageBreakBefore w:val="0"/>
                    <w:kinsoku/>
                    <w:wordWrap/>
                    <w:overflowPunct/>
                    <w:topLinePunct w:val="0"/>
                    <w:autoSpaceDE/>
                    <w:autoSpaceDN/>
                    <w:bidi w:val="0"/>
                    <w:snapToGrid w:val="0"/>
                    <w:spacing w:line="300" w:lineRule="exact"/>
                    <w:jc w:val="both"/>
                    <w:textAlignment w:val="auto"/>
                    <w:rPr>
                      <w:rFonts w:hint="default" w:ascii="Times New Roman" w:hAnsi="Times New Roman" w:eastAsia="宋体" w:cs="Times New Roman"/>
                      <w:color w:val="auto"/>
                      <w:sz w:val="21"/>
                      <w:szCs w:val="21"/>
                    </w:rPr>
                  </w:pPr>
                  <w:r>
                    <w:rPr>
                      <w:rFonts w:hint="eastAsia" w:cs="宋体"/>
                      <w:color w:val="auto"/>
                      <w:sz w:val="21"/>
                    </w:rPr>
                    <w:t>用地面积按实际征地面积划定，不得超过规定面积；合理安排施工时间，避免大风天气施工；施工车辆严格按规定路线行驶，严禁随意开道，碾压农田、扰动土壤，严禁破坏农作物、捕杀野生动物；施工结束后应对临时占地进行复垦，使其恢复原种植条件。</w:t>
                  </w:r>
                </w:p>
              </w:tc>
            </w:tr>
            <w:tr w14:paraId="32E717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3" w:type="pct"/>
                  <w:tcMar>
                    <w:left w:w="0" w:type="dxa"/>
                    <w:right w:w="0" w:type="dxa"/>
                  </w:tcMar>
                  <w:vAlign w:val="center"/>
                </w:tcPr>
                <w:p w14:paraId="2C989EBB">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662" w:type="pct"/>
                  <w:tcMar>
                    <w:left w:w="0" w:type="dxa"/>
                    <w:right w:w="0" w:type="dxa"/>
                  </w:tcMar>
                  <w:vAlign w:val="center"/>
                </w:tcPr>
                <w:p w14:paraId="61D62875">
                  <w:pPr>
                    <w:pStyle w:val="106"/>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环境管理</w:t>
                  </w:r>
                </w:p>
              </w:tc>
              <w:tc>
                <w:tcPr>
                  <w:tcW w:w="3964" w:type="pct"/>
                  <w:tcMar>
                    <w:left w:w="0" w:type="dxa"/>
                    <w:right w:w="0" w:type="dxa"/>
                  </w:tcMar>
                  <w:vAlign w:val="center"/>
                </w:tcPr>
                <w:p w14:paraId="735E1B4B">
                  <w:pPr>
                    <w:pStyle w:val="106"/>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单位应建立环境保护档案，保存施工前后项目区的影像资料，使施工全过程各类污染物产生、去向和各个污染防治措施及实施情况均记录在案。建设单位要求施工单位在钻井工程开工前进行环保自查，建设单位对施工单位钻井期间进行环保日常检查并做好记录；完工交井前，建设单位主管部门现场验收，合格后方可记录为完工，做到工完料净场地清，并做好记录。</w:t>
                  </w:r>
                </w:p>
              </w:tc>
            </w:tr>
          </w:tbl>
          <w:p w14:paraId="6A958696">
            <w:pPr>
              <w:pStyle w:val="32"/>
              <w:ind w:firstLine="482"/>
              <w:rPr>
                <w:rFonts w:hint="default" w:ascii="Times New Roman" w:hAnsi="Times New Roman" w:cs="Times New Roman"/>
                <w:b/>
                <w:bCs/>
                <w:color w:val="auto"/>
              </w:rPr>
            </w:pPr>
            <w:r>
              <w:rPr>
                <w:rFonts w:hint="default" w:ascii="Times New Roman" w:hAnsi="Times New Roman" w:cs="Times New Roman"/>
                <w:b/>
                <w:bCs/>
                <w:color w:val="auto"/>
              </w:rPr>
              <w:t>2、环保标识</w:t>
            </w:r>
          </w:p>
          <w:bookmarkEnd w:id="90"/>
          <w:p w14:paraId="534608FB">
            <w:pPr>
              <w:pStyle w:val="32"/>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w:t>
            </w:r>
            <w:r>
              <w:rPr>
                <w:rFonts w:hint="default" w:ascii="Times New Roman" w:hAnsi="Times New Roman" w:cs="Times New Roman"/>
                <w:color w:val="auto"/>
              </w:rPr>
              <w:t>井场为标准化设计，井场进场处应设警示牌，油基钻井岩屑储罐区和危险废物贮存点应设危险废物标识。</w:t>
            </w:r>
            <w:r>
              <w:rPr>
                <w:rFonts w:hint="eastAsia" w:ascii="Times New Roman" w:hAnsi="Times New Roman" w:cs="Times New Roman"/>
                <w:color w:val="auto"/>
                <w:lang w:val="en-US" w:eastAsia="zh-CN"/>
              </w:rPr>
              <w:t>详见表5-5。</w:t>
            </w:r>
          </w:p>
          <w:p w14:paraId="0AACC018">
            <w:pPr>
              <w:pStyle w:val="6"/>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5</w:t>
            </w:r>
            <w:r>
              <w:rPr>
                <w:rFonts w:hint="default" w:ascii="Times New Roman" w:hAnsi="Times New Roman" w:cs="Times New Roman"/>
                <w:color w:val="auto"/>
              </w:rPr>
              <w:t xml:space="preserve">  危险废物标识</w:t>
            </w:r>
          </w:p>
          <w:tbl>
            <w:tblPr>
              <w:tblStyle w:val="25"/>
              <w:tblW w:w="5000"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31"/>
              <w:gridCol w:w="3949"/>
            </w:tblGrid>
            <w:tr w14:paraId="6C09415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2429" w:type="pct"/>
                  <w:tcBorders>
                    <w:right w:val="single" w:color="auto" w:sz="12" w:space="0"/>
                  </w:tcBorders>
                  <w:vAlign w:val="center"/>
                </w:tcPr>
                <w:p w14:paraId="1CCA9589">
                  <w:pPr>
                    <w:pStyle w:val="104"/>
                    <w:ind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rPr>
                    <w:t>危险废物</w:t>
                  </w:r>
                </w:p>
              </w:tc>
              <w:tc>
                <w:tcPr>
                  <w:tcW w:w="2571" w:type="pct"/>
                  <w:tcBorders>
                    <w:left w:val="single" w:color="auto" w:sz="12" w:space="0"/>
                  </w:tcBorders>
                  <w:vAlign w:val="center"/>
                </w:tcPr>
                <w:p w14:paraId="11E1CC3A">
                  <w:pPr>
                    <w:pStyle w:val="104"/>
                    <w:ind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rPr>
                    <w:t>危险废物贮存设施</w:t>
                  </w:r>
                </w:p>
              </w:tc>
            </w:tr>
            <w:tr w14:paraId="4ED23CA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2429" w:type="pct"/>
                  <w:tcBorders>
                    <w:right w:val="single" w:color="auto" w:sz="12" w:space="0"/>
                  </w:tcBorders>
                  <w:vAlign w:val="center"/>
                </w:tcPr>
                <w:p w14:paraId="63B10EDC">
                  <w:pPr>
                    <w:pStyle w:val="106"/>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0" distR="0">
                        <wp:extent cx="1296035" cy="1151890"/>
                        <wp:effectExtent l="0" t="0" r="18415" b="10160"/>
                        <wp:docPr id="19527673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67309"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296035" cy="1151890"/>
                                </a:xfrm>
                                <a:prstGeom prst="rect">
                                  <a:avLst/>
                                </a:prstGeom>
                                <a:noFill/>
                                <a:ln>
                                  <a:noFill/>
                                </a:ln>
                              </pic:spPr>
                            </pic:pic>
                          </a:graphicData>
                        </a:graphic>
                      </wp:inline>
                    </w:drawing>
                  </w:r>
                </w:p>
              </w:tc>
              <w:tc>
                <w:tcPr>
                  <w:tcW w:w="2571" w:type="pct"/>
                  <w:tcBorders>
                    <w:left w:val="single" w:color="auto" w:sz="12" w:space="0"/>
                  </w:tcBorders>
                  <w:vAlign w:val="center"/>
                </w:tcPr>
                <w:p w14:paraId="36DB1A53">
                  <w:pPr>
                    <w:pStyle w:val="106"/>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0" distR="0">
                        <wp:extent cx="1837055" cy="1151890"/>
                        <wp:effectExtent l="0" t="0" r="10795" b="10160"/>
                        <wp:docPr id="251340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40015"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837055" cy="1151890"/>
                                </a:xfrm>
                                <a:prstGeom prst="rect">
                                  <a:avLst/>
                                </a:prstGeom>
                                <a:noFill/>
                                <a:ln>
                                  <a:noFill/>
                                </a:ln>
                              </pic:spPr>
                            </pic:pic>
                          </a:graphicData>
                        </a:graphic>
                      </wp:inline>
                    </w:drawing>
                  </w:r>
                </w:p>
              </w:tc>
            </w:tr>
          </w:tbl>
          <w:p w14:paraId="2283897A">
            <w:pPr>
              <w:pStyle w:val="32"/>
              <w:rPr>
                <w:rFonts w:hint="default" w:ascii="Times New Roman" w:hAnsi="Times New Roman" w:eastAsia="宋体" w:cs="Times New Roman"/>
                <w:color w:val="auto"/>
                <w:lang w:val="en-US" w:eastAsia="zh-CN"/>
              </w:rPr>
            </w:pPr>
          </w:p>
        </w:tc>
      </w:tr>
      <w:tr w14:paraId="1397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67" w:type="pct"/>
            <w:vAlign w:val="center"/>
          </w:tcPr>
          <w:p w14:paraId="7C2297E1">
            <w:pPr>
              <w:adjustRightInd w:val="0"/>
              <w:snapToGrid w:val="0"/>
              <w:jc w:val="center"/>
              <w:rPr>
                <w:rFonts w:hint="default" w:ascii="Times New Roman" w:hAnsi="Times New Roman" w:cs="Times New Roman"/>
                <w:color w:val="auto"/>
              </w:rPr>
            </w:pPr>
            <w:r>
              <w:rPr>
                <w:rFonts w:hint="default" w:ascii="Times New Roman" w:hAnsi="Times New Roman" w:cs="Times New Roman"/>
                <w:bCs/>
                <w:color w:val="auto"/>
              </w:rPr>
              <w:t>环保投资</w:t>
            </w:r>
          </w:p>
        </w:tc>
        <w:tc>
          <w:tcPr>
            <w:tcW w:w="4633" w:type="pct"/>
            <w:vAlign w:val="center"/>
          </w:tcPr>
          <w:p w14:paraId="562996FC">
            <w:pPr>
              <w:snapToGrid w:val="0"/>
              <w:spacing w:line="500" w:lineRule="exact"/>
              <w:ind w:firstLine="480" w:firstLineChars="200"/>
              <w:rPr>
                <w:rFonts w:hint="default" w:ascii="Times New Roman" w:hAnsi="Times New Roman" w:cs="Times New Roman"/>
                <w:color w:val="auto"/>
              </w:rPr>
            </w:pPr>
            <w:bookmarkStart w:id="91" w:name="_Hlk136795979"/>
            <w:r>
              <w:rPr>
                <w:rFonts w:hint="default" w:ascii="Times New Roman" w:hAnsi="Times New Roman" w:cs="Times New Roman"/>
                <w:color w:val="auto"/>
                <w:lang w:val="en-US" w:eastAsia="zh-CN"/>
              </w:rPr>
              <w:t>本</w:t>
            </w:r>
            <w:r>
              <w:rPr>
                <w:rFonts w:hint="default" w:ascii="Times New Roman" w:hAnsi="Times New Roman" w:cs="Times New Roman"/>
                <w:color w:val="auto"/>
              </w:rPr>
              <w:t>项目总投资为</w:t>
            </w:r>
            <w:r>
              <w:rPr>
                <w:rFonts w:hint="eastAsia" w:cs="Times New Roman"/>
                <w:color w:val="auto"/>
                <w:lang w:val="en-US" w:eastAsia="zh-CN"/>
              </w:rPr>
              <w:t>85</w:t>
            </w:r>
            <w:r>
              <w:rPr>
                <w:rFonts w:hint="default" w:ascii="Times New Roman" w:hAnsi="Times New Roman" w:cs="Times New Roman"/>
                <w:color w:val="auto"/>
              </w:rPr>
              <w:t>00万元，其中环保投资</w:t>
            </w:r>
            <w:r>
              <w:rPr>
                <w:rFonts w:hint="eastAsia" w:cs="Times New Roman"/>
                <w:color w:val="auto"/>
                <w:lang w:val="en-US" w:eastAsia="zh-CN"/>
              </w:rPr>
              <w:t>340</w:t>
            </w:r>
            <w:r>
              <w:rPr>
                <w:rFonts w:hint="default" w:ascii="Times New Roman" w:hAnsi="Times New Roman" w:cs="Times New Roman"/>
                <w:color w:val="auto"/>
              </w:rPr>
              <w:t>万元，占总投资的</w:t>
            </w:r>
            <w:r>
              <w:rPr>
                <w:rFonts w:hint="eastAsia" w:cs="Times New Roman"/>
                <w:color w:val="auto"/>
                <w:lang w:val="en-US" w:eastAsia="zh-CN"/>
              </w:rPr>
              <w:t>4.0</w:t>
            </w:r>
            <w:r>
              <w:rPr>
                <w:rFonts w:hint="default" w:ascii="Times New Roman" w:hAnsi="Times New Roman" w:cs="Times New Roman"/>
                <w:color w:val="auto"/>
              </w:rPr>
              <w:t>%。</w:t>
            </w:r>
          </w:p>
          <w:p w14:paraId="14923251">
            <w:pPr>
              <w:pStyle w:val="6"/>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6</w:t>
            </w:r>
            <w:r>
              <w:rPr>
                <w:rFonts w:hint="default" w:ascii="Times New Roman" w:hAnsi="Times New Roman" w:cs="Times New Roman"/>
                <w:color w:val="auto"/>
              </w:rPr>
              <w:t xml:space="preserve">  环保投资一览表</w:t>
            </w:r>
          </w:p>
          <w:bookmarkEnd w:id="91"/>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1352"/>
              <w:gridCol w:w="4810"/>
              <w:gridCol w:w="988"/>
            </w:tblGrid>
            <w:tr w14:paraId="4D15BE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14:paraId="4CD7E8D1">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工程名称</w:t>
                  </w:r>
                </w:p>
              </w:tc>
              <w:tc>
                <w:tcPr>
                  <w:tcW w:w="3131" w:type="pct"/>
                  <w:tcMar>
                    <w:left w:w="0" w:type="dxa"/>
                    <w:right w:w="0" w:type="dxa"/>
                  </w:tcMar>
                  <w:vAlign w:val="center"/>
                </w:tcPr>
                <w:p w14:paraId="120B7FC2">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拟采取的环保措施</w:t>
                  </w:r>
                </w:p>
              </w:tc>
              <w:tc>
                <w:tcPr>
                  <w:tcW w:w="643" w:type="pct"/>
                  <w:tcMar>
                    <w:left w:w="0" w:type="dxa"/>
                    <w:right w:w="0" w:type="dxa"/>
                  </w:tcMar>
                  <w:vAlign w:val="center"/>
                </w:tcPr>
                <w:p w14:paraId="5E30E32E">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环保投资</w:t>
                  </w:r>
                </w:p>
                <w:p w14:paraId="14885446">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（万元）</w:t>
                  </w:r>
                </w:p>
              </w:tc>
            </w:tr>
            <w:tr w14:paraId="261F92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tcMar>
                    <w:left w:w="0" w:type="dxa"/>
                    <w:right w:w="0" w:type="dxa"/>
                  </w:tcMar>
                  <w:vAlign w:val="center"/>
                </w:tcPr>
                <w:p w14:paraId="564848C0">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bookmarkStart w:id="92" w:name="_Hlk180059680"/>
                  <w:bookmarkStart w:id="93" w:name="_Hlk186826244"/>
                  <w:r>
                    <w:rPr>
                      <w:rFonts w:hint="default" w:ascii="Times New Roman" w:hAnsi="Times New Roman" w:cs="Times New Roman"/>
                      <w:color w:val="auto"/>
                      <w:sz w:val="21"/>
                      <w:szCs w:val="21"/>
                    </w:rPr>
                    <w:t>废气</w:t>
                  </w:r>
                </w:p>
              </w:tc>
              <w:tc>
                <w:tcPr>
                  <w:tcW w:w="880" w:type="pct"/>
                  <w:vAlign w:val="center"/>
                </w:tcPr>
                <w:p w14:paraId="2E1BE27D">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试油伴生气</w:t>
                  </w:r>
                </w:p>
              </w:tc>
              <w:tc>
                <w:tcPr>
                  <w:tcW w:w="3131" w:type="pct"/>
                  <w:tcMar>
                    <w:left w:w="0" w:type="dxa"/>
                    <w:right w:w="0" w:type="dxa"/>
                  </w:tcMar>
                  <w:vAlign w:val="center"/>
                </w:tcPr>
                <w:p w14:paraId="7ECCAF19">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经排气管线充分燃烧后排放。</w:t>
                  </w:r>
                </w:p>
              </w:tc>
              <w:tc>
                <w:tcPr>
                  <w:tcW w:w="643" w:type="pct"/>
                  <w:tcMar>
                    <w:left w:w="0" w:type="dxa"/>
                    <w:right w:w="0" w:type="dxa"/>
                  </w:tcMar>
                  <w:vAlign w:val="center"/>
                </w:tcPr>
                <w:p w14:paraId="0D663C2F">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34AFF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14:paraId="243E0772">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880" w:type="pct"/>
                  <w:vAlign w:val="center"/>
                </w:tcPr>
                <w:p w14:paraId="7AB07335">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施工扬尘</w:t>
                  </w:r>
                </w:p>
              </w:tc>
              <w:tc>
                <w:tcPr>
                  <w:tcW w:w="3131" w:type="pct"/>
                  <w:tcMar>
                    <w:left w:w="0" w:type="dxa"/>
                    <w:right w:w="0" w:type="dxa"/>
                  </w:tcMar>
                  <w:vAlign w:val="center"/>
                </w:tcPr>
                <w:p w14:paraId="5E40AD71">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采取井场洒水抑尘、对易起尘物料进行遮盖、加强车辆管理等措施。</w:t>
                  </w:r>
                </w:p>
              </w:tc>
              <w:tc>
                <w:tcPr>
                  <w:tcW w:w="643" w:type="pct"/>
                  <w:tcMar>
                    <w:left w:w="0" w:type="dxa"/>
                    <w:right w:w="0" w:type="dxa"/>
                  </w:tcMar>
                  <w:vAlign w:val="center"/>
                </w:tcPr>
                <w:p w14:paraId="724AA52F">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78ECCD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tcMar>
                    <w:left w:w="0" w:type="dxa"/>
                    <w:right w:w="0" w:type="dxa"/>
                  </w:tcMar>
                  <w:vAlign w:val="center"/>
                </w:tcPr>
                <w:p w14:paraId="5D29303A">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880" w:type="pct"/>
                  <w:tcMar>
                    <w:left w:w="0" w:type="dxa"/>
                    <w:right w:w="0" w:type="dxa"/>
                  </w:tcMar>
                  <w:vAlign w:val="center"/>
                </w:tcPr>
                <w:p w14:paraId="102C0DB8">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洗井废水、压裂返排液</w:t>
                  </w:r>
                </w:p>
              </w:tc>
              <w:tc>
                <w:tcPr>
                  <w:tcW w:w="3131" w:type="pct"/>
                  <w:tcMar>
                    <w:left w:w="0" w:type="dxa"/>
                    <w:right w:w="0" w:type="dxa"/>
                  </w:tcMar>
                  <w:vAlign w:val="center"/>
                </w:tcPr>
                <w:p w14:paraId="05170DDC">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由地面储罐收集后，依托采油一厂车89处理站。</w:t>
                  </w:r>
                </w:p>
              </w:tc>
              <w:tc>
                <w:tcPr>
                  <w:tcW w:w="643" w:type="pct"/>
                  <w:tcMar>
                    <w:left w:w="0" w:type="dxa"/>
                    <w:right w:w="0" w:type="dxa"/>
                  </w:tcMar>
                  <w:vAlign w:val="center"/>
                </w:tcPr>
                <w:p w14:paraId="607B655F">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w:t>
                  </w:r>
                </w:p>
              </w:tc>
            </w:tr>
            <w:tr w14:paraId="636385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14:paraId="24E1D457">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880" w:type="pct"/>
                  <w:tcMar>
                    <w:left w:w="0" w:type="dxa"/>
                    <w:right w:w="0" w:type="dxa"/>
                  </w:tcMar>
                  <w:vAlign w:val="center"/>
                </w:tcPr>
                <w:p w14:paraId="544A57EA">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生活污水</w:t>
                  </w:r>
                </w:p>
              </w:tc>
              <w:tc>
                <w:tcPr>
                  <w:tcW w:w="3131" w:type="pct"/>
                  <w:shd w:val="clear" w:color="auto" w:fill="auto"/>
                  <w:tcMar>
                    <w:left w:w="0" w:type="dxa"/>
                    <w:right w:w="0" w:type="dxa"/>
                  </w:tcMar>
                  <w:vAlign w:val="center"/>
                </w:tcPr>
                <w:p w14:paraId="0FE8FE31">
                  <w:pPr>
                    <w:keepNext w:val="0"/>
                    <w:keepLines w:val="0"/>
                    <w:pageBreakBefore w:val="0"/>
                    <w:widowControl w:val="0"/>
                    <w:kinsoku/>
                    <w:wordWrap/>
                    <w:overflowPunct/>
                    <w:topLinePunct w:val="0"/>
                    <w:autoSpaceDE/>
                    <w:autoSpaceDN/>
                    <w:bidi w:val="0"/>
                    <w:adjustRightInd w:val="0"/>
                    <w:snapToGrid w:val="0"/>
                    <w:spacing w:line="290" w:lineRule="exac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生活营地内设1座临时</w:t>
                  </w:r>
                  <w:r>
                    <w:rPr>
                      <w:rFonts w:hint="eastAsia" w:cs="Times New Roman"/>
                      <w:color w:val="auto"/>
                      <w:sz w:val="21"/>
                      <w:szCs w:val="21"/>
                      <w:lang w:eastAsia="zh-CN"/>
                    </w:rPr>
                    <w:t>防渗储集池</w:t>
                  </w:r>
                  <w:r>
                    <w:rPr>
                      <w:rFonts w:hint="default" w:ascii="Times New Roman" w:hAnsi="Times New Roman" w:cs="Times New Roman"/>
                      <w:color w:val="auto"/>
                      <w:sz w:val="21"/>
                      <w:szCs w:val="21"/>
                    </w:rPr>
                    <w:t>收集暂存，施工人员产生的生活污水排入防渗收集池后由吸污车运至</w:t>
                  </w:r>
                  <w:r>
                    <w:rPr>
                      <w:rFonts w:hint="eastAsia" w:cs="Times New Roman"/>
                      <w:color w:val="auto"/>
                      <w:sz w:val="21"/>
                      <w:szCs w:val="21"/>
                      <w:lang w:eastAsia="zh-CN"/>
                    </w:rPr>
                    <w:t>玛纳斯县城污水处理厂</w:t>
                  </w:r>
                  <w:r>
                    <w:rPr>
                      <w:rFonts w:hint="default" w:ascii="Times New Roman" w:hAnsi="Times New Roman" w:cs="Times New Roman"/>
                      <w:color w:val="auto"/>
                      <w:sz w:val="21"/>
                      <w:szCs w:val="21"/>
                    </w:rPr>
                    <w:t>处置。</w:t>
                  </w:r>
                </w:p>
              </w:tc>
              <w:tc>
                <w:tcPr>
                  <w:tcW w:w="643" w:type="pct"/>
                  <w:tcMar>
                    <w:left w:w="0" w:type="dxa"/>
                    <w:right w:w="0" w:type="dxa"/>
                  </w:tcMar>
                  <w:vAlign w:val="center"/>
                </w:tcPr>
                <w:p w14:paraId="238125B2">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r>
            <w:tr w14:paraId="3E63B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tcMar>
                    <w:left w:w="0" w:type="dxa"/>
                    <w:right w:w="0" w:type="dxa"/>
                  </w:tcMar>
                  <w:vAlign w:val="center"/>
                </w:tcPr>
                <w:p w14:paraId="3E185A83">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固体废物</w:t>
                  </w:r>
                </w:p>
              </w:tc>
              <w:tc>
                <w:tcPr>
                  <w:tcW w:w="880" w:type="pct"/>
                  <w:tcMar>
                    <w:left w:w="0" w:type="dxa"/>
                    <w:right w:w="0" w:type="dxa"/>
                  </w:tcMar>
                  <w:vAlign w:val="center"/>
                </w:tcPr>
                <w:p w14:paraId="4DD36EAA">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水基钻井岩屑</w:t>
                  </w:r>
                </w:p>
              </w:tc>
              <w:tc>
                <w:tcPr>
                  <w:tcW w:w="3131" w:type="pct"/>
                  <w:vMerge w:val="restart"/>
                  <w:tcMar>
                    <w:left w:w="0" w:type="dxa"/>
                    <w:right w:w="0" w:type="dxa"/>
                  </w:tcMar>
                  <w:vAlign w:val="center"/>
                </w:tcPr>
                <w:p w14:paraId="3AD9A207">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eastAsia" w:ascii="宋体" w:hAnsi="宋体" w:cs="宋体"/>
                      <w:color w:val="auto"/>
                      <w:sz w:val="21"/>
                      <w:szCs w:val="21"/>
                    </w:rPr>
                    <w:t>井场设</w:t>
                  </w:r>
                  <w:r>
                    <w:rPr>
                      <w:rFonts w:hint="eastAsia" w:ascii="宋体" w:hAnsi="宋体" w:cs="宋体"/>
                      <w:color w:val="auto"/>
                      <w:sz w:val="21"/>
                      <w:szCs w:val="21"/>
                      <w:lang w:val="en-US" w:eastAsia="zh-CN"/>
                    </w:rPr>
                    <w:t>有水基和油基</w:t>
                  </w:r>
                  <w:r>
                    <w:rPr>
                      <w:rFonts w:hint="eastAsia" w:ascii="宋体" w:hAnsi="宋体" w:cs="宋体"/>
                      <w:color w:val="auto"/>
                      <w:sz w:val="21"/>
                      <w:szCs w:val="21"/>
                    </w:rPr>
                    <w:t>钻井液不落地设备</w:t>
                  </w:r>
                  <w:r>
                    <w:rPr>
                      <w:rFonts w:hint="eastAsia" w:ascii="宋体" w:hAnsi="宋体" w:cs="宋体"/>
                      <w:color w:val="auto"/>
                      <w:sz w:val="21"/>
                      <w:szCs w:val="21"/>
                      <w:lang w:val="en-US" w:eastAsia="zh-CN"/>
                    </w:rPr>
                    <w:t>各1套</w:t>
                  </w:r>
                  <w:r>
                    <w:rPr>
                      <w:rFonts w:hint="eastAsia" w:ascii="宋体" w:hAnsi="宋体" w:cs="宋体"/>
                      <w:color w:val="auto"/>
                      <w:sz w:val="21"/>
                      <w:szCs w:val="21"/>
                    </w:rPr>
                    <w:t>，水基岩屑暂存于岩屑方罐中，油基岩屑暂存于岩屑专用储罐，水基岩屑委托</w:t>
                  </w:r>
                  <w:r>
                    <w:rPr>
                      <w:rFonts w:hint="eastAsia" w:ascii="宋体" w:hAnsi="宋体" w:cs="宋体"/>
                      <w:color w:val="auto"/>
                      <w:sz w:val="21"/>
                      <w:szCs w:val="21"/>
                      <w:lang w:val="en-US" w:eastAsia="zh-CN"/>
                    </w:rPr>
                    <w:t>第三方</w:t>
                  </w:r>
                  <w:r>
                    <w:rPr>
                      <w:rFonts w:hint="eastAsia" w:ascii="宋体" w:hAnsi="宋体" w:cs="宋体"/>
                      <w:color w:val="auto"/>
                      <w:sz w:val="21"/>
                      <w:szCs w:val="21"/>
                    </w:rPr>
                    <w:t>岩屑处置单位处置，油基岩屑委托具有相应危废处置资质的单位处置。</w:t>
                  </w:r>
                </w:p>
              </w:tc>
              <w:tc>
                <w:tcPr>
                  <w:tcW w:w="643" w:type="pct"/>
                  <w:vMerge w:val="restart"/>
                  <w:tcMar>
                    <w:left w:w="0" w:type="dxa"/>
                    <w:right w:w="0" w:type="dxa"/>
                  </w:tcMar>
                  <w:vAlign w:val="center"/>
                </w:tcPr>
                <w:p w14:paraId="3E49CA04">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296</w:t>
                  </w:r>
                </w:p>
              </w:tc>
            </w:tr>
            <w:tr w14:paraId="7D0AA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14:paraId="7C49C6E0">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880" w:type="pct"/>
                  <w:tcMar>
                    <w:left w:w="0" w:type="dxa"/>
                    <w:right w:w="0" w:type="dxa"/>
                  </w:tcMar>
                  <w:vAlign w:val="center"/>
                </w:tcPr>
                <w:p w14:paraId="70F6E9AC">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油基钻井岩屑</w:t>
                  </w:r>
                </w:p>
              </w:tc>
              <w:tc>
                <w:tcPr>
                  <w:tcW w:w="3131" w:type="pct"/>
                  <w:vMerge w:val="continue"/>
                  <w:tcMar>
                    <w:left w:w="0" w:type="dxa"/>
                    <w:right w:w="0" w:type="dxa"/>
                  </w:tcMar>
                  <w:vAlign w:val="center"/>
                </w:tcPr>
                <w:p w14:paraId="01A7CA01">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643" w:type="pct"/>
                  <w:vMerge w:val="continue"/>
                  <w:tcMar>
                    <w:left w:w="0" w:type="dxa"/>
                    <w:right w:w="0" w:type="dxa"/>
                  </w:tcMar>
                  <w:vAlign w:val="center"/>
                </w:tcPr>
                <w:p w14:paraId="13B527BA">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r>
            <w:tr w14:paraId="1DD904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14:paraId="7D478455">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880" w:type="pct"/>
                  <w:shd w:val="clear" w:color="auto" w:fill="auto"/>
                  <w:tcMar>
                    <w:left w:w="0" w:type="dxa"/>
                    <w:right w:w="0" w:type="dxa"/>
                  </w:tcMar>
                  <w:vAlign w:val="center"/>
                </w:tcPr>
                <w:p w14:paraId="2FFA4449">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沾油废防渗材料、废润滑油及废润滑油桶</w:t>
                  </w:r>
                </w:p>
              </w:tc>
              <w:tc>
                <w:tcPr>
                  <w:tcW w:w="3131" w:type="pct"/>
                  <w:shd w:val="clear" w:color="auto" w:fill="auto"/>
                  <w:tcMar>
                    <w:left w:w="0" w:type="dxa"/>
                    <w:right w:w="0" w:type="dxa"/>
                  </w:tcMar>
                  <w:vAlign w:val="center"/>
                </w:tcPr>
                <w:p w14:paraId="15200F04">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钻井井场设置1座危险废物贮存点，用于施工过程中产生的沾油废防渗材料、废润滑油及废润滑油桶</w:t>
                  </w:r>
                  <w:r>
                    <w:rPr>
                      <w:rFonts w:hint="eastAsia" w:cs="Times New Roman"/>
                      <w:color w:val="auto"/>
                      <w:sz w:val="21"/>
                      <w:szCs w:val="21"/>
                      <w:lang w:eastAsia="zh-CN"/>
                    </w:rPr>
                    <w:t>、</w:t>
                  </w:r>
                  <w:r>
                    <w:rPr>
                      <w:rFonts w:hint="eastAsia" w:cs="Times New Roman"/>
                      <w:color w:val="auto"/>
                      <w:sz w:val="21"/>
                      <w:szCs w:val="21"/>
                      <w:lang w:val="en-US" w:eastAsia="zh-CN"/>
                    </w:rPr>
                    <w:t>沾油劳保用品的</w:t>
                  </w:r>
                  <w:r>
                    <w:rPr>
                      <w:rFonts w:hint="default" w:ascii="Times New Roman" w:hAnsi="Times New Roman" w:cs="Times New Roman"/>
                      <w:color w:val="auto"/>
                      <w:sz w:val="21"/>
                      <w:szCs w:val="21"/>
                    </w:rPr>
                    <w:t>暂存，各类危险废物定期交由具有相应危险废物处置资质的单位进行接收、转运和处置。</w:t>
                  </w:r>
                  <w:r>
                    <w:rPr>
                      <w:rFonts w:hint="eastAsia" w:cs="Times New Roman"/>
                      <w:color w:val="auto"/>
                      <w:sz w:val="21"/>
                      <w:szCs w:val="21"/>
                      <w:lang w:val="en-US" w:eastAsia="zh-CN"/>
                    </w:rPr>
                    <w:t>事故状态下产生的落地油集中收集后直接交由有相应危废处置资质单位进行接收、转运和处置。</w:t>
                  </w:r>
                </w:p>
              </w:tc>
              <w:tc>
                <w:tcPr>
                  <w:tcW w:w="643" w:type="pct"/>
                  <w:shd w:val="clear" w:color="auto" w:fill="auto"/>
                  <w:tcMar>
                    <w:left w:w="0" w:type="dxa"/>
                    <w:right w:w="0" w:type="dxa"/>
                  </w:tcMar>
                  <w:vAlign w:val="center"/>
                </w:tcPr>
                <w:p w14:paraId="40ABF2EE">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r>
            <w:tr w14:paraId="34AA7C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14:paraId="3EE300C2">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880" w:type="pct"/>
                  <w:shd w:val="clear" w:color="auto" w:fill="auto"/>
                  <w:tcMar>
                    <w:left w:w="0" w:type="dxa"/>
                    <w:right w:w="0" w:type="dxa"/>
                  </w:tcMar>
                  <w:vAlign w:val="center"/>
                </w:tcPr>
                <w:p w14:paraId="0E4701F5">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生活垃圾</w:t>
                  </w:r>
                </w:p>
              </w:tc>
              <w:tc>
                <w:tcPr>
                  <w:tcW w:w="3131" w:type="pct"/>
                  <w:shd w:val="clear" w:color="auto" w:fill="auto"/>
                  <w:tcMar>
                    <w:left w:w="0" w:type="dxa"/>
                    <w:right w:w="0" w:type="dxa"/>
                  </w:tcMar>
                  <w:vAlign w:val="center"/>
                </w:tcPr>
                <w:p w14:paraId="7FB91254">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设有垃圾箱集中收集，产生的生活垃圾集中收集在垃圾箱后交玛纳斯县生活垃圾填埋场处置。</w:t>
                  </w:r>
                </w:p>
              </w:tc>
              <w:tc>
                <w:tcPr>
                  <w:tcW w:w="643" w:type="pct"/>
                  <w:shd w:val="clear" w:color="auto" w:fill="auto"/>
                  <w:tcMar>
                    <w:left w:w="0" w:type="dxa"/>
                    <w:right w:w="0" w:type="dxa"/>
                  </w:tcMar>
                  <w:vAlign w:val="center"/>
                </w:tcPr>
                <w:p w14:paraId="177B722D">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r>
            <w:tr w14:paraId="4A11C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14:paraId="49CDE49A">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p>
              </w:tc>
              <w:tc>
                <w:tcPr>
                  <w:tcW w:w="880" w:type="pct"/>
                  <w:tcMar>
                    <w:left w:w="0" w:type="dxa"/>
                    <w:right w:w="0" w:type="dxa"/>
                  </w:tcMar>
                  <w:vAlign w:val="center"/>
                </w:tcPr>
                <w:p w14:paraId="00E4967D">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建筑垃圾</w:t>
                  </w:r>
                </w:p>
              </w:tc>
              <w:tc>
                <w:tcPr>
                  <w:tcW w:w="3131" w:type="pct"/>
                  <w:shd w:val="clear" w:color="auto" w:fill="auto"/>
                  <w:tcMar>
                    <w:left w:w="0" w:type="dxa"/>
                    <w:right w:w="0" w:type="dxa"/>
                  </w:tcMar>
                  <w:vAlign w:val="center"/>
                </w:tcPr>
                <w:p w14:paraId="5C6DF128">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无法再利用的建筑垃圾送至玛纳斯县建筑垃圾填埋场处置。</w:t>
                  </w:r>
                </w:p>
              </w:tc>
              <w:tc>
                <w:tcPr>
                  <w:tcW w:w="643" w:type="pct"/>
                  <w:tcMar>
                    <w:left w:w="0" w:type="dxa"/>
                    <w:right w:w="0" w:type="dxa"/>
                  </w:tcMar>
                  <w:vAlign w:val="center"/>
                </w:tcPr>
                <w:p w14:paraId="00C96AC5">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r>
            <w:bookmarkEnd w:id="92"/>
            <w:tr w14:paraId="3ECB6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14:paraId="2632DBCF">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bookmarkStart w:id="94" w:name="_Hlk180059585"/>
                  <w:r>
                    <w:rPr>
                      <w:rFonts w:hint="default" w:ascii="Times New Roman" w:hAnsi="Times New Roman" w:cs="Times New Roman"/>
                      <w:color w:val="auto"/>
                      <w:sz w:val="21"/>
                      <w:szCs w:val="21"/>
                    </w:rPr>
                    <w:t>生态恢复</w:t>
                  </w:r>
                </w:p>
              </w:tc>
              <w:tc>
                <w:tcPr>
                  <w:tcW w:w="3131" w:type="pct"/>
                  <w:tcMar>
                    <w:left w:w="0" w:type="dxa"/>
                    <w:right w:w="0" w:type="dxa"/>
                  </w:tcMar>
                  <w:vAlign w:val="center"/>
                </w:tcPr>
                <w:p w14:paraId="082751CB">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对临时占地进行清理、平整。</w:t>
                  </w:r>
                </w:p>
              </w:tc>
              <w:tc>
                <w:tcPr>
                  <w:tcW w:w="643" w:type="pct"/>
                  <w:tcMar>
                    <w:left w:w="0" w:type="dxa"/>
                    <w:right w:w="0" w:type="dxa"/>
                  </w:tcMar>
                  <w:vAlign w:val="center"/>
                </w:tcPr>
                <w:p w14:paraId="6779980F">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w:t>
                  </w:r>
                </w:p>
              </w:tc>
            </w:tr>
            <w:tr w14:paraId="62B7E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14:paraId="1BC6155B">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井控装置</w:t>
                  </w:r>
                </w:p>
              </w:tc>
              <w:tc>
                <w:tcPr>
                  <w:tcW w:w="3131" w:type="pct"/>
                  <w:tcMar>
                    <w:left w:w="0" w:type="dxa"/>
                    <w:right w:w="0" w:type="dxa"/>
                  </w:tcMar>
                  <w:vAlign w:val="center"/>
                </w:tcPr>
                <w:p w14:paraId="192E00C1">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设置防喷器，防止井喷；井场左右两侧各设置1条放喷管线，并预留应急放喷池位置。</w:t>
                  </w:r>
                </w:p>
              </w:tc>
              <w:tc>
                <w:tcPr>
                  <w:tcW w:w="643" w:type="pct"/>
                  <w:tcMar>
                    <w:left w:w="0" w:type="dxa"/>
                    <w:right w:w="0" w:type="dxa"/>
                  </w:tcMar>
                  <w:vAlign w:val="center"/>
                </w:tcPr>
                <w:p w14:paraId="14DFA48A">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w:t>
                  </w:r>
                </w:p>
              </w:tc>
            </w:tr>
            <w:tr w14:paraId="6394D7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14:paraId="450BA237">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硫化氢监测</w:t>
                  </w:r>
                </w:p>
              </w:tc>
              <w:tc>
                <w:tcPr>
                  <w:tcW w:w="3131" w:type="pct"/>
                  <w:tcMar>
                    <w:left w:w="0" w:type="dxa"/>
                    <w:right w:w="0" w:type="dxa"/>
                  </w:tcMar>
                  <w:vAlign w:val="center"/>
                </w:tcPr>
                <w:p w14:paraId="6A5AFEEE">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井场配备</w:t>
                  </w:r>
                  <w:r>
                    <w:rPr>
                      <w:rFonts w:hint="eastAsia" w:cs="Times New Roman"/>
                      <w:color w:val="auto"/>
                      <w:sz w:val="21"/>
                      <w:szCs w:val="21"/>
                      <w:lang w:val="en-US" w:eastAsia="zh-CN"/>
                    </w:rPr>
                    <w:t>若干个</w:t>
                  </w:r>
                  <w:r>
                    <w:rPr>
                      <w:rFonts w:hint="default" w:ascii="Times New Roman" w:hAnsi="Times New Roman" w:cs="Times New Roman"/>
                      <w:color w:val="auto"/>
                      <w:sz w:val="21"/>
                      <w:szCs w:val="21"/>
                      <w:lang w:val="en-US" w:eastAsia="zh-CN"/>
                    </w:rPr>
                    <w:t>便携式</w:t>
                  </w:r>
                  <w:r>
                    <w:rPr>
                      <w:rFonts w:hint="default" w:ascii="Times New Roman" w:hAnsi="Times New Roman" w:cs="Times New Roman"/>
                      <w:color w:val="auto"/>
                      <w:sz w:val="21"/>
                      <w:szCs w:val="21"/>
                    </w:rPr>
                    <w:t>硫化氢气体检测</w:t>
                  </w:r>
                  <w:r>
                    <w:rPr>
                      <w:rFonts w:hint="default" w:ascii="Times New Roman" w:hAnsi="Times New Roman" w:cs="Times New Roman"/>
                      <w:color w:val="auto"/>
                      <w:sz w:val="21"/>
                      <w:szCs w:val="21"/>
                      <w:lang w:val="en-US" w:eastAsia="zh-CN"/>
                    </w:rPr>
                    <w:t>仪</w:t>
                  </w:r>
                  <w:r>
                    <w:rPr>
                      <w:rFonts w:hint="default" w:ascii="Times New Roman" w:hAnsi="Times New Roman" w:cs="Times New Roman"/>
                      <w:color w:val="auto"/>
                      <w:sz w:val="21"/>
                      <w:szCs w:val="21"/>
                    </w:rPr>
                    <w:t>。</w:t>
                  </w:r>
                </w:p>
              </w:tc>
              <w:tc>
                <w:tcPr>
                  <w:tcW w:w="643" w:type="pct"/>
                  <w:tcMar>
                    <w:left w:w="0" w:type="dxa"/>
                    <w:right w:w="0" w:type="dxa"/>
                  </w:tcMar>
                  <w:vAlign w:val="center"/>
                </w:tcPr>
                <w:p w14:paraId="3FF2E054">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r>
            <w:bookmarkEnd w:id="93"/>
            <w:bookmarkEnd w:id="94"/>
            <w:tr w14:paraId="49C7C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6" w:type="pct"/>
                  <w:gridSpan w:val="3"/>
                  <w:tcMar>
                    <w:left w:w="0" w:type="dxa"/>
                    <w:right w:w="0" w:type="dxa"/>
                  </w:tcMar>
                  <w:vAlign w:val="center"/>
                </w:tcPr>
                <w:p w14:paraId="6020D82F">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合计</w:t>
                  </w:r>
                </w:p>
              </w:tc>
              <w:tc>
                <w:tcPr>
                  <w:tcW w:w="643" w:type="pct"/>
                  <w:tcMar>
                    <w:left w:w="0" w:type="dxa"/>
                    <w:right w:w="0" w:type="dxa"/>
                  </w:tcMar>
                  <w:vAlign w:val="center"/>
                </w:tcPr>
                <w:p w14:paraId="671272B7">
                  <w:pPr>
                    <w:keepNext w:val="0"/>
                    <w:keepLines w:val="0"/>
                    <w:pageBreakBefore w:val="0"/>
                    <w:widowControl w:val="0"/>
                    <w:kinsoku/>
                    <w:wordWrap/>
                    <w:overflowPunct/>
                    <w:topLinePunct w:val="0"/>
                    <w:autoSpaceDE/>
                    <w:autoSpaceDN/>
                    <w:bidi w:val="0"/>
                    <w:adjustRightInd w:val="0"/>
                    <w:snapToGrid w:val="0"/>
                    <w:spacing w:line="29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340</w:t>
                  </w:r>
                </w:p>
              </w:tc>
            </w:tr>
          </w:tbl>
          <w:p w14:paraId="3E60A14F">
            <w:pPr>
              <w:pStyle w:val="9"/>
              <w:rPr>
                <w:rFonts w:hint="default" w:ascii="Times New Roman" w:hAnsi="Times New Roman" w:cs="Times New Roman"/>
                <w:color w:val="auto"/>
                <w:lang w:val="en-US" w:eastAsia="zh-CN"/>
              </w:rPr>
            </w:pPr>
          </w:p>
          <w:p w14:paraId="3D4823F2">
            <w:pPr>
              <w:pStyle w:val="9"/>
              <w:ind w:left="0" w:leftChars="0" w:firstLine="0" w:firstLineChars="0"/>
              <w:rPr>
                <w:rFonts w:hint="default" w:ascii="Times New Roman" w:hAnsi="Times New Roman" w:eastAsia="宋体" w:cs="Times New Roman"/>
                <w:color w:val="auto"/>
                <w:lang w:val="en-US" w:eastAsia="zh-CN"/>
              </w:rPr>
            </w:pPr>
          </w:p>
        </w:tc>
      </w:tr>
    </w:tbl>
    <w:p w14:paraId="417F3C1F">
      <w:pPr>
        <w:pStyle w:val="2"/>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9325032">
      <w:pPr>
        <w:pStyle w:val="2"/>
        <w:rPr>
          <w:rFonts w:hint="default" w:ascii="Times New Roman" w:hAnsi="Times New Roman" w:eastAsia="黑体" w:cs="Times New Roman"/>
          <w:b w:val="0"/>
          <w:bCs/>
          <w:color w:val="auto"/>
          <w:sz w:val="30"/>
          <w:szCs w:val="30"/>
        </w:rPr>
      </w:pPr>
      <w:bookmarkStart w:id="95" w:name="_Toc3878"/>
      <w:r>
        <w:rPr>
          <w:rFonts w:hint="default" w:ascii="Times New Roman" w:hAnsi="Times New Roman" w:eastAsia="黑体" w:cs="Times New Roman"/>
          <w:b w:val="0"/>
          <w:bCs/>
          <w:color w:val="auto"/>
          <w:sz w:val="30"/>
          <w:szCs w:val="30"/>
        </w:rPr>
        <w:t>六、生态环境保护措施监督检查清单</w:t>
      </w:r>
      <w:bookmarkEnd w:id="95"/>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79" w:type="dxa"/>
          <w:bottom w:w="0" w:type="dxa"/>
          <w:right w:w="79" w:type="dxa"/>
        </w:tblCellMar>
      </w:tblPr>
      <w:tblGrid>
        <w:gridCol w:w="1072"/>
        <w:gridCol w:w="3695"/>
        <w:gridCol w:w="2207"/>
        <w:gridCol w:w="850"/>
        <w:gridCol w:w="640"/>
      </w:tblGrid>
      <w:tr w14:paraId="1CC68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tblHeader/>
          <w:jc w:val="center"/>
        </w:trPr>
        <w:tc>
          <w:tcPr>
            <w:tcW w:w="633" w:type="pct"/>
            <w:vMerge w:val="restart"/>
            <w:tcBorders>
              <w:tl2br w:val="single" w:color="auto" w:sz="4" w:space="0"/>
            </w:tcBorders>
          </w:tcPr>
          <w:p w14:paraId="2A3B6D53">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right"/>
              <w:textAlignment w:val="auto"/>
              <w:outlineLvl w:val="0"/>
              <w:rPr>
                <w:rFonts w:hint="default" w:ascii="Times New Roman" w:hAnsi="Times New Roman" w:eastAsia="黑体" w:cs="Times New Roman"/>
                <w:color w:val="auto"/>
                <w:kern w:val="2"/>
                <w:sz w:val="21"/>
                <w:szCs w:val="21"/>
              </w:rPr>
            </w:pPr>
            <w:bookmarkStart w:id="96" w:name="_Toc32580"/>
            <w:r>
              <w:rPr>
                <w:rFonts w:hint="default" w:ascii="Times New Roman" w:hAnsi="Times New Roman" w:eastAsia="黑体" w:cs="Times New Roman"/>
                <w:color w:val="auto"/>
                <w:kern w:val="2"/>
                <w:sz w:val="21"/>
                <w:szCs w:val="21"/>
              </w:rPr>
              <w:t>内容</w:t>
            </w:r>
            <w:bookmarkEnd w:id="96"/>
          </w:p>
          <w:p w14:paraId="44DDD6DA">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textAlignment w:val="auto"/>
              <w:outlineLvl w:val="0"/>
              <w:rPr>
                <w:rFonts w:hint="default" w:ascii="Times New Roman" w:hAnsi="Times New Roman" w:eastAsia="黑体" w:cs="Times New Roman"/>
                <w:color w:val="auto"/>
                <w:kern w:val="2"/>
                <w:sz w:val="135"/>
                <w:szCs w:val="21"/>
              </w:rPr>
            </w:pPr>
            <w:r>
              <w:rPr>
                <w:rFonts w:hint="default" w:ascii="Times New Roman" w:hAnsi="Times New Roman" w:eastAsia="黑体" w:cs="Times New Roman"/>
                <w:color w:val="auto"/>
                <w:kern w:val="2"/>
                <w:sz w:val="21"/>
                <w:szCs w:val="21"/>
              </w:rPr>
              <w:t xml:space="preserve"> </w:t>
            </w:r>
            <w:r>
              <w:rPr>
                <w:rFonts w:hint="default" w:ascii="Times New Roman" w:hAnsi="Times New Roman" w:eastAsia="黑体" w:cs="Times New Roman"/>
                <w:color w:val="auto"/>
                <w:kern w:val="2"/>
                <w:sz w:val="135"/>
                <w:szCs w:val="21"/>
              </w:rPr>
              <w:t xml:space="preserve"> </w:t>
            </w:r>
          </w:p>
          <w:p w14:paraId="0D8850E6">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both"/>
              <w:textAlignment w:val="auto"/>
              <w:outlineLvl w:val="0"/>
              <w:rPr>
                <w:rFonts w:hint="default" w:ascii="Times New Roman" w:hAnsi="Times New Roman" w:eastAsia="黑体" w:cs="Times New Roman"/>
                <w:color w:val="auto"/>
                <w:kern w:val="2"/>
                <w:sz w:val="21"/>
                <w:szCs w:val="21"/>
              </w:rPr>
            </w:pPr>
            <w:bookmarkStart w:id="97" w:name="_Toc5962"/>
            <w:r>
              <w:rPr>
                <w:rFonts w:hint="default" w:ascii="Times New Roman" w:hAnsi="Times New Roman" w:eastAsia="黑体" w:cs="Times New Roman"/>
                <w:color w:val="auto"/>
                <w:kern w:val="2"/>
                <w:sz w:val="21"/>
                <w:szCs w:val="21"/>
              </w:rPr>
              <w:t>要素</w:t>
            </w:r>
            <w:bookmarkEnd w:id="97"/>
          </w:p>
        </w:tc>
        <w:tc>
          <w:tcPr>
            <w:tcW w:w="3485" w:type="pct"/>
            <w:gridSpan w:val="2"/>
            <w:vAlign w:val="center"/>
          </w:tcPr>
          <w:p w14:paraId="41944A04">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bookmarkStart w:id="98" w:name="_Toc20362"/>
            <w:r>
              <w:rPr>
                <w:rFonts w:hint="default" w:ascii="Times New Roman" w:hAnsi="Times New Roman" w:eastAsia="黑体" w:cs="Times New Roman"/>
                <w:color w:val="auto"/>
                <w:kern w:val="2"/>
                <w:sz w:val="21"/>
                <w:szCs w:val="21"/>
              </w:rPr>
              <w:t>施工期</w:t>
            </w:r>
            <w:bookmarkEnd w:id="98"/>
          </w:p>
        </w:tc>
        <w:tc>
          <w:tcPr>
            <w:tcW w:w="880" w:type="pct"/>
            <w:gridSpan w:val="2"/>
            <w:vAlign w:val="center"/>
          </w:tcPr>
          <w:p w14:paraId="70E859B6">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bookmarkStart w:id="99" w:name="_Toc14726"/>
            <w:r>
              <w:rPr>
                <w:rFonts w:hint="default" w:ascii="Times New Roman" w:hAnsi="Times New Roman" w:eastAsia="黑体" w:cs="Times New Roman"/>
                <w:color w:val="auto"/>
                <w:kern w:val="2"/>
                <w:sz w:val="21"/>
                <w:szCs w:val="21"/>
              </w:rPr>
              <w:t>运营期</w:t>
            </w:r>
            <w:bookmarkEnd w:id="99"/>
          </w:p>
        </w:tc>
      </w:tr>
      <w:tr w14:paraId="0CD46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tblHeader/>
          <w:jc w:val="center"/>
        </w:trPr>
        <w:tc>
          <w:tcPr>
            <w:tcW w:w="633" w:type="pct"/>
            <w:vMerge w:val="continue"/>
          </w:tcPr>
          <w:p w14:paraId="07674B63">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p>
        </w:tc>
        <w:tc>
          <w:tcPr>
            <w:tcW w:w="2182" w:type="pct"/>
            <w:vAlign w:val="center"/>
          </w:tcPr>
          <w:p w14:paraId="20C3D9E7">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bookmarkStart w:id="100" w:name="_Toc18508"/>
            <w:r>
              <w:rPr>
                <w:rFonts w:hint="default" w:ascii="Times New Roman" w:hAnsi="Times New Roman" w:eastAsia="黑体" w:cs="Times New Roman"/>
                <w:color w:val="auto"/>
                <w:kern w:val="2"/>
                <w:sz w:val="21"/>
                <w:szCs w:val="21"/>
              </w:rPr>
              <w:t>环境保护措施</w:t>
            </w:r>
            <w:bookmarkEnd w:id="100"/>
          </w:p>
        </w:tc>
        <w:tc>
          <w:tcPr>
            <w:tcW w:w="1303" w:type="pct"/>
            <w:vAlign w:val="center"/>
          </w:tcPr>
          <w:p w14:paraId="148B2A98">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bookmarkStart w:id="101" w:name="_Toc26361"/>
            <w:r>
              <w:rPr>
                <w:rFonts w:hint="default" w:ascii="Times New Roman" w:hAnsi="Times New Roman" w:eastAsia="黑体" w:cs="Times New Roman"/>
                <w:color w:val="auto"/>
                <w:kern w:val="2"/>
                <w:sz w:val="21"/>
                <w:szCs w:val="21"/>
              </w:rPr>
              <w:t>验收要求</w:t>
            </w:r>
            <w:bookmarkEnd w:id="101"/>
          </w:p>
        </w:tc>
        <w:tc>
          <w:tcPr>
            <w:tcW w:w="502" w:type="pct"/>
            <w:vAlign w:val="center"/>
          </w:tcPr>
          <w:p w14:paraId="39EDBB1F">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bookmarkStart w:id="102" w:name="_Toc22115"/>
            <w:r>
              <w:rPr>
                <w:rFonts w:hint="default" w:ascii="Times New Roman" w:hAnsi="Times New Roman" w:eastAsia="黑体" w:cs="Times New Roman"/>
                <w:color w:val="auto"/>
                <w:kern w:val="2"/>
                <w:sz w:val="21"/>
                <w:szCs w:val="21"/>
              </w:rPr>
              <w:t>环境保护措施</w:t>
            </w:r>
            <w:bookmarkEnd w:id="102"/>
          </w:p>
        </w:tc>
        <w:tc>
          <w:tcPr>
            <w:tcW w:w="378" w:type="pct"/>
            <w:vAlign w:val="center"/>
          </w:tcPr>
          <w:p w14:paraId="70306D0D">
            <w:pPr>
              <w:pStyle w:val="23"/>
              <w:keepNext w:val="0"/>
              <w:keepLines w:val="0"/>
              <w:pageBreakBefore w:val="0"/>
              <w:kinsoku/>
              <w:wordWrap/>
              <w:overflowPunct/>
              <w:topLinePunct w:val="0"/>
              <w:autoSpaceDE/>
              <w:autoSpaceDN/>
              <w:bidi w:val="0"/>
              <w:adjustRightInd w:val="0"/>
              <w:snapToGrid w:val="0"/>
              <w:spacing w:before="0" w:beforeAutospacing="0" w:after="0" w:afterAutospacing="0" w:line="260" w:lineRule="exact"/>
              <w:jc w:val="center"/>
              <w:textAlignment w:val="auto"/>
              <w:outlineLvl w:val="0"/>
              <w:rPr>
                <w:rFonts w:hint="default" w:ascii="Times New Roman" w:hAnsi="Times New Roman" w:eastAsia="黑体" w:cs="Times New Roman"/>
                <w:color w:val="auto"/>
                <w:kern w:val="2"/>
                <w:sz w:val="21"/>
                <w:szCs w:val="21"/>
              </w:rPr>
            </w:pPr>
            <w:bookmarkStart w:id="103" w:name="_Toc24712"/>
            <w:r>
              <w:rPr>
                <w:rFonts w:hint="default" w:ascii="Times New Roman" w:hAnsi="Times New Roman" w:eastAsia="黑体" w:cs="Times New Roman"/>
                <w:color w:val="auto"/>
                <w:kern w:val="2"/>
                <w:sz w:val="21"/>
                <w:szCs w:val="21"/>
              </w:rPr>
              <w:t>验收要求</w:t>
            </w:r>
            <w:bookmarkEnd w:id="103"/>
          </w:p>
        </w:tc>
      </w:tr>
      <w:tr w14:paraId="715B6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4CB066D1">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陆生生态</w:t>
            </w:r>
          </w:p>
        </w:tc>
        <w:tc>
          <w:tcPr>
            <w:tcW w:w="2182" w:type="pct"/>
            <w:vAlign w:val="center"/>
          </w:tcPr>
          <w:p w14:paraId="3E9BA08B">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 1 \* GB3 </w:instrText>
            </w:r>
            <w:r>
              <w:rPr>
                <w:rFonts w:hint="default" w:ascii="Times New Roman" w:hAnsi="Times New Roman" w:cs="Times New Roman"/>
                <w:color w:val="auto"/>
                <w:sz w:val="21"/>
                <w:szCs w:val="21"/>
              </w:rPr>
              <w:fldChar w:fldCharType="separate"/>
            </w:r>
            <w:r>
              <w:rPr>
                <w:rFonts w:hint="default" w:ascii="Times New Roman" w:hAnsi="Times New Roman" w:cs="Times New Roman"/>
                <w:color w:val="auto"/>
                <w:sz w:val="21"/>
                <w:szCs w:val="21"/>
              </w:rPr>
              <w:t>①</w:t>
            </w:r>
            <w:r>
              <w:rPr>
                <w:rFonts w:hint="default" w:ascii="Times New Roman" w:hAnsi="Times New Roman" w:cs="Times New Roman"/>
                <w:color w:val="auto"/>
                <w:sz w:val="21"/>
                <w:szCs w:val="21"/>
              </w:rPr>
              <w:fldChar w:fldCharType="end"/>
            </w:r>
            <w:r>
              <w:rPr>
                <w:rFonts w:hint="default" w:ascii="Times New Roman" w:hAnsi="Times New Roman" w:cs="Times New Roman"/>
                <w:color w:val="auto"/>
                <w:sz w:val="21"/>
                <w:szCs w:val="21"/>
              </w:rPr>
              <w:t>选址尽量避开植被密集区域；</w:t>
            </w:r>
            <w:r>
              <w:rPr>
                <w:rFonts w:hint="eastAsia" w:cs="Times New Roman"/>
                <w:color w:val="auto"/>
                <w:sz w:val="21"/>
                <w:szCs w:val="21"/>
                <w:lang w:val="en-US" w:eastAsia="zh-CN"/>
              </w:rPr>
              <w:t>生活营地临时占地避开一般耕地；</w:t>
            </w:r>
            <w:r>
              <w:rPr>
                <w:rFonts w:hint="default" w:ascii="Times New Roman" w:hAnsi="Times New Roman" w:cs="Times New Roman"/>
                <w:color w:val="auto"/>
                <w:sz w:val="21"/>
                <w:szCs w:val="21"/>
              </w:rPr>
              <w:t>严格划定路线，禁止乱辗乱轧；确保各环保设施正常运行，避免各种污染物对土壤环境的影响；</w:t>
            </w:r>
          </w:p>
          <w:p w14:paraId="4CDB7722">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②严格控制占地，严格规定各类工作人员的活动范围；</w:t>
            </w:r>
          </w:p>
          <w:p w14:paraId="3EEB7698">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③</w:t>
            </w:r>
            <w:r>
              <w:rPr>
                <w:rFonts w:hint="default" w:ascii="Times New Roman" w:hAnsi="Times New Roman" w:cs="Times New Roman"/>
                <w:color w:val="auto"/>
                <w:sz w:val="21"/>
                <w:szCs w:val="21"/>
              </w:rPr>
              <w:t>建设单位按照相关要求办理临时占地经济补偿协议；</w:t>
            </w:r>
          </w:p>
          <w:p w14:paraId="591904D3">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pacing w:val="-11"/>
                <w:sz w:val="21"/>
                <w:szCs w:val="21"/>
                <w:lang w:eastAsia="zh-CN"/>
              </w:rPr>
            </w:pPr>
            <w:r>
              <w:rPr>
                <w:rFonts w:hint="default" w:ascii="Times New Roman" w:hAnsi="Times New Roman" w:cs="Times New Roman"/>
                <w:color w:val="auto"/>
                <w:spacing w:val="-11"/>
                <w:sz w:val="21"/>
                <w:szCs w:val="21"/>
                <w:lang w:val="en-US" w:eastAsia="zh-CN"/>
              </w:rPr>
              <w:t>④</w:t>
            </w:r>
            <w:r>
              <w:rPr>
                <w:rFonts w:hint="default" w:ascii="Times New Roman" w:hAnsi="Times New Roman" w:cs="Times New Roman"/>
                <w:color w:val="auto"/>
                <w:spacing w:val="-11"/>
                <w:sz w:val="21"/>
                <w:szCs w:val="21"/>
              </w:rPr>
              <w:t>合理安排施工时间，避免大风天气施工</w:t>
            </w:r>
            <w:r>
              <w:rPr>
                <w:rFonts w:hint="default" w:ascii="Times New Roman" w:hAnsi="Times New Roman" w:cs="Times New Roman"/>
                <w:color w:val="auto"/>
                <w:spacing w:val="-11"/>
                <w:sz w:val="21"/>
                <w:szCs w:val="21"/>
                <w:lang w:eastAsia="zh-CN"/>
              </w:rPr>
              <w:t>；</w:t>
            </w:r>
          </w:p>
          <w:p w14:paraId="559D411D">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⑤</w:t>
            </w:r>
            <w:r>
              <w:rPr>
                <w:rFonts w:hint="default" w:ascii="Times New Roman" w:hAnsi="Times New Roman" w:cs="Times New Roman"/>
                <w:color w:val="auto"/>
                <w:sz w:val="21"/>
                <w:szCs w:val="21"/>
              </w:rPr>
              <w:t>完井后施工机械、设备及时撤离，废水和固体废物全部妥善处置，现场禁止遗留；</w:t>
            </w:r>
          </w:p>
          <w:p w14:paraId="42784747">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cs="Times New Roman"/>
                <w:color w:val="auto"/>
                <w:sz w:val="21"/>
                <w:szCs w:val="21"/>
                <w:lang w:val="en-US" w:eastAsia="zh-CN"/>
              </w:rPr>
            </w:pPr>
            <w:r>
              <w:rPr>
                <w:rFonts w:hint="default" w:ascii="Times New Roman" w:hAnsi="Times New Roman" w:cs="Times New Roman"/>
                <w:color w:val="auto"/>
                <w:sz w:val="21"/>
                <w:szCs w:val="21"/>
                <w:lang w:val="en-US" w:eastAsia="zh-CN"/>
              </w:rPr>
              <w:t>⑥</w:t>
            </w:r>
            <w:r>
              <w:rPr>
                <w:rFonts w:hint="default" w:ascii="Times New Roman" w:hAnsi="Times New Roman" w:cs="Times New Roman"/>
                <w:color w:val="auto"/>
                <w:sz w:val="21"/>
                <w:szCs w:val="21"/>
              </w:rPr>
              <w:t>施工结束后及时对场地进行清理、平整并压实</w:t>
            </w:r>
            <w:r>
              <w:rPr>
                <w:rFonts w:hint="eastAsia" w:cs="Times New Roman"/>
                <w:color w:val="auto"/>
                <w:sz w:val="21"/>
                <w:szCs w:val="21"/>
                <w:lang w:eastAsia="zh-CN"/>
              </w:rPr>
              <w:t>；</w:t>
            </w:r>
            <w:r>
              <w:rPr>
                <w:rFonts w:hint="eastAsia" w:cs="Times New Roman"/>
                <w:color w:val="auto"/>
                <w:sz w:val="21"/>
                <w:szCs w:val="21"/>
                <w:lang w:val="en-US" w:eastAsia="zh-CN"/>
              </w:rPr>
              <w:t>清除池内储存物及防渗材料，及时进行表土回填，恢复原有地貌；</w:t>
            </w:r>
          </w:p>
          <w:p w14:paraId="1A582838">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cs="Times New Roman"/>
                <w:color w:val="auto"/>
                <w:sz w:val="21"/>
                <w:szCs w:val="21"/>
                <w:lang w:val="en-US" w:eastAsia="zh-CN"/>
              </w:rPr>
            </w:pPr>
            <w:r>
              <w:rPr>
                <w:rFonts w:hint="eastAsia" w:cs="Times New Roman"/>
                <w:color w:val="auto"/>
                <w:sz w:val="21"/>
                <w:szCs w:val="21"/>
                <w:lang w:val="en-US" w:eastAsia="zh-CN"/>
              </w:rPr>
              <w:t>⑦施工完毕后及时开展土地复垦工作。</w:t>
            </w:r>
          </w:p>
        </w:tc>
        <w:tc>
          <w:tcPr>
            <w:tcW w:w="1303" w:type="pct"/>
            <w:vAlign w:val="center"/>
          </w:tcPr>
          <w:p w14:paraId="45215263">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施工结束后清理、平整，以利于土壤、植被自然恢复。井场</w:t>
            </w:r>
            <w:r>
              <w:rPr>
                <w:rFonts w:hint="eastAsia" w:cs="Times New Roman"/>
                <w:color w:val="auto"/>
                <w:sz w:val="21"/>
                <w:szCs w:val="21"/>
                <w:lang w:eastAsia="zh-CN"/>
              </w:rPr>
              <w:t>、探临道路</w:t>
            </w:r>
            <w:r>
              <w:rPr>
                <w:rFonts w:hint="eastAsia" w:cs="Times New Roman"/>
                <w:color w:val="auto"/>
                <w:sz w:val="21"/>
                <w:szCs w:val="21"/>
                <w:lang w:val="en-US" w:eastAsia="zh-CN"/>
              </w:rPr>
              <w:t>及生活营地</w:t>
            </w:r>
            <w:r>
              <w:rPr>
                <w:rFonts w:hint="default" w:ascii="Times New Roman" w:hAnsi="Times New Roman" w:cs="Times New Roman"/>
                <w:color w:val="auto"/>
                <w:sz w:val="21"/>
                <w:szCs w:val="21"/>
              </w:rPr>
              <w:t>进行平整，</w:t>
            </w:r>
            <w:r>
              <w:rPr>
                <w:rFonts w:hint="default" w:ascii="Times New Roman" w:hAnsi="Times New Roman" w:cs="Times New Roman"/>
                <w:color w:val="auto"/>
                <w:sz w:val="21"/>
                <w:szCs w:val="21"/>
                <w:lang w:val="en-US" w:eastAsia="zh-CN"/>
              </w:rPr>
              <w:t>临时占地范围内</w:t>
            </w:r>
            <w:r>
              <w:rPr>
                <w:rFonts w:hint="default" w:ascii="Times New Roman" w:hAnsi="Times New Roman" w:cs="Times New Roman"/>
                <w:color w:val="auto"/>
                <w:sz w:val="21"/>
                <w:szCs w:val="21"/>
              </w:rPr>
              <w:t>无废水和固体废物遗留。</w:t>
            </w:r>
            <w:r>
              <w:rPr>
                <w:rFonts w:hint="default" w:ascii="Times New Roman" w:hAnsi="Times New Roman" w:cs="Times New Roman"/>
                <w:color w:val="auto"/>
                <w:sz w:val="21"/>
                <w:szCs w:val="21"/>
                <w:lang w:val="en-US" w:eastAsia="zh-CN"/>
              </w:rPr>
              <w:t>具有临时用地及补偿手续。</w:t>
            </w:r>
          </w:p>
        </w:tc>
        <w:tc>
          <w:tcPr>
            <w:tcW w:w="502" w:type="pct"/>
            <w:vAlign w:val="center"/>
          </w:tcPr>
          <w:p w14:paraId="2A6266A0">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1C07C69E">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1A776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59BC58B7">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水生生态</w:t>
            </w:r>
          </w:p>
        </w:tc>
        <w:tc>
          <w:tcPr>
            <w:tcW w:w="2182" w:type="pct"/>
            <w:vAlign w:val="center"/>
          </w:tcPr>
          <w:p w14:paraId="29A4436B">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303" w:type="pct"/>
            <w:vAlign w:val="center"/>
          </w:tcPr>
          <w:p w14:paraId="1DBB18AB">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02" w:type="pct"/>
            <w:vAlign w:val="center"/>
          </w:tcPr>
          <w:p w14:paraId="2DAE25D3">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0CEDD0FE">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23723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7113A48E">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w:t>
            </w:r>
          </w:p>
          <w:p w14:paraId="199CC8C2">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w:t>
            </w:r>
          </w:p>
        </w:tc>
        <w:tc>
          <w:tcPr>
            <w:tcW w:w="2182" w:type="pct"/>
            <w:shd w:val="clear" w:color="auto" w:fill="auto"/>
            <w:vAlign w:val="center"/>
          </w:tcPr>
          <w:p w14:paraId="046568F6">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p>
        </w:tc>
        <w:tc>
          <w:tcPr>
            <w:tcW w:w="1303" w:type="pct"/>
            <w:shd w:val="clear" w:color="auto" w:fill="auto"/>
            <w:vAlign w:val="center"/>
          </w:tcPr>
          <w:p w14:paraId="441D101E">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p>
        </w:tc>
        <w:tc>
          <w:tcPr>
            <w:tcW w:w="502" w:type="pct"/>
            <w:vAlign w:val="center"/>
          </w:tcPr>
          <w:p w14:paraId="2A002CEF">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63C8A516">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9F70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707A3AA5">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地下水及土壤环境</w:t>
            </w:r>
          </w:p>
        </w:tc>
        <w:tc>
          <w:tcPr>
            <w:tcW w:w="2182" w:type="pct"/>
            <w:vAlign w:val="center"/>
          </w:tcPr>
          <w:p w14:paraId="22C68910">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 1 \* GB3 </w:instrText>
            </w:r>
            <w:r>
              <w:rPr>
                <w:rFonts w:hint="default" w:ascii="Times New Roman" w:hAnsi="Times New Roman" w:cs="Times New Roman"/>
                <w:color w:val="auto"/>
                <w:sz w:val="21"/>
                <w:szCs w:val="21"/>
              </w:rPr>
              <w:fldChar w:fldCharType="separate"/>
            </w:r>
            <w:r>
              <w:rPr>
                <w:rFonts w:hint="default" w:ascii="Times New Roman" w:hAnsi="Times New Roman" w:cs="Times New Roman"/>
                <w:color w:val="auto"/>
                <w:sz w:val="21"/>
                <w:szCs w:val="21"/>
              </w:rPr>
              <w:t>①</w:t>
            </w:r>
            <w:r>
              <w:rPr>
                <w:rFonts w:hint="default" w:ascii="Times New Roman" w:hAnsi="Times New Roman" w:cs="Times New Roman"/>
                <w:color w:val="auto"/>
                <w:sz w:val="21"/>
                <w:szCs w:val="21"/>
              </w:rPr>
              <w:fldChar w:fldCharType="end"/>
            </w:r>
            <w:r>
              <w:rPr>
                <w:rFonts w:hint="default" w:ascii="Times New Roman" w:hAnsi="Times New Roman" w:cs="Times New Roman"/>
                <w:color w:val="auto"/>
                <w:sz w:val="21"/>
                <w:szCs w:val="21"/>
              </w:rPr>
              <w:t>施工人员产生的生活污水排入防渗收集池后由吸污车运至</w:t>
            </w:r>
            <w:r>
              <w:rPr>
                <w:rFonts w:hint="eastAsia" w:cs="Times New Roman"/>
                <w:color w:val="auto"/>
                <w:sz w:val="21"/>
                <w:szCs w:val="21"/>
                <w:lang w:eastAsia="zh-CN"/>
              </w:rPr>
              <w:t>玛纳斯县城污水处理厂</w:t>
            </w:r>
            <w:r>
              <w:rPr>
                <w:rFonts w:hint="default" w:ascii="Times New Roman" w:hAnsi="Times New Roman" w:cs="Times New Roman"/>
                <w:color w:val="auto"/>
                <w:sz w:val="21"/>
                <w:szCs w:val="21"/>
              </w:rPr>
              <w:t>处置；</w:t>
            </w:r>
          </w:p>
          <w:p w14:paraId="4FCAEB74">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21"/>
                <w:szCs w:val="21"/>
                <w:lang w:eastAsia="zh-CN"/>
              </w:rPr>
            </w:pPr>
            <w:r>
              <w:rPr>
                <w:rFonts w:hint="default" w:ascii="Times New Roman" w:hAnsi="Times New Roman" w:cs="Times New Roman"/>
                <w:color w:val="auto"/>
                <w:sz w:val="21"/>
                <w:szCs w:val="21"/>
              </w:rPr>
              <w:t>②洗井废水和压裂返排液收集至专用储罐后由罐车拉运至采油一厂车89处理站处理</w:t>
            </w:r>
            <w:r>
              <w:rPr>
                <w:rFonts w:hint="eastAsia" w:cs="Times New Roman"/>
                <w:color w:val="auto"/>
                <w:sz w:val="21"/>
                <w:szCs w:val="21"/>
                <w:lang w:eastAsia="zh-CN"/>
              </w:rPr>
              <w:t>；</w:t>
            </w:r>
          </w:p>
          <w:p w14:paraId="6614B3DB">
            <w:pPr>
              <w:keepNext w:val="0"/>
              <w:keepLines w:val="0"/>
              <w:pageBreakBefore w:val="0"/>
              <w:kinsoku/>
              <w:wordWrap/>
              <w:overflowPunct/>
              <w:topLinePunct w:val="0"/>
              <w:autoSpaceDE/>
              <w:autoSpaceDN/>
              <w:bidi w:val="0"/>
              <w:adjustRightInd w:val="0"/>
              <w:snapToGrid w:val="0"/>
              <w:spacing w:line="260" w:lineRule="exact"/>
              <w:textAlignment w:val="auto"/>
              <w:rPr>
                <w:rFonts w:hint="default" w:cs="Times New Roman"/>
                <w:color w:val="auto"/>
                <w:sz w:val="21"/>
                <w:szCs w:val="21"/>
                <w:lang w:val="en-US" w:eastAsia="zh-CN"/>
              </w:rPr>
            </w:pPr>
            <w:r>
              <w:rPr>
                <w:rFonts w:hint="eastAsia" w:cs="Times New Roman"/>
                <w:color w:val="auto"/>
                <w:sz w:val="21"/>
                <w:szCs w:val="21"/>
                <w:lang w:val="en-US" w:eastAsia="zh-CN"/>
              </w:rPr>
              <w:t>③井场进行分区防渗。</w:t>
            </w:r>
          </w:p>
        </w:tc>
        <w:tc>
          <w:tcPr>
            <w:tcW w:w="1303" w:type="pct"/>
            <w:vAlign w:val="center"/>
          </w:tcPr>
          <w:p w14:paraId="19AE7B3A">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验收现场无污水外排痕迹，具有清运协议</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无地下水及土壤污染事件发生。</w:t>
            </w:r>
          </w:p>
        </w:tc>
        <w:tc>
          <w:tcPr>
            <w:tcW w:w="502" w:type="pct"/>
            <w:vAlign w:val="center"/>
          </w:tcPr>
          <w:p w14:paraId="55BA157E">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5ED7702B">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11AA8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6439229B">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2182" w:type="pct"/>
            <w:vAlign w:val="center"/>
          </w:tcPr>
          <w:p w14:paraId="1B8E5834">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①</w:t>
            </w:r>
            <w:r>
              <w:rPr>
                <w:rFonts w:hint="default" w:ascii="Times New Roman" w:hAnsi="Times New Roman" w:cs="Times New Roman"/>
                <w:color w:val="auto"/>
                <w:sz w:val="21"/>
                <w:szCs w:val="21"/>
              </w:rPr>
              <w:t>在设备选型上要求采用低噪声的设备，施工设备定期检查维修，对噪声较大的设备采取基础减震措施；</w:t>
            </w:r>
          </w:p>
          <w:p w14:paraId="7EF17796">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lang w:val="en-US" w:eastAsia="zh-CN"/>
              </w:rPr>
              <w:t>②</w:t>
            </w:r>
            <w:r>
              <w:rPr>
                <w:rFonts w:hint="default" w:ascii="Times New Roman" w:hAnsi="Times New Roman" w:cs="Times New Roman"/>
                <w:color w:val="auto"/>
                <w:spacing w:val="-6"/>
                <w:sz w:val="21"/>
                <w:szCs w:val="21"/>
              </w:rPr>
              <w:t>加强施工场地管理，合理疏导进入施工区的车辆，禁止运输车辆随意高声鸣笛。</w:t>
            </w:r>
          </w:p>
        </w:tc>
        <w:tc>
          <w:tcPr>
            <w:tcW w:w="1303" w:type="pct"/>
            <w:vAlign w:val="center"/>
          </w:tcPr>
          <w:p w14:paraId="1085A92F">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02" w:type="pct"/>
            <w:vAlign w:val="center"/>
          </w:tcPr>
          <w:p w14:paraId="72B834EE">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1FD38BE5">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B36D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55F18423">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振动</w:t>
            </w:r>
          </w:p>
        </w:tc>
        <w:tc>
          <w:tcPr>
            <w:tcW w:w="2182" w:type="pct"/>
            <w:vAlign w:val="center"/>
          </w:tcPr>
          <w:p w14:paraId="2D671133">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303" w:type="pct"/>
            <w:vAlign w:val="center"/>
          </w:tcPr>
          <w:p w14:paraId="660BAD3D">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02" w:type="pct"/>
            <w:vAlign w:val="center"/>
          </w:tcPr>
          <w:p w14:paraId="6901E396">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0884D6F3">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4191C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324310AB">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w:t>
            </w:r>
          </w:p>
        </w:tc>
        <w:tc>
          <w:tcPr>
            <w:tcW w:w="2182" w:type="pct"/>
            <w:vAlign w:val="center"/>
          </w:tcPr>
          <w:p w14:paraId="3A79FEDC">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①使用</w:t>
            </w:r>
            <w:r>
              <w:rPr>
                <w:rFonts w:hint="default" w:ascii="Times New Roman" w:hAnsi="Times New Roman" w:cs="Times New Roman"/>
                <w:color w:val="auto"/>
                <w:spacing w:val="-6"/>
                <w:sz w:val="21"/>
                <w:szCs w:val="21"/>
                <w:lang w:val="en-US" w:eastAsia="zh-CN"/>
              </w:rPr>
              <w:t>符合国家标准的合格</w:t>
            </w:r>
            <w:r>
              <w:rPr>
                <w:rFonts w:hint="default" w:ascii="Times New Roman" w:hAnsi="Times New Roman" w:cs="Times New Roman"/>
                <w:color w:val="auto"/>
                <w:spacing w:val="-6"/>
                <w:sz w:val="21"/>
                <w:szCs w:val="21"/>
              </w:rPr>
              <w:t>油品</w:t>
            </w:r>
            <w:r>
              <w:rPr>
                <w:rFonts w:hint="default" w:ascii="Times New Roman" w:hAnsi="Times New Roman" w:cs="Times New Roman"/>
                <w:color w:val="auto"/>
                <w:spacing w:val="-6"/>
                <w:sz w:val="21"/>
                <w:szCs w:val="21"/>
                <w:lang w:val="en-US" w:eastAsia="zh-CN"/>
              </w:rPr>
              <w:t>作为燃料</w:t>
            </w:r>
            <w:r>
              <w:rPr>
                <w:rFonts w:hint="default" w:ascii="Times New Roman" w:hAnsi="Times New Roman" w:cs="Times New Roman"/>
                <w:color w:val="auto"/>
                <w:spacing w:val="-6"/>
                <w:sz w:val="21"/>
                <w:szCs w:val="21"/>
              </w:rPr>
              <w:t>，加强</w:t>
            </w:r>
            <w:r>
              <w:rPr>
                <w:rFonts w:hint="default" w:ascii="Times New Roman" w:hAnsi="Times New Roman" w:cs="Times New Roman"/>
                <w:color w:val="auto"/>
                <w:spacing w:val="-6"/>
                <w:sz w:val="21"/>
                <w:szCs w:val="21"/>
                <w:lang w:val="en-US" w:eastAsia="zh-CN"/>
              </w:rPr>
              <w:t>施工</w:t>
            </w:r>
            <w:r>
              <w:rPr>
                <w:rFonts w:hint="default" w:ascii="Times New Roman" w:hAnsi="Times New Roman" w:cs="Times New Roman"/>
                <w:color w:val="auto"/>
                <w:spacing w:val="-6"/>
                <w:sz w:val="21"/>
                <w:szCs w:val="21"/>
              </w:rPr>
              <w:t>设备</w:t>
            </w:r>
            <w:r>
              <w:rPr>
                <w:rFonts w:hint="default" w:ascii="Times New Roman" w:hAnsi="Times New Roman" w:cs="Times New Roman"/>
                <w:color w:val="auto"/>
                <w:spacing w:val="-6"/>
                <w:sz w:val="21"/>
                <w:szCs w:val="21"/>
                <w:lang w:val="en-US" w:eastAsia="zh-CN"/>
              </w:rPr>
              <w:t>和车辆的</w:t>
            </w:r>
            <w:r>
              <w:rPr>
                <w:rFonts w:hint="default" w:ascii="Times New Roman" w:hAnsi="Times New Roman" w:cs="Times New Roman"/>
                <w:color w:val="auto"/>
                <w:spacing w:val="-6"/>
                <w:sz w:val="21"/>
                <w:szCs w:val="21"/>
              </w:rPr>
              <w:t>维护</w:t>
            </w:r>
            <w:r>
              <w:rPr>
                <w:rFonts w:hint="default" w:ascii="Times New Roman" w:hAnsi="Times New Roman" w:cs="Times New Roman"/>
                <w:color w:val="auto"/>
                <w:spacing w:val="-6"/>
                <w:sz w:val="21"/>
                <w:szCs w:val="21"/>
                <w:lang w:val="en-US" w:eastAsia="zh-CN"/>
              </w:rPr>
              <w:t>和保养</w:t>
            </w:r>
            <w:r>
              <w:rPr>
                <w:rFonts w:hint="default" w:ascii="Times New Roman" w:hAnsi="Times New Roman" w:cs="Times New Roman"/>
                <w:color w:val="auto"/>
                <w:spacing w:val="-6"/>
                <w:sz w:val="21"/>
                <w:szCs w:val="21"/>
              </w:rPr>
              <w:t>；</w:t>
            </w:r>
          </w:p>
          <w:p w14:paraId="3CB826A5">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②试油期产生的伴生气含量较少且不稳定，不具备回收利用条件，</w:t>
            </w:r>
            <w:r>
              <w:rPr>
                <w:rFonts w:hint="default" w:ascii="Times New Roman" w:hAnsi="Times New Roman" w:cs="Times New Roman"/>
                <w:color w:val="auto"/>
                <w:spacing w:val="-6"/>
                <w:sz w:val="21"/>
                <w:szCs w:val="21"/>
                <w:lang w:val="en-US" w:eastAsia="zh-CN"/>
              </w:rPr>
              <w:t>必须</w:t>
            </w:r>
            <w:r>
              <w:rPr>
                <w:rFonts w:hint="default" w:ascii="Times New Roman" w:hAnsi="Times New Roman" w:cs="Times New Roman"/>
                <w:color w:val="auto"/>
                <w:spacing w:val="-6"/>
                <w:sz w:val="21"/>
                <w:szCs w:val="21"/>
              </w:rPr>
              <w:t>经排气管线充分燃烧后排放</w:t>
            </w:r>
            <w:r>
              <w:rPr>
                <w:rFonts w:hint="default" w:ascii="Times New Roman" w:hAnsi="Times New Roman" w:cs="Times New Roman"/>
                <w:color w:val="auto"/>
                <w:spacing w:val="-6"/>
                <w:sz w:val="21"/>
                <w:szCs w:val="21"/>
                <w:lang w:eastAsia="zh-CN"/>
              </w:rPr>
              <w:t>，</w:t>
            </w:r>
            <w:r>
              <w:rPr>
                <w:rFonts w:hint="default" w:ascii="Times New Roman" w:hAnsi="Times New Roman" w:cs="Times New Roman"/>
                <w:color w:val="auto"/>
                <w:spacing w:val="-6"/>
                <w:sz w:val="21"/>
                <w:szCs w:val="21"/>
                <w:lang w:val="en-US" w:eastAsia="zh-CN"/>
              </w:rPr>
              <w:t>严禁不燃烧排放</w:t>
            </w:r>
            <w:r>
              <w:rPr>
                <w:rFonts w:hint="default" w:ascii="Times New Roman" w:hAnsi="Times New Roman" w:cs="Times New Roman"/>
                <w:color w:val="auto"/>
                <w:spacing w:val="-6"/>
                <w:sz w:val="21"/>
                <w:szCs w:val="21"/>
              </w:rPr>
              <w:t>；</w:t>
            </w:r>
          </w:p>
          <w:p w14:paraId="79A59AA1">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③加强车辆管理</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对易起尘物料在运输和存放时加盖遮盖物，合理安排施工时间，</w:t>
            </w:r>
            <w:r>
              <w:rPr>
                <w:rFonts w:hint="default" w:ascii="Times New Roman" w:hAnsi="Times New Roman" w:cs="Times New Roman"/>
                <w:color w:val="auto"/>
                <w:sz w:val="21"/>
                <w:szCs w:val="21"/>
              </w:rPr>
              <w:t>避免大风</w:t>
            </w:r>
            <w:r>
              <w:rPr>
                <w:rFonts w:hint="default" w:ascii="Times New Roman" w:hAnsi="Times New Roman" w:cs="Times New Roman"/>
                <w:color w:val="auto"/>
                <w:sz w:val="21"/>
                <w:szCs w:val="21"/>
                <w:lang w:val="en-US" w:eastAsia="zh-CN"/>
              </w:rPr>
              <w:t>天气</w:t>
            </w:r>
            <w:r>
              <w:rPr>
                <w:rFonts w:hint="default" w:ascii="Times New Roman" w:hAnsi="Times New Roman" w:cs="Times New Roman"/>
                <w:color w:val="auto"/>
                <w:sz w:val="21"/>
                <w:szCs w:val="21"/>
              </w:rPr>
              <w:t>作业；</w:t>
            </w:r>
          </w:p>
          <w:p w14:paraId="57843E8C">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④柴油</w:t>
            </w:r>
            <w:r>
              <w:rPr>
                <w:rFonts w:hint="default" w:ascii="Times New Roman" w:hAnsi="Times New Roman" w:cs="Times New Roman"/>
                <w:color w:val="auto"/>
                <w:sz w:val="21"/>
                <w:szCs w:val="21"/>
                <w:lang w:val="en-US" w:eastAsia="zh-CN"/>
              </w:rPr>
              <w:t>采用密闭储存；</w:t>
            </w:r>
          </w:p>
          <w:p w14:paraId="51E32BB0">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⑤加强采出液储罐管理、采取密闭装载方式。</w:t>
            </w:r>
          </w:p>
        </w:tc>
        <w:tc>
          <w:tcPr>
            <w:tcW w:w="1303" w:type="pct"/>
            <w:vAlign w:val="center"/>
          </w:tcPr>
          <w:p w14:paraId="130FE84A">
            <w:pPr>
              <w:keepNext w:val="0"/>
              <w:keepLines w:val="0"/>
              <w:pageBreakBefore w:val="0"/>
              <w:kinsoku/>
              <w:wordWrap/>
              <w:overflowPunct/>
              <w:topLinePunct w:val="0"/>
              <w:autoSpaceDE/>
              <w:autoSpaceDN/>
              <w:bidi w:val="0"/>
              <w:adjustRightInd w:val="0"/>
              <w:snapToGrid w:val="0"/>
              <w:spacing w:line="260" w:lineRule="exact"/>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验收</w:t>
            </w:r>
            <w:r>
              <w:rPr>
                <w:rFonts w:hint="default" w:ascii="Times New Roman" w:hAnsi="Times New Roman" w:cs="Times New Roman"/>
                <w:color w:val="auto"/>
                <w:sz w:val="21"/>
                <w:szCs w:val="21"/>
                <w:lang w:val="en-US" w:eastAsia="zh-CN"/>
              </w:rPr>
              <w:t>时</w:t>
            </w:r>
            <w:r>
              <w:rPr>
                <w:rFonts w:hint="default" w:ascii="Times New Roman" w:hAnsi="Times New Roman" w:cs="Times New Roman"/>
                <w:color w:val="auto"/>
                <w:sz w:val="21"/>
                <w:szCs w:val="21"/>
              </w:rPr>
              <w:t>现场无施工遗留问题。</w:t>
            </w:r>
          </w:p>
        </w:tc>
        <w:tc>
          <w:tcPr>
            <w:tcW w:w="502" w:type="pct"/>
            <w:vAlign w:val="center"/>
          </w:tcPr>
          <w:p w14:paraId="644F2131">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4AB94B7D">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29511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10EA7F8C">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w:t>
            </w:r>
          </w:p>
        </w:tc>
        <w:tc>
          <w:tcPr>
            <w:tcW w:w="2182" w:type="pct"/>
            <w:vAlign w:val="center"/>
          </w:tcPr>
          <w:p w14:paraId="0E15D63B">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①水基钻井岩屑</w:t>
            </w:r>
            <w:r>
              <w:rPr>
                <w:rFonts w:hint="default" w:ascii="Times New Roman" w:hAnsi="Times New Roman" w:cs="Times New Roman"/>
                <w:color w:val="auto"/>
                <w:sz w:val="21"/>
                <w:szCs w:val="21"/>
                <w:lang w:val="en-US" w:eastAsia="zh-CN"/>
              </w:rPr>
              <w:t>进罐收集后交</w:t>
            </w:r>
            <w:r>
              <w:rPr>
                <w:rFonts w:hint="default" w:ascii="Times New Roman" w:hAnsi="Times New Roman" w:cs="Times New Roman"/>
                <w:color w:val="auto"/>
                <w:sz w:val="21"/>
                <w:szCs w:val="21"/>
              </w:rPr>
              <w:t>由</w:t>
            </w:r>
            <w:r>
              <w:rPr>
                <w:rFonts w:hint="eastAsia" w:cs="Times New Roman"/>
                <w:color w:val="auto"/>
                <w:sz w:val="21"/>
                <w:szCs w:val="21"/>
                <w:lang w:val="en-US" w:eastAsia="zh-CN"/>
              </w:rPr>
              <w:t>第三方</w:t>
            </w:r>
            <w:r>
              <w:rPr>
                <w:rFonts w:hint="default" w:ascii="Times New Roman" w:hAnsi="Times New Roman" w:cs="Times New Roman"/>
                <w:color w:val="auto"/>
                <w:sz w:val="21"/>
                <w:szCs w:val="21"/>
              </w:rPr>
              <w:t>岩屑处置单位处置；</w:t>
            </w:r>
          </w:p>
          <w:p w14:paraId="684992E9">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②油基钻井岩屑经钻井液不落地设备处理后</w:t>
            </w:r>
            <w:r>
              <w:rPr>
                <w:rFonts w:hint="eastAsia" w:cs="Times New Roman"/>
                <w:color w:val="auto"/>
                <w:sz w:val="21"/>
                <w:szCs w:val="21"/>
                <w:lang w:eastAsia="zh-CN"/>
              </w:rPr>
              <w:t>进入</w:t>
            </w:r>
            <w:r>
              <w:rPr>
                <w:rFonts w:hint="default" w:ascii="Times New Roman" w:hAnsi="Times New Roman" w:cs="Times New Roman"/>
                <w:color w:val="auto"/>
                <w:sz w:val="21"/>
                <w:szCs w:val="21"/>
              </w:rPr>
              <w:t>专用储罐储存，最终交由具有相应危险废物处置资质的单位处置；</w:t>
            </w:r>
          </w:p>
          <w:p w14:paraId="0A1CCE54">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pacing w:val="-6"/>
                <w:sz w:val="21"/>
                <w:szCs w:val="21"/>
              </w:rPr>
            </w:pPr>
            <w:r>
              <w:rPr>
                <w:rFonts w:hint="eastAsia" w:cs="Times New Roman"/>
                <w:color w:val="auto"/>
                <w:spacing w:val="-6"/>
                <w:sz w:val="21"/>
                <w:szCs w:val="21"/>
                <w:lang w:val="en-US" w:eastAsia="zh-CN"/>
              </w:rPr>
              <w:t>③</w:t>
            </w:r>
            <w:r>
              <w:rPr>
                <w:rFonts w:hint="default" w:ascii="Times New Roman" w:hAnsi="Times New Roman" w:cs="Times New Roman"/>
                <w:color w:val="auto"/>
                <w:spacing w:val="-6"/>
                <w:sz w:val="21"/>
                <w:szCs w:val="21"/>
              </w:rPr>
              <w:t>未沾油的防渗材料由施工单位集中回收利用，沾油的废防渗材料、废润滑油及废润滑油桶</w:t>
            </w:r>
            <w:r>
              <w:rPr>
                <w:rFonts w:hint="eastAsia" w:cs="Times New Roman"/>
                <w:color w:val="auto"/>
                <w:spacing w:val="-6"/>
                <w:sz w:val="21"/>
                <w:szCs w:val="21"/>
                <w:lang w:val="en-US" w:eastAsia="zh-CN"/>
              </w:rPr>
              <w:t>和沾油劳保用品</w:t>
            </w:r>
            <w:r>
              <w:rPr>
                <w:rFonts w:hint="default" w:ascii="Times New Roman" w:hAnsi="Times New Roman" w:cs="Times New Roman"/>
                <w:color w:val="auto"/>
                <w:spacing w:val="-6"/>
                <w:sz w:val="21"/>
                <w:szCs w:val="21"/>
                <w:lang w:val="en-US" w:eastAsia="zh-CN"/>
              </w:rPr>
              <w:t>分区暂存在井场危险废物贮存点，定期交</w:t>
            </w:r>
            <w:r>
              <w:rPr>
                <w:rFonts w:hint="default" w:ascii="Times New Roman" w:hAnsi="Times New Roman" w:cs="Times New Roman"/>
                <w:color w:val="auto"/>
                <w:spacing w:val="-6"/>
                <w:sz w:val="21"/>
                <w:szCs w:val="21"/>
              </w:rPr>
              <w:t>具有相应危险废物处置资质的单位进行接收、转运和处置；</w:t>
            </w:r>
          </w:p>
          <w:p w14:paraId="2F61812A">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cs="Times New Roman"/>
                <w:color w:val="auto"/>
                <w:sz w:val="21"/>
                <w:szCs w:val="21"/>
                <w:lang w:val="en-US" w:eastAsia="zh-CN"/>
              </w:rPr>
            </w:pPr>
            <w:r>
              <w:rPr>
                <w:rFonts w:hint="eastAsia" w:cs="Times New Roman"/>
                <w:color w:val="auto"/>
                <w:sz w:val="21"/>
                <w:szCs w:val="21"/>
                <w:lang w:val="en-US" w:eastAsia="zh-CN"/>
              </w:rPr>
              <w:t>④事故状态下产生的落地油集中收集后直接交由具有相应危废处置资质的单位进行接收、转运和处置；</w:t>
            </w:r>
          </w:p>
          <w:p w14:paraId="1794F1C2">
            <w:pPr>
              <w:keepNext w:val="0"/>
              <w:keepLines w:val="0"/>
              <w:pageBreakBefore w:val="0"/>
              <w:widowControl w:val="0"/>
              <w:kinsoku/>
              <w:wordWrap w:val="0"/>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⑤井场设置的</w:t>
            </w:r>
            <w:r>
              <w:rPr>
                <w:rFonts w:hint="default" w:ascii="Times New Roman" w:hAnsi="Times New Roman" w:cs="Times New Roman"/>
                <w:color w:val="auto"/>
                <w:sz w:val="21"/>
                <w:szCs w:val="21"/>
                <w:lang w:val="en-US" w:eastAsia="zh-CN"/>
              </w:rPr>
              <w:t>危险废物贮存点满足《危险废物贮存污染控制标准》(GB18597-2023</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要求；</w:t>
            </w:r>
          </w:p>
          <w:p w14:paraId="2F8C2853">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eastAsia" w:cs="Times New Roman"/>
                <w:color w:val="auto"/>
                <w:sz w:val="21"/>
                <w:szCs w:val="21"/>
                <w:lang w:eastAsia="zh-CN"/>
              </w:rPr>
            </w:pPr>
            <w:r>
              <w:rPr>
                <w:rFonts w:hint="eastAsia" w:cs="Times New Roman"/>
                <w:color w:val="auto"/>
                <w:sz w:val="21"/>
                <w:szCs w:val="21"/>
                <w:lang w:val="en-US" w:eastAsia="zh-CN"/>
              </w:rPr>
              <w:t>⑤</w:t>
            </w:r>
            <w:r>
              <w:rPr>
                <w:rFonts w:hint="default" w:ascii="Times New Roman" w:hAnsi="Times New Roman" w:cs="Times New Roman"/>
                <w:color w:val="auto"/>
                <w:sz w:val="21"/>
                <w:szCs w:val="21"/>
              </w:rPr>
              <w:t>产生的生活垃圾集中收集在垃圾箱后交玛纳斯县生活垃圾填埋场处置</w:t>
            </w:r>
            <w:r>
              <w:rPr>
                <w:rFonts w:hint="eastAsia" w:cs="Times New Roman"/>
                <w:color w:val="auto"/>
                <w:sz w:val="21"/>
                <w:szCs w:val="21"/>
                <w:lang w:eastAsia="zh-CN"/>
              </w:rPr>
              <w:t>；</w:t>
            </w:r>
          </w:p>
          <w:p w14:paraId="0F2BE2DF">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⑥产生的建筑垃圾分类收集，施工单位统一回收利用，无法再利用的送至玛纳斯县建筑垃圾填埋场处理</w:t>
            </w:r>
            <w:r>
              <w:rPr>
                <w:rFonts w:hint="default" w:ascii="Times New Roman" w:hAnsi="Times New Roman" w:cs="Times New Roman"/>
                <w:color w:val="auto"/>
                <w:sz w:val="21"/>
                <w:szCs w:val="21"/>
              </w:rPr>
              <w:t>。</w:t>
            </w:r>
          </w:p>
        </w:tc>
        <w:tc>
          <w:tcPr>
            <w:tcW w:w="1303" w:type="pct"/>
            <w:vAlign w:val="center"/>
          </w:tcPr>
          <w:p w14:paraId="424F31D0">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具备水基</w:t>
            </w:r>
            <w:r>
              <w:rPr>
                <w:rFonts w:hint="eastAsia" w:cs="Times New Roman"/>
                <w:color w:val="auto"/>
                <w:sz w:val="21"/>
                <w:szCs w:val="21"/>
                <w:lang w:val="en-US" w:eastAsia="zh-CN"/>
              </w:rPr>
              <w:t>、油基</w:t>
            </w:r>
            <w:r>
              <w:rPr>
                <w:rFonts w:hint="default" w:ascii="Times New Roman" w:hAnsi="Times New Roman" w:cs="Times New Roman"/>
                <w:color w:val="auto"/>
                <w:sz w:val="21"/>
                <w:szCs w:val="21"/>
                <w:lang w:val="en-US" w:eastAsia="zh-CN"/>
              </w:rPr>
              <w:t>钻井岩屑清运处置协议及台账；具备</w:t>
            </w:r>
            <w:r>
              <w:rPr>
                <w:rFonts w:hint="default" w:ascii="Times New Roman" w:hAnsi="Times New Roman" w:cs="Times New Roman"/>
                <w:color w:val="auto"/>
                <w:sz w:val="21"/>
                <w:szCs w:val="21"/>
              </w:rPr>
              <w:t>危险废物</w:t>
            </w:r>
            <w:r>
              <w:rPr>
                <w:rFonts w:hint="default" w:ascii="Times New Roman" w:hAnsi="Times New Roman" w:cs="Times New Roman"/>
                <w:color w:val="auto"/>
                <w:sz w:val="21"/>
                <w:szCs w:val="21"/>
                <w:lang w:val="en-US" w:eastAsia="zh-CN"/>
              </w:rPr>
              <w:t>处置协议及台账；具备</w:t>
            </w:r>
            <w:r>
              <w:rPr>
                <w:rFonts w:hint="default" w:ascii="Times New Roman" w:hAnsi="Times New Roman" w:cs="Times New Roman"/>
                <w:color w:val="auto"/>
                <w:sz w:val="21"/>
                <w:szCs w:val="21"/>
              </w:rPr>
              <w:t>生活垃圾</w:t>
            </w:r>
            <w:r>
              <w:rPr>
                <w:rFonts w:hint="eastAsia" w:cs="Times New Roman"/>
                <w:color w:val="auto"/>
                <w:sz w:val="21"/>
                <w:szCs w:val="21"/>
                <w:lang w:eastAsia="zh-CN"/>
              </w:rPr>
              <w:t>、</w:t>
            </w:r>
            <w:r>
              <w:rPr>
                <w:rFonts w:hint="eastAsia" w:cs="Times New Roman"/>
                <w:color w:val="auto"/>
                <w:sz w:val="21"/>
                <w:szCs w:val="21"/>
                <w:lang w:val="en-US" w:eastAsia="zh-CN"/>
              </w:rPr>
              <w:t>建筑垃圾</w:t>
            </w:r>
            <w:r>
              <w:rPr>
                <w:rFonts w:hint="default" w:ascii="Times New Roman" w:hAnsi="Times New Roman" w:cs="Times New Roman"/>
                <w:color w:val="auto"/>
                <w:sz w:val="21"/>
                <w:szCs w:val="21"/>
                <w:lang w:val="en-US" w:eastAsia="zh-CN"/>
              </w:rPr>
              <w:t>清运协议；验收现场无固体废物</w:t>
            </w:r>
            <w:r>
              <w:rPr>
                <w:rFonts w:hint="default" w:ascii="Times New Roman" w:hAnsi="Times New Roman" w:cs="Times New Roman"/>
                <w:color w:val="auto"/>
                <w:sz w:val="21"/>
                <w:szCs w:val="21"/>
              </w:rPr>
              <w:t>遗留。</w:t>
            </w:r>
          </w:p>
        </w:tc>
        <w:tc>
          <w:tcPr>
            <w:tcW w:w="502" w:type="pct"/>
            <w:vAlign w:val="center"/>
          </w:tcPr>
          <w:p w14:paraId="7336D1B9">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1918AC42">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3ABA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0BD8DDA9">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电磁环境</w:t>
            </w:r>
          </w:p>
        </w:tc>
        <w:tc>
          <w:tcPr>
            <w:tcW w:w="2182" w:type="pct"/>
            <w:vAlign w:val="center"/>
          </w:tcPr>
          <w:p w14:paraId="19BC5D5C">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303" w:type="pct"/>
            <w:vAlign w:val="center"/>
          </w:tcPr>
          <w:p w14:paraId="6A565867">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02" w:type="pct"/>
            <w:vAlign w:val="center"/>
          </w:tcPr>
          <w:p w14:paraId="0D8A5A49">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0FB66775">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10335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4BD2B59D">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w:t>
            </w:r>
          </w:p>
        </w:tc>
        <w:tc>
          <w:tcPr>
            <w:tcW w:w="2182" w:type="pct"/>
            <w:vAlign w:val="center"/>
          </w:tcPr>
          <w:p w14:paraId="74B49B69">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①施工时应严格执行相关风险防范措施和规章制度，严禁违规操作加强设备维修与巡检，避免储罐泄漏事故的发生；</w:t>
            </w:r>
          </w:p>
          <w:p w14:paraId="6E8CD907">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Times New Roman"/>
                <w:color w:val="auto"/>
                <w:spacing w:val="-6"/>
                <w:sz w:val="21"/>
                <w:szCs w:val="21"/>
                <w:lang w:eastAsia="zh-CN"/>
              </w:rPr>
            </w:pPr>
            <w:r>
              <w:rPr>
                <w:rFonts w:hint="default" w:ascii="Times New Roman" w:hAnsi="Times New Roman" w:cs="Times New Roman"/>
                <w:color w:val="auto"/>
                <w:spacing w:val="-6"/>
                <w:sz w:val="21"/>
                <w:szCs w:val="21"/>
              </w:rPr>
              <w:t>②在井口安装井控装置，杜绝井喷的发生；</w:t>
            </w:r>
            <w:r>
              <w:rPr>
                <w:rFonts w:hint="eastAsia" w:cs="Times New Roman"/>
                <w:color w:val="auto"/>
                <w:spacing w:val="-6"/>
                <w:sz w:val="21"/>
                <w:szCs w:val="21"/>
                <w:lang w:val="en-US" w:eastAsia="zh-CN"/>
              </w:rPr>
              <w:t>井场</w:t>
            </w:r>
            <w:r>
              <w:rPr>
                <w:rFonts w:hint="default" w:ascii="Times New Roman" w:hAnsi="Times New Roman" w:cs="Times New Roman"/>
                <w:color w:val="auto"/>
                <w:sz w:val="21"/>
                <w:szCs w:val="21"/>
              </w:rPr>
              <w:t>设置防喷器，防止井喷</w:t>
            </w:r>
            <w:r>
              <w:rPr>
                <w:rFonts w:hint="eastAsia" w:cs="Times New Roman"/>
                <w:color w:val="auto"/>
                <w:sz w:val="21"/>
                <w:szCs w:val="21"/>
                <w:lang w:eastAsia="zh-CN"/>
              </w:rPr>
              <w:t>；</w:t>
            </w:r>
          </w:p>
          <w:p w14:paraId="49779A5F">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fldChar w:fldCharType="begin"/>
            </w:r>
            <w:r>
              <w:rPr>
                <w:rFonts w:hint="default" w:ascii="Times New Roman" w:hAnsi="Times New Roman" w:cs="Times New Roman"/>
                <w:color w:val="auto"/>
                <w:spacing w:val="-6"/>
                <w:sz w:val="21"/>
                <w:szCs w:val="21"/>
              </w:rPr>
              <w:instrText xml:space="preserve"> = 3 \* GB3 </w:instrText>
            </w:r>
            <w:r>
              <w:rPr>
                <w:rFonts w:hint="default" w:ascii="Times New Roman" w:hAnsi="Times New Roman" w:cs="Times New Roman"/>
                <w:color w:val="auto"/>
                <w:spacing w:val="-6"/>
                <w:sz w:val="21"/>
                <w:szCs w:val="21"/>
              </w:rPr>
              <w:fldChar w:fldCharType="separate"/>
            </w:r>
            <w:r>
              <w:rPr>
                <w:rFonts w:hint="default" w:ascii="Times New Roman" w:hAnsi="Times New Roman" w:cs="Times New Roman"/>
                <w:color w:val="auto"/>
                <w:spacing w:val="-6"/>
                <w:sz w:val="21"/>
                <w:szCs w:val="21"/>
              </w:rPr>
              <w:t>③</w:t>
            </w:r>
            <w:r>
              <w:rPr>
                <w:rFonts w:hint="default" w:ascii="Times New Roman" w:hAnsi="Times New Roman" w:cs="Times New Roman"/>
                <w:color w:val="auto"/>
                <w:spacing w:val="-6"/>
                <w:sz w:val="21"/>
                <w:szCs w:val="21"/>
              </w:rPr>
              <w:fldChar w:fldCharType="end"/>
            </w:r>
            <w:r>
              <w:rPr>
                <w:rFonts w:hint="default" w:ascii="Times New Roman" w:hAnsi="Times New Roman" w:cs="Times New Roman"/>
                <w:color w:val="auto"/>
                <w:spacing w:val="-6"/>
                <w:sz w:val="21"/>
                <w:szCs w:val="21"/>
              </w:rPr>
              <w:t>定期检查固井质量，发现固井质量不合格应及时采取措施，保证固井质量合格；</w:t>
            </w:r>
          </w:p>
          <w:p w14:paraId="65850857">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 4 \* GB3 </w:instrText>
            </w:r>
            <w:r>
              <w:rPr>
                <w:rFonts w:hint="default" w:ascii="Times New Roman" w:hAnsi="Times New Roman" w:cs="Times New Roman"/>
                <w:color w:val="auto"/>
                <w:sz w:val="21"/>
                <w:szCs w:val="21"/>
              </w:rPr>
              <w:fldChar w:fldCharType="separate"/>
            </w:r>
            <w:r>
              <w:rPr>
                <w:rFonts w:hint="default" w:ascii="Times New Roman" w:hAnsi="Times New Roman" w:cs="Times New Roman"/>
                <w:color w:val="auto"/>
                <w:sz w:val="21"/>
                <w:szCs w:val="21"/>
              </w:rPr>
              <w:t>④</w:t>
            </w:r>
            <w:r>
              <w:rPr>
                <w:rFonts w:hint="default" w:ascii="Times New Roman" w:hAnsi="Times New Roman" w:cs="Times New Roman"/>
                <w:color w:val="auto"/>
                <w:sz w:val="21"/>
                <w:szCs w:val="21"/>
              </w:rPr>
              <w:fldChar w:fldCharType="end"/>
            </w:r>
            <w:r>
              <w:rPr>
                <w:rFonts w:hint="default" w:ascii="Times New Roman" w:hAnsi="Times New Roman" w:cs="Times New Roman"/>
                <w:color w:val="auto"/>
                <w:sz w:val="21"/>
                <w:szCs w:val="21"/>
              </w:rPr>
              <w:t>加强各类储罐及放喷管线的日常管理及安全检查；</w:t>
            </w:r>
          </w:p>
          <w:p w14:paraId="4DD72FC6">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 5 \* GB3 </w:instrText>
            </w:r>
            <w:r>
              <w:rPr>
                <w:rFonts w:hint="default" w:ascii="Times New Roman" w:hAnsi="Times New Roman" w:cs="Times New Roman"/>
                <w:color w:val="auto"/>
                <w:sz w:val="21"/>
                <w:szCs w:val="21"/>
              </w:rPr>
              <w:fldChar w:fldCharType="separate"/>
            </w:r>
            <w:r>
              <w:rPr>
                <w:rFonts w:hint="default" w:ascii="Times New Roman" w:hAnsi="Times New Roman" w:cs="Times New Roman"/>
                <w:color w:val="auto"/>
                <w:sz w:val="21"/>
                <w:szCs w:val="21"/>
              </w:rPr>
              <w:t>⑤</w:t>
            </w:r>
            <w:r>
              <w:rPr>
                <w:rFonts w:hint="default" w:ascii="Times New Roman" w:hAnsi="Times New Roman" w:cs="Times New Roman"/>
                <w:color w:val="auto"/>
                <w:sz w:val="21"/>
                <w:szCs w:val="21"/>
              </w:rPr>
              <w:fldChar w:fldCharType="end"/>
            </w:r>
            <w:r>
              <w:rPr>
                <w:rFonts w:hint="default" w:ascii="Times New Roman" w:hAnsi="Times New Roman" w:cs="Times New Roman"/>
                <w:color w:val="auto"/>
                <w:sz w:val="21"/>
                <w:szCs w:val="21"/>
              </w:rPr>
              <w:t>加强施工期管理，严禁油田施工人员和车辆随意进入临时占地以外的区域；</w:t>
            </w:r>
          </w:p>
          <w:p w14:paraId="5726CD58">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⑥</w:t>
            </w:r>
            <w:r>
              <w:rPr>
                <w:rFonts w:hint="default" w:ascii="Times New Roman" w:hAnsi="Times New Roman" w:cs="Times New Roman"/>
                <w:color w:val="auto"/>
                <w:sz w:val="21"/>
                <w:szCs w:val="21"/>
              </w:rPr>
              <w:t>井场左右两侧各设置1条放喷管线，并预留应急放喷池位置</w:t>
            </w:r>
            <w:r>
              <w:rPr>
                <w:rFonts w:hint="eastAsia" w:cs="Times New Roman"/>
                <w:color w:val="auto"/>
                <w:sz w:val="21"/>
                <w:szCs w:val="21"/>
                <w:lang w:eastAsia="zh-CN"/>
              </w:rPr>
              <w:t>；</w:t>
            </w:r>
          </w:p>
          <w:p w14:paraId="22E9ABFE">
            <w:pPr>
              <w:keepNext w:val="0"/>
              <w:keepLines w:val="0"/>
              <w:pageBreakBefore w:val="0"/>
              <w:kinsoku/>
              <w:wordWrap/>
              <w:overflowPunct/>
              <w:topLinePunct w:val="0"/>
              <w:autoSpaceDE/>
              <w:autoSpaceDN/>
              <w:bidi w:val="0"/>
              <w:adjustRightInd w:val="0"/>
              <w:snapToGrid w:val="0"/>
              <w:spacing w:line="260" w:lineRule="exact"/>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⑦井场配备便携式硫化氢检测仪；</w:t>
            </w:r>
          </w:p>
          <w:p w14:paraId="6D8E20D3">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⑧</w:t>
            </w:r>
            <w:r>
              <w:rPr>
                <w:rFonts w:hint="default" w:ascii="Times New Roman" w:hAnsi="Times New Roman" w:cs="Times New Roman"/>
                <w:color w:val="auto"/>
                <w:sz w:val="21"/>
                <w:szCs w:val="21"/>
              </w:rPr>
              <w:t>应将本项目纳入《中国石油新疆油田分公司勘探事业部突发环境事件应急预案》</w:t>
            </w:r>
            <w:r>
              <w:rPr>
                <w:rFonts w:hint="eastAsia" w:cs="Times New Roman"/>
                <w:color w:val="auto"/>
                <w:sz w:val="21"/>
                <w:szCs w:val="21"/>
                <w:lang w:eastAsia="zh-CN"/>
              </w:rPr>
              <w:t>。</w:t>
            </w:r>
          </w:p>
        </w:tc>
        <w:tc>
          <w:tcPr>
            <w:tcW w:w="1303" w:type="pct"/>
            <w:vAlign w:val="center"/>
          </w:tcPr>
          <w:p w14:paraId="008E21DD">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验收时现场无施工遗留问题。</w:t>
            </w:r>
          </w:p>
        </w:tc>
        <w:tc>
          <w:tcPr>
            <w:tcW w:w="502" w:type="pct"/>
            <w:vAlign w:val="center"/>
          </w:tcPr>
          <w:p w14:paraId="67B5BB47">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41DE8223">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5DAEC9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1D31F4E8">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环境监测</w:t>
            </w:r>
          </w:p>
        </w:tc>
        <w:tc>
          <w:tcPr>
            <w:tcW w:w="2182" w:type="pct"/>
            <w:vAlign w:val="center"/>
          </w:tcPr>
          <w:p w14:paraId="208D1E3B">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303" w:type="pct"/>
            <w:vAlign w:val="center"/>
          </w:tcPr>
          <w:p w14:paraId="60CD8EE1">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02" w:type="pct"/>
            <w:vAlign w:val="center"/>
          </w:tcPr>
          <w:p w14:paraId="48EF3896">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1C5AAD15">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5EAB4C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3" w:type="pct"/>
            <w:vAlign w:val="center"/>
          </w:tcPr>
          <w:p w14:paraId="156BBF86">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w:t>
            </w:r>
          </w:p>
        </w:tc>
        <w:tc>
          <w:tcPr>
            <w:tcW w:w="2182" w:type="pct"/>
            <w:vAlign w:val="center"/>
          </w:tcPr>
          <w:p w14:paraId="10635339">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①</w:t>
            </w:r>
            <w:r>
              <w:rPr>
                <w:rFonts w:hint="default" w:ascii="Times New Roman" w:hAnsi="Times New Roman" w:cs="Times New Roman"/>
                <w:color w:val="auto"/>
                <w:sz w:val="21"/>
                <w:szCs w:val="21"/>
              </w:rPr>
              <w:t>施工单位应建立环境保护档案，保存施工前后项目区的影像资料，使施工全过程各类污染物产生、去向和各个污染措施及实施情况均记录在案。</w:t>
            </w:r>
          </w:p>
          <w:p w14:paraId="619F2349">
            <w:pPr>
              <w:keepNext w:val="0"/>
              <w:keepLines w:val="0"/>
              <w:pageBreakBefore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②</w:t>
            </w:r>
            <w:r>
              <w:rPr>
                <w:rFonts w:hint="default" w:ascii="Times New Roman" w:hAnsi="Times New Roman" w:cs="Times New Roman"/>
                <w:color w:val="auto"/>
                <w:sz w:val="21"/>
                <w:szCs w:val="21"/>
              </w:rPr>
              <w:t>建设单位对施工单位钻井期间进行环保日常检查并做好记录；完工交井前，建设单位主管部门现场验收，合格后方可记录为完工，做到工完料净场地清，并做好记录。</w:t>
            </w:r>
          </w:p>
        </w:tc>
        <w:tc>
          <w:tcPr>
            <w:tcW w:w="1303" w:type="pct"/>
            <w:vAlign w:val="center"/>
          </w:tcPr>
          <w:p w14:paraId="31199CC9">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是否保留必要的影像资料</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项目环评及审批手续是否完备、环境保护档案资料是否齐全。</w:t>
            </w:r>
          </w:p>
        </w:tc>
        <w:tc>
          <w:tcPr>
            <w:tcW w:w="502" w:type="pct"/>
            <w:vAlign w:val="center"/>
          </w:tcPr>
          <w:p w14:paraId="3EA088C3">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78" w:type="pct"/>
            <w:vAlign w:val="center"/>
          </w:tcPr>
          <w:p w14:paraId="2FAB6E18">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bl>
    <w:p w14:paraId="4D298BA5">
      <w:pPr>
        <w:pStyle w:val="9"/>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7B3EEEF">
      <w:pPr>
        <w:pStyle w:val="2"/>
        <w:rPr>
          <w:rFonts w:hint="default" w:ascii="Times New Roman" w:hAnsi="Times New Roman" w:eastAsia="黑体" w:cs="Times New Roman"/>
          <w:b w:val="0"/>
          <w:bCs/>
          <w:color w:val="auto"/>
          <w:sz w:val="30"/>
          <w:szCs w:val="30"/>
        </w:rPr>
      </w:pPr>
      <w:bookmarkStart w:id="104" w:name="_Toc18654"/>
      <w:r>
        <w:rPr>
          <w:rFonts w:hint="default" w:ascii="Times New Roman" w:hAnsi="Times New Roman" w:eastAsia="黑体" w:cs="Times New Roman"/>
          <w:b w:val="0"/>
          <w:bCs/>
          <w:color w:val="auto"/>
          <w:sz w:val="30"/>
          <w:szCs w:val="30"/>
        </w:rPr>
        <w:t>七、结论</w:t>
      </w:r>
      <w:bookmarkEnd w:id="104"/>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461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CE222C3">
            <w:pPr>
              <w:pStyle w:val="32"/>
              <w:rPr>
                <w:rFonts w:hint="default" w:ascii="Times New Roman" w:hAnsi="Times New Roman" w:cs="Times New Roman"/>
                <w:color w:val="auto"/>
              </w:rPr>
            </w:pPr>
            <w:r>
              <w:rPr>
                <w:rFonts w:hint="default" w:ascii="Times New Roman" w:hAnsi="Times New Roman" w:cs="Times New Roman"/>
                <w:color w:val="auto"/>
              </w:rPr>
              <w:t>本项目符合国家产业政策、“三线一单”和相关规划，选址选线合理。在严格执行已有各项环保政策、规定，认真落实报告表中提出的污染防治措施和生态影响减缓措施的前提下，从环境保护角度</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本项目环境影响可行</w:t>
            </w:r>
            <w:r>
              <w:rPr>
                <w:rFonts w:hint="default" w:ascii="Times New Roman" w:hAnsi="Times New Roman" w:cs="Times New Roman"/>
                <w:color w:val="auto"/>
              </w:rPr>
              <w:t>。</w:t>
            </w:r>
          </w:p>
          <w:p w14:paraId="7A5C67CE">
            <w:pPr>
              <w:pStyle w:val="9"/>
              <w:rPr>
                <w:rFonts w:hint="default" w:ascii="Times New Roman" w:hAnsi="Times New Roman" w:cs="Times New Roman"/>
                <w:color w:val="auto"/>
              </w:rPr>
            </w:pPr>
          </w:p>
          <w:p w14:paraId="4607494A">
            <w:pPr>
              <w:pStyle w:val="9"/>
              <w:rPr>
                <w:rFonts w:hint="default" w:ascii="Times New Roman" w:hAnsi="Times New Roman" w:cs="Times New Roman"/>
                <w:color w:val="auto"/>
              </w:rPr>
            </w:pPr>
          </w:p>
          <w:p w14:paraId="209374AD">
            <w:pPr>
              <w:pStyle w:val="9"/>
              <w:rPr>
                <w:rFonts w:hint="default" w:ascii="Times New Roman" w:hAnsi="Times New Roman" w:cs="Times New Roman"/>
                <w:color w:val="auto"/>
              </w:rPr>
            </w:pPr>
          </w:p>
          <w:p w14:paraId="53EFCDB0">
            <w:pPr>
              <w:pStyle w:val="9"/>
              <w:rPr>
                <w:rFonts w:hint="default" w:ascii="Times New Roman" w:hAnsi="Times New Roman" w:cs="Times New Roman"/>
                <w:color w:val="auto"/>
              </w:rPr>
            </w:pPr>
          </w:p>
          <w:p w14:paraId="31B2C5A9">
            <w:pPr>
              <w:pStyle w:val="9"/>
              <w:rPr>
                <w:rFonts w:hint="default" w:ascii="Times New Roman" w:hAnsi="Times New Roman" w:cs="Times New Roman"/>
                <w:color w:val="auto"/>
              </w:rPr>
            </w:pPr>
          </w:p>
          <w:p w14:paraId="3255AD60">
            <w:pPr>
              <w:pStyle w:val="9"/>
              <w:rPr>
                <w:rFonts w:hint="default" w:ascii="Times New Roman" w:hAnsi="Times New Roman" w:cs="Times New Roman"/>
                <w:color w:val="auto"/>
              </w:rPr>
            </w:pPr>
          </w:p>
          <w:p w14:paraId="1BE91292">
            <w:pPr>
              <w:pStyle w:val="9"/>
              <w:rPr>
                <w:rFonts w:hint="default" w:ascii="Times New Roman" w:hAnsi="Times New Roman" w:cs="Times New Roman"/>
                <w:color w:val="auto"/>
              </w:rPr>
            </w:pPr>
          </w:p>
          <w:p w14:paraId="577A2495">
            <w:pPr>
              <w:pStyle w:val="9"/>
              <w:rPr>
                <w:rFonts w:hint="default" w:ascii="Times New Roman" w:hAnsi="Times New Roman" w:cs="Times New Roman"/>
                <w:color w:val="auto"/>
              </w:rPr>
            </w:pPr>
          </w:p>
          <w:p w14:paraId="03DA5527">
            <w:pPr>
              <w:pStyle w:val="9"/>
              <w:rPr>
                <w:rFonts w:hint="default" w:ascii="Times New Roman" w:hAnsi="Times New Roman" w:cs="Times New Roman"/>
                <w:color w:val="auto"/>
              </w:rPr>
            </w:pPr>
          </w:p>
          <w:p w14:paraId="6A0177A8">
            <w:pPr>
              <w:pStyle w:val="9"/>
              <w:rPr>
                <w:rFonts w:hint="default" w:ascii="Times New Roman" w:hAnsi="Times New Roman" w:cs="Times New Roman"/>
                <w:color w:val="auto"/>
              </w:rPr>
            </w:pPr>
          </w:p>
          <w:p w14:paraId="5558549A">
            <w:pPr>
              <w:pStyle w:val="9"/>
              <w:rPr>
                <w:rFonts w:hint="default" w:ascii="Times New Roman" w:hAnsi="Times New Roman" w:cs="Times New Roman"/>
                <w:color w:val="auto"/>
              </w:rPr>
            </w:pPr>
          </w:p>
          <w:p w14:paraId="38B2795A">
            <w:pPr>
              <w:pStyle w:val="9"/>
              <w:rPr>
                <w:rFonts w:hint="default" w:ascii="Times New Roman" w:hAnsi="Times New Roman" w:cs="Times New Roman"/>
                <w:color w:val="auto"/>
              </w:rPr>
            </w:pPr>
          </w:p>
          <w:p w14:paraId="31E650A1">
            <w:pPr>
              <w:pStyle w:val="9"/>
              <w:rPr>
                <w:rFonts w:hint="default" w:ascii="Times New Roman" w:hAnsi="Times New Roman" w:cs="Times New Roman"/>
                <w:color w:val="auto"/>
              </w:rPr>
            </w:pPr>
          </w:p>
          <w:p w14:paraId="6BB00FA5">
            <w:pPr>
              <w:pStyle w:val="9"/>
              <w:rPr>
                <w:rFonts w:hint="default" w:ascii="Times New Roman" w:hAnsi="Times New Roman" w:cs="Times New Roman"/>
                <w:color w:val="auto"/>
              </w:rPr>
            </w:pPr>
          </w:p>
          <w:p w14:paraId="5C552101">
            <w:pPr>
              <w:widowControl/>
              <w:jc w:val="left"/>
              <w:rPr>
                <w:rFonts w:hint="default" w:ascii="Times New Roman" w:hAnsi="Times New Roman" w:cs="Times New Roman"/>
                <w:color w:val="auto"/>
                <w:kern w:val="0"/>
              </w:rPr>
            </w:pPr>
          </w:p>
          <w:p w14:paraId="48E00B24">
            <w:pPr>
              <w:pStyle w:val="9"/>
              <w:rPr>
                <w:rFonts w:hint="default" w:ascii="Times New Roman" w:hAnsi="Times New Roman" w:cs="Times New Roman"/>
                <w:color w:val="auto"/>
              </w:rPr>
            </w:pPr>
          </w:p>
          <w:p w14:paraId="56182D82">
            <w:pPr>
              <w:pStyle w:val="9"/>
              <w:rPr>
                <w:rFonts w:hint="default" w:ascii="Times New Roman" w:hAnsi="Times New Roman" w:cs="Times New Roman"/>
                <w:color w:val="auto"/>
              </w:rPr>
            </w:pPr>
          </w:p>
          <w:p w14:paraId="7896AE5D">
            <w:pPr>
              <w:pStyle w:val="9"/>
              <w:rPr>
                <w:rFonts w:hint="default" w:ascii="Times New Roman" w:hAnsi="Times New Roman" w:cs="Times New Roman"/>
                <w:color w:val="auto"/>
              </w:rPr>
            </w:pPr>
          </w:p>
          <w:p w14:paraId="47AC1355">
            <w:pPr>
              <w:pStyle w:val="9"/>
              <w:rPr>
                <w:rFonts w:hint="default" w:ascii="Times New Roman" w:hAnsi="Times New Roman" w:cs="Times New Roman"/>
                <w:color w:val="auto"/>
              </w:rPr>
            </w:pPr>
          </w:p>
          <w:p w14:paraId="2F6E6CEF">
            <w:pPr>
              <w:pStyle w:val="9"/>
              <w:rPr>
                <w:rFonts w:hint="default" w:ascii="Times New Roman" w:hAnsi="Times New Roman" w:cs="Times New Roman"/>
                <w:color w:val="auto"/>
              </w:rPr>
            </w:pPr>
          </w:p>
          <w:p w14:paraId="3A55EA7C">
            <w:pPr>
              <w:pStyle w:val="9"/>
              <w:rPr>
                <w:rFonts w:hint="default" w:ascii="Times New Roman" w:hAnsi="Times New Roman" w:cs="Times New Roman"/>
                <w:color w:val="auto"/>
              </w:rPr>
            </w:pPr>
          </w:p>
          <w:p w14:paraId="0D1172D6">
            <w:pPr>
              <w:pStyle w:val="9"/>
              <w:rPr>
                <w:rFonts w:hint="default" w:ascii="Times New Roman" w:hAnsi="Times New Roman" w:cs="Times New Roman"/>
                <w:color w:val="auto"/>
              </w:rPr>
            </w:pPr>
          </w:p>
          <w:p w14:paraId="716F42C6">
            <w:pPr>
              <w:pStyle w:val="9"/>
              <w:rPr>
                <w:rFonts w:hint="default" w:ascii="Times New Roman" w:hAnsi="Times New Roman" w:cs="Times New Roman"/>
                <w:color w:val="auto"/>
              </w:rPr>
            </w:pPr>
          </w:p>
        </w:tc>
      </w:tr>
    </w:tbl>
    <w:p w14:paraId="5C022ECA">
      <w:pPr>
        <w:jc w:val="center"/>
        <w:rPr>
          <w:rFonts w:hint="default" w:ascii="Times New Roman" w:hAnsi="Times New Roman" w:eastAsia="宋体" w:cs="Times New Roman"/>
          <w:color w:val="auto"/>
          <w:lang w:eastAsia="zh-CN"/>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6DCB9">
    <w:pPr>
      <w:pStyle w:val="15"/>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6F02E">
    <w:pPr>
      <w:pStyle w:val="15"/>
      <w:ind w:right="360" w:firstLine="360"/>
      <w:jc w:val="both"/>
    </w:pPr>
    <w:r>
      <mc:AlternateContent>
        <mc:Choice Requires="wps">
          <w:drawing>
            <wp:anchor distT="0" distB="0" distL="114300" distR="114300" simplePos="0" relativeHeight="251659264" behindDoc="0" locked="0" layoutInCell="1" allowOverlap="1">
              <wp:simplePos x="0" y="0"/>
              <wp:positionH relativeFrom="margin">
                <wp:posOffset>2604135</wp:posOffset>
              </wp:positionH>
              <wp:positionV relativeFrom="paragraph">
                <wp:posOffset>635</wp:posOffset>
              </wp:positionV>
              <wp:extent cx="174625" cy="1828800"/>
              <wp:effectExtent l="0" t="0" r="0" b="14605"/>
              <wp:wrapNone/>
              <wp:docPr id="7" name="文本框 7"/>
              <wp:cNvGraphicFramePr/>
              <a:graphic xmlns:a="http://schemas.openxmlformats.org/drawingml/2006/main">
                <a:graphicData uri="http://schemas.microsoft.com/office/word/2010/wordprocessingShape">
                  <wps:wsp>
                    <wps:cNvSpPr txBox="1"/>
                    <wps:spPr>
                      <a:xfrm>
                        <a:off x="0" y="0"/>
                        <a:ext cx="174423"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257C8A">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5.05pt;margin-top:0.05pt;height:144pt;width:13.75pt;mso-position-horizontal-relative:margin;z-index:251659264;mso-width-relative:page;mso-height-relative:page;" filled="f" stroked="f" coordsize="21600,21600" o:gfxdata="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Y1O6tYAAAAIAQAADwAAAAAAAAABACAAAAAiAAAAZHJzL2Rvd25yZXYueG1s&#10;UEsBAhQAFAAAAAgAh07iQOy7WBQzAgAAVgQAAA4AAAAAAAAAAQAgAAAAJQEAAGRycy9lMm9Eb2Mu&#10;eG1sUEsFBgAAAAAGAAYAWQEAAMoFAAAAAA==&#10;">
              <v:fill on="f" focussize="0,0"/>
              <v:stroke on="f" weight="0.5pt"/>
              <v:imagedata o:title=""/>
              <o:lock v:ext="edit" aspectratio="f"/>
              <v:textbox inset="0mm,0mm,0mm,0mm" style="mso-fit-shape-to-text:t;">
                <w:txbxContent>
                  <w:p w14:paraId="1B257C8A">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ADC6A">
    <w:pPr>
      <w:pStyle w:val="15"/>
      <w:ind w:right="360" w:firstLine="360"/>
      <w:jc w:val="both"/>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8DDCF"/>
    <w:multiLevelType w:val="singleLevel"/>
    <w:tmpl w:val="D0F8DDCF"/>
    <w:lvl w:ilvl="0" w:tentative="0">
      <w:start w:val="2"/>
      <w:numFmt w:val="upperLetter"/>
      <w:suff w:val="nothing"/>
      <w:lvlText w:val="%1、"/>
      <w:lvlJc w:val="left"/>
    </w:lvl>
  </w:abstractNum>
  <w:abstractNum w:abstractNumId="1">
    <w:nsid w:val="1546886D"/>
    <w:multiLevelType w:val="singleLevel"/>
    <w:tmpl w:val="1546886D"/>
    <w:lvl w:ilvl="0" w:tentative="0">
      <w:start w:val="1"/>
      <w:numFmt w:val="upperLetter"/>
      <w:suff w:val="nothing"/>
      <w:lvlText w:val="%1、"/>
      <w:lvlJc w:val="left"/>
    </w:lvl>
  </w:abstractNum>
  <w:abstractNum w:abstractNumId="2">
    <w:nsid w:val="47D15015"/>
    <w:multiLevelType w:val="multilevel"/>
    <w:tmpl w:val="47D15015"/>
    <w:lvl w:ilvl="0" w:tentative="0">
      <w:start w:val="1"/>
      <w:numFmt w:val="decimal"/>
      <w:suff w:val="space"/>
      <w:lvlText w:val="%1"/>
      <w:lvlJc w:val="left"/>
      <w:pPr>
        <w:ind w:left="0" w:firstLine="0"/>
      </w:pPr>
      <w:rPr>
        <w:rFonts w:hint="eastAsia" w:ascii="黑体" w:eastAsia="黑体"/>
        <w:b w:val="0"/>
        <w:i w:val="0"/>
        <w:sz w:val="32"/>
      </w:rPr>
    </w:lvl>
    <w:lvl w:ilvl="1" w:tentative="0">
      <w:start w:val="1"/>
      <w:numFmt w:val="decimal"/>
      <w:pStyle w:val="3"/>
      <w:suff w:val="space"/>
      <w:lvlText w:val="%1.%2"/>
      <w:lvlJc w:val="left"/>
      <w:pPr>
        <w:ind w:left="0" w:firstLine="0"/>
      </w:pPr>
      <w:rPr>
        <w:rFonts w:hint="eastAsia" w:ascii="黑体" w:eastAsia="黑体"/>
        <w:b w:val="0"/>
        <w:i w:val="0"/>
        <w:sz w:val="28"/>
      </w:rPr>
    </w:lvl>
    <w:lvl w:ilvl="2" w:tentative="0">
      <w:start w:val="1"/>
      <w:numFmt w:val="decimal"/>
      <w:suff w:val="space"/>
      <w:lvlText w:val="%1.%2.%3"/>
      <w:lvlJc w:val="left"/>
      <w:pPr>
        <w:ind w:left="0" w:firstLine="0"/>
      </w:pPr>
      <w:rPr>
        <w:rFonts w:hint="eastAsia" w:ascii="黑体" w:hAnsi="宋体" w:eastAsia="黑体"/>
        <w:b w:val="0"/>
        <w:i w:val="0"/>
        <w:sz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FAE8B0"/>
    <w:multiLevelType w:val="multilevel"/>
    <w:tmpl w:val="55FAE8B0"/>
    <w:lvl w:ilvl="0" w:tentative="0">
      <w:start w:val="1"/>
      <w:numFmt w:val="decimal"/>
      <w:pStyle w:val="110"/>
      <w:suff w:val="nothing"/>
      <w:lvlText w:val="%1."/>
      <w:lvlJc w:val="left"/>
      <w:pPr>
        <w:tabs>
          <w:tab w:val="left" w:pos="0"/>
        </w:tabs>
        <w:ind w:left="0" w:leftChars="0" w:firstLine="471" w:firstLineChars="0"/>
      </w:pPr>
      <w:rPr>
        <w:rFonts w:hint="default"/>
      </w:rPr>
    </w:lvl>
    <w:lvl w:ilvl="1" w:tentative="0">
      <w:start w:val="1"/>
      <w:numFmt w:val="decimal"/>
      <w:pStyle w:val="112"/>
      <w:suff w:val="nothing"/>
      <w:lvlText w:val="（%2）"/>
      <w:lvlJc w:val="left"/>
      <w:pPr>
        <w:ind w:left="0" w:firstLine="0"/>
      </w:pPr>
      <w:rPr>
        <w:rFonts w:hint="default" w:ascii="宋体" w:hAnsi="宋体" w:eastAsia="宋体" w:cs="宋体"/>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4">
    <w:nsid w:val="7A0BF7FB"/>
    <w:multiLevelType w:val="singleLevel"/>
    <w:tmpl w:val="7A0BF7FB"/>
    <w:lvl w:ilvl="0" w:tentative="0">
      <w:start w:val="1"/>
      <w:numFmt w:val="upperLetter"/>
      <w:suff w:val="nothing"/>
      <w:lvlText w:val="%1、"/>
      <w:lvlJc w:val="left"/>
    </w:lvl>
  </w:abstractNum>
  <w:num w:numId="1">
    <w:abstractNumId w:val="2"/>
  </w:num>
  <w:num w:numId="2">
    <w:abstractNumId w:val="3"/>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jY2IxMWYwNDI5NTdhYmJhNjliZWZhNGQ1ODAxMzkifQ=="/>
  </w:docVars>
  <w:rsids>
    <w:rsidRoot w:val="63603041"/>
    <w:rsid w:val="00002111"/>
    <w:rsid w:val="000035A3"/>
    <w:rsid w:val="00004028"/>
    <w:rsid w:val="00007F00"/>
    <w:rsid w:val="0001205F"/>
    <w:rsid w:val="00013122"/>
    <w:rsid w:val="00013BDB"/>
    <w:rsid w:val="00015E93"/>
    <w:rsid w:val="0001671B"/>
    <w:rsid w:val="0001687A"/>
    <w:rsid w:val="00017DAF"/>
    <w:rsid w:val="00020778"/>
    <w:rsid w:val="0002164B"/>
    <w:rsid w:val="00022356"/>
    <w:rsid w:val="00024D11"/>
    <w:rsid w:val="000251BA"/>
    <w:rsid w:val="000252A9"/>
    <w:rsid w:val="000276E7"/>
    <w:rsid w:val="00031221"/>
    <w:rsid w:val="00033935"/>
    <w:rsid w:val="00034443"/>
    <w:rsid w:val="00036FD8"/>
    <w:rsid w:val="00037C45"/>
    <w:rsid w:val="00041942"/>
    <w:rsid w:val="00043144"/>
    <w:rsid w:val="0004404C"/>
    <w:rsid w:val="0004472D"/>
    <w:rsid w:val="00044A1B"/>
    <w:rsid w:val="00047FE0"/>
    <w:rsid w:val="00051C2A"/>
    <w:rsid w:val="00052B81"/>
    <w:rsid w:val="000566B5"/>
    <w:rsid w:val="00057CDB"/>
    <w:rsid w:val="000646D1"/>
    <w:rsid w:val="00065823"/>
    <w:rsid w:val="00066544"/>
    <w:rsid w:val="0006791F"/>
    <w:rsid w:val="000702E9"/>
    <w:rsid w:val="000708E4"/>
    <w:rsid w:val="00073160"/>
    <w:rsid w:val="00075726"/>
    <w:rsid w:val="00077FB7"/>
    <w:rsid w:val="000832C7"/>
    <w:rsid w:val="00086D67"/>
    <w:rsid w:val="00086F92"/>
    <w:rsid w:val="00087035"/>
    <w:rsid w:val="000870FA"/>
    <w:rsid w:val="00087668"/>
    <w:rsid w:val="0009211C"/>
    <w:rsid w:val="00094BB9"/>
    <w:rsid w:val="000A2C55"/>
    <w:rsid w:val="000A2E07"/>
    <w:rsid w:val="000A64E3"/>
    <w:rsid w:val="000A716C"/>
    <w:rsid w:val="000B2E6C"/>
    <w:rsid w:val="000B3281"/>
    <w:rsid w:val="000B3AA9"/>
    <w:rsid w:val="000B799E"/>
    <w:rsid w:val="000C0A31"/>
    <w:rsid w:val="000C380E"/>
    <w:rsid w:val="000D0E74"/>
    <w:rsid w:val="000D29E0"/>
    <w:rsid w:val="000D2D8E"/>
    <w:rsid w:val="000D6B30"/>
    <w:rsid w:val="000D6F87"/>
    <w:rsid w:val="000D766F"/>
    <w:rsid w:val="000E3771"/>
    <w:rsid w:val="000E68BD"/>
    <w:rsid w:val="000F14D3"/>
    <w:rsid w:val="000F189B"/>
    <w:rsid w:val="000F35FD"/>
    <w:rsid w:val="000F4E55"/>
    <w:rsid w:val="000F50F3"/>
    <w:rsid w:val="000F534B"/>
    <w:rsid w:val="000F5505"/>
    <w:rsid w:val="0010099A"/>
    <w:rsid w:val="00105010"/>
    <w:rsid w:val="00105030"/>
    <w:rsid w:val="00105861"/>
    <w:rsid w:val="0011028C"/>
    <w:rsid w:val="00113F50"/>
    <w:rsid w:val="0011641C"/>
    <w:rsid w:val="00121159"/>
    <w:rsid w:val="00122E62"/>
    <w:rsid w:val="00124232"/>
    <w:rsid w:val="00124925"/>
    <w:rsid w:val="00125361"/>
    <w:rsid w:val="00125EF1"/>
    <w:rsid w:val="00131AE2"/>
    <w:rsid w:val="0013338B"/>
    <w:rsid w:val="00135589"/>
    <w:rsid w:val="001372D7"/>
    <w:rsid w:val="001410B7"/>
    <w:rsid w:val="00142842"/>
    <w:rsid w:val="00144C02"/>
    <w:rsid w:val="00145310"/>
    <w:rsid w:val="001472B2"/>
    <w:rsid w:val="00150EAD"/>
    <w:rsid w:val="001510F9"/>
    <w:rsid w:val="00151123"/>
    <w:rsid w:val="00151961"/>
    <w:rsid w:val="001522EB"/>
    <w:rsid w:val="00152D3D"/>
    <w:rsid w:val="00153AE4"/>
    <w:rsid w:val="00156055"/>
    <w:rsid w:val="00156FC3"/>
    <w:rsid w:val="00157C71"/>
    <w:rsid w:val="00162A15"/>
    <w:rsid w:val="00165513"/>
    <w:rsid w:val="00166A6D"/>
    <w:rsid w:val="0016714B"/>
    <w:rsid w:val="001707F6"/>
    <w:rsid w:val="00173D62"/>
    <w:rsid w:val="0017698D"/>
    <w:rsid w:val="001827DF"/>
    <w:rsid w:val="0018418A"/>
    <w:rsid w:val="0018553C"/>
    <w:rsid w:val="00187F53"/>
    <w:rsid w:val="001905FF"/>
    <w:rsid w:val="0019128D"/>
    <w:rsid w:val="00191BDE"/>
    <w:rsid w:val="001932DE"/>
    <w:rsid w:val="0019578B"/>
    <w:rsid w:val="00195945"/>
    <w:rsid w:val="001A08DC"/>
    <w:rsid w:val="001A20CB"/>
    <w:rsid w:val="001A4FAC"/>
    <w:rsid w:val="001A5D32"/>
    <w:rsid w:val="001B3F30"/>
    <w:rsid w:val="001B5074"/>
    <w:rsid w:val="001B703E"/>
    <w:rsid w:val="001B724E"/>
    <w:rsid w:val="001C1214"/>
    <w:rsid w:val="001C35B0"/>
    <w:rsid w:val="001C58F7"/>
    <w:rsid w:val="001C6C1B"/>
    <w:rsid w:val="001C79E9"/>
    <w:rsid w:val="001D4D7A"/>
    <w:rsid w:val="001D4D84"/>
    <w:rsid w:val="001D55B8"/>
    <w:rsid w:val="001D7692"/>
    <w:rsid w:val="001D7819"/>
    <w:rsid w:val="001E0814"/>
    <w:rsid w:val="001E123C"/>
    <w:rsid w:val="001E2AB4"/>
    <w:rsid w:val="001E4162"/>
    <w:rsid w:val="001E472B"/>
    <w:rsid w:val="001E47F3"/>
    <w:rsid w:val="001E6625"/>
    <w:rsid w:val="001E6C15"/>
    <w:rsid w:val="001F0226"/>
    <w:rsid w:val="001F53E3"/>
    <w:rsid w:val="00200934"/>
    <w:rsid w:val="0020194B"/>
    <w:rsid w:val="00202E66"/>
    <w:rsid w:val="0020498B"/>
    <w:rsid w:val="002052DD"/>
    <w:rsid w:val="00207673"/>
    <w:rsid w:val="00211427"/>
    <w:rsid w:val="00213BC0"/>
    <w:rsid w:val="00215278"/>
    <w:rsid w:val="002206DC"/>
    <w:rsid w:val="00223137"/>
    <w:rsid w:val="00227B86"/>
    <w:rsid w:val="0023041B"/>
    <w:rsid w:val="00231DEE"/>
    <w:rsid w:val="00232E9A"/>
    <w:rsid w:val="002341C4"/>
    <w:rsid w:val="002405DC"/>
    <w:rsid w:val="00240D97"/>
    <w:rsid w:val="00242186"/>
    <w:rsid w:val="00250171"/>
    <w:rsid w:val="00252EA1"/>
    <w:rsid w:val="0025560C"/>
    <w:rsid w:val="0025588B"/>
    <w:rsid w:val="00261CAA"/>
    <w:rsid w:val="0026401D"/>
    <w:rsid w:val="00267449"/>
    <w:rsid w:val="00267A39"/>
    <w:rsid w:val="00270BFE"/>
    <w:rsid w:val="00272096"/>
    <w:rsid w:val="0027476E"/>
    <w:rsid w:val="00277B64"/>
    <w:rsid w:val="00281DD6"/>
    <w:rsid w:val="00282A4B"/>
    <w:rsid w:val="00282B07"/>
    <w:rsid w:val="002842F7"/>
    <w:rsid w:val="00286873"/>
    <w:rsid w:val="00292A0C"/>
    <w:rsid w:val="00292DE5"/>
    <w:rsid w:val="002A2C3E"/>
    <w:rsid w:val="002A2D25"/>
    <w:rsid w:val="002A48B0"/>
    <w:rsid w:val="002B04AC"/>
    <w:rsid w:val="002B0913"/>
    <w:rsid w:val="002B09EB"/>
    <w:rsid w:val="002B0C05"/>
    <w:rsid w:val="002B3A89"/>
    <w:rsid w:val="002B7E0B"/>
    <w:rsid w:val="002C0CCF"/>
    <w:rsid w:val="002C0DEB"/>
    <w:rsid w:val="002D1252"/>
    <w:rsid w:val="002E3AA6"/>
    <w:rsid w:val="002E6226"/>
    <w:rsid w:val="002F2F21"/>
    <w:rsid w:val="002F4E8E"/>
    <w:rsid w:val="0030169B"/>
    <w:rsid w:val="0030434D"/>
    <w:rsid w:val="00305714"/>
    <w:rsid w:val="00311727"/>
    <w:rsid w:val="00314F4D"/>
    <w:rsid w:val="003158D5"/>
    <w:rsid w:val="0031685D"/>
    <w:rsid w:val="00317461"/>
    <w:rsid w:val="003325E6"/>
    <w:rsid w:val="00337749"/>
    <w:rsid w:val="00337E4F"/>
    <w:rsid w:val="003412A4"/>
    <w:rsid w:val="0034396E"/>
    <w:rsid w:val="0034734C"/>
    <w:rsid w:val="0035116E"/>
    <w:rsid w:val="0035132E"/>
    <w:rsid w:val="00351A97"/>
    <w:rsid w:val="00353451"/>
    <w:rsid w:val="00364C97"/>
    <w:rsid w:val="00365EEA"/>
    <w:rsid w:val="0036786B"/>
    <w:rsid w:val="00376163"/>
    <w:rsid w:val="00380030"/>
    <w:rsid w:val="003810B8"/>
    <w:rsid w:val="00383249"/>
    <w:rsid w:val="00385287"/>
    <w:rsid w:val="003860C7"/>
    <w:rsid w:val="0039592F"/>
    <w:rsid w:val="00396033"/>
    <w:rsid w:val="00397B35"/>
    <w:rsid w:val="003A017D"/>
    <w:rsid w:val="003A29F2"/>
    <w:rsid w:val="003A472A"/>
    <w:rsid w:val="003A6CAD"/>
    <w:rsid w:val="003A733A"/>
    <w:rsid w:val="003B1757"/>
    <w:rsid w:val="003B4F66"/>
    <w:rsid w:val="003B612C"/>
    <w:rsid w:val="003B7FF5"/>
    <w:rsid w:val="003C0258"/>
    <w:rsid w:val="003C7A3D"/>
    <w:rsid w:val="003C7B53"/>
    <w:rsid w:val="003D0E60"/>
    <w:rsid w:val="003D2BBC"/>
    <w:rsid w:val="003D424F"/>
    <w:rsid w:val="003D6179"/>
    <w:rsid w:val="003E2845"/>
    <w:rsid w:val="003E5576"/>
    <w:rsid w:val="003E5C56"/>
    <w:rsid w:val="003E7B9A"/>
    <w:rsid w:val="003F1834"/>
    <w:rsid w:val="003F264D"/>
    <w:rsid w:val="003F2946"/>
    <w:rsid w:val="003F37AB"/>
    <w:rsid w:val="00404CF8"/>
    <w:rsid w:val="004061AF"/>
    <w:rsid w:val="00407416"/>
    <w:rsid w:val="00407BCA"/>
    <w:rsid w:val="0041279C"/>
    <w:rsid w:val="0041658F"/>
    <w:rsid w:val="00416953"/>
    <w:rsid w:val="0042188F"/>
    <w:rsid w:val="004229FC"/>
    <w:rsid w:val="004235DB"/>
    <w:rsid w:val="004248B9"/>
    <w:rsid w:val="0042569B"/>
    <w:rsid w:val="00425B3A"/>
    <w:rsid w:val="00426D12"/>
    <w:rsid w:val="004325F0"/>
    <w:rsid w:val="00433441"/>
    <w:rsid w:val="00434DBF"/>
    <w:rsid w:val="0043610C"/>
    <w:rsid w:val="00437BE5"/>
    <w:rsid w:val="00440A43"/>
    <w:rsid w:val="004436C3"/>
    <w:rsid w:val="00445C13"/>
    <w:rsid w:val="00445D14"/>
    <w:rsid w:val="00450583"/>
    <w:rsid w:val="004609EE"/>
    <w:rsid w:val="00466EBD"/>
    <w:rsid w:val="004704FA"/>
    <w:rsid w:val="00470809"/>
    <w:rsid w:val="004717EF"/>
    <w:rsid w:val="00472AFF"/>
    <w:rsid w:val="00472FE0"/>
    <w:rsid w:val="00473085"/>
    <w:rsid w:val="004734CE"/>
    <w:rsid w:val="00473F93"/>
    <w:rsid w:val="00477B24"/>
    <w:rsid w:val="00477C43"/>
    <w:rsid w:val="00477EEF"/>
    <w:rsid w:val="00481546"/>
    <w:rsid w:val="00483BB5"/>
    <w:rsid w:val="004840E3"/>
    <w:rsid w:val="00484C5C"/>
    <w:rsid w:val="00484FAD"/>
    <w:rsid w:val="00485802"/>
    <w:rsid w:val="00485F5D"/>
    <w:rsid w:val="0048733E"/>
    <w:rsid w:val="004876E6"/>
    <w:rsid w:val="00490859"/>
    <w:rsid w:val="00492043"/>
    <w:rsid w:val="00494643"/>
    <w:rsid w:val="00494D3D"/>
    <w:rsid w:val="004A1ECF"/>
    <w:rsid w:val="004A535F"/>
    <w:rsid w:val="004A7977"/>
    <w:rsid w:val="004B39C3"/>
    <w:rsid w:val="004B4A04"/>
    <w:rsid w:val="004B5418"/>
    <w:rsid w:val="004B5613"/>
    <w:rsid w:val="004B5F08"/>
    <w:rsid w:val="004C4F4B"/>
    <w:rsid w:val="004D28C7"/>
    <w:rsid w:val="004D6361"/>
    <w:rsid w:val="004D72F3"/>
    <w:rsid w:val="004D79C4"/>
    <w:rsid w:val="004E4013"/>
    <w:rsid w:val="004E4C8D"/>
    <w:rsid w:val="004E594B"/>
    <w:rsid w:val="004F7BFD"/>
    <w:rsid w:val="0050493E"/>
    <w:rsid w:val="00504A56"/>
    <w:rsid w:val="00506344"/>
    <w:rsid w:val="00513877"/>
    <w:rsid w:val="00520A19"/>
    <w:rsid w:val="00531496"/>
    <w:rsid w:val="00534209"/>
    <w:rsid w:val="0053460E"/>
    <w:rsid w:val="00537FB4"/>
    <w:rsid w:val="0054229E"/>
    <w:rsid w:val="00542603"/>
    <w:rsid w:val="00545A0F"/>
    <w:rsid w:val="00545C10"/>
    <w:rsid w:val="005506A0"/>
    <w:rsid w:val="005513F4"/>
    <w:rsid w:val="0055347F"/>
    <w:rsid w:val="00555C38"/>
    <w:rsid w:val="00555E8D"/>
    <w:rsid w:val="0055697E"/>
    <w:rsid w:val="00563AD7"/>
    <w:rsid w:val="005648B1"/>
    <w:rsid w:val="00565401"/>
    <w:rsid w:val="00565A99"/>
    <w:rsid w:val="00570D25"/>
    <w:rsid w:val="00572397"/>
    <w:rsid w:val="00572A8E"/>
    <w:rsid w:val="00573929"/>
    <w:rsid w:val="00574A4D"/>
    <w:rsid w:val="005761EC"/>
    <w:rsid w:val="00577BDC"/>
    <w:rsid w:val="00587298"/>
    <w:rsid w:val="00587C5B"/>
    <w:rsid w:val="005921AA"/>
    <w:rsid w:val="005922D5"/>
    <w:rsid w:val="00593B4C"/>
    <w:rsid w:val="005949D4"/>
    <w:rsid w:val="005A1985"/>
    <w:rsid w:val="005A2515"/>
    <w:rsid w:val="005A2989"/>
    <w:rsid w:val="005A37EE"/>
    <w:rsid w:val="005A4DEE"/>
    <w:rsid w:val="005A704D"/>
    <w:rsid w:val="005A72F0"/>
    <w:rsid w:val="005B0449"/>
    <w:rsid w:val="005B73B0"/>
    <w:rsid w:val="005C091D"/>
    <w:rsid w:val="005C0C11"/>
    <w:rsid w:val="005C112C"/>
    <w:rsid w:val="005C1669"/>
    <w:rsid w:val="005C4798"/>
    <w:rsid w:val="005D2854"/>
    <w:rsid w:val="005D74CD"/>
    <w:rsid w:val="005E0205"/>
    <w:rsid w:val="005E2BC6"/>
    <w:rsid w:val="005F037B"/>
    <w:rsid w:val="005F1765"/>
    <w:rsid w:val="005F35ED"/>
    <w:rsid w:val="005F5674"/>
    <w:rsid w:val="005F6A6F"/>
    <w:rsid w:val="006021FC"/>
    <w:rsid w:val="006033F4"/>
    <w:rsid w:val="00605324"/>
    <w:rsid w:val="0060641C"/>
    <w:rsid w:val="00607A81"/>
    <w:rsid w:val="00612474"/>
    <w:rsid w:val="00612616"/>
    <w:rsid w:val="00613D44"/>
    <w:rsid w:val="0061670C"/>
    <w:rsid w:val="006216BB"/>
    <w:rsid w:val="006225CC"/>
    <w:rsid w:val="0062509A"/>
    <w:rsid w:val="00627F9D"/>
    <w:rsid w:val="00630C62"/>
    <w:rsid w:val="00631721"/>
    <w:rsid w:val="00631EF3"/>
    <w:rsid w:val="006353E2"/>
    <w:rsid w:val="00636B7D"/>
    <w:rsid w:val="00643FC9"/>
    <w:rsid w:val="0064577B"/>
    <w:rsid w:val="00646C00"/>
    <w:rsid w:val="006509CE"/>
    <w:rsid w:val="00653594"/>
    <w:rsid w:val="00663D1C"/>
    <w:rsid w:val="00671A00"/>
    <w:rsid w:val="00673314"/>
    <w:rsid w:val="00675B6F"/>
    <w:rsid w:val="00677AEB"/>
    <w:rsid w:val="0068232F"/>
    <w:rsid w:val="00682870"/>
    <w:rsid w:val="00686ED2"/>
    <w:rsid w:val="00687968"/>
    <w:rsid w:val="00693BD3"/>
    <w:rsid w:val="00694D68"/>
    <w:rsid w:val="00695E1C"/>
    <w:rsid w:val="00696890"/>
    <w:rsid w:val="006972E6"/>
    <w:rsid w:val="006A0A0E"/>
    <w:rsid w:val="006A15A7"/>
    <w:rsid w:val="006A1F6B"/>
    <w:rsid w:val="006A3CDE"/>
    <w:rsid w:val="006A6BE4"/>
    <w:rsid w:val="006A78E3"/>
    <w:rsid w:val="006B1F0E"/>
    <w:rsid w:val="006B3785"/>
    <w:rsid w:val="006C026F"/>
    <w:rsid w:val="006C11B4"/>
    <w:rsid w:val="006C2440"/>
    <w:rsid w:val="006C259F"/>
    <w:rsid w:val="006D01FE"/>
    <w:rsid w:val="006D0304"/>
    <w:rsid w:val="006D12BF"/>
    <w:rsid w:val="006D3E5E"/>
    <w:rsid w:val="006D4D35"/>
    <w:rsid w:val="006D5E61"/>
    <w:rsid w:val="006E06DB"/>
    <w:rsid w:val="006E0B16"/>
    <w:rsid w:val="006E341F"/>
    <w:rsid w:val="006E3888"/>
    <w:rsid w:val="006F287B"/>
    <w:rsid w:val="006F454A"/>
    <w:rsid w:val="006F4EB5"/>
    <w:rsid w:val="006F5D21"/>
    <w:rsid w:val="006F766F"/>
    <w:rsid w:val="00702E26"/>
    <w:rsid w:val="00703A1E"/>
    <w:rsid w:val="00704B07"/>
    <w:rsid w:val="00717E6A"/>
    <w:rsid w:val="00720365"/>
    <w:rsid w:val="00722669"/>
    <w:rsid w:val="00724F14"/>
    <w:rsid w:val="0072507A"/>
    <w:rsid w:val="00725E0E"/>
    <w:rsid w:val="007263BF"/>
    <w:rsid w:val="00733CBC"/>
    <w:rsid w:val="00735645"/>
    <w:rsid w:val="00735F7F"/>
    <w:rsid w:val="0073700C"/>
    <w:rsid w:val="00741270"/>
    <w:rsid w:val="00741496"/>
    <w:rsid w:val="00742182"/>
    <w:rsid w:val="007446D7"/>
    <w:rsid w:val="00746D91"/>
    <w:rsid w:val="00747225"/>
    <w:rsid w:val="007532AF"/>
    <w:rsid w:val="00753C2B"/>
    <w:rsid w:val="0075523F"/>
    <w:rsid w:val="00760072"/>
    <w:rsid w:val="007615EA"/>
    <w:rsid w:val="00761896"/>
    <w:rsid w:val="00763AA8"/>
    <w:rsid w:val="00763E82"/>
    <w:rsid w:val="007667E9"/>
    <w:rsid w:val="00770391"/>
    <w:rsid w:val="00771A54"/>
    <w:rsid w:val="00773B9C"/>
    <w:rsid w:val="00777ABC"/>
    <w:rsid w:val="007800AA"/>
    <w:rsid w:val="007818DC"/>
    <w:rsid w:val="00783EC9"/>
    <w:rsid w:val="007905B1"/>
    <w:rsid w:val="00790AA4"/>
    <w:rsid w:val="007919BB"/>
    <w:rsid w:val="00792DBA"/>
    <w:rsid w:val="00797FD8"/>
    <w:rsid w:val="007A0785"/>
    <w:rsid w:val="007A0D09"/>
    <w:rsid w:val="007A22D0"/>
    <w:rsid w:val="007B1AEF"/>
    <w:rsid w:val="007B22C5"/>
    <w:rsid w:val="007B53F0"/>
    <w:rsid w:val="007B5D00"/>
    <w:rsid w:val="007B7D9F"/>
    <w:rsid w:val="007C026D"/>
    <w:rsid w:val="007C4380"/>
    <w:rsid w:val="007C77BC"/>
    <w:rsid w:val="007D1E32"/>
    <w:rsid w:val="007D41F8"/>
    <w:rsid w:val="007D4BCD"/>
    <w:rsid w:val="007E18B5"/>
    <w:rsid w:val="007E2327"/>
    <w:rsid w:val="007E27EE"/>
    <w:rsid w:val="007E7608"/>
    <w:rsid w:val="007E7A7F"/>
    <w:rsid w:val="007F0CC4"/>
    <w:rsid w:val="007F2919"/>
    <w:rsid w:val="007F386C"/>
    <w:rsid w:val="007F46A9"/>
    <w:rsid w:val="007F6A70"/>
    <w:rsid w:val="00802FF7"/>
    <w:rsid w:val="008054A6"/>
    <w:rsid w:val="0080682F"/>
    <w:rsid w:val="00807215"/>
    <w:rsid w:val="00810CAB"/>
    <w:rsid w:val="00810DCC"/>
    <w:rsid w:val="00812BD7"/>
    <w:rsid w:val="00812E67"/>
    <w:rsid w:val="00816155"/>
    <w:rsid w:val="00816226"/>
    <w:rsid w:val="008200AC"/>
    <w:rsid w:val="008207D2"/>
    <w:rsid w:val="00821A92"/>
    <w:rsid w:val="00822D6C"/>
    <w:rsid w:val="00824262"/>
    <w:rsid w:val="008246CE"/>
    <w:rsid w:val="008248CC"/>
    <w:rsid w:val="00825A55"/>
    <w:rsid w:val="008302B6"/>
    <w:rsid w:val="00832693"/>
    <w:rsid w:val="00833896"/>
    <w:rsid w:val="00834823"/>
    <w:rsid w:val="00843B09"/>
    <w:rsid w:val="0084483E"/>
    <w:rsid w:val="00845478"/>
    <w:rsid w:val="00845580"/>
    <w:rsid w:val="00847DE1"/>
    <w:rsid w:val="00850DB5"/>
    <w:rsid w:val="008534F2"/>
    <w:rsid w:val="00853903"/>
    <w:rsid w:val="00856B0A"/>
    <w:rsid w:val="008570C5"/>
    <w:rsid w:val="0085726C"/>
    <w:rsid w:val="0086041F"/>
    <w:rsid w:val="00860E9C"/>
    <w:rsid w:val="00863C12"/>
    <w:rsid w:val="00863C14"/>
    <w:rsid w:val="0086538A"/>
    <w:rsid w:val="008653A1"/>
    <w:rsid w:val="0086679B"/>
    <w:rsid w:val="00866A05"/>
    <w:rsid w:val="00867421"/>
    <w:rsid w:val="00870CB3"/>
    <w:rsid w:val="00875F44"/>
    <w:rsid w:val="00885FE7"/>
    <w:rsid w:val="008863AA"/>
    <w:rsid w:val="008871A2"/>
    <w:rsid w:val="00892CFF"/>
    <w:rsid w:val="008A2949"/>
    <w:rsid w:val="008A2D5E"/>
    <w:rsid w:val="008A3502"/>
    <w:rsid w:val="008A43FB"/>
    <w:rsid w:val="008B42DC"/>
    <w:rsid w:val="008B57DB"/>
    <w:rsid w:val="008B615A"/>
    <w:rsid w:val="008B67FC"/>
    <w:rsid w:val="008C1BE9"/>
    <w:rsid w:val="008C268D"/>
    <w:rsid w:val="008C2938"/>
    <w:rsid w:val="008C6899"/>
    <w:rsid w:val="008C6C3E"/>
    <w:rsid w:val="008C73FC"/>
    <w:rsid w:val="008D1947"/>
    <w:rsid w:val="008D1B92"/>
    <w:rsid w:val="008D2445"/>
    <w:rsid w:val="008D2E70"/>
    <w:rsid w:val="008D6624"/>
    <w:rsid w:val="008E02CC"/>
    <w:rsid w:val="008E0740"/>
    <w:rsid w:val="008E2DF0"/>
    <w:rsid w:val="008E3300"/>
    <w:rsid w:val="008E3AA6"/>
    <w:rsid w:val="008E4B62"/>
    <w:rsid w:val="008E745E"/>
    <w:rsid w:val="008F09C6"/>
    <w:rsid w:val="008F2571"/>
    <w:rsid w:val="00901F06"/>
    <w:rsid w:val="0090317C"/>
    <w:rsid w:val="009078E4"/>
    <w:rsid w:val="00915005"/>
    <w:rsid w:val="00916722"/>
    <w:rsid w:val="00926158"/>
    <w:rsid w:val="0092634C"/>
    <w:rsid w:val="009277AB"/>
    <w:rsid w:val="00932E66"/>
    <w:rsid w:val="009351F0"/>
    <w:rsid w:val="0093705B"/>
    <w:rsid w:val="009370B8"/>
    <w:rsid w:val="009409C8"/>
    <w:rsid w:val="009425AF"/>
    <w:rsid w:val="00944839"/>
    <w:rsid w:val="00950716"/>
    <w:rsid w:val="00950ABF"/>
    <w:rsid w:val="0095623A"/>
    <w:rsid w:val="009604D4"/>
    <w:rsid w:val="0096247B"/>
    <w:rsid w:val="00963CD8"/>
    <w:rsid w:val="00965AD7"/>
    <w:rsid w:val="00966582"/>
    <w:rsid w:val="00966C3D"/>
    <w:rsid w:val="00972451"/>
    <w:rsid w:val="00972C29"/>
    <w:rsid w:val="00973A93"/>
    <w:rsid w:val="00982190"/>
    <w:rsid w:val="00984F44"/>
    <w:rsid w:val="00986980"/>
    <w:rsid w:val="00987356"/>
    <w:rsid w:val="009873D6"/>
    <w:rsid w:val="00987AB2"/>
    <w:rsid w:val="00990822"/>
    <w:rsid w:val="00991673"/>
    <w:rsid w:val="0099530F"/>
    <w:rsid w:val="00997A4E"/>
    <w:rsid w:val="00997A77"/>
    <w:rsid w:val="009A3E15"/>
    <w:rsid w:val="009A6BEA"/>
    <w:rsid w:val="009B168A"/>
    <w:rsid w:val="009B35A2"/>
    <w:rsid w:val="009B36AC"/>
    <w:rsid w:val="009B3EC2"/>
    <w:rsid w:val="009B56E3"/>
    <w:rsid w:val="009C0B34"/>
    <w:rsid w:val="009C2035"/>
    <w:rsid w:val="009C4648"/>
    <w:rsid w:val="009D2887"/>
    <w:rsid w:val="009D44C7"/>
    <w:rsid w:val="009D4530"/>
    <w:rsid w:val="009D4581"/>
    <w:rsid w:val="009D78FE"/>
    <w:rsid w:val="009D7940"/>
    <w:rsid w:val="009E0685"/>
    <w:rsid w:val="009E1BFB"/>
    <w:rsid w:val="009E549B"/>
    <w:rsid w:val="009E707D"/>
    <w:rsid w:val="009E7B00"/>
    <w:rsid w:val="009F08E2"/>
    <w:rsid w:val="009F48C2"/>
    <w:rsid w:val="00A016DF"/>
    <w:rsid w:val="00A104DD"/>
    <w:rsid w:val="00A1174B"/>
    <w:rsid w:val="00A14193"/>
    <w:rsid w:val="00A15261"/>
    <w:rsid w:val="00A16BED"/>
    <w:rsid w:val="00A20B02"/>
    <w:rsid w:val="00A2143F"/>
    <w:rsid w:val="00A218ED"/>
    <w:rsid w:val="00A232F7"/>
    <w:rsid w:val="00A23322"/>
    <w:rsid w:val="00A23B65"/>
    <w:rsid w:val="00A25A9C"/>
    <w:rsid w:val="00A26E83"/>
    <w:rsid w:val="00A3451C"/>
    <w:rsid w:val="00A37903"/>
    <w:rsid w:val="00A37AA7"/>
    <w:rsid w:val="00A449B8"/>
    <w:rsid w:val="00A46BD3"/>
    <w:rsid w:val="00A47B0E"/>
    <w:rsid w:val="00A50133"/>
    <w:rsid w:val="00A627A7"/>
    <w:rsid w:val="00A62C8B"/>
    <w:rsid w:val="00A633FC"/>
    <w:rsid w:val="00A6343B"/>
    <w:rsid w:val="00A63EFE"/>
    <w:rsid w:val="00A70DE2"/>
    <w:rsid w:val="00A718B5"/>
    <w:rsid w:val="00A729AF"/>
    <w:rsid w:val="00A739D1"/>
    <w:rsid w:val="00A744AF"/>
    <w:rsid w:val="00A74A8B"/>
    <w:rsid w:val="00A75199"/>
    <w:rsid w:val="00A77DF3"/>
    <w:rsid w:val="00A80E21"/>
    <w:rsid w:val="00A83660"/>
    <w:rsid w:val="00A870A9"/>
    <w:rsid w:val="00A87345"/>
    <w:rsid w:val="00A907DF"/>
    <w:rsid w:val="00A963AA"/>
    <w:rsid w:val="00AA146C"/>
    <w:rsid w:val="00AA2E22"/>
    <w:rsid w:val="00AA301F"/>
    <w:rsid w:val="00AA32B6"/>
    <w:rsid w:val="00AA3E9C"/>
    <w:rsid w:val="00AA4FB5"/>
    <w:rsid w:val="00AB65FF"/>
    <w:rsid w:val="00AB780E"/>
    <w:rsid w:val="00AB7813"/>
    <w:rsid w:val="00AC0968"/>
    <w:rsid w:val="00AC0B95"/>
    <w:rsid w:val="00AC1201"/>
    <w:rsid w:val="00AC24B5"/>
    <w:rsid w:val="00AC583D"/>
    <w:rsid w:val="00AD7532"/>
    <w:rsid w:val="00AE0495"/>
    <w:rsid w:val="00AE13B1"/>
    <w:rsid w:val="00AE1460"/>
    <w:rsid w:val="00AE175E"/>
    <w:rsid w:val="00AE260F"/>
    <w:rsid w:val="00AE3739"/>
    <w:rsid w:val="00AE3839"/>
    <w:rsid w:val="00AE3C7B"/>
    <w:rsid w:val="00AE3EE5"/>
    <w:rsid w:val="00AE4165"/>
    <w:rsid w:val="00AE42F4"/>
    <w:rsid w:val="00AE7FBA"/>
    <w:rsid w:val="00AF689A"/>
    <w:rsid w:val="00AF7E8F"/>
    <w:rsid w:val="00B0015A"/>
    <w:rsid w:val="00B01FC1"/>
    <w:rsid w:val="00B06F72"/>
    <w:rsid w:val="00B103E8"/>
    <w:rsid w:val="00B10EEC"/>
    <w:rsid w:val="00B11EF5"/>
    <w:rsid w:val="00B12A54"/>
    <w:rsid w:val="00B1450E"/>
    <w:rsid w:val="00B154E7"/>
    <w:rsid w:val="00B158A1"/>
    <w:rsid w:val="00B16244"/>
    <w:rsid w:val="00B16FC4"/>
    <w:rsid w:val="00B2005C"/>
    <w:rsid w:val="00B21408"/>
    <w:rsid w:val="00B23A07"/>
    <w:rsid w:val="00B24EDF"/>
    <w:rsid w:val="00B253F8"/>
    <w:rsid w:val="00B27704"/>
    <w:rsid w:val="00B27AD8"/>
    <w:rsid w:val="00B300DD"/>
    <w:rsid w:val="00B315F8"/>
    <w:rsid w:val="00B31B68"/>
    <w:rsid w:val="00B320AE"/>
    <w:rsid w:val="00B34811"/>
    <w:rsid w:val="00B34DE7"/>
    <w:rsid w:val="00B360A7"/>
    <w:rsid w:val="00B371C2"/>
    <w:rsid w:val="00B376DB"/>
    <w:rsid w:val="00B446BE"/>
    <w:rsid w:val="00B44717"/>
    <w:rsid w:val="00B45AF7"/>
    <w:rsid w:val="00B46616"/>
    <w:rsid w:val="00B50291"/>
    <w:rsid w:val="00B52195"/>
    <w:rsid w:val="00B526DB"/>
    <w:rsid w:val="00B53FB1"/>
    <w:rsid w:val="00B54F6D"/>
    <w:rsid w:val="00B5745C"/>
    <w:rsid w:val="00B57847"/>
    <w:rsid w:val="00B6014A"/>
    <w:rsid w:val="00B60B2A"/>
    <w:rsid w:val="00B62F96"/>
    <w:rsid w:val="00B6436E"/>
    <w:rsid w:val="00B66319"/>
    <w:rsid w:val="00B67F5C"/>
    <w:rsid w:val="00B748E2"/>
    <w:rsid w:val="00B74BD3"/>
    <w:rsid w:val="00B74C4F"/>
    <w:rsid w:val="00B750B4"/>
    <w:rsid w:val="00B7529B"/>
    <w:rsid w:val="00B76409"/>
    <w:rsid w:val="00B77641"/>
    <w:rsid w:val="00B8269D"/>
    <w:rsid w:val="00B83FF5"/>
    <w:rsid w:val="00B858A9"/>
    <w:rsid w:val="00B85B32"/>
    <w:rsid w:val="00B92360"/>
    <w:rsid w:val="00B92632"/>
    <w:rsid w:val="00B93D80"/>
    <w:rsid w:val="00B9534C"/>
    <w:rsid w:val="00B96C4D"/>
    <w:rsid w:val="00BA590A"/>
    <w:rsid w:val="00BB24BC"/>
    <w:rsid w:val="00BB6375"/>
    <w:rsid w:val="00BC4623"/>
    <w:rsid w:val="00BC4AC2"/>
    <w:rsid w:val="00BC5180"/>
    <w:rsid w:val="00BD01B4"/>
    <w:rsid w:val="00BD20EE"/>
    <w:rsid w:val="00BD6B29"/>
    <w:rsid w:val="00BD75F8"/>
    <w:rsid w:val="00BE4D5F"/>
    <w:rsid w:val="00BE4F45"/>
    <w:rsid w:val="00BE7E3B"/>
    <w:rsid w:val="00BF1276"/>
    <w:rsid w:val="00BF269D"/>
    <w:rsid w:val="00BF3BE3"/>
    <w:rsid w:val="00BF3C09"/>
    <w:rsid w:val="00BF5F6E"/>
    <w:rsid w:val="00BF6B90"/>
    <w:rsid w:val="00BF7F98"/>
    <w:rsid w:val="00C0669C"/>
    <w:rsid w:val="00C07854"/>
    <w:rsid w:val="00C11035"/>
    <w:rsid w:val="00C14A9D"/>
    <w:rsid w:val="00C15716"/>
    <w:rsid w:val="00C16A22"/>
    <w:rsid w:val="00C16A81"/>
    <w:rsid w:val="00C16D06"/>
    <w:rsid w:val="00C178F4"/>
    <w:rsid w:val="00C17FA3"/>
    <w:rsid w:val="00C2208F"/>
    <w:rsid w:val="00C23F03"/>
    <w:rsid w:val="00C25050"/>
    <w:rsid w:val="00C27653"/>
    <w:rsid w:val="00C32E63"/>
    <w:rsid w:val="00C366C5"/>
    <w:rsid w:val="00C36BAB"/>
    <w:rsid w:val="00C3725A"/>
    <w:rsid w:val="00C40B25"/>
    <w:rsid w:val="00C432E3"/>
    <w:rsid w:val="00C444B4"/>
    <w:rsid w:val="00C4629C"/>
    <w:rsid w:val="00C51278"/>
    <w:rsid w:val="00C51D7C"/>
    <w:rsid w:val="00C51F1E"/>
    <w:rsid w:val="00C5303F"/>
    <w:rsid w:val="00C53474"/>
    <w:rsid w:val="00C557D3"/>
    <w:rsid w:val="00C6408C"/>
    <w:rsid w:val="00C64A26"/>
    <w:rsid w:val="00C64D0A"/>
    <w:rsid w:val="00C64D68"/>
    <w:rsid w:val="00C66475"/>
    <w:rsid w:val="00C752BA"/>
    <w:rsid w:val="00C820BD"/>
    <w:rsid w:val="00C8235C"/>
    <w:rsid w:val="00C82C60"/>
    <w:rsid w:val="00C87511"/>
    <w:rsid w:val="00C909DD"/>
    <w:rsid w:val="00C925D4"/>
    <w:rsid w:val="00C928F4"/>
    <w:rsid w:val="00C94583"/>
    <w:rsid w:val="00CB0D8A"/>
    <w:rsid w:val="00CB3036"/>
    <w:rsid w:val="00CB44DD"/>
    <w:rsid w:val="00CB6AB2"/>
    <w:rsid w:val="00CC013E"/>
    <w:rsid w:val="00CC0324"/>
    <w:rsid w:val="00CC2966"/>
    <w:rsid w:val="00CC7099"/>
    <w:rsid w:val="00CD29E4"/>
    <w:rsid w:val="00CD39DB"/>
    <w:rsid w:val="00CD4CB3"/>
    <w:rsid w:val="00CD5344"/>
    <w:rsid w:val="00CE002B"/>
    <w:rsid w:val="00CE0A23"/>
    <w:rsid w:val="00CE0D3D"/>
    <w:rsid w:val="00CE1487"/>
    <w:rsid w:val="00CE14A6"/>
    <w:rsid w:val="00CE183D"/>
    <w:rsid w:val="00CE373C"/>
    <w:rsid w:val="00CE3FAF"/>
    <w:rsid w:val="00CE4486"/>
    <w:rsid w:val="00CE59FB"/>
    <w:rsid w:val="00CE5ADA"/>
    <w:rsid w:val="00CF5C1A"/>
    <w:rsid w:val="00CF627D"/>
    <w:rsid w:val="00D00A40"/>
    <w:rsid w:val="00D06C55"/>
    <w:rsid w:val="00D0783E"/>
    <w:rsid w:val="00D107A4"/>
    <w:rsid w:val="00D11219"/>
    <w:rsid w:val="00D11FA0"/>
    <w:rsid w:val="00D16C3C"/>
    <w:rsid w:val="00D201E0"/>
    <w:rsid w:val="00D27458"/>
    <w:rsid w:val="00D30D89"/>
    <w:rsid w:val="00D30EC8"/>
    <w:rsid w:val="00D352A7"/>
    <w:rsid w:val="00D36362"/>
    <w:rsid w:val="00D4216C"/>
    <w:rsid w:val="00D4361E"/>
    <w:rsid w:val="00D439A9"/>
    <w:rsid w:val="00D459BE"/>
    <w:rsid w:val="00D46434"/>
    <w:rsid w:val="00D46BBB"/>
    <w:rsid w:val="00D47CE9"/>
    <w:rsid w:val="00D52048"/>
    <w:rsid w:val="00D55E07"/>
    <w:rsid w:val="00D617FA"/>
    <w:rsid w:val="00D63327"/>
    <w:rsid w:val="00D652D9"/>
    <w:rsid w:val="00D72437"/>
    <w:rsid w:val="00D7335A"/>
    <w:rsid w:val="00D76872"/>
    <w:rsid w:val="00D80D54"/>
    <w:rsid w:val="00D81598"/>
    <w:rsid w:val="00D83F18"/>
    <w:rsid w:val="00D86003"/>
    <w:rsid w:val="00D8787C"/>
    <w:rsid w:val="00D904D6"/>
    <w:rsid w:val="00D93CE4"/>
    <w:rsid w:val="00D93D2D"/>
    <w:rsid w:val="00D97E66"/>
    <w:rsid w:val="00DA07FC"/>
    <w:rsid w:val="00DA2524"/>
    <w:rsid w:val="00DA2B11"/>
    <w:rsid w:val="00DA45E4"/>
    <w:rsid w:val="00DA6A1F"/>
    <w:rsid w:val="00DB3058"/>
    <w:rsid w:val="00DB3D40"/>
    <w:rsid w:val="00DB6195"/>
    <w:rsid w:val="00DB69CC"/>
    <w:rsid w:val="00DB728F"/>
    <w:rsid w:val="00DC34DF"/>
    <w:rsid w:val="00DC552E"/>
    <w:rsid w:val="00DC616E"/>
    <w:rsid w:val="00DC7C2C"/>
    <w:rsid w:val="00DC7DF3"/>
    <w:rsid w:val="00DD0206"/>
    <w:rsid w:val="00DD2D75"/>
    <w:rsid w:val="00DD4C5C"/>
    <w:rsid w:val="00DD4C87"/>
    <w:rsid w:val="00DD4F41"/>
    <w:rsid w:val="00DE173E"/>
    <w:rsid w:val="00DE3FFA"/>
    <w:rsid w:val="00DE4B7C"/>
    <w:rsid w:val="00DE5972"/>
    <w:rsid w:val="00DE5E26"/>
    <w:rsid w:val="00DE6EA0"/>
    <w:rsid w:val="00DE770C"/>
    <w:rsid w:val="00DF02A6"/>
    <w:rsid w:val="00DF02AA"/>
    <w:rsid w:val="00DF163B"/>
    <w:rsid w:val="00DF229C"/>
    <w:rsid w:val="00DF5293"/>
    <w:rsid w:val="00DF7272"/>
    <w:rsid w:val="00DF7611"/>
    <w:rsid w:val="00DF772F"/>
    <w:rsid w:val="00E0297B"/>
    <w:rsid w:val="00E02C2D"/>
    <w:rsid w:val="00E0575C"/>
    <w:rsid w:val="00E114A4"/>
    <w:rsid w:val="00E17ADD"/>
    <w:rsid w:val="00E20B0F"/>
    <w:rsid w:val="00E21E1A"/>
    <w:rsid w:val="00E21FB7"/>
    <w:rsid w:val="00E2315B"/>
    <w:rsid w:val="00E24401"/>
    <w:rsid w:val="00E27D55"/>
    <w:rsid w:val="00E3101A"/>
    <w:rsid w:val="00E343CA"/>
    <w:rsid w:val="00E351C9"/>
    <w:rsid w:val="00E3622C"/>
    <w:rsid w:val="00E36FE5"/>
    <w:rsid w:val="00E378A4"/>
    <w:rsid w:val="00E446FA"/>
    <w:rsid w:val="00E44809"/>
    <w:rsid w:val="00E44A3E"/>
    <w:rsid w:val="00E4600A"/>
    <w:rsid w:val="00E461B9"/>
    <w:rsid w:val="00E47314"/>
    <w:rsid w:val="00E477D7"/>
    <w:rsid w:val="00E50F34"/>
    <w:rsid w:val="00E513E2"/>
    <w:rsid w:val="00E51490"/>
    <w:rsid w:val="00E56376"/>
    <w:rsid w:val="00E574B0"/>
    <w:rsid w:val="00E621EB"/>
    <w:rsid w:val="00E6263D"/>
    <w:rsid w:val="00E632E8"/>
    <w:rsid w:val="00E639F4"/>
    <w:rsid w:val="00E6445A"/>
    <w:rsid w:val="00E737F1"/>
    <w:rsid w:val="00E775A9"/>
    <w:rsid w:val="00E80E9B"/>
    <w:rsid w:val="00E81834"/>
    <w:rsid w:val="00E90396"/>
    <w:rsid w:val="00E91CE9"/>
    <w:rsid w:val="00E93263"/>
    <w:rsid w:val="00E94599"/>
    <w:rsid w:val="00E94DE0"/>
    <w:rsid w:val="00EA2441"/>
    <w:rsid w:val="00EA2EDA"/>
    <w:rsid w:val="00EB32D0"/>
    <w:rsid w:val="00EB46DC"/>
    <w:rsid w:val="00EC12AD"/>
    <w:rsid w:val="00EC2DC9"/>
    <w:rsid w:val="00EC2DD7"/>
    <w:rsid w:val="00EC5775"/>
    <w:rsid w:val="00EC7E20"/>
    <w:rsid w:val="00ED0F6D"/>
    <w:rsid w:val="00ED171E"/>
    <w:rsid w:val="00ED2329"/>
    <w:rsid w:val="00ED4227"/>
    <w:rsid w:val="00ED54D1"/>
    <w:rsid w:val="00ED6378"/>
    <w:rsid w:val="00EE14C7"/>
    <w:rsid w:val="00EE2077"/>
    <w:rsid w:val="00EE279E"/>
    <w:rsid w:val="00EE2D55"/>
    <w:rsid w:val="00EE63A3"/>
    <w:rsid w:val="00EE65C6"/>
    <w:rsid w:val="00EE6ECB"/>
    <w:rsid w:val="00EF04AB"/>
    <w:rsid w:val="00EF30B6"/>
    <w:rsid w:val="00EF4592"/>
    <w:rsid w:val="00F03375"/>
    <w:rsid w:val="00F06F9B"/>
    <w:rsid w:val="00F1227D"/>
    <w:rsid w:val="00F12667"/>
    <w:rsid w:val="00F14F07"/>
    <w:rsid w:val="00F15BCB"/>
    <w:rsid w:val="00F15EB3"/>
    <w:rsid w:val="00F2113E"/>
    <w:rsid w:val="00F225CB"/>
    <w:rsid w:val="00F2468E"/>
    <w:rsid w:val="00F25CB0"/>
    <w:rsid w:val="00F25DFD"/>
    <w:rsid w:val="00F26762"/>
    <w:rsid w:val="00F3161C"/>
    <w:rsid w:val="00F31F70"/>
    <w:rsid w:val="00F329FF"/>
    <w:rsid w:val="00F3357D"/>
    <w:rsid w:val="00F33B16"/>
    <w:rsid w:val="00F35FB9"/>
    <w:rsid w:val="00F36BF4"/>
    <w:rsid w:val="00F44EC1"/>
    <w:rsid w:val="00F46F28"/>
    <w:rsid w:val="00F47D54"/>
    <w:rsid w:val="00F53324"/>
    <w:rsid w:val="00F631A6"/>
    <w:rsid w:val="00F634C4"/>
    <w:rsid w:val="00F64813"/>
    <w:rsid w:val="00F655B6"/>
    <w:rsid w:val="00F6767F"/>
    <w:rsid w:val="00F7040F"/>
    <w:rsid w:val="00F708F8"/>
    <w:rsid w:val="00F73091"/>
    <w:rsid w:val="00F80343"/>
    <w:rsid w:val="00F8178A"/>
    <w:rsid w:val="00F82114"/>
    <w:rsid w:val="00F82CA4"/>
    <w:rsid w:val="00F843B4"/>
    <w:rsid w:val="00F85D7F"/>
    <w:rsid w:val="00F8742D"/>
    <w:rsid w:val="00F91F14"/>
    <w:rsid w:val="00F9403B"/>
    <w:rsid w:val="00FA15E5"/>
    <w:rsid w:val="00FA4AA8"/>
    <w:rsid w:val="00FA54FE"/>
    <w:rsid w:val="00FA6EFE"/>
    <w:rsid w:val="00FA7692"/>
    <w:rsid w:val="00FB16A7"/>
    <w:rsid w:val="00FB2F0A"/>
    <w:rsid w:val="00FB31FA"/>
    <w:rsid w:val="00FB5003"/>
    <w:rsid w:val="00FC0629"/>
    <w:rsid w:val="00FC1EE1"/>
    <w:rsid w:val="00FC5245"/>
    <w:rsid w:val="00FD04EB"/>
    <w:rsid w:val="00FD0DC4"/>
    <w:rsid w:val="00FD0F2F"/>
    <w:rsid w:val="00FD169D"/>
    <w:rsid w:val="00FD3780"/>
    <w:rsid w:val="00FD3B59"/>
    <w:rsid w:val="00FD3EE4"/>
    <w:rsid w:val="00FD4F79"/>
    <w:rsid w:val="00FD6109"/>
    <w:rsid w:val="00FD7CE4"/>
    <w:rsid w:val="00FD7F8F"/>
    <w:rsid w:val="00FE207A"/>
    <w:rsid w:val="00FE2F7B"/>
    <w:rsid w:val="00FE3EEA"/>
    <w:rsid w:val="00FE542F"/>
    <w:rsid w:val="00FF064D"/>
    <w:rsid w:val="00FF2204"/>
    <w:rsid w:val="00FF36FA"/>
    <w:rsid w:val="00FF722C"/>
    <w:rsid w:val="01027E5C"/>
    <w:rsid w:val="010C2B69"/>
    <w:rsid w:val="011216B6"/>
    <w:rsid w:val="011E1AE4"/>
    <w:rsid w:val="0147153B"/>
    <w:rsid w:val="01606FDB"/>
    <w:rsid w:val="016908DE"/>
    <w:rsid w:val="01792184"/>
    <w:rsid w:val="017B2F92"/>
    <w:rsid w:val="017E5FA0"/>
    <w:rsid w:val="018514CF"/>
    <w:rsid w:val="01874535"/>
    <w:rsid w:val="018E5CC5"/>
    <w:rsid w:val="019E5991"/>
    <w:rsid w:val="01A019AA"/>
    <w:rsid w:val="01A96046"/>
    <w:rsid w:val="01B029F8"/>
    <w:rsid w:val="01B67601"/>
    <w:rsid w:val="01CB2E8B"/>
    <w:rsid w:val="01D95F0B"/>
    <w:rsid w:val="01DE1773"/>
    <w:rsid w:val="01FD609D"/>
    <w:rsid w:val="02070DD6"/>
    <w:rsid w:val="022B3727"/>
    <w:rsid w:val="02323BAA"/>
    <w:rsid w:val="02380249"/>
    <w:rsid w:val="025005C5"/>
    <w:rsid w:val="02510197"/>
    <w:rsid w:val="025C1DBC"/>
    <w:rsid w:val="02663EAD"/>
    <w:rsid w:val="02667B4D"/>
    <w:rsid w:val="02746BAB"/>
    <w:rsid w:val="028043E0"/>
    <w:rsid w:val="02840270"/>
    <w:rsid w:val="02847F05"/>
    <w:rsid w:val="029E0CDB"/>
    <w:rsid w:val="02A47361"/>
    <w:rsid w:val="02A824AD"/>
    <w:rsid w:val="02B96468"/>
    <w:rsid w:val="02BB280A"/>
    <w:rsid w:val="02BC6EF0"/>
    <w:rsid w:val="02C44E0D"/>
    <w:rsid w:val="02CE17E8"/>
    <w:rsid w:val="02CE3403"/>
    <w:rsid w:val="02D0730E"/>
    <w:rsid w:val="02E72159"/>
    <w:rsid w:val="02F8709B"/>
    <w:rsid w:val="02FE7911"/>
    <w:rsid w:val="032F4898"/>
    <w:rsid w:val="03374F36"/>
    <w:rsid w:val="0337738D"/>
    <w:rsid w:val="033D4102"/>
    <w:rsid w:val="03411FB9"/>
    <w:rsid w:val="034C1D5D"/>
    <w:rsid w:val="03502CFD"/>
    <w:rsid w:val="03633F1C"/>
    <w:rsid w:val="03685A61"/>
    <w:rsid w:val="03930613"/>
    <w:rsid w:val="039447DF"/>
    <w:rsid w:val="03A74512"/>
    <w:rsid w:val="03BC4BD4"/>
    <w:rsid w:val="03C06894"/>
    <w:rsid w:val="03D2580E"/>
    <w:rsid w:val="03FC51CB"/>
    <w:rsid w:val="041D7567"/>
    <w:rsid w:val="048033EF"/>
    <w:rsid w:val="048760F2"/>
    <w:rsid w:val="048D43A6"/>
    <w:rsid w:val="048F3C18"/>
    <w:rsid w:val="049D5915"/>
    <w:rsid w:val="04CA2EB8"/>
    <w:rsid w:val="04CB41E8"/>
    <w:rsid w:val="04D962EF"/>
    <w:rsid w:val="04DC643E"/>
    <w:rsid w:val="0503742A"/>
    <w:rsid w:val="05137986"/>
    <w:rsid w:val="05241B93"/>
    <w:rsid w:val="05485881"/>
    <w:rsid w:val="055479C4"/>
    <w:rsid w:val="05573452"/>
    <w:rsid w:val="055E4967"/>
    <w:rsid w:val="0563090D"/>
    <w:rsid w:val="05790857"/>
    <w:rsid w:val="05A54A82"/>
    <w:rsid w:val="05A86320"/>
    <w:rsid w:val="05C55124"/>
    <w:rsid w:val="05D13AC9"/>
    <w:rsid w:val="05E0020A"/>
    <w:rsid w:val="060D0C49"/>
    <w:rsid w:val="06181458"/>
    <w:rsid w:val="06336531"/>
    <w:rsid w:val="0639341C"/>
    <w:rsid w:val="064006F3"/>
    <w:rsid w:val="06422C2D"/>
    <w:rsid w:val="06482F2B"/>
    <w:rsid w:val="064E12C8"/>
    <w:rsid w:val="065364FE"/>
    <w:rsid w:val="065A13C7"/>
    <w:rsid w:val="06654211"/>
    <w:rsid w:val="066A5A55"/>
    <w:rsid w:val="067032E2"/>
    <w:rsid w:val="067526A6"/>
    <w:rsid w:val="06755314"/>
    <w:rsid w:val="0678353E"/>
    <w:rsid w:val="06835F3A"/>
    <w:rsid w:val="06905732"/>
    <w:rsid w:val="06965E6A"/>
    <w:rsid w:val="069A035E"/>
    <w:rsid w:val="06C97BAD"/>
    <w:rsid w:val="06DD024B"/>
    <w:rsid w:val="06EB0BBA"/>
    <w:rsid w:val="06F35CC1"/>
    <w:rsid w:val="070E509C"/>
    <w:rsid w:val="07372051"/>
    <w:rsid w:val="073C7C63"/>
    <w:rsid w:val="075220F4"/>
    <w:rsid w:val="07524795"/>
    <w:rsid w:val="075A189C"/>
    <w:rsid w:val="07762B7A"/>
    <w:rsid w:val="077C4159"/>
    <w:rsid w:val="078828AD"/>
    <w:rsid w:val="079B4B3D"/>
    <w:rsid w:val="079E2DA6"/>
    <w:rsid w:val="07B471FE"/>
    <w:rsid w:val="07BB67DE"/>
    <w:rsid w:val="07C37441"/>
    <w:rsid w:val="07CB1364"/>
    <w:rsid w:val="07CC279A"/>
    <w:rsid w:val="07E07FF3"/>
    <w:rsid w:val="07FC6546"/>
    <w:rsid w:val="07FE2B6F"/>
    <w:rsid w:val="081657AF"/>
    <w:rsid w:val="08227A35"/>
    <w:rsid w:val="08253C58"/>
    <w:rsid w:val="082B1C77"/>
    <w:rsid w:val="082C148A"/>
    <w:rsid w:val="087A19F6"/>
    <w:rsid w:val="08822685"/>
    <w:rsid w:val="08A77042"/>
    <w:rsid w:val="08DD09D6"/>
    <w:rsid w:val="08E50D18"/>
    <w:rsid w:val="08F178F4"/>
    <w:rsid w:val="08F822C4"/>
    <w:rsid w:val="090E6DE2"/>
    <w:rsid w:val="091B6D1A"/>
    <w:rsid w:val="091C14FF"/>
    <w:rsid w:val="091D4E83"/>
    <w:rsid w:val="09381603"/>
    <w:rsid w:val="09385C0D"/>
    <w:rsid w:val="0950795F"/>
    <w:rsid w:val="095F1D10"/>
    <w:rsid w:val="096114AF"/>
    <w:rsid w:val="096376DD"/>
    <w:rsid w:val="096D2029"/>
    <w:rsid w:val="097766A4"/>
    <w:rsid w:val="097E7AC3"/>
    <w:rsid w:val="09CD0A4B"/>
    <w:rsid w:val="09CE48A6"/>
    <w:rsid w:val="09D75426"/>
    <w:rsid w:val="09E013D8"/>
    <w:rsid w:val="09F36E1A"/>
    <w:rsid w:val="0A042978"/>
    <w:rsid w:val="0A4D6167"/>
    <w:rsid w:val="0A6A6BD7"/>
    <w:rsid w:val="0A7113D6"/>
    <w:rsid w:val="0A7F7F97"/>
    <w:rsid w:val="0AA5353C"/>
    <w:rsid w:val="0AA62962"/>
    <w:rsid w:val="0AC61847"/>
    <w:rsid w:val="0AD35BED"/>
    <w:rsid w:val="0AE31100"/>
    <w:rsid w:val="0AE72965"/>
    <w:rsid w:val="0AF7207F"/>
    <w:rsid w:val="0AFC27B3"/>
    <w:rsid w:val="0B00275A"/>
    <w:rsid w:val="0B093D05"/>
    <w:rsid w:val="0B0A798E"/>
    <w:rsid w:val="0B0E781A"/>
    <w:rsid w:val="0B106D25"/>
    <w:rsid w:val="0B186B99"/>
    <w:rsid w:val="0B195D7B"/>
    <w:rsid w:val="0B2E71DA"/>
    <w:rsid w:val="0B315C74"/>
    <w:rsid w:val="0B497F1C"/>
    <w:rsid w:val="0B4B1C27"/>
    <w:rsid w:val="0B4D1E43"/>
    <w:rsid w:val="0B5F4097"/>
    <w:rsid w:val="0B6C4C4F"/>
    <w:rsid w:val="0B732F2C"/>
    <w:rsid w:val="0B957346"/>
    <w:rsid w:val="0B9E269F"/>
    <w:rsid w:val="0BC20266"/>
    <w:rsid w:val="0BD6482C"/>
    <w:rsid w:val="0BE301C1"/>
    <w:rsid w:val="0BED22F8"/>
    <w:rsid w:val="0BED7182"/>
    <w:rsid w:val="0BF71DAF"/>
    <w:rsid w:val="0BF7590B"/>
    <w:rsid w:val="0C01678A"/>
    <w:rsid w:val="0C0B7609"/>
    <w:rsid w:val="0C2C2DB9"/>
    <w:rsid w:val="0C3B4CCB"/>
    <w:rsid w:val="0C3C5C5D"/>
    <w:rsid w:val="0C5823BF"/>
    <w:rsid w:val="0C8A49D1"/>
    <w:rsid w:val="0CA77331"/>
    <w:rsid w:val="0CDA7707"/>
    <w:rsid w:val="0CE642FD"/>
    <w:rsid w:val="0CEF0CD8"/>
    <w:rsid w:val="0CFA68BB"/>
    <w:rsid w:val="0CFB767D"/>
    <w:rsid w:val="0D044784"/>
    <w:rsid w:val="0D0839DA"/>
    <w:rsid w:val="0D15610F"/>
    <w:rsid w:val="0D224C0A"/>
    <w:rsid w:val="0D245C18"/>
    <w:rsid w:val="0D471E0C"/>
    <w:rsid w:val="0D6B1561"/>
    <w:rsid w:val="0D782393"/>
    <w:rsid w:val="0D814E9C"/>
    <w:rsid w:val="0D821B4C"/>
    <w:rsid w:val="0D86163D"/>
    <w:rsid w:val="0DA63A8D"/>
    <w:rsid w:val="0DDF1F83"/>
    <w:rsid w:val="0DF77E44"/>
    <w:rsid w:val="0DFB7F09"/>
    <w:rsid w:val="0E1A169B"/>
    <w:rsid w:val="0E481D12"/>
    <w:rsid w:val="0E525ADF"/>
    <w:rsid w:val="0E562298"/>
    <w:rsid w:val="0E5627B9"/>
    <w:rsid w:val="0E63372C"/>
    <w:rsid w:val="0E721BC1"/>
    <w:rsid w:val="0E813BB2"/>
    <w:rsid w:val="0E8F7C34"/>
    <w:rsid w:val="0EA7554F"/>
    <w:rsid w:val="0ED24AE4"/>
    <w:rsid w:val="0EDB59B8"/>
    <w:rsid w:val="0EE24651"/>
    <w:rsid w:val="0EE4486D"/>
    <w:rsid w:val="0EF3685E"/>
    <w:rsid w:val="0EF461A4"/>
    <w:rsid w:val="0F1669F0"/>
    <w:rsid w:val="0F2365E1"/>
    <w:rsid w:val="0F3F316D"/>
    <w:rsid w:val="0F4C2412"/>
    <w:rsid w:val="0F5A5BA1"/>
    <w:rsid w:val="0F640675"/>
    <w:rsid w:val="0F763385"/>
    <w:rsid w:val="0F7656DC"/>
    <w:rsid w:val="0F864220"/>
    <w:rsid w:val="0F955E06"/>
    <w:rsid w:val="0F9D0EBF"/>
    <w:rsid w:val="0FA34EB5"/>
    <w:rsid w:val="0FB57FB7"/>
    <w:rsid w:val="0FBE3179"/>
    <w:rsid w:val="0FC644DC"/>
    <w:rsid w:val="0FDD28C7"/>
    <w:rsid w:val="0FE3705C"/>
    <w:rsid w:val="0FFB7896"/>
    <w:rsid w:val="10184E62"/>
    <w:rsid w:val="101F2AD6"/>
    <w:rsid w:val="10205149"/>
    <w:rsid w:val="102E6E40"/>
    <w:rsid w:val="1034589B"/>
    <w:rsid w:val="10505F32"/>
    <w:rsid w:val="10625A8B"/>
    <w:rsid w:val="106B68C8"/>
    <w:rsid w:val="106D3063"/>
    <w:rsid w:val="10757746"/>
    <w:rsid w:val="1092654A"/>
    <w:rsid w:val="10C34956"/>
    <w:rsid w:val="10C53C9A"/>
    <w:rsid w:val="10F16E4E"/>
    <w:rsid w:val="10F82212"/>
    <w:rsid w:val="110F6D60"/>
    <w:rsid w:val="1119164B"/>
    <w:rsid w:val="111E529B"/>
    <w:rsid w:val="11230F0A"/>
    <w:rsid w:val="11406D4B"/>
    <w:rsid w:val="11476C58"/>
    <w:rsid w:val="11623F3F"/>
    <w:rsid w:val="11627514"/>
    <w:rsid w:val="1182036D"/>
    <w:rsid w:val="11CC3396"/>
    <w:rsid w:val="120945EA"/>
    <w:rsid w:val="12105979"/>
    <w:rsid w:val="12185725"/>
    <w:rsid w:val="121A05A5"/>
    <w:rsid w:val="12274A70"/>
    <w:rsid w:val="124244CE"/>
    <w:rsid w:val="124E4E5A"/>
    <w:rsid w:val="12513589"/>
    <w:rsid w:val="12612E3B"/>
    <w:rsid w:val="126B0E01"/>
    <w:rsid w:val="127C6BC4"/>
    <w:rsid w:val="12C23D3B"/>
    <w:rsid w:val="12C56763"/>
    <w:rsid w:val="12D31871"/>
    <w:rsid w:val="12D959D6"/>
    <w:rsid w:val="12EF0C20"/>
    <w:rsid w:val="12EF7E22"/>
    <w:rsid w:val="12F2346E"/>
    <w:rsid w:val="12FE3A23"/>
    <w:rsid w:val="130B7721"/>
    <w:rsid w:val="13175CC4"/>
    <w:rsid w:val="131D034D"/>
    <w:rsid w:val="132536A6"/>
    <w:rsid w:val="133D279D"/>
    <w:rsid w:val="135668FE"/>
    <w:rsid w:val="135A6B89"/>
    <w:rsid w:val="1374267F"/>
    <w:rsid w:val="137A01A1"/>
    <w:rsid w:val="13815793"/>
    <w:rsid w:val="138E75D3"/>
    <w:rsid w:val="139525D9"/>
    <w:rsid w:val="13A75426"/>
    <w:rsid w:val="13D34EB0"/>
    <w:rsid w:val="13E4751E"/>
    <w:rsid w:val="13F30F85"/>
    <w:rsid w:val="13FD017F"/>
    <w:rsid w:val="14092680"/>
    <w:rsid w:val="143666D2"/>
    <w:rsid w:val="14381C61"/>
    <w:rsid w:val="143F42F3"/>
    <w:rsid w:val="145206F0"/>
    <w:rsid w:val="146124BC"/>
    <w:rsid w:val="146F2E2A"/>
    <w:rsid w:val="14717E92"/>
    <w:rsid w:val="14742A65"/>
    <w:rsid w:val="147C5547"/>
    <w:rsid w:val="14A16D5C"/>
    <w:rsid w:val="14A60BBB"/>
    <w:rsid w:val="14A648F6"/>
    <w:rsid w:val="14AC071E"/>
    <w:rsid w:val="14B06F9F"/>
    <w:rsid w:val="14C36CD2"/>
    <w:rsid w:val="14C376F9"/>
    <w:rsid w:val="14D346C6"/>
    <w:rsid w:val="1508266F"/>
    <w:rsid w:val="150955A7"/>
    <w:rsid w:val="151412DC"/>
    <w:rsid w:val="15153B78"/>
    <w:rsid w:val="151632A6"/>
    <w:rsid w:val="151F35A6"/>
    <w:rsid w:val="15211C4B"/>
    <w:rsid w:val="15253679"/>
    <w:rsid w:val="15271294"/>
    <w:rsid w:val="154D1CD8"/>
    <w:rsid w:val="1557566D"/>
    <w:rsid w:val="15664D87"/>
    <w:rsid w:val="156A53A0"/>
    <w:rsid w:val="156E6271"/>
    <w:rsid w:val="15A33119"/>
    <w:rsid w:val="15A801E6"/>
    <w:rsid w:val="15BF56EC"/>
    <w:rsid w:val="15D908D7"/>
    <w:rsid w:val="15FC6940"/>
    <w:rsid w:val="1615355E"/>
    <w:rsid w:val="161C2B3E"/>
    <w:rsid w:val="163015C4"/>
    <w:rsid w:val="16563E13"/>
    <w:rsid w:val="168461FE"/>
    <w:rsid w:val="16924BAE"/>
    <w:rsid w:val="16B32D77"/>
    <w:rsid w:val="16B54D41"/>
    <w:rsid w:val="16C66DAA"/>
    <w:rsid w:val="16E3540A"/>
    <w:rsid w:val="16E82DF1"/>
    <w:rsid w:val="16FF0087"/>
    <w:rsid w:val="16FF7D6A"/>
    <w:rsid w:val="17242B35"/>
    <w:rsid w:val="172C1BA1"/>
    <w:rsid w:val="172F794D"/>
    <w:rsid w:val="173159F1"/>
    <w:rsid w:val="173E4D36"/>
    <w:rsid w:val="17424826"/>
    <w:rsid w:val="175C51BC"/>
    <w:rsid w:val="175E3EB2"/>
    <w:rsid w:val="177B16DD"/>
    <w:rsid w:val="17800EAB"/>
    <w:rsid w:val="17871CFD"/>
    <w:rsid w:val="178A3129"/>
    <w:rsid w:val="17B10CC9"/>
    <w:rsid w:val="17C36FE9"/>
    <w:rsid w:val="17DD62FD"/>
    <w:rsid w:val="17DF23C2"/>
    <w:rsid w:val="17F0312F"/>
    <w:rsid w:val="17F65611"/>
    <w:rsid w:val="180B10BC"/>
    <w:rsid w:val="18187E5A"/>
    <w:rsid w:val="181F6915"/>
    <w:rsid w:val="1820443C"/>
    <w:rsid w:val="182F467F"/>
    <w:rsid w:val="186C142F"/>
    <w:rsid w:val="18756535"/>
    <w:rsid w:val="188501DE"/>
    <w:rsid w:val="188D7D23"/>
    <w:rsid w:val="18982224"/>
    <w:rsid w:val="18B83CF9"/>
    <w:rsid w:val="18C63235"/>
    <w:rsid w:val="18E54692"/>
    <w:rsid w:val="190E3AFB"/>
    <w:rsid w:val="191A17D1"/>
    <w:rsid w:val="1931657F"/>
    <w:rsid w:val="193E726F"/>
    <w:rsid w:val="19526877"/>
    <w:rsid w:val="19593CDE"/>
    <w:rsid w:val="195C14A3"/>
    <w:rsid w:val="19805192"/>
    <w:rsid w:val="19936669"/>
    <w:rsid w:val="19993273"/>
    <w:rsid w:val="19A36A6E"/>
    <w:rsid w:val="19B644F0"/>
    <w:rsid w:val="19B66E06"/>
    <w:rsid w:val="19B808EA"/>
    <w:rsid w:val="19CA0B03"/>
    <w:rsid w:val="19E219A9"/>
    <w:rsid w:val="19EF2318"/>
    <w:rsid w:val="1A045DC3"/>
    <w:rsid w:val="1A0822E3"/>
    <w:rsid w:val="1A3537A8"/>
    <w:rsid w:val="1A3F329F"/>
    <w:rsid w:val="1A424B3D"/>
    <w:rsid w:val="1A5358A1"/>
    <w:rsid w:val="1A7E3710"/>
    <w:rsid w:val="1A7F48BE"/>
    <w:rsid w:val="1A7F5449"/>
    <w:rsid w:val="1A83746A"/>
    <w:rsid w:val="1A8B43DC"/>
    <w:rsid w:val="1A991D03"/>
    <w:rsid w:val="1AAD6142"/>
    <w:rsid w:val="1AD56FF2"/>
    <w:rsid w:val="1AF5395E"/>
    <w:rsid w:val="1B117292"/>
    <w:rsid w:val="1B416BA3"/>
    <w:rsid w:val="1B4D4FFE"/>
    <w:rsid w:val="1B5857EC"/>
    <w:rsid w:val="1B617245"/>
    <w:rsid w:val="1B634D6B"/>
    <w:rsid w:val="1B7C7BDB"/>
    <w:rsid w:val="1B7D5788"/>
    <w:rsid w:val="1B852F33"/>
    <w:rsid w:val="1B886580"/>
    <w:rsid w:val="1B9370A5"/>
    <w:rsid w:val="1B9F4B59"/>
    <w:rsid w:val="1BAD4238"/>
    <w:rsid w:val="1BB83287"/>
    <w:rsid w:val="1BE96189"/>
    <w:rsid w:val="1C0A2EB8"/>
    <w:rsid w:val="1C0C71B1"/>
    <w:rsid w:val="1C2633D9"/>
    <w:rsid w:val="1C270975"/>
    <w:rsid w:val="1C34594F"/>
    <w:rsid w:val="1C6551CC"/>
    <w:rsid w:val="1C6B487E"/>
    <w:rsid w:val="1C6E22CA"/>
    <w:rsid w:val="1C880A5C"/>
    <w:rsid w:val="1CA473E9"/>
    <w:rsid w:val="1CA83640"/>
    <w:rsid w:val="1CCB4B70"/>
    <w:rsid w:val="1CCE4466"/>
    <w:rsid w:val="1CE819CC"/>
    <w:rsid w:val="1CEC7E01"/>
    <w:rsid w:val="1CFF32CC"/>
    <w:rsid w:val="1D183E39"/>
    <w:rsid w:val="1D4473FF"/>
    <w:rsid w:val="1D4709CD"/>
    <w:rsid w:val="1D4E37F9"/>
    <w:rsid w:val="1D5726AE"/>
    <w:rsid w:val="1D715A06"/>
    <w:rsid w:val="1D8C74F8"/>
    <w:rsid w:val="1DA82657"/>
    <w:rsid w:val="1DC34FBF"/>
    <w:rsid w:val="1DEB181E"/>
    <w:rsid w:val="1DF16B20"/>
    <w:rsid w:val="1DF25326"/>
    <w:rsid w:val="1DF33169"/>
    <w:rsid w:val="1DF92240"/>
    <w:rsid w:val="1E192F6A"/>
    <w:rsid w:val="1E2B7FD1"/>
    <w:rsid w:val="1E2E0954"/>
    <w:rsid w:val="1E3649B9"/>
    <w:rsid w:val="1E3D5BAC"/>
    <w:rsid w:val="1E546D62"/>
    <w:rsid w:val="1E5F672D"/>
    <w:rsid w:val="1E8C751D"/>
    <w:rsid w:val="1EB81009"/>
    <w:rsid w:val="1EC27FFB"/>
    <w:rsid w:val="1ECA5375"/>
    <w:rsid w:val="1ED11F7E"/>
    <w:rsid w:val="1ED53E63"/>
    <w:rsid w:val="1F066139"/>
    <w:rsid w:val="1F070103"/>
    <w:rsid w:val="1F086E69"/>
    <w:rsid w:val="1F0A567B"/>
    <w:rsid w:val="1F0B7BF4"/>
    <w:rsid w:val="1F110373"/>
    <w:rsid w:val="1F38206B"/>
    <w:rsid w:val="1F3C7DAD"/>
    <w:rsid w:val="1F5F2313"/>
    <w:rsid w:val="1F875CE6"/>
    <w:rsid w:val="1F884DA0"/>
    <w:rsid w:val="1F8C6152"/>
    <w:rsid w:val="1F8D685B"/>
    <w:rsid w:val="1FA808F8"/>
    <w:rsid w:val="1FB9308A"/>
    <w:rsid w:val="1FC45AFF"/>
    <w:rsid w:val="1FC96D37"/>
    <w:rsid w:val="1FD16BF6"/>
    <w:rsid w:val="1FE87F35"/>
    <w:rsid w:val="200313C7"/>
    <w:rsid w:val="20140D2A"/>
    <w:rsid w:val="201725C8"/>
    <w:rsid w:val="203B4489"/>
    <w:rsid w:val="203C18B7"/>
    <w:rsid w:val="204818BF"/>
    <w:rsid w:val="204C400B"/>
    <w:rsid w:val="205834A5"/>
    <w:rsid w:val="20653161"/>
    <w:rsid w:val="20664C7C"/>
    <w:rsid w:val="20724974"/>
    <w:rsid w:val="20790B8D"/>
    <w:rsid w:val="20987265"/>
    <w:rsid w:val="20AF1FB5"/>
    <w:rsid w:val="20CC4008"/>
    <w:rsid w:val="20F87A83"/>
    <w:rsid w:val="20F90682"/>
    <w:rsid w:val="21425423"/>
    <w:rsid w:val="214C13B9"/>
    <w:rsid w:val="215B0191"/>
    <w:rsid w:val="216058A9"/>
    <w:rsid w:val="21620938"/>
    <w:rsid w:val="21892883"/>
    <w:rsid w:val="219537A4"/>
    <w:rsid w:val="21CA2907"/>
    <w:rsid w:val="21CA7CFF"/>
    <w:rsid w:val="21CE54A8"/>
    <w:rsid w:val="21E604A4"/>
    <w:rsid w:val="21EE7F72"/>
    <w:rsid w:val="21F42BC1"/>
    <w:rsid w:val="223E672E"/>
    <w:rsid w:val="224F08FC"/>
    <w:rsid w:val="224F1BA5"/>
    <w:rsid w:val="226715E5"/>
    <w:rsid w:val="228F31DD"/>
    <w:rsid w:val="22B74211"/>
    <w:rsid w:val="22C00CF5"/>
    <w:rsid w:val="22C24A6D"/>
    <w:rsid w:val="22C81958"/>
    <w:rsid w:val="22E70030"/>
    <w:rsid w:val="22F23892"/>
    <w:rsid w:val="2311409D"/>
    <w:rsid w:val="23163ED6"/>
    <w:rsid w:val="231B12FE"/>
    <w:rsid w:val="232272BA"/>
    <w:rsid w:val="23270D74"/>
    <w:rsid w:val="235002CB"/>
    <w:rsid w:val="235F43AF"/>
    <w:rsid w:val="2366364A"/>
    <w:rsid w:val="238B5659"/>
    <w:rsid w:val="239C0C8D"/>
    <w:rsid w:val="23AD16E8"/>
    <w:rsid w:val="23B73EA6"/>
    <w:rsid w:val="23D61C99"/>
    <w:rsid w:val="23DD3EED"/>
    <w:rsid w:val="23F5677C"/>
    <w:rsid w:val="23FC3FAF"/>
    <w:rsid w:val="2400212D"/>
    <w:rsid w:val="24351427"/>
    <w:rsid w:val="243D75AA"/>
    <w:rsid w:val="24442987"/>
    <w:rsid w:val="24630A91"/>
    <w:rsid w:val="246979BF"/>
    <w:rsid w:val="248D4C07"/>
    <w:rsid w:val="248F3BA6"/>
    <w:rsid w:val="24927F9E"/>
    <w:rsid w:val="2493532F"/>
    <w:rsid w:val="24A563F4"/>
    <w:rsid w:val="24C41DFA"/>
    <w:rsid w:val="24C83E91"/>
    <w:rsid w:val="24DB3BC4"/>
    <w:rsid w:val="24ED56A6"/>
    <w:rsid w:val="24F35209"/>
    <w:rsid w:val="24F86524"/>
    <w:rsid w:val="24F904EE"/>
    <w:rsid w:val="252D109A"/>
    <w:rsid w:val="254C2D14"/>
    <w:rsid w:val="255D2F39"/>
    <w:rsid w:val="255E0351"/>
    <w:rsid w:val="257162D7"/>
    <w:rsid w:val="257769E9"/>
    <w:rsid w:val="257B0F03"/>
    <w:rsid w:val="257E4C83"/>
    <w:rsid w:val="258F4C69"/>
    <w:rsid w:val="25B21B8A"/>
    <w:rsid w:val="25B763DF"/>
    <w:rsid w:val="25CB4399"/>
    <w:rsid w:val="25D53C59"/>
    <w:rsid w:val="25E140B7"/>
    <w:rsid w:val="25EE7927"/>
    <w:rsid w:val="25F0544D"/>
    <w:rsid w:val="25F82554"/>
    <w:rsid w:val="26003694"/>
    <w:rsid w:val="26007A51"/>
    <w:rsid w:val="260D5FFF"/>
    <w:rsid w:val="2613066B"/>
    <w:rsid w:val="2613129A"/>
    <w:rsid w:val="261455E0"/>
    <w:rsid w:val="261F6773"/>
    <w:rsid w:val="26263565"/>
    <w:rsid w:val="26326B9E"/>
    <w:rsid w:val="263C0693"/>
    <w:rsid w:val="267C13D7"/>
    <w:rsid w:val="269A22AF"/>
    <w:rsid w:val="26EA68A8"/>
    <w:rsid w:val="27217CEC"/>
    <w:rsid w:val="27223D2C"/>
    <w:rsid w:val="27392E24"/>
    <w:rsid w:val="273B6E85"/>
    <w:rsid w:val="27787DF0"/>
    <w:rsid w:val="27894255"/>
    <w:rsid w:val="279F537D"/>
    <w:rsid w:val="27BC17BF"/>
    <w:rsid w:val="27CB43C4"/>
    <w:rsid w:val="27CC5A46"/>
    <w:rsid w:val="27DB40A7"/>
    <w:rsid w:val="27E512EC"/>
    <w:rsid w:val="27F32686"/>
    <w:rsid w:val="27FD02F5"/>
    <w:rsid w:val="28017DE6"/>
    <w:rsid w:val="280D16C3"/>
    <w:rsid w:val="28170E9E"/>
    <w:rsid w:val="283E5421"/>
    <w:rsid w:val="283F26BC"/>
    <w:rsid w:val="28453CC8"/>
    <w:rsid w:val="284D4DD9"/>
    <w:rsid w:val="2852419D"/>
    <w:rsid w:val="2856629C"/>
    <w:rsid w:val="2888016A"/>
    <w:rsid w:val="28902F18"/>
    <w:rsid w:val="28930A95"/>
    <w:rsid w:val="28C037FD"/>
    <w:rsid w:val="28CA0A01"/>
    <w:rsid w:val="28D57E59"/>
    <w:rsid w:val="28DE347B"/>
    <w:rsid w:val="28F33BD2"/>
    <w:rsid w:val="29193E2B"/>
    <w:rsid w:val="2920429C"/>
    <w:rsid w:val="29483CFC"/>
    <w:rsid w:val="295E4DC4"/>
    <w:rsid w:val="29624758"/>
    <w:rsid w:val="297D349C"/>
    <w:rsid w:val="29820AB2"/>
    <w:rsid w:val="298D7483"/>
    <w:rsid w:val="299A0972"/>
    <w:rsid w:val="29AC35F6"/>
    <w:rsid w:val="29B844D4"/>
    <w:rsid w:val="29CE019B"/>
    <w:rsid w:val="29E72BF1"/>
    <w:rsid w:val="2A2339C1"/>
    <w:rsid w:val="2A2A7ED1"/>
    <w:rsid w:val="2A467BD6"/>
    <w:rsid w:val="2A703001"/>
    <w:rsid w:val="2A813D65"/>
    <w:rsid w:val="2A8D770F"/>
    <w:rsid w:val="2AA607D0"/>
    <w:rsid w:val="2AA9129D"/>
    <w:rsid w:val="2AB078A1"/>
    <w:rsid w:val="2AD27817"/>
    <w:rsid w:val="2AD73018"/>
    <w:rsid w:val="2AE95028"/>
    <w:rsid w:val="2AF402FE"/>
    <w:rsid w:val="2AF61A56"/>
    <w:rsid w:val="2AF754D0"/>
    <w:rsid w:val="2B2B6F28"/>
    <w:rsid w:val="2B307DC0"/>
    <w:rsid w:val="2B377690"/>
    <w:rsid w:val="2B3B360F"/>
    <w:rsid w:val="2B3F1304"/>
    <w:rsid w:val="2B4754B4"/>
    <w:rsid w:val="2B54022C"/>
    <w:rsid w:val="2B5B5A5F"/>
    <w:rsid w:val="2B5C7557"/>
    <w:rsid w:val="2B621401"/>
    <w:rsid w:val="2B724D2B"/>
    <w:rsid w:val="2B7D7783"/>
    <w:rsid w:val="2B7F7DDE"/>
    <w:rsid w:val="2B836D64"/>
    <w:rsid w:val="2B8C3E6A"/>
    <w:rsid w:val="2B936FA7"/>
    <w:rsid w:val="2B9E508B"/>
    <w:rsid w:val="2BAC027F"/>
    <w:rsid w:val="2BBE7D9C"/>
    <w:rsid w:val="2BCE6231"/>
    <w:rsid w:val="2BD6635D"/>
    <w:rsid w:val="2BEF44BB"/>
    <w:rsid w:val="2BEF49DC"/>
    <w:rsid w:val="2BFB0B70"/>
    <w:rsid w:val="2BFC0486"/>
    <w:rsid w:val="2C1D0F66"/>
    <w:rsid w:val="2C273B93"/>
    <w:rsid w:val="2C372028"/>
    <w:rsid w:val="2C4464F3"/>
    <w:rsid w:val="2C453170"/>
    <w:rsid w:val="2C495545"/>
    <w:rsid w:val="2C4A23DD"/>
    <w:rsid w:val="2C54533B"/>
    <w:rsid w:val="2C6B7F24"/>
    <w:rsid w:val="2C843F1F"/>
    <w:rsid w:val="2C865612"/>
    <w:rsid w:val="2CC6515A"/>
    <w:rsid w:val="2CD465A8"/>
    <w:rsid w:val="2CDA0C05"/>
    <w:rsid w:val="2CF85337"/>
    <w:rsid w:val="2D077487"/>
    <w:rsid w:val="2D087E61"/>
    <w:rsid w:val="2D0E2451"/>
    <w:rsid w:val="2D3F526C"/>
    <w:rsid w:val="2D6A01DB"/>
    <w:rsid w:val="2D851856"/>
    <w:rsid w:val="2DA23685"/>
    <w:rsid w:val="2DC031A8"/>
    <w:rsid w:val="2DC31699"/>
    <w:rsid w:val="2E0221C2"/>
    <w:rsid w:val="2E283EF2"/>
    <w:rsid w:val="2E4550AD"/>
    <w:rsid w:val="2E4F4783"/>
    <w:rsid w:val="2E4F73D4"/>
    <w:rsid w:val="2E5A3DAC"/>
    <w:rsid w:val="2E7C6A4A"/>
    <w:rsid w:val="2E807AA7"/>
    <w:rsid w:val="2E847AE6"/>
    <w:rsid w:val="2E8960F0"/>
    <w:rsid w:val="2E903DFD"/>
    <w:rsid w:val="2E9A7ACB"/>
    <w:rsid w:val="2E9C0E80"/>
    <w:rsid w:val="2EA4771D"/>
    <w:rsid w:val="2EC519AD"/>
    <w:rsid w:val="2EC5717E"/>
    <w:rsid w:val="2EC67693"/>
    <w:rsid w:val="2ECD27D0"/>
    <w:rsid w:val="2ECF1047"/>
    <w:rsid w:val="2ED61573"/>
    <w:rsid w:val="2F0106CB"/>
    <w:rsid w:val="2F1321AD"/>
    <w:rsid w:val="2F2131FE"/>
    <w:rsid w:val="2F51608C"/>
    <w:rsid w:val="2F594063"/>
    <w:rsid w:val="2F9846A2"/>
    <w:rsid w:val="2F9C2DF8"/>
    <w:rsid w:val="2FA057DA"/>
    <w:rsid w:val="2FB44AFF"/>
    <w:rsid w:val="2FC260AC"/>
    <w:rsid w:val="2FE97969"/>
    <w:rsid w:val="2FEA115F"/>
    <w:rsid w:val="2FEE50F3"/>
    <w:rsid w:val="2FF344B8"/>
    <w:rsid w:val="2FF901F3"/>
    <w:rsid w:val="3025488D"/>
    <w:rsid w:val="30304270"/>
    <w:rsid w:val="3034062C"/>
    <w:rsid w:val="3038011D"/>
    <w:rsid w:val="303F594F"/>
    <w:rsid w:val="304167F7"/>
    <w:rsid w:val="304657BB"/>
    <w:rsid w:val="304E0B54"/>
    <w:rsid w:val="306A7D83"/>
    <w:rsid w:val="30722D25"/>
    <w:rsid w:val="307A24E3"/>
    <w:rsid w:val="30890DB9"/>
    <w:rsid w:val="30896BCA"/>
    <w:rsid w:val="308B29B1"/>
    <w:rsid w:val="309978F6"/>
    <w:rsid w:val="309B1706"/>
    <w:rsid w:val="30B314B2"/>
    <w:rsid w:val="30C47A81"/>
    <w:rsid w:val="30C47C02"/>
    <w:rsid w:val="30C57D0B"/>
    <w:rsid w:val="30D53BFF"/>
    <w:rsid w:val="30DF67EA"/>
    <w:rsid w:val="30F63FC7"/>
    <w:rsid w:val="30F71D86"/>
    <w:rsid w:val="30F756DE"/>
    <w:rsid w:val="30FF6E8C"/>
    <w:rsid w:val="310821E5"/>
    <w:rsid w:val="31097D0B"/>
    <w:rsid w:val="31124E12"/>
    <w:rsid w:val="312777A3"/>
    <w:rsid w:val="312D483B"/>
    <w:rsid w:val="31307AFE"/>
    <w:rsid w:val="317E4255"/>
    <w:rsid w:val="318123B0"/>
    <w:rsid w:val="318555E4"/>
    <w:rsid w:val="3193229F"/>
    <w:rsid w:val="319770C5"/>
    <w:rsid w:val="31D72D89"/>
    <w:rsid w:val="31F07456"/>
    <w:rsid w:val="31FB58A6"/>
    <w:rsid w:val="31FF0314"/>
    <w:rsid w:val="32075FF9"/>
    <w:rsid w:val="321A0F82"/>
    <w:rsid w:val="322222E5"/>
    <w:rsid w:val="322B489E"/>
    <w:rsid w:val="322D5B11"/>
    <w:rsid w:val="323E39E4"/>
    <w:rsid w:val="32422005"/>
    <w:rsid w:val="324803BF"/>
    <w:rsid w:val="32673C7A"/>
    <w:rsid w:val="326835EA"/>
    <w:rsid w:val="326C0551"/>
    <w:rsid w:val="32A27237"/>
    <w:rsid w:val="32E4768D"/>
    <w:rsid w:val="32EB75B3"/>
    <w:rsid w:val="3306714A"/>
    <w:rsid w:val="330F6123"/>
    <w:rsid w:val="331704BD"/>
    <w:rsid w:val="33181118"/>
    <w:rsid w:val="3344502A"/>
    <w:rsid w:val="335214F5"/>
    <w:rsid w:val="33525C4B"/>
    <w:rsid w:val="33571065"/>
    <w:rsid w:val="337C0FFF"/>
    <w:rsid w:val="33890C8F"/>
    <w:rsid w:val="338A6CBC"/>
    <w:rsid w:val="339A032E"/>
    <w:rsid w:val="33B201E6"/>
    <w:rsid w:val="33BE302F"/>
    <w:rsid w:val="33C22EAC"/>
    <w:rsid w:val="33D017F1"/>
    <w:rsid w:val="33DA09AC"/>
    <w:rsid w:val="33DB773D"/>
    <w:rsid w:val="340145E2"/>
    <w:rsid w:val="34030A42"/>
    <w:rsid w:val="34065F65"/>
    <w:rsid w:val="34232E92"/>
    <w:rsid w:val="342509B8"/>
    <w:rsid w:val="342D1CB8"/>
    <w:rsid w:val="343914B9"/>
    <w:rsid w:val="34474DD2"/>
    <w:rsid w:val="34607C42"/>
    <w:rsid w:val="346408E5"/>
    <w:rsid w:val="34744238"/>
    <w:rsid w:val="34767465"/>
    <w:rsid w:val="34823958"/>
    <w:rsid w:val="348240B1"/>
    <w:rsid w:val="34B85CD0"/>
    <w:rsid w:val="34BE1601"/>
    <w:rsid w:val="34C22379"/>
    <w:rsid w:val="34EC3BCC"/>
    <w:rsid w:val="34EE7BB1"/>
    <w:rsid w:val="34F16887"/>
    <w:rsid w:val="34F860CC"/>
    <w:rsid w:val="351453A4"/>
    <w:rsid w:val="35245BD2"/>
    <w:rsid w:val="35301D0A"/>
    <w:rsid w:val="35494B7A"/>
    <w:rsid w:val="356419B4"/>
    <w:rsid w:val="35702107"/>
    <w:rsid w:val="357F059C"/>
    <w:rsid w:val="358249D9"/>
    <w:rsid w:val="359833FE"/>
    <w:rsid w:val="35A61B4D"/>
    <w:rsid w:val="35BB5A78"/>
    <w:rsid w:val="35CF507F"/>
    <w:rsid w:val="35D067A7"/>
    <w:rsid w:val="35E87A5C"/>
    <w:rsid w:val="35F621A2"/>
    <w:rsid w:val="35F80DD4"/>
    <w:rsid w:val="36115D5A"/>
    <w:rsid w:val="3626150E"/>
    <w:rsid w:val="362F3BFA"/>
    <w:rsid w:val="364E5B9B"/>
    <w:rsid w:val="36681030"/>
    <w:rsid w:val="366C4167"/>
    <w:rsid w:val="3676374D"/>
    <w:rsid w:val="368B78F1"/>
    <w:rsid w:val="369C5811"/>
    <w:rsid w:val="36A6609A"/>
    <w:rsid w:val="36AB2277"/>
    <w:rsid w:val="36AC3612"/>
    <w:rsid w:val="36B34520"/>
    <w:rsid w:val="370116CC"/>
    <w:rsid w:val="370943D4"/>
    <w:rsid w:val="3715740A"/>
    <w:rsid w:val="371B2546"/>
    <w:rsid w:val="373A29CC"/>
    <w:rsid w:val="37403A90"/>
    <w:rsid w:val="374D6BA3"/>
    <w:rsid w:val="37541156"/>
    <w:rsid w:val="377759CE"/>
    <w:rsid w:val="377C2FE5"/>
    <w:rsid w:val="37846B10"/>
    <w:rsid w:val="379C3687"/>
    <w:rsid w:val="37AE6F16"/>
    <w:rsid w:val="37B704C1"/>
    <w:rsid w:val="380354B4"/>
    <w:rsid w:val="38176374"/>
    <w:rsid w:val="381C086C"/>
    <w:rsid w:val="381F1BC2"/>
    <w:rsid w:val="383A1294"/>
    <w:rsid w:val="384344D3"/>
    <w:rsid w:val="3856459C"/>
    <w:rsid w:val="3862667F"/>
    <w:rsid w:val="386D5023"/>
    <w:rsid w:val="388F2773"/>
    <w:rsid w:val="38A772D5"/>
    <w:rsid w:val="38AD5420"/>
    <w:rsid w:val="38D201BE"/>
    <w:rsid w:val="38D47048"/>
    <w:rsid w:val="38F01C59"/>
    <w:rsid w:val="39047736"/>
    <w:rsid w:val="390C65EA"/>
    <w:rsid w:val="391B4A7F"/>
    <w:rsid w:val="393F47DD"/>
    <w:rsid w:val="39440A0C"/>
    <w:rsid w:val="39455658"/>
    <w:rsid w:val="396401D4"/>
    <w:rsid w:val="39730417"/>
    <w:rsid w:val="398443D3"/>
    <w:rsid w:val="399F745E"/>
    <w:rsid w:val="39A131D7"/>
    <w:rsid w:val="39A22AAB"/>
    <w:rsid w:val="39AB195F"/>
    <w:rsid w:val="39BF6117"/>
    <w:rsid w:val="3A0476F3"/>
    <w:rsid w:val="3A064DE8"/>
    <w:rsid w:val="3A085372"/>
    <w:rsid w:val="3A1304A1"/>
    <w:rsid w:val="3A2260A1"/>
    <w:rsid w:val="3A306341"/>
    <w:rsid w:val="3A316EDF"/>
    <w:rsid w:val="3A322EC1"/>
    <w:rsid w:val="3A3B679F"/>
    <w:rsid w:val="3A3F71F7"/>
    <w:rsid w:val="3A455684"/>
    <w:rsid w:val="3ACC6E0B"/>
    <w:rsid w:val="3AE01ADD"/>
    <w:rsid w:val="3B135A0E"/>
    <w:rsid w:val="3B2714BA"/>
    <w:rsid w:val="3B65138C"/>
    <w:rsid w:val="3B6E533A"/>
    <w:rsid w:val="3B6F3B9D"/>
    <w:rsid w:val="3B771C1F"/>
    <w:rsid w:val="3B9308FD"/>
    <w:rsid w:val="3B9D177C"/>
    <w:rsid w:val="3B9F54F4"/>
    <w:rsid w:val="3BA37180"/>
    <w:rsid w:val="3BDF0BC2"/>
    <w:rsid w:val="3BE60A54"/>
    <w:rsid w:val="3BEA1B59"/>
    <w:rsid w:val="3C073099"/>
    <w:rsid w:val="3C1852A6"/>
    <w:rsid w:val="3C1F22C7"/>
    <w:rsid w:val="3C2002D7"/>
    <w:rsid w:val="3C2E5A2F"/>
    <w:rsid w:val="3C2F4ACD"/>
    <w:rsid w:val="3C3F2833"/>
    <w:rsid w:val="3C4131D2"/>
    <w:rsid w:val="3C4D13F4"/>
    <w:rsid w:val="3C4E4BA9"/>
    <w:rsid w:val="3C5E715D"/>
    <w:rsid w:val="3C634773"/>
    <w:rsid w:val="3C7249B6"/>
    <w:rsid w:val="3C77021F"/>
    <w:rsid w:val="3C9A01E5"/>
    <w:rsid w:val="3CAC1FDE"/>
    <w:rsid w:val="3CAF3B3C"/>
    <w:rsid w:val="3CBB2697"/>
    <w:rsid w:val="3CC85B63"/>
    <w:rsid w:val="3D08531B"/>
    <w:rsid w:val="3D0F66A9"/>
    <w:rsid w:val="3D121CF5"/>
    <w:rsid w:val="3D304025"/>
    <w:rsid w:val="3D337B49"/>
    <w:rsid w:val="3D583BAC"/>
    <w:rsid w:val="3D671B69"/>
    <w:rsid w:val="3D71769B"/>
    <w:rsid w:val="3D820C29"/>
    <w:rsid w:val="3D84116E"/>
    <w:rsid w:val="3D8C3C51"/>
    <w:rsid w:val="3DC01751"/>
    <w:rsid w:val="3DD671C7"/>
    <w:rsid w:val="3DDF7E2A"/>
    <w:rsid w:val="3DF1587D"/>
    <w:rsid w:val="3E060836"/>
    <w:rsid w:val="3E063608"/>
    <w:rsid w:val="3E157CEF"/>
    <w:rsid w:val="3E2972F7"/>
    <w:rsid w:val="3E353EED"/>
    <w:rsid w:val="3E3B796C"/>
    <w:rsid w:val="3E4051D3"/>
    <w:rsid w:val="3E540ED5"/>
    <w:rsid w:val="3E592176"/>
    <w:rsid w:val="3E642A25"/>
    <w:rsid w:val="3E763A6F"/>
    <w:rsid w:val="3E7D3071"/>
    <w:rsid w:val="3E863530"/>
    <w:rsid w:val="3E950E30"/>
    <w:rsid w:val="3EA130E8"/>
    <w:rsid w:val="3EAD2EC9"/>
    <w:rsid w:val="3EAF1EF2"/>
    <w:rsid w:val="3EB16E42"/>
    <w:rsid w:val="3EBA2645"/>
    <w:rsid w:val="3EF5058E"/>
    <w:rsid w:val="3EF8635E"/>
    <w:rsid w:val="3F1E169C"/>
    <w:rsid w:val="3F47212A"/>
    <w:rsid w:val="3F7942AE"/>
    <w:rsid w:val="3F871CA4"/>
    <w:rsid w:val="3F88629F"/>
    <w:rsid w:val="3F8C7AD1"/>
    <w:rsid w:val="3F8D0A1C"/>
    <w:rsid w:val="3FC400FB"/>
    <w:rsid w:val="3FCE0156"/>
    <w:rsid w:val="3FCE742E"/>
    <w:rsid w:val="3FD50795"/>
    <w:rsid w:val="3FDB6D16"/>
    <w:rsid w:val="405A0529"/>
    <w:rsid w:val="40630A6C"/>
    <w:rsid w:val="406805AA"/>
    <w:rsid w:val="4079494B"/>
    <w:rsid w:val="40864ED4"/>
    <w:rsid w:val="408E7CE2"/>
    <w:rsid w:val="408F6F36"/>
    <w:rsid w:val="40A016CD"/>
    <w:rsid w:val="40AA1DF7"/>
    <w:rsid w:val="40AE52C3"/>
    <w:rsid w:val="40CE4A65"/>
    <w:rsid w:val="40D64B0A"/>
    <w:rsid w:val="40DE086C"/>
    <w:rsid w:val="41016309"/>
    <w:rsid w:val="410B41D2"/>
    <w:rsid w:val="410B461F"/>
    <w:rsid w:val="410B59C4"/>
    <w:rsid w:val="41233D36"/>
    <w:rsid w:val="41270465"/>
    <w:rsid w:val="41483F38"/>
    <w:rsid w:val="414C1C7A"/>
    <w:rsid w:val="41536635"/>
    <w:rsid w:val="41793B21"/>
    <w:rsid w:val="41795491"/>
    <w:rsid w:val="417A5147"/>
    <w:rsid w:val="417C108D"/>
    <w:rsid w:val="418B713B"/>
    <w:rsid w:val="418D5DEE"/>
    <w:rsid w:val="41A33D4E"/>
    <w:rsid w:val="41B25AE9"/>
    <w:rsid w:val="41B82E6B"/>
    <w:rsid w:val="41BF3FF3"/>
    <w:rsid w:val="41C2228F"/>
    <w:rsid w:val="41EA09C0"/>
    <w:rsid w:val="421A763F"/>
    <w:rsid w:val="421E67E1"/>
    <w:rsid w:val="4220265B"/>
    <w:rsid w:val="424503FA"/>
    <w:rsid w:val="424720EA"/>
    <w:rsid w:val="425D3A13"/>
    <w:rsid w:val="427C7B53"/>
    <w:rsid w:val="427D651B"/>
    <w:rsid w:val="42880EAC"/>
    <w:rsid w:val="429107DA"/>
    <w:rsid w:val="429252A3"/>
    <w:rsid w:val="429F2F01"/>
    <w:rsid w:val="42B53CC1"/>
    <w:rsid w:val="42C121F4"/>
    <w:rsid w:val="42C972FA"/>
    <w:rsid w:val="42E22431"/>
    <w:rsid w:val="43037114"/>
    <w:rsid w:val="430E2866"/>
    <w:rsid w:val="43170066"/>
    <w:rsid w:val="431C742A"/>
    <w:rsid w:val="432D4E22"/>
    <w:rsid w:val="433462CE"/>
    <w:rsid w:val="43572B58"/>
    <w:rsid w:val="43580E9D"/>
    <w:rsid w:val="435E5C94"/>
    <w:rsid w:val="437454B8"/>
    <w:rsid w:val="437C611B"/>
    <w:rsid w:val="4391543F"/>
    <w:rsid w:val="43960ACF"/>
    <w:rsid w:val="43A10D69"/>
    <w:rsid w:val="43B265E3"/>
    <w:rsid w:val="43DD4E0B"/>
    <w:rsid w:val="43EB1D58"/>
    <w:rsid w:val="43F403A7"/>
    <w:rsid w:val="43F54DA9"/>
    <w:rsid w:val="43FD3CA5"/>
    <w:rsid w:val="44064C80"/>
    <w:rsid w:val="44220155"/>
    <w:rsid w:val="443F4D58"/>
    <w:rsid w:val="444100C9"/>
    <w:rsid w:val="4450382F"/>
    <w:rsid w:val="445D419E"/>
    <w:rsid w:val="44607359"/>
    <w:rsid w:val="447127AF"/>
    <w:rsid w:val="447D214A"/>
    <w:rsid w:val="44826404"/>
    <w:rsid w:val="44937BC0"/>
    <w:rsid w:val="44953938"/>
    <w:rsid w:val="44B10046"/>
    <w:rsid w:val="44B968EF"/>
    <w:rsid w:val="44BC2C73"/>
    <w:rsid w:val="44C935E1"/>
    <w:rsid w:val="44CD4E80"/>
    <w:rsid w:val="44CE18F2"/>
    <w:rsid w:val="44D74953"/>
    <w:rsid w:val="44DC50C3"/>
    <w:rsid w:val="44E644B0"/>
    <w:rsid w:val="44FD328B"/>
    <w:rsid w:val="450B3BFA"/>
    <w:rsid w:val="45161A51"/>
    <w:rsid w:val="451B17F6"/>
    <w:rsid w:val="4541586E"/>
    <w:rsid w:val="45594965"/>
    <w:rsid w:val="45800144"/>
    <w:rsid w:val="45813EBC"/>
    <w:rsid w:val="458E3310"/>
    <w:rsid w:val="458E5EE1"/>
    <w:rsid w:val="45A007E6"/>
    <w:rsid w:val="45A176CC"/>
    <w:rsid w:val="45AA3413"/>
    <w:rsid w:val="45AD4CB1"/>
    <w:rsid w:val="45AE2F45"/>
    <w:rsid w:val="45C86107"/>
    <w:rsid w:val="45E85CE9"/>
    <w:rsid w:val="45EA1A61"/>
    <w:rsid w:val="45EB56D0"/>
    <w:rsid w:val="45EE1552"/>
    <w:rsid w:val="45F4468E"/>
    <w:rsid w:val="46130B22"/>
    <w:rsid w:val="4618414C"/>
    <w:rsid w:val="46235D12"/>
    <w:rsid w:val="46236D21"/>
    <w:rsid w:val="464253F9"/>
    <w:rsid w:val="465A4338"/>
    <w:rsid w:val="467A34E7"/>
    <w:rsid w:val="46804174"/>
    <w:rsid w:val="468616FB"/>
    <w:rsid w:val="46985894"/>
    <w:rsid w:val="46A82DEF"/>
    <w:rsid w:val="46B326A2"/>
    <w:rsid w:val="46BE34E7"/>
    <w:rsid w:val="46C357BC"/>
    <w:rsid w:val="46D70238"/>
    <w:rsid w:val="46E13DB1"/>
    <w:rsid w:val="46E2098A"/>
    <w:rsid w:val="46F07B2C"/>
    <w:rsid w:val="471274C2"/>
    <w:rsid w:val="47136D96"/>
    <w:rsid w:val="47354F5E"/>
    <w:rsid w:val="47523D62"/>
    <w:rsid w:val="475F2530"/>
    <w:rsid w:val="47680E90"/>
    <w:rsid w:val="477535AD"/>
    <w:rsid w:val="4799729B"/>
    <w:rsid w:val="47A10846"/>
    <w:rsid w:val="47B512B6"/>
    <w:rsid w:val="47BB1907"/>
    <w:rsid w:val="47C572D2"/>
    <w:rsid w:val="47CA7D9C"/>
    <w:rsid w:val="47CB141F"/>
    <w:rsid w:val="47D66741"/>
    <w:rsid w:val="48143FFB"/>
    <w:rsid w:val="481B6200"/>
    <w:rsid w:val="481C57BF"/>
    <w:rsid w:val="48552C62"/>
    <w:rsid w:val="486A3125"/>
    <w:rsid w:val="48720648"/>
    <w:rsid w:val="48735ADA"/>
    <w:rsid w:val="487B2804"/>
    <w:rsid w:val="489167A2"/>
    <w:rsid w:val="48A44149"/>
    <w:rsid w:val="48A51C70"/>
    <w:rsid w:val="48B16866"/>
    <w:rsid w:val="48BF0A99"/>
    <w:rsid w:val="48C77A88"/>
    <w:rsid w:val="48D367DD"/>
    <w:rsid w:val="48D82045"/>
    <w:rsid w:val="48EF5D2E"/>
    <w:rsid w:val="490A38A3"/>
    <w:rsid w:val="491C63D6"/>
    <w:rsid w:val="49267254"/>
    <w:rsid w:val="492C0CCA"/>
    <w:rsid w:val="493014BE"/>
    <w:rsid w:val="49380D36"/>
    <w:rsid w:val="495F639D"/>
    <w:rsid w:val="496541A2"/>
    <w:rsid w:val="496E7B1A"/>
    <w:rsid w:val="497578A1"/>
    <w:rsid w:val="497E4B01"/>
    <w:rsid w:val="498875C7"/>
    <w:rsid w:val="498B355B"/>
    <w:rsid w:val="499D371C"/>
    <w:rsid w:val="49B83A21"/>
    <w:rsid w:val="49ED2CCD"/>
    <w:rsid w:val="49FB5243"/>
    <w:rsid w:val="4A1D6937"/>
    <w:rsid w:val="4A29004F"/>
    <w:rsid w:val="4A2C0CE9"/>
    <w:rsid w:val="4A3C3D1F"/>
    <w:rsid w:val="4A3F2F5D"/>
    <w:rsid w:val="4A4831FA"/>
    <w:rsid w:val="4A4B252B"/>
    <w:rsid w:val="4A6C027D"/>
    <w:rsid w:val="4A757163"/>
    <w:rsid w:val="4A9205ED"/>
    <w:rsid w:val="4A987CDE"/>
    <w:rsid w:val="4AD64BDE"/>
    <w:rsid w:val="4AE52F2B"/>
    <w:rsid w:val="4AEC6043"/>
    <w:rsid w:val="4B1A4B97"/>
    <w:rsid w:val="4B1E7200"/>
    <w:rsid w:val="4B225666"/>
    <w:rsid w:val="4B2B7EBA"/>
    <w:rsid w:val="4B36751C"/>
    <w:rsid w:val="4B3F63AB"/>
    <w:rsid w:val="4B57145D"/>
    <w:rsid w:val="4B6C2A28"/>
    <w:rsid w:val="4B7645F1"/>
    <w:rsid w:val="4B786F2D"/>
    <w:rsid w:val="4B887D52"/>
    <w:rsid w:val="4B9304A5"/>
    <w:rsid w:val="4B986E74"/>
    <w:rsid w:val="4BA52BB9"/>
    <w:rsid w:val="4BAB3A41"/>
    <w:rsid w:val="4BB26B7D"/>
    <w:rsid w:val="4BB41A6E"/>
    <w:rsid w:val="4BBE2974"/>
    <w:rsid w:val="4BBE33D4"/>
    <w:rsid w:val="4BBF1C08"/>
    <w:rsid w:val="4BC66ACD"/>
    <w:rsid w:val="4BCD166F"/>
    <w:rsid w:val="4BD411EA"/>
    <w:rsid w:val="4BDA60D4"/>
    <w:rsid w:val="4BE34E89"/>
    <w:rsid w:val="4BE74117"/>
    <w:rsid w:val="4BF5382E"/>
    <w:rsid w:val="4C06511B"/>
    <w:rsid w:val="4C082C41"/>
    <w:rsid w:val="4C147838"/>
    <w:rsid w:val="4C207F8B"/>
    <w:rsid w:val="4C687B84"/>
    <w:rsid w:val="4C995F8F"/>
    <w:rsid w:val="4CCC0782"/>
    <w:rsid w:val="4CCE6A8F"/>
    <w:rsid w:val="4CDA19A5"/>
    <w:rsid w:val="4CDF5113"/>
    <w:rsid w:val="4CE312FC"/>
    <w:rsid w:val="4CFE56F6"/>
    <w:rsid w:val="4CFE5C17"/>
    <w:rsid w:val="4D0553D3"/>
    <w:rsid w:val="4D1473C4"/>
    <w:rsid w:val="4D2C12E0"/>
    <w:rsid w:val="4D4521D3"/>
    <w:rsid w:val="4D5631A1"/>
    <w:rsid w:val="4D64034B"/>
    <w:rsid w:val="4D6C0FAE"/>
    <w:rsid w:val="4D6D36A4"/>
    <w:rsid w:val="4D746CD8"/>
    <w:rsid w:val="4D8F77C9"/>
    <w:rsid w:val="4D92171C"/>
    <w:rsid w:val="4D9D560B"/>
    <w:rsid w:val="4DA8143A"/>
    <w:rsid w:val="4DCA15C8"/>
    <w:rsid w:val="4DD3727F"/>
    <w:rsid w:val="4E035DB6"/>
    <w:rsid w:val="4E04568A"/>
    <w:rsid w:val="4E0F02B7"/>
    <w:rsid w:val="4E125FF9"/>
    <w:rsid w:val="4E131ACC"/>
    <w:rsid w:val="4E266826"/>
    <w:rsid w:val="4E2B2C17"/>
    <w:rsid w:val="4E2C074F"/>
    <w:rsid w:val="4E2F0959"/>
    <w:rsid w:val="4E3162AA"/>
    <w:rsid w:val="4E323FA5"/>
    <w:rsid w:val="4E3F45FB"/>
    <w:rsid w:val="4E4D0DDF"/>
    <w:rsid w:val="4E65437B"/>
    <w:rsid w:val="4E8011B5"/>
    <w:rsid w:val="4EA84268"/>
    <w:rsid w:val="4EB757CD"/>
    <w:rsid w:val="4EBC1A2B"/>
    <w:rsid w:val="4EC2357B"/>
    <w:rsid w:val="4EC33834"/>
    <w:rsid w:val="4EC45545"/>
    <w:rsid w:val="4EDE2BD4"/>
    <w:rsid w:val="4EE72982"/>
    <w:rsid w:val="4F22401A"/>
    <w:rsid w:val="4F361873"/>
    <w:rsid w:val="4F5159D7"/>
    <w:rsid w:val="4F6E06F3"/>
    <w:rsid w:val="4F9D5D96"/>
    <w:rsid w:val="4FAB5D09"/>
    <w:rsid w:val="4FB70C06"/>
    <w:rsid w:val="4FC21359"/>
    <w:rsid w:val="4FD574C4"/>
    <w:rsid w:val="4FDC68BF"/>
    <w:rsid w:val="4FE63299"/>
    <w:rsid w:val="4FFC0D0F"/>
    <w:rsid w:val="502246FD"/>
    <w:rsid w:val="505C355C"/>
    <w:rsid w:val="50674E00"/>
    <w:rsid w:val="506B19F1"/>
    <w:rsid w:val="50886ED7"/>
    <w:rsid w:val="5092008F"/>
    <w:rsid w:val="50B95974"/>
    <w:rsid w:val="50C2604C"/>
    <w:rsid w:val="50DC1EB2"/>
    <w:rsid w:val="50DD28EE"/>
    <w:rsid w:val="50DE0552"/>
    <w:rsid w:val="511033E7"/>
    <w:rsid w:val="5111061A"/>
    <w:rsid w:val="51134562"/>
    <w:rsid w:val="511B6F73"/>
    <w:rsid w:val="515F3303"/>
    <w:rsid w:val="516507DA"/>
    <w:rsid w:val="51824B2F"/>
    <w:rsid w:val="51897B82"/>
    <w:rsid w:val="519531C9"/>
    <w:rsid w:val="51956D25"/>
    <w:rsid w:val="51BF3641"/>
    <w:rsid w:val="51DA4891"/>
    <w:rsid w:val="51EE17D0"/>
    <w:rsid w:val="51F15F26"/>
    <w:rsid w:val="51F85506"/>
    <w:rsid w:val="51F96C9B"/>
    <w:rsid w:val="51FD2B1C"/>
    <w:rsid w:val="520008D8"/>
    <w:rsid w:val="52090DED"/>
    <w:rsid w:val="522B58DB"/>
    <w:rsid w:val="523636A7"/>
    <w:rsid w:val="52386093"/>
    <w:rsid w:val="523C3645"/>
    <w:rsid w:val="523E2E19"/>
    <w:rsid w:val="524644C3"/>
    <w:rsid w:val="528F1AE6"/>
    <w:rsid w:val="529271E0"/>
    <w:rsid w:val="5293083F"/>
    <w:rsid w:val="52990A97"/>
    <w:rsid w:val="529D03AD"/>
    <w:rsid w:val="529E42FF"/>
    <w:rsid w:val="52A1794C"/>
    <w:rsid w:val="52B17E39"/>
    <w:rsid w:val="52E00474"/>
    <w:rsid w:val="52E11882"/>
    <w:rsid w:val="52E15F9A"/>
    <w:rsid w:val="52E52C3D"/>
    <w:rsid w:val="52F27B46"/>
    <w:rsid w:val="52F77B3F"/>
    <w:rsid w:val="52F92CDD"/>
    <w:rsid w:val="53071EA5"/>
    <w:rsid w:val="531E0074"/>
    <w:rsid w:val="5338205E"/>
    <w:rsid w:val="534D3630"/>
    <w:rsid w:val="53690469"/>
    <w:rsid w:val="53775035"/>
    <w:rsid w:val="538C5F06"/>
    <w:rsid w:val="53AE40CE"/>
    <w:rsid w:val="53BD6A07"/>
    <w:rsid w:val="53BE4C3E"/>
    <w:rsid w:val="53CB3D61"/>
    <w:rsid w:val="53D14261"/>
    <w:rsid w:val="53E15B76"/>
    <w:rsid w:val="53FC01C8"/>
    <w:rsid w:val="53FC6721"/>
    <w:rsid w:val="54090F7F"/>
    <w:rsid w:val="54163583"/>
    <w:rsid w:val="541879C0"/>
    <w:rsid w:val="542A3A4D"/>
    <w:rsid w:val="54372316"/>
    <w:rsid w:val="543A3BB4"/>
    <w:rsid w:val="543C16DA"/>
    <w:rsid w:val="5449494D"/>
    <w:rsid w:val="545468C2"/>
    <w:rsid w:val="545B74F3"/>
    <w:rsid w:val="545D78A2"/>
    <w:rsid w:val="546B5441"/>
    <w:rsid w:val="54AE00FE"/>
    <w:rsid w:val="54BA7621"/>
    <w:rsid w:val="54C727C9"/>
    <w:rsid w:val="54D33936"/>
    <w:rsid w:val="54DF4EE8"/>
    <w:rsid w:val="54E54D3D"/>
    <w:rsid w:val="54E702A4"/>
    <w:rsid w:val="54F2623D"/>
    <w:rsid w:val="54F40207"/>
    <w:rsid w:val="5503044A"/>
    <w:rsid w:val="55061CE8"/>
    <w:rsid w:val="551564C7"/>
    <w:rsid w:val="553700F3"/>
    <w:rsid w:val="553B5E36"/>
    <w:rsid w:val="553D4864"/>
    <w:rsid w:val="554A067A"/>
    <w:rsid w:val="554D7917"/>
    <w:rsid w:val="55547AD1"/>
    <w:rsid w:val="55654C60"/>
    <w:rsid w:val="55802B56"/>
    <w:rsid w:val="55825812"/>
    <w:rsid w:val="55992B5C"/>
    <w:rsid w:val="55A95B7B"/>
    <w:rsid w:val="55AC7A04"/>
    <w:rsid w:val="55AD49B3"/>
    <w:rsid w:val="55C37BD9"/>
    <w:rsid w:val="55DB20F6"/>
    <w:rsid w:val="55FC4ADD"/>
    <w:rsid w:val="56004989"/>
    <w:rsid w:val="56151AED"/>
    <w:rsid w:val="56177552"/>
    <w:rsid w:val="561E35DE"/>
    <w:rsid w:val="56250239"/>
    <w:rsid w:val="562532E3"/>
    <w:rsid w:val="562B4FB5"/>
    <w:rsid w:val="564D4072"/>
    <w:rsid w:val="566148C6"/>
    <w:rsid w:val="56711C5C"/>
    <w:rsid w:val="56785F21"/>
    <w:rsid w:val="568140A3"/>
    <w:rsid w:val="568A3B11"/>
    <w:rsid w:val="56BF13C6"/>
    <w:rsid w:val="56E02369"/>
    <w:rsid w:val="56E6661F"/>
    <w:rsid w:val="56F1208A"/>
    <w:rsid w:val="56FE4611"/>
    <w:rsid w:val="57004346"/>
    <w:rsid w:val="570F1328"/>
    <w:rsid w:val="571D166C"/>
    <w:rsid w:val="57220B1D"/>
    <w:rsid w:val="574803C1"/>
    <w:rsid w:val="574A04A7"/>
    <w:rsid w:val="576334C8"/>
    <w:rsid w:val="576D24F2"/>
    <w:rsid w:val="576F3AEF"/>
    <w:rsid w:val="577365E1"/>
    <w:rsid w:val="577C4928"/>
    <w:rsid w:val="57802226"/>
    <w:rsid w:val="579F744D"/>
    <w:rsid w:val="57A37CC2"/>
    <w:rsid w:val="57A75A04"/>
    <w:rsid w:val="57AB43E4"/>
    <w:rsid w:val="57B20595"/>
    <w:rsid w:val="57C32112"/>
    <w:rsid w:val="57E70EF1"/>
    <w:rsid w:val="57EE53E1"/>
    <w:rsid w:val="57F55992"/>
    <w:rsid w:val="57F66683"/>
    <w:rsid w:val="58276B45"/>
    <w:rsid w:val="58331046"/>
    <w:rsid w:val="58363FE9"/>
    <w:rsid w:val="58394402"/>
    <w:rsid w:val="584C2108"/>
    <w:rsid w:val="584C64D4"/>
    <w:rsid w:val="587E7C60"/>
    <w:rsid w:val="588418A2"/>
    <w:rsid w:val="58871675"/>
    <w:rsid w:val="58B83E74"/>
    <w:rsid w:val="58CB483C"/>
    <w:rsid w:val="58D17568"/>
    <w:rsid w:val="58E3481A"/>
    <w:rsid w:val="58E41D48"/>
    <w:rsid w:val="58E81E30"/>
    <w:rsid w:val="59030A18"/>
    <w:rsid w:val="591A2BA2"/>
    <w:rsid w:val="59246BE1"/>
    <w:rsid w:val="592B7F6F"/>
    <w:rsid w:val="592E6F15"/>
    <w:rsid w:val="592F3F03"/>
    <w:rsid w:val="59451E18"/>
    <w:rsid w:val="597247E0"/>
    <w:rsid w:val="59975605"/>
    <w:rsid w:val="5999137D"/>
    <w:rsid w:val="599D6D92"/>
    <w:rsid w:val="59A33FA9"/>
    <w:rsid w:val="59B94D9F"/>
    <w:rsid w:val="59E31446"/>
    <w:rsid w:val="5A081CC5"/>
    <w:rsid w:val="5A1621EF"/>
    <w:rsid w:val="5A2E5F69"/>
    <w:rsid w:val="5A3B5997"/>
    <w:rsid w:val="5A3F1F24"/>
    <w:rsid w:val="5A427C66"/>
    <w:rsid w:val="5A4C14B5"/>
    <w:rsid w:val="5A7A0667"/>
    <w:rsid w:val="5A7F67C4"/>
    <w:rsid w:val="5A8153D7"/>
    <w:rsid w:val="5A882BDD"/>
    <w:rsid w:val="5A93401E"/>
    <w:rsid w:val="5A944509"/>
    <w:rsid w:val="5A9658BC"/>
    <w:rsid w:val="5A96780E"/>
    <w:rsid w:val="5AA038A2"/>
    <w:rsid w:val="5AAF3A64"/>
    <w:rsid w:val="5AC056CA"/>
    <w:rsid w:val="5AC643F3"/>
    <w:rsid w:val="5AD07020"/>
    <w:rsid w:val="5AE96334"/>
    <w:rsid w:val="5AEF6656"/>
    <w:rsid w:val="5AF42331"/>
    <w:rsid w:val="5B1655EB"/>
    <w:rsid w:val="5B1C04B7"/>
    <w:rsid w:val="5B2568B5"/>
    <w:rsid w:val="5B4812AC"/>
    <w:rsid w:val="5B577BFC"/>
    <w:rsid w:val="5B7C4F58"/>
    <w:rsid w:val="5B801186"/>
    <w:rsid w:val="5BC76675"/>
    <w:rsid w:val="5BD92251"/>
    <w:rsid w:val="5BE85E95"/>
    <w:rsid w:val="5BF22F75"/>
    <w:rsid w:val="5BF3746A"/>
    <w:rsid w:val="5BFA528F"/>
    <w:rsid w:val="5BFD3E45"/>
    <w:rsid w:val="5C0608D6"/>
    <w:rsid w:val="5C133668"/>
    <w:rsid w:val="5C166888"/>
    <w:rsid w:val="5C1B076F"/>
    <w:rsid w:val="5C3D437E"/>
    <w:rsid w:val="5C3F26AF"/>
    <w:rsid w:val="5C49419B"/>
    <w:rsid w:val="5C6A3DF7"/>
    <w:rsid w:val="5C6E089F"/>
    <w:rsid w:val="5C71213D"/>
    <w:rsid w:val="5C877BB2"/>
    <w:rsid w:val="5C9A5B38"/>
    <w:rsid w:val="5C9E3C9E"/>
    <w:rsid w:val="5CA024D2"/>
    <w:rsid w:val="5CB5471F"/>
    <w:rsid w:val="5CBF559E"/>
    <w:rsid w:val="5CCF14F4"/>
    <w:rsid w:val="5CD91AE3"/>
    <w:rsid w:val="5CEB1EEF"/>
    <w:rsid w:val="5CEC5C67"/>
    <w:rsid w:val="5CFD02A0"/>
    <w:rsid w:val="5D071531"/>
    <w:rsid w:val="5D0B07E3"/>
    <w:rsid w:val="5D312E34"/>
    <w:rsid w:val="5D4D4958"/>
    <w:rsid w:val="5D4D68D3"/>
    <w:rsid w:val="5D6E4AE7"/>
    <w:rsid w:val="5D7230A6"/>
    <w:rsid w:val="5D8B26A3"/>
    <w:rsid w:val="5D8B5480"/>
    <w:rsid w:val="5D962F27"/>
    <w:rsid w:val="5DA0717E"/>
    <w:rsid w:val="5DB33D01"/>
    <w:rsid w:val="5DC664B8"/>
    <w:rsid w:val="5DCF7D3C"/>
    <w:rsid w:val="5DD77EAC"/>
    <w:rsid w:val="5DEA21A7"/>
    <w:rsid w:val="5DED09D2"/>
    <w:rsid w:val="5E062D59"/>
    <w:rsid w:val="5E0F7E5F"/>
    <w:rsid w:val="5E2356B9"/>
    <w:rsid w:val="5E280F21"/>
    <w:rsid w:val="5E2D162C"/>
    <w:rsid w:val="5E2D7958"/>
    <w:rsid w:val="5E2F405E"/>
    <w:rsid w:val="5E317DD6"/>
    <w:rsid w:val="5E3E301E"/>
    <w:rsid w:val="5E6301AB"/>
    <w:rsid w:val="5E730E82"/>
    <w:rsid w:val="5E93039E"/>
    <w:rsid w:val="5EA70098"/>
    <w:rsid w:val="5EA731C3"/>
    <w:rsid w:val="5EAA5DDA"/>
    <w:rsid w:val="5EB92812"/>
    <w:rsid w:val="5EC92914"/>
    <w:rsid w:val="5ED370DF"/>
    <w:rsid w:val="5F1514A5"/>
    <w:rsid w:val="5F164E4A"/>
    <w:rsid w:val="5F373947"/>
    <w:rsid w:val="5F396F19"/>
    <w:rsid w:val="5F3B7BEC"/>
    <w:rsid w:val="5F693F19"/>
    <w:rsid w:val="5F6C644B"/>
    <w:rsid w:val="5F6D12E1"/>
    <w:rsid w:val="5F8D54E0"/>
    <w:rsid w:val="5F903222"/>
    <w:rsid w:val="5FA82319"/>
    <w:rsid w:val="5FB05672"/>
    <w:rsid w:val="5FB40CBE"/>
    <w:rsid w:val="5FB9506D"/>
    <w:rsid w:val="5FBC463D"/>
    <w:rsid w:val="5FC55EAD"/>
    <w:rsid w:val="5FE377F5"/>
    <w:rsid w:val="5FE4471A"/>
    <w:rsid w:val="5FF22FF3"/>
    <w:rsid w:val="60254689"/>
    <w:rsid w:val="603E2C7E"/>
    <w:rsid w:val="604030A0"/>
    <w:rsid w:val="60457B68"/>
    <w:rsid w:val="6057697E"/>
    <w:rsid w:val="605E50CE"/>
    <w:rsid w:val="606A5821"/>
    <w:rsid w:val="606C02F9"/>
    <w:rsid w:val="609F196E"/>
    <w:rsid w:val="60A04417"/>
    <w:rsid w:val="60C03693"/>
    <w:rsid w:val="60C27AD9"/>
    <w:rsid w:val="60CD03CC"/>
    <w:rsid w:val="60FD6695"/>
    <w:rsid w:val="611A43B1"/>
    <w:rsid w:val="61204131"/>
    <w:rsid w:val="612B4288"/>
    <w:rsid w:val="61446072"/>
    <w:rsid w:val="614C3EC9"/>
    <w:rsid w:val="616E578F"/>
    <w:rsid w:val="619960CB"/>
    <w:rsid w:val="619F599E"/>
    <w:rsid w:val="61A47B89"/>
    <w:rsid w:val="61CF0031"/>
    <w:rsid w:val="61D70C94"/>
    <w:rsid w:val="61E17D65"/>
    <w:rsid w:val="61EA4E6B"/>
    <w:rsid w:val="61F23D20"/>
    <w:rsid w:val="61F74799"/>
    <w:rsid w:val="62257FFA"/>
    <w:rsid w:val="622C518A"/>
    <w:rsid w:val="623C0374"/>
    <w:rsid w:val="6244386E"/>
    <w:rsid w:val="625304A7"/>
    <w:rsid w:val="625B3673"/>
    <w:rsid w:val="625C58C6"/>
    <w:rsid w:val="626052F2"/>
    <w:rsid w:val="627A3766"/>
    <w:rsid w:val="628726BA"/>
    <w:rsid w:val="62943029"/>
    <w:rsid w:val="629F6A6C"/>
    <w:rsid w:val="62A414BE"/>
    <w:rsid w:val="62A556D3"/>
    <w:rsid w:val="62A96AD4"/>
    <w:rsid w:val="62AF7E63"/>
    <w:rsid w:val="62C41110"/>
    <w:rsid w:val="62CD561B"/>
    <w:rsid w:val="62E54C39"/>
    <w:rsid w:val="62EA49F7"/>
    <w:rsid w:val="62FD472A"/>
    <w:rsid w:val="630006BE"/>
    <w:rsid w:val="630A21A8"/>
    <w:rsid w:val="631C0CD5"/>
    <w:rsid w:val="63275C4B"/>
    <w:rsid w:val="632C14B3"/>
    <w:rsid w:val="63497970"/>
    <w:rsid w:val="6353510B"/>
    <w:rsid w:val="635A392B"/>
    <w:rsid w:val="63603041"/>
    <w:rsid w:val="636104DF"/>
    <w:rsid w:val="6370279B"/>
    <w:rsid w:val="63B84AF5"/>
    <w:rsid w:val="63BA6ABF"/>
    <w:rsid w:val="63C87C5C"/>
    <w:rsid w:val="63E636A7"/>
    <w:rsid w:val="63ED0C43"/>
    <w:rsid w:val="63FA3360"/>
    <w:rsid w:val="63FF1835"/>
    <w:rsid w:val="642D103F"/>
    <w:rsid w:val="64373621"/>
    <w:rsid w:val="64542A70"/>
    <w:rsid w:val="64680FC0"/>
    <w:rsid w:val="646A2293"/>
    <w:rsid w:val="64704173"/>
    <w:rsid w:val="647E4241"/>
    <w:rsid w:val="648379D1"/>
    <w:rsid w:val="64846EDD"/>
    <w:rsid w:val="648669A1"/>
    <w:rsid w:val="64990483"/>
    <w:rsid w:val="649E1F3D"/>
    <w:rsid w:val="64CE13FE"/>
    <w:rsid w:val="64D63485"/>
    <w:rsid w:val="64E71F99"/>
    <w:rsid w:val="64FA7712"/>
    <w:rsid w:val="65041A21"/>
    <w:rsid w:val="650B0753"/>
    <w:rsid w:val="65173C7B"/>
    <w:rsid w:val="652258CA"/>
    <w:rsid w:val="652F1BCA"/>
    <w:rsid w:val="653D52B2"/>
    <w:rsid w:val="65427C9E"/>
    <w:rsid w:val="65530F79"/>
    <w:rsid w:val="656071F2"/>
    <w:rsid w:val="656C203B"/>
    <w:rsid w:val="6578453C"/>
    <w:rsid w:val="6585087D"/>
    <w:rsid w:val="6585261B"/>
    <w:rsid w:val="6599745D"/>
    <w:rsid w:val="659A0956"/>
    <w:rsid w:val="65B0017A"/>
    <w:rsid w:val="65C43C25"/>
    <w:rsid w:val="65D11E9E"/>
    <w:rsid w:val="65E10892"/>
    <w:rsid w:val="65E97D44"/>
    <w:rsid w:val="65FB7547"/>
    <w:rsid w:val="65FC33BF"/>
    <w:rsid w:val="65FD2C93"/>
    <w:rsid w:val="660D707D"/>
    <w:rsid w:val="660D737A"/>
    <w:rsid w:val="66171B8A"/>
    <w:rsid w:val="661B7AB4"/>
    <w:rsid w:val="662D17CA"/>
    <w:rsid w:val="66384703"/>
    <w:rsid w:val="663D7E90"/>
    <w:rsid w:val="664259A9"/>
    <w:rsid w:val="6646288C"/>
    <w:rsid w:val="66705C12"/>
    <w:rsid w:val="66A650D9"/>
    <w:rsid w:val="66C37B75"/>
    <w:rsid w:val="66E92F02"/>
    <w:rsid w:val="66EA3218"/>
    <w:rsid w:val="66ED0F5A"/>
    <w:rsid w:val="66ED1A86"/>
    <w:rsid w:val="67003B2B"/>
    <w:rsid w:val="67566AFF"/>
    <w:rsid w:val="675B2A2A"/>
    <w:rsid w:val="67627252"/>
    <w:rsid w:val="676B07FC"/>
    <w:rsid w:val="6773145F"/>
    <w:rsid w:val="67851681"/>
    <w:rsid w:val="67923542"/>
    <w:rsid w:val="67BD2A93"/>
    <w:rsid w:val="67D77C40"/>
    <w:rsid w:val="67EB7247"/>
    <w:rsid w:val="67F105D6"/>
    <w:rsid w:val="681744E0"/>
    <w:rsid w:val="68185DB0"/>
    <w:rsid w:val="682B5BEC"/>
    <w:rsid w:val="683426D7"/>
    <w:rsid w:val="68467214"/>
    <w:rsid w:val="68531C91"/>
    <w:rsid w:val="686139AD"/>
    <w:rsid w:val="686D5EAE"/>
    <w:rsid w:val="6881195A"/>
    <w:rsid w:val="68837C80"/>
    <w:rsid w:val="68A613C0"/>
    <w:rsid w:val="68C1444C"/>
    <w:rsid w:val="68EB3038"/>
    <w:rsid w:val="68ED6FEF"/>
    <w:rsid w:val="68EF05FA"/>
    <w:rsid w:val="68F95994"/>
    <w:rsid w:val="68FC7232"/>
    <w:rsid w:val="69026F3E"/>
    <w:rsid w:val="69036813"/>
    <w:rsid w:val="69262337"/>
    <w:rsid w:val="692769A5"/>
    <w:rsid w:val="692D60ED"/>
    <w:rsid w:val="69434E61"/>
    <w:rsid w:val="6971381F"/>
    <w:rsid w:val="698536CB"/>
    <w:rsid w:val="69934A52"/>
    <w:rsid w:val="6994515E"/>
    <w:rsid w:val="69B01F0C"/>
    <w:rsid w:val="69CC30A8"/>
    <w:rsid w:val="69DA7573"/>
    <w:rsid w:val="69F523FA"/>
    <w:rsid w:val="6A633A0D"/>
    <w:rsid w:val="6A682DD1"/>
    <w:rsid w:val="6A701C86"/>
    <w:rsid w:val="6A763739"/>
    <w:rsid w:val="6A8D4E45"/>
    <w:rsid w:val="6AA32DBD"/>
    <w:rsid w:val="6AA61BD5"/>
    <w:rsid w:val="6AA81420"/>
    <w:rsid w:val="6AB951F1"/>
    <w:rsid w:val="6AD3024F"/>
    <w:rsid w:val="6AD77F57"/>
    <w:rsid w:val="6AD846D7"/>
    <w:rsid w:val="6ADB3023"/>
    <w:rsid w:val="6ADD4AB5"/>
    <w:rsid w:val="6AEA7C8A"/>
    <w:rsid w:val="6AF61E2F"/>
    <w:rsid w:val="6B0A20DA"/>
    <w:rsid w:val="6B0C289F"/>
    <w:rsid w:val="6B111949"/>
    <w:rsid w:val="6B146AB5"/>
    <w:rsid w:val="6B1B6095"/>
    <w:rsid w:val="6B457299"/>
    <w:rsid w:val="6B4A0729"/>
    <w:rsid w:val="6B79100E"/>
    <w:rsid w:val="6B7F0160"/>
    <w:rsid w:val="6B8A42EC"/>
    <w:rsid w:val="6BAE515B"/>
    <w:rsid w:val="6BB81B36"/>
    <w:rsid w:val="6BBC4CDE"/>
    <w:rsid w:val="6BCB60D2"/>
    <w:rsid w:val="6BD33AB4"/>
    <w:rsid w:val="6BFA1229"/>
    <w:rsid w:val="6BFB5EC7"/>
    <w:rsid w:val="6C053331"/>
    <w:rsid w:val="6C0703C8"/>
    <w:rsid w:val="6C1E72DF"/>
    <w:rsid w:val="6C2216A6"/>
    <w:rsid w:val="6C245031"/>
    <w:rsid w:val="6C2C42D2"/>
    <w:rsid w:val="6C5A1350"/>
    <w:rsid w:val="6C71397E"/>
    <w:rsid w:val="6C7D68DC"/>
    <w:rsid w:val="6C841A18"/>
    <w:rsid w:val="6CA51767"/>
    <w:rsid w:val="6CA976D1"/>
    <w:rsid w:val="6CC83FFB"/>
    <w:rsid w:val="6CD504C6"/>
    <w:rsid w:val="6CDD1929"/>
    <w:rsid w:val="6CE13383"/>
    <w:rsid w:val="6CE54BAD"/>
    <w:rsid w:val="6CF97D09"/>
    <w:rsid w:val="6CFE17CB"/>
    <w:rsid w:val="6D205BE5"/>
    <w:rsid w:val="6D27790C"/>
    <w:rsid w:val="6D54588F"/>
    <w:rsid w:val="6D5A00B2"/>
    <w:rsid w:val="6D6A50B2"/>
    <w:rsid w:val="6D6F471B"/>
    <w:rsid w:val="6D804D38"/>
    <w:rsid w:val="6D835DEB"/>
    <w:rsid w:val="6D943EDD"/>
    <w:rsid w:val="6DA73C0F"/>
    <w:rsid w:val="6DB81974"/>
    <w:rsid w:val="6DC61CBE"/>
    <w:rsid w:val="6DFC768A"/>
    <w:rsid w:val="6E1312A6"/>
    <w:rsid w:val="6E466A83"/>
    <w:rsid w:val="6E4B6C92"/>
    <w:rsid w:val="6E573473"/>
    <w:rsid w:val="6E641B01"/>
    <w:rsid w:val="6E67025A"/>
    <w:rsid w:val="6E7220C5"/>
    <w:rsid w:val="6E731D44"/>
    <w:rsid w:val="6E7D6FD3"/>
    <w:rsid w:val="6EA57C83"/>
    <w:rsid w:val="6EB87729"/>
    <w:rsid w:val="6EC06EAB"/>
    <w:rsid w:val="6EC111D9"/>
    <w:rsid w:val="6EDC41D0"/>
    <w:rsid w:val="6F073BDF"/>
    <w:rsid w:val="6F0F5516"/>
    <w:rsid w:val="6F150D71"/>
    <w:rsid w:val="6F341AC6"/>
    <w:rsid w:val="6F467459"/>
    <w:rsid w:val="6F490CF7"/>
    <w:rsid w:val="6F4F22ED"/>
    <w:rsid w:val="6F63625D"/>
    <w:rsid w:val="6F6F3EC3"/>
    <w:rsid w:val="6F780FE6"/>
    <w:rsid w:val="6F9A6059"/>
    <w:rsid w:val="6FA348AB"/>
    <w:rsid w:val="6FA66085"/>
    <w:rsid w:val="6FA75122"/>
    <w:rsid w:val="6FA81EC2"/>
    <w:rsid w:val="6FAA2D41"/>
    <w:rsid w:val="6FCC5F73"/>
    <w:rsid w:val="6FDE1F43"/>
    <w:rsid w:val="7007308C"/>
    <w:rsid w:val="70292A3B"/>
    <w:rsid w:val="70413449"/>
    <w:rsid w:val="704405F0"/>
    <w:rsid w:val="70475BC3"/>
    <w:rsid w:val="70485B31"/>
    <w:rsid w:val="70542388"/>
    <w:rsid w:val="70587444"/>
    <w:rsid w:val="706B000F"/>
    <w:rsid w:val="70716758"/>
    <w:rsid w:val="70761FC0"/>
    <w:rsid w:val="708F7F54"/>
    <w:rsid w:val="70A47AAD"/>
    <w:rsid w:val="70D07922"/>
    <w:rsid w:val="71327C95"/>
    <w:rsid w:val="71332AA2"/>
    <w:rsid w:val="714E6086"/>
    <w:rsid w:val="716360A0"/>
    <w:rsid w:val="716F783D"/>
    <w:rsid w:val="719B1CDE"/>
    <w:rsid w:val="719C7804"/>
    <w:rsid w:val="719F59D6"/>
    <w:rsid w:val="71AA0173"/>
    <w:rsid w:val="71C108C5"/>
    <w:rsid w:val="71CA0C1B"/>
    <w:rsid w:val="71CB1E97"/>
    <w:rsid w:val="71D15700"/>
    <w:rsid w:val="71FB3C3C"/>
    <w:rsid w:val="72061FA7"/>
    <w:rsid w:val="725105EF"/>
    <w:rsid w:val="72BF7C4E"/>
    <w:rsid w:val="72C50044"/>
    <w:rsid w:val="72CB65F3"/>
    <w:rsid w:val="72CE1C3F"/>
    <w:rsid w:val="72CE3026"/>
    <w:rsid w:val="73001149"/>
    <w:rsid w:val="73102258"/>
    <w:rsid w:val="73125FD0"/>
    <w:rsid w:val="733E6DC5"/>
    <w:rsid w:val="734939BC"/>
    <w:rsid w:val="735238B8"/>
    <w:rsid w:val="735937A8"/>
    <w:rsid w:val="736827E7"/>
    <w:rsid w:val="737E1108"/>
    <w:rsid w:val="738B5D82"/>
    <w:rsid w:val="738D3673"/>
    <w:rsid w:val="73927111"/>
    <w:rsid w:val="73A62BBC"/>
    <w:rsid w:val="73AE37EF"/>
    <w:rsid w:val="73BC418E"/>
    <w:rsid w:val="73BF4107"/>
    <w:rsid w:val="73C17CAD"/>
    <w:rsid w:val="73D70FC8"/>
    <w:rsid w:val="740578E3"/>
    <w:rsid w:val="740B676D"/>
    <w:rsid w:val="744D4DE6"/>
    <w:rsid w:val="7456694C"/>
    <w:rsid w:val="74604B19"/>
    <w:rsid w:val="74624249"/>
    <w:rsid w:val="747B7BA5"/>
    <w:rsid w:val="7493166B"/>
    <w:rsid w:val="74980757"/>
    <w:rsid w:val="74A82F40"/>
    <w:rsid w:val="74AB27E9"/>
    <w:rsid w:val="74BD01BD"/>
    <w:rsid w:val="74BD640F"/>
    <w:rsid w:val="75095FDC"/>
    <w:rsid w:val="750D713F"/>
    <w:rsid w:val="752B3379"/>
    <w:rsid w:val="756479DC"/>
    <w:rsid w:val="7576441D"/>
    <w:rsid w:val="757D16FB"/>
    <w:rsid w:val="75880E08"/>
    <w:rsid w:val="758B689E"/>
    <w:rsid w:val="75BD0103"/>
    <w:rsid w:val="76032B3C"/>
    <w:rsid w:val="760D6F22"/>
    <w:rsid w:val="760F67F7"/>
    <w:rsid w:val="7612456C"/>
    <w:rsid w:val="76133609"/>
    <w:rsid w:val="761738FD"/>
    <w:rsid w:val="762322A2"/>
    <w:rsid w:val="762F50EB"/>
    <w:rsid w:val="763F1C89"/>
    <w:rsid w:val="7641097A"/>
    <w:rsid w:val="7648159B"/>
    <w:rsid w:val="764853C3"/>
    <w:rsid w:val="764F3097"/>
    <w:rsid w:val="767147EA"/>
    <w:rsid w:val="768E1E11"/>
    <w:rsid w:val="76937428"/>
    <w:rsid w:val="7695551F"/>
    <w:rsid w:val="76AA4771"/>
    <w:rsid w:val="76BD6253"/>
    <w:rsid w:val="76C70E7F"/>
    <w:rsid w:val="76D13197"/>
    <w:rsid w:val="76D83ECD"/>
    <w:rsid w:val="76E23F0B"/>
    <w:rsid w:val="77240332"/>
    <w:rsid w:val="77310527"/>
    <w:rsid w:val="773109EF"/>
    <w:rsid w:val="773F3EF6"/>
    <w:rsid w:val="7770799C"/>
    <w:rsid w:val="778D653F"/>
    <w:rsid w:val="779571D0"/>
    <w:rsid w:val="77BD7F0F"/>
    <w:rsid w:val="77C67389"/>
    <w:rsid w:val="77D23F80"/>
    <w:rsid w:val="77F96658"/>
    <w:rsid w:val="78032380"/>
    <w:rsid w:val="780649BD"/>
    <w:rsid w:val="78121E8B"/>
    <w:rsid w:val="7812649D"/>
    <w:rsid w:val="7826619A"/>
    <w:rsid w:val="783458C3"/>
    <w:rsid w:val="78397B5B"/>
    <w:rsid w:val="78494817"/>
    <w:rsid w:val="785030F6"/>
    <w:rsid w:val="78745037"/>
    <w:rsid w:val="78791B91"/>
    <w:rsid w:val="78992CEF"/>
    <w:rsid w:val="78995758"/>
    <w:rsid w:val="78BC253A"/>
    <w:rsid w:val="78CC09CF"/>
    <w:rsid w:val="78F13B18"/>
    <w:rsid w:val="79052133"/>
    <w:rsid w:val="79066F17"/>
    <w:rsid w:val="79132AA2"/>
    <w:rsid w:val="79256331"/>
    <w:rsid w:val="79586E66"/>
    <w:rsid w:val="795D275F"/>
    <w:rsid w:val="796721E3"/>
    <w:rsid w:val="79744F4D"/>
    <w:rsid w:val="798E2128"/>
    <w:rsid w:val="79992A19"/>
    <w:rsid w:val="79997202"/>
    <w:rsid w:val="799F7E92"/>
    <w:rsid w:val="79A70AC0"/>
    <w:rsid w:val="79C1605A"/>
    <w:rsid w:val="79CE4C1B"/>
    <w:rsid w:val="79F503F9"/>
    <w:rsid w:val="79F53F55"/>
    <w:rsid w:val="79FF3026"/>
    <w:rsid w:val="7A1563A6"/>
    <w:rsid w:val="7A210B1F"/>
    <w:rsid w:val="7A4601A0"/>
    <w:rsid w:val="7A4773F3"/>
    <w:rsid w:val="7A520ED6"/>
    <w:rsid w:val="7A6E0808"/>
    <w:rsid w:val="7A7C4677"/>
    <w:rsid w:val="7A8C76BE"/>
    <w:rsid w:val="7A8F7F06"/>
    <w:rsid w:val="7A97500D"/>
    <w:rsid w:val="7AA038DE"/>
    <w:rsid w:val="7AA8546C"/>
    <w:rsid w:val="7AB470B6"/>
    <w:rsid w:val="7ABE6A3D"/>
    <w:rsid w:val="7AD87AFF"/>
    <w:rsid w:val="7ADE68DB"/>
    <w:rsid w:val="7AE04C06"/>
    <w:rsid w:val="7AED6F95"/>
    <w:rsid w:val="7B09415C"/>
    <w:rsid w:val="7B116B6D"/>
    <w:rsid w:val="7B21693E"/>
    <w:rsid w:val="7B30439D"/>
    <w:rsid w:val="7B5829EE"/>
    <w:rsid w:val="7B7900AD"/>
    <w:rsid w:val="7B7B048A"/>
    <w:rsid w:val="7B8B30E6"/>
    <w:rsid w:val="7BB120FE"/>
    <w:rsid w:val="7BE129E3"/>
    <w:rsid w:val="7BF94092"/>
    <w:rsid w:val="7C176405"/>
    <w:rsid w:val="7C3E2849"/>
    <w:rsid w:val="7C3F02CE"/>
    <w:rsid w:val="7C3F58E5"/>
    <w:rsid w:val="7C423973"/>
    <w:rsid w:val="7C4B4301"/>
    <w:rsid w:val="7C623145"/>
    <w:rsid w:val="7C690A14"/>
    <w:rsid w:val="7C8E7766"/>
    <w:rsid w:val="7CA9476E"/>
    <w:rsid w:val="7CB26E8E"/>
    <w:rsid w:val="7CC16371"/>
    <w:rsid w:val="7CD75B94"/>
    <w:rsid w:val="7CE86B63"/>
    <w:rsid w:val="7D0D36D5"/>
    <w:rsid w:val="7D124E1E"/>
    <w:rsid w:val="7D2A660C"/>
    <w:rsid w:val="7D2C0CE2"/>
    <w:rsid w:val="7D2D3A06"/>
    <w:rsid w:val="7D324C54"/>
    <w:rsid w:val="7D400351"/>
    <w:rsid w:val="7D4278A5"/>
    <w:rsid w:val="7D6E02A7"/>
    <w:rsid w:val="7D6F2271"/>
    <w:rsid w:val="7D7810B5"/>
    <w:rsid w:val="7D817139"/>
    <w:rsid w:val="7D8436EA"/>
    <w:rsid w:val="7D917A20"/>
    <w:rsid w:val="7DA55C93"/>
    <w:rsid w:val="7DD81BC4"/>
    <w:rsid w:val="7DDD542C"/>
    <w:rsid w:val="7DE07FB2"/>
    <w:rsid w:val="7DE12051"/>
    <w:rsid w:val="7DEA1D90"/>
    <w:rsid w:val="7E071957"/>
    <w:rsid w:val="7E0724A9"/>
    <w:rsid w:val="7E175980"/>
    <w:rsid w:val="7E257EF5"/>
    <w:rsid w:val="7E4436FD"/>
    <w:rsid w:val="7E4C1A3E"/>
    <w:rsid w:val="7E6E54AC"/>
    <w:rsid w:val="7E7B36FD"/>
    <w:rsid w:val="7E8345C7"/>
    <w:rsid w:val="7E8D0C00"/>
    <w:rsid w:val="7EAA7A04"/>
    <w:rsid w:val="7EAE0FEB"/>
    <w:rsid w:val="7EBA4486"/>
    <w:rsid w:val="7EED169F"/>
    <w:rsid w:val="7EF02F3D"/>
    <w:rsid w:val="7F0A04A3"/>
    <w:rsid w:val="7F170008"/>
    <w:rsid w:val="7F1D01D6"/>
    <w:rsid w:val="7F2F688E"/>
    <w:rsid w:val="7F300390"/>
    <w:rsid w:val="7F313C82"/>
    <w:rsid w:val="7F3B7298"/>
    <w:rsid w:val="7F533BF8"/>
    <w:rsid w:val="7F695428"/>
    <w:rsid w:val="7F9562A7"/>
    <w:rsid w:val="7FA27C7E"/>
    <w:rsid w:val="7FB14DC3"/>
    <w:rsid w:val="7FB81B4B"/>
    <w:rsid w:val="7FD36AE7"/>
    <w:rsid w:val="7FE707E4"/>
    <w:rsid w:val="7FEC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84"/>
    <w:qFormat/>
    <w:uiPriority w:val="0"/>
    <w:pPr>
      <w:keepNext/>
      <w:keepLines/>
      <w:snapToGrid w:val="0"/>
      <w:spacing w:line="360" w:lineRule="auto"/>
      <w:jc w:val="center"/>
      <w:outlineLvl w:val="0"/>
    </w:pPr>
    <w:rPr>
      <w:rFonts w:ascii="宋体" w:hAnsi="宋体" w:cs="宋体"/>
      <w:b/>
      <w:color w:val="FF0000"/>
      <w:kern w:val="44"/>
      <w:sz w:val="28"/>
      <w:szCs w:val="28"/>
    </w:rPr>
  </w:style>
  <w:style w:type="paragraph" w:styleId="3">
    <w:name w:val="heading 2"/>
    <w:basedOn w:val="1"/>
    <w:next w:val="1"/>
    <w:link w:val="83"/>
    <w:qFormat/>
    <w:uiPriority w:val="0"/>
    <w:pPr>
      <w:keepNext/>
      <w:keepLines/>
      <w:numPr>
        <w:ilvl w:val="1"/>
        <w:numId w:val="1"/>
      </w:numPr>
      <w:spacing w:before="200" w:after="200" w:line="360" w:lineRule="auto"/>
      <w:jc w:val="left"/>
      <w:outlineLvl w:val="1"/>
    </w:pPr>
    <w:rPr>
      <w:rFonts w:ascii="黑体" w:hAnsi="黑体" w:eastAsia="黑体"/>
      <w:bCs/>
      <w:sz w:val="28"/>
      <w:szCs w:val="32"/>
    </w:rPr>
  </w:style>
  <w:style w:type="paragraph" w:styleId="4">
    <w:name w:val="heading 3"/>
    <w:basedOn w:val="1"/>
    <w:next w:val="1"/>
    <w:link w:val="62"/>
    <w:autoRedefine/>
    <w:unhideWhenUsed/>
    <w:qFormat/>
    <w:uiPriority w:val="9"/>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caption"/>
    <w:basedOn w:val="1"/>
    <w:next w:val="1"/>
    <w:link w:val="59"/>
    <w:autoRedefine/>
    <w:qFormat/>
    <w:uiPriority w:val="0"/>
    <w:pPr>
      <w:keepNext/>
      <w:spacing w:line="500" w:lineRule="exact"/>
      <w:jc w:val="center"/>
    </w:pPr>
    <w:rPr>
      <w:rFonts w:ascii="黑体" w:hAnsi="黑体" w:eastAsia="黑体"/>
      <w:color w:val="FF0000"/>
      <w:sz w:val="21"/>
      <w:szCs w:val="21"/>
    </w:rPr>
  </w:style>
  <w:style w:type="paragraph" w:styleId="7">
    <w:name w:val="Document Map"/>
    <w:basedOn w:val="1"/>
    <w:link w:val="63"/>
    <w:autoRedefine/>
    <w:qFormat/>
    <w:uiPriority w:val="0"/>
    <w:rPr>
      <w:rFonts w:ascii="宋体" w:hAnsi="宋体" w:cs="宋体"/>
      <w:sz w:val="18"/>
      <w:szCs w:val="18"/>
    </w:rPr>
  </w:style>
  <w:style w:type="paragraph" w:styleId="8">
    <w:name w:val="annotation text"/>
    <w:basedOn w:val="1"/>
    <w:link w:val="64"/>
    <w:autoRedefine/>
    <w:qFormat/>
    <w:uiPriority w:val="99"/>
    <w:pPr>
      <w:jc w:val="left"/>
    </w:pPr>
  </w:style>
  <w:style w:type="paragraph" w:styleId="9">
    <w:name w:val="Body Text"/>
    <w:basedOn w:val="1"/>
    <w:link w:val="65"/>
    <w:qFormat/>
    <w:uiPriority w:val="99"/>
    <w:pPr>
      <w:widowControl/>
      <w:snapToGrid w:val="0"/>
      <w:spacing w:line="500" w:lineRule="exact"/>
      <w:ind w:firstLine="482" w:firstLineChars="200"/>
    </w:pPr>
    <w:rPr>
      <w:rFonts w:ascii="宋体" w:hAnsi="宋体" w:cs="宋体"/>
      <w:b/>
      <w:bCs/>
      <w:color w:val="ED0000"/>
      <w:kern w:val="0"/>
    </w:rPr>
  </w:style>
  <w:style w:type="paragraph" w:styleId="10">
    <w:name w:val="Body Text Indent"/>
    <w:basedOn w:val="1"/>
    <w:autoRedefine/>
    <w:qFormat/>
    <w:uiPriority w:val="0"/>
    <w:pPr>
      <w:spacing w:line="440" w:lineRule="exact"/>
      <w:ind w:firstLine="510"/>
    </w:pPr>
    <w:rPr>
      <w:rFonts w:ascii="宋体"/>
      <w:spacing w:val="12"/>
      <w:kern w:val="0"/>
    </w:rPr>
  </w:style>
  <w:style w:type="paragraph" w:styleId="11">
    <w:name w:val="Block Text"/>
    <w:basedOn w:val="1"/>
    <w:next w:val="12"/>
    <w:autoRedefine/>
    <w:qFormat/>
    <w:uiPriority w:val="99"/>
    <w:pPr>
      <w:spacing w:line="480" w:lineRule="exact"/>
      <w:ind w:left="-125" w:right="-56" w:firstLine="570"/>
    </w:pPr>
    <w:rPr>
      <w:sz w:val="28"/>
    </w:rPr>
  </w:style>
  <w:style w:type="paragraph" w:styleId="12">
    <w:name w:val="toc 9"/>
    <w:basedOn w:val="1"/>
    <w:next w:val="1"/>
    <w:autoRedefine/>
    <w:qFormat/>
    <w:uiPriority w:val="39"/>
    <w:pPr>
      <w:ind w:left="1680"/>
      <w:jc w:val="left"/>
    </w:pPr>
    <w:rPr>
      <w:sz w:val="18"/>
    </w:rPr>
  </w:style>
  <w:style w:type="paragraph" w:styleId="13">
    <w:name w:val="Date"/>
    <w:basedOn w:val="1"/>
    <w:next w:val="1"/>
    <w:autoRedefine/>
    <w:qFormat/>
    <w:uiPriority w:val="0"/>
    <w:rPr>
      <w:rFonts w:ascii="宋体"/>
      <w:kern w:val="0"/>
      <w:sz w:val="20"/>
      <w:szCs w:val="20"/>
    </w:rPr>
  </w:style>
  <w:style w:type="paragraph" w:styleId="14">
    <w:name w:val="Body Text Indent 2"/>
    <w:basedOn w:val="1"/>
    <w:link w:val="90"/>
    <w:autoRedefine/>
    <w:qFormat/>
    <w:uiPriority w:val="0"/>
    <w:pPr>
      <w:spacing w:after="120" w:line="480" w:lineRule="auto"/>
      <w:ind w:left="420" w:leftChars="200"/>
    </w:pPr>
  </w:style>
  <w:style w:type="paragraph" w:styleId="15">
    <w:name w:val="footer"/>
    <w:basedOn w:val="1"/>
    <w:link w:val="66"/>
    <w:autoRedefine/>
    <w:qFormat/>
    <w:uiPriority w:val="0"/>
    <w:pPr>
      <w:tabs>
        <w:tab w:val="center" w:pos="4153"/>
        <w:tab w:val="right" w:pos="8306"/>
      </w:tabs>
      <w:snapToGrid w:val="0"/>
      <w:jc w:val="left"/>
    </w:pPr>
    <w:rPr>
      <w:sz w:val="18"/>
      <w:szCs w:val="18"/>
    </w:rPr>
  </w:style>
  <w:style w:type="paragraph" w:styleId="16">
    <w:name w:val="header"/>
    <w:basedOn w:val="1"/>
    <w:link w:val="67"/>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index heading"/>
    <w:basedOn w:val="1"/>
    <w:next w:val="19"/>
    <w:autoRedefine/>
    <w:qFormat/>
    <w:uiPriority w:val="0"/>
    <w:rPr>
      <w:rFonts w:hint="eastAsia" w:ascii="Cambria" w:hAnsi="Cambria"/>
      <w:b/>
    </w:rPr>
  </w:style>
  <w:style w:type="paragraph" w:styleId="19">
    <w:name w:val="index 1"/>
    <w:basedOn w:val="1"/>
    <w:next w:val="1"/>
    <w:autoRedefine/>
    <w:qFormat/>
    <w:uiPriority w:val="0"/>
  </w:style>
  <w:style w:type="paragraph" w:styleId="20">
    <w:name w:val="List"/>
    <w:basedOn w:val="1"/>
    <w:next w:val="1"/>
    <w:autoRedefine/>
    <w:qFormat/>
    <w:uiPriority w:val="0"/>
    <w:pPr>
      <w:adjustRightInd w:val="0"/>
      <w:snapToGrid w:val="0"/>
      <w:ind w:left="198" w:hanging="198"/>
      <w:contextualSpacing/>
    </w:pPr>
    <w:rPr>
      <w:sz w:val="21"/>
    </w:rPr>
  </w:style>
  <w:style w:type="paragraph" w:styleId="21">
    <w:name w:val="Body Text Indent 3"/>
    <w:basedOn w:val="1"/>
    <w:link w:val="68"/>
    <w:autoRedefine/>
    <w:qFormat/>
    <w:uiPriority w:val="0"/>
    <w:pPr>
      <w:spacing w:line="520" w:lineRule="exact"/>
      <w:ind w:firstLine="640" w:firstLineChars="200"/>
    </w:pPr>
    <w:rPr>
      <w:rFonts w:ascii="宋体" w:hAnsi="宋体" w:eastAsia="楷体_GB2312" w:cs="宋体"/>
      <w:sz w:val="32"/>
      <w:szCs w:val="20"/>
    </w:rPr>
  </w:style>
  <w:style w:type="paragraph" w:styleId="22">
    <w:name w:val="toc 2"/>
    <w:basedOn w:val="1"/>
    <w:next w:val="1"/>
    <w:autoRedefine/>
    <w:unhideWhenUsed/>
    <w:qFormat/>
    <w:uiPriority w:val="39"/>
    <w:pPr>
      <w:spacing w:before="120"/>
      <w:ind w:left="210"/>
      <w:jc w:val="left"/>
    </w:pPr>
    <w:rPr>
      <w:rFonts w:ascii="Calibri" w:hAnsi="Calibri" w:cs="Calibri"/>
      <w:i/>
      <w:iCs/>
      <w:sz w:val="20"/>
    </w:rPr>
  </w:style>
  <w:style w:type="paragraph" w:styleId="23">
    <w:name w:val="Normal (Web)"/>
    <w:basedOn w:val="1"/>
    <w:link w:val="95"/>
    <w:autoRedefine/>
    <w:qFormat/>
    <w:uiPriority w:val="99"/>
    <w:pPr>
      <w:widowControl/>
      <w:spacing w:before="100" w:beforeAutospacing="1" w:after="100" w:afterAutospacing="1"/>
      <w:jc w:val="left"/>
    </w:pPr>
    <w:rPr>
      <w:rFonts w:ascii="宋体" w:hAnsi="宋体"/>
      <w:kern w:val="0"/>
    </w:rPr>
  </w:style>
  <w:style w:type="paragraph" w:styleId="24">
    <w:name w:val="annotation subject"/>
    <w:basedOn w:val="8"/>
    <w:next w:val="1"/>
    <w:link w:val="87"/>
    <w:autoRedefine/>
    <w:qFormat/>
    <w:uiPriority w:val="0"/>
    <w:rPr>
      <w:b/>
      <w:bCs/>
    </w:rPr>
  </w:style>
  <w:style w:type="table" w:styleId="26">
    <w:name w:val="Table Grid"/>
    <w:basedOn w:val="25"/>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autoRedefine/>
    <w:qFormat/>
    <w:uiPriority w:val="0"/>
  </w:style>
  <w:style w:type="character" w:styleId="29">
    <w:name w:val="FollowedHyperlink"/>
    <w:autoRedefine/>
    <w:qFormat/>
    <w:uiPriority w:val="0"/>
    <w:rPr>
      <w:color w:val="333333"/>
      <w:u w:val="none"/>
    </w:rPr>
  </w:style>
  <w:style w:type="character" w:styleId="30">
    <w:name w:val="Hyperlink"/>
    <w:autoRedefine/>
    <w:qFormat/>
    <w:uiPriority w:val="0"/>
    <w:rPr>
      <w:color w:val="20528F"/>
      <w:u w:val="none"/>
    </w:rPr>
  </w:style>
  <w:style w:type="character" w:styleId="31">
    <w:name w:val="annotation reference"/>
    <w:basedOn w:val="27"/>
    <w:autoRedefine/>
    <w:qFormat/>
    <w:uiPriority w:val="0"/>
    <w:rPr>
      <w:sz w:val="21"/>
      <w:szCs w:val="21"/>
    </w:rPr>
  </w:style>
  <w:style w:type="paragraph" w:customStyle="1" w:styleId="32">
    <w:name w:val="MEL正文*"/>
    <w:basedOn w:val="1"/>
    <w:link w:val="54"/>
    <w:qFormat/>
    <w:uiPriority w:val="0"/>
    <w:pPr>
      <w:spacing w:line="500" w:lineRule="exact"/>
      <w:ind w:firstLine="480" w:firstLineChars="200"/>
    </w:pPr>
    <w:rPr>
      <w:rFonts w:ascii="宋体" w:hAnsi="宋体"/>
      <w:color w:val="FF0000"/>
      <w:kern w:val="0"/>
    </w:rPr>
  </w:style>
  <w:style w:type="paragraph" w:customStyle="1" w:styleId="33">
    <w:name w:val="YJ-正文"/>
    <w:basedOn w:val="34"/>
    <w:autoRedefine/>
    <w:qFormat/>
    <w:uiPriority w:val="0"/>
    <w:pPr>
      <w:ind w:firstLine="200" w:firstLineChars="200"/>
      <w:jc w:val="both"/>
      <w:outlineLvl w:val="9"/>
    </w:pPr>
    <w:rPr>
      <w:b w:val="0"/>
      <w:sz w:val="24"/>
    </w:rPr>
  </w:style>
  <w:style w:type="paragraph" w:customStyle="1" w:styleId="34">
    <w:name w:val="YJ-表标题1"/>
    <w:basedOn w:val="1"/>
    <w:autoRedefine/>
    <w:qFormat/>
    <w:uiPriority w:val="0"/>
    <w:pPr>
      <w:widowControl/>
      <w:spacing w:line="520" w:lineRule="exact"/>
      <w:jc w:val="left"/>
      <w:outlineLvl w:val="1"/>
    </w:pPr>
    <w:rPr>
      <w:b/>
      <w:kern w:val="0"/>
      <w:sz w:val="30"/>
      <w:szCs w:val="22"/>
    </w:rPr>
  </w:style>
  <w:style w:type="paragraph" w:customStyle="1" w:styleId="35">
    <w:name w:val="YJ正文*"/>
    <w:basedOn w:val="1"/>
    <w:link w:val="53"/>
    <w:autoRedefine/>
    <w:qFormat/>
    <w:uiPriority w:val="0"/>
    <w:pPr>
      <w:adjustRightInd w:val="0"/>
      <w:snapToGrid w:val="0"/>
      <w:spacing w:line="500" w:lineRule="atLeast"/>
      <w:ind w:firstLine="480" w:firstLineChars="200"/>
    </w:pPr>
    <w:rPr>
      <w:rFonts w:ascii="宋体" w:hAnsi="宋体" w:cs="宋体"/>
      <w:shd w:val="clear" w:color="auto" w:fill="FFFFFF"/>
    </w:rPr>
  </w:style>
  <w:style w:type="paragraph" w:customStyle="1" w:styleId="36">
    <w:name w:val="表字-书"/>
    <w:basedOn w:val="1"/>
    <w:link w:val="52"/>
    <w:autoRedefine/>
    <w:qFormat/>
    <w:uiPriority w:val="0"/>
    <w:pPr>
      <w:widowControl/>
      <w:adjustRightInd w:val="0"/>
      <w:snapToGrid w:val="0"/>
      <w:spacing w:line="300" w:lineRule="exact"/>
      <w:jc w:val="center"/>
    </w:pPr>
    <w:rPr>
      <w:rFonts w:ascii="宋体" w:hAnsi="宋体" w:cs="Arial"/>
      <w:szCs w:val="21"/>
    </w:rPr>
  </w:style>
  <w:style w:type="paragraph" w:customStyle="1" w:styleId="37">
    <w:name w:val="表格"/>
    <w:basedOn w:val="20"/>
    <w:next w:val="1"/>
    <w:autoRedefine/>
    <w:qFormat/>
    <w:uiPriority w:val="0"/>
    <w:pPr>
      <w:spacing w:beforeLines="10" w:afterLines="10" w:line="259" w:lineRule="auto"/>
      <w:jc w:val="center"/>
    </w:pPr>
    <w:rPr>
      <w:rFonts w:ascii="宋体"/>
      <w:kern w:val="0"/>
      <w:sz w:val="20"/>
      <w:szCs w:val="21"/>
    </w:rPr>
  </w:style>
  <w:style w:type="paragraph" w:customStyle="1" w:styleId="38">
    <w:name w:val="表格内容"/>
    <w:basedOn w:val="39"/>
    <w:next w:val="24"/>
    <w:autoRedefine/>
    <w:qFormat/>
    <w:uiPriority w:val="0"/>
    <w:pPr>
      <w:jc w:val="center"/>
    </w:pPr>
    <w:rPr>
      <w:rFonts w:ascii="Calibri" w:hAnsi="Calibri"/>
      <w:szCs w:val="22"/>
    </w:rPr>
  </w:style>
  <w:style w:type="paragraph" w:customStyle="1" w:styleId="39">
    <w:name w:val="WW-正文缩进"/>
    <w:basedOn w:val="1"/>
    <w:autoRedefine/>
    <w:semiHidden/>
    <w:qFormat/>
    <w:uiPriority w:val="0"/>
    <w:pPr>
      <w:ind w:firstLine="420" w:firstLineChars="200"/>
    </w:pPr>
    <w:rPr>
      <w:kern w:val="0"/>
      <w:sz w:val="28"/>
      <w:szCs w:val="20"/>
    </w:rPr>
  </w:style>
  <w:style w:type="paragraph" w:customStyle="1" w:styleId="40">
    <w:name w:val="YJ题注"/>
    <w:basedOn w:val="6"/>
    <w:autoRedefine/>
    <w:qFormat/>
    <w:uiPriority w:val="0"/>
    <w:pPr>
      <w:spacing w:line="520" w:lineRule="exact"/>
    </w:pPr>
    <w:rPr>
      <w:szCs w:val="24"/>
    </w:rPr>
  </w:style>
  <w:style w:type="paragraph" w:customStyle="1" w:styleId="41">
    <w:name w:val="表内文字"/>
    <w:basedOn w:val="42"/>
    <w:autoRedefine/>
    <w:qFormat/>
    <w:uiPriority w:val="0"/>
    <w:pPr>
      <w:widowControl/>
      <w:spacing w:line="300" w:lineRule="exact"/>
    </w:pPr>
    <w:rPr>
      <w:rFonts w:ascii="宋体" w:hAnsi="宋体"/>
      <w:szCs w:val="22"/>
    </w:rPr>
  </w:style>
  <w:style w:type="paragraph" w:customStyle="1" w:styleId="42">
    <w:name w:val="表文字"/>
    <w:basedOn w:val="1"/>
    <w:autoRedefine/>
    <w:qFormat/>
    <w:uiPriority w:val="0"/>
    <w:pPr>
      <w:overflowPunct w:val="0"/>
      <w:autoSpaceDE w:val="0"/>
      <w:autoSpaceDN w:val="0"/>
      <w:adjustRightInd w:val="0"/>
      <w:spacing w:line="240" w:lineRule="atLeast"/>
      <w:jc w:val="center"/>
      <w:textAlignment w:val="baseline"/>
    </w:pPr>
    <w:rPr>
      <w:kern w:val="0"/>
    </w:rPr>
  </w:style>
  <w:style w:type="paragraph" w:customStyle="1" w:styleId="43">
    <w:name w:val="标题3 CDD"/>
    <w:basedOn w:val="1"/>
    <w:autoRedefine/>
    <w:qFormat/>
    <w:uiPriority w:val="0"/>
    <w:pPr>
      <w:adjustRightInd w:val="0"/>
      <w:snapToGrid w:val="0"/>
      <w:spacing w:line="500" w:lineRule="exact"/>
      <w:ind w:firstLine="482"/>
    </w:pPr>
    <w:rPr>
      <w:rFonts w:hAnsi="宋体"/>
      <w:b/>
    </w:rPr>
  </w:style>
  <w:style w:type="paragraph" w:customStyle="1" w:styleId="44">
    <w:name w:val="正文 CDD"/>
    <w:basedOn w:val="1"/>
    <w:autoRedefine/>
    <w:qFormat/>
    <w:uiPriority w:val="0"/>
    <w:pPr>
      <w:ind w:firstLine="480"/>
    </w:pPr>
    <w:rPr>
      <w:rFonts w:ascii="等线" w:hAnsi="宋体"/>
    </w:rPr>
  </w:style>
  <w:style w:type="paragraph" w:customStyle="1" w:styleId="45">
    <w:name w:val="MEL表字-书"/>
    <w:basedOn w:val="1"/>
    <w:link w:val="60"/>
    <w:autoRedefine/>
    <w:qFormat/>
    <w:uiPriority w:val="0"/>
    <w:pPr>
      <w:spacing w:line="300" w:lineRule="exact"/>
      <w:jc w:val="center"/>
    </w:pPr>
    <w:rPr>
      <w:rFonts w:ascii="宋体" w:hAnsi="宋体"/>
      <w:kern w:val="0"/>
      <w:sz w:val="21"/>
      <w:szCs w:val="21"/>
    </w:rPr>
  </w:style>
  <w:style w:type="paragraph" w:customStyle="1" w:styleId="46">
    <w:name w:val="文本"/>
    <w:basedOn w:val="10"/>
    <w:autoRedefine/>
    <w:qFormat/>
    <w:uiPriority w:val="0"/>
    <w:pPr>
      <w:adjustRightInd w:val="0"/>
      <w:snapToGrid w:val="0"/>
      <w:spacing w:line="520" w:lineRule="exact"/>
      <w:ind w:firstLine="200" w:firstLineChars="200"/>
    </w:pPr>
    <w:rPr>
      <w:rFonts w:eastAsia="仿宋_GB2312"/>
    </w:rPr>
  </w:style>
  <w:style w:type="paragraph" w:customStyle="1" w:styleId="47">
    <w:name w:val="表格1"/>
    <w:basedOn w:val="1"/>
    <w:autoRedefine/>
    <w:qFormat/>
    <w:uiPriority w:val="0"/>
    <w:pPr>
      <w:adjustRightInd w:val="0"/>
      <w:snapToGrid w:val="0"/>
      <w:jc w:val="center"/>
    </w:pPr>
    <w:rPr>
      <w:rFonts w:eastAsia="方正仿宋_GBK"/>
      <w:color w:val="000000"/>
      <w:kern w:val="0"/>
    </w:rPr>
  </w:style>
  <w:style w:type="paragraph" w:styleId="48">
    <w:name w:val="List Paragraph"/>
    <w:basedOn w:val="1"/>
    <w:autoRedefine/>
    <w:qFormat/>
    <w:uiPriority w:val="99"/>
    <w:pPr>
      <w:ind w:firstLine="420" w:firstLineChars="200"/>
    </w:pPr>
  </w:style>
  <w:style w:type="paragraph" w:customStyle="1" w:styleId="49">
    <w:name w:val="p0"/>
    <w:basedOn w:val="1"/>
    <w:autoRedefine/>
    <w:qFormat/>
    <w:uiPriority w:val="0"/>
    <w:pPr>
      <w:widowControl/>
    </w:pPr>
    <w:rPr>
      <w:kern w:val="0"/>
      <w:szCs w:val="21"/>
    </w:rPr>
  </w:style>
  <w:style w:type="paragraph" w:customStyle="1" w:styleId="50">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1">
    <w:name w:val="FL正文字体"/>
    <w:basedOn w:val="35"/>
    <w:link w:val="94"/>
    <w:autoRedefine/>
    <w:qFormat/>
    <w:uiPriority w:val="0"/>
    <w:rPr>
      <w:color w:val="000000" w:themeColor="text1"/>
      <w:kern w:val="0"/>
      <w14:textFill>
        <w14:solidFill>
          <w14:schemeClr w14:val="tx1"/>
        </w14:solidFill>
      </w14:textFill>
    </w:rPr>
  </w:style>
  <w:style w:type="character" w:customStyle="1" w:styleId="52">
    <w:name w:val="表字-书 Char"/>
    <w:link w:val="36"/>
    <w:autoRedefine/>
    <w:qFormat/>
    <w:uiPriority w:val="0"/>
    <w:rPr>
      <w:rFonts w:ascii="宋体" w:hAnsi="宋体" w:cs="Arial"/>
      <w:kern w:val="2"/>
      <w:sz w:val="24"/>
      <w:szCs w:val="21"/>
    </w:rPr>
  </w:style>
  <w:style w:type="character" w:customStyle="1" w:styleId="53">
    <w:name w:val="YJ正文* 字符"/>
    <w:link w:val="35"/>
    <w:autoRedefine/>
    <w:qFormat/>
    <w:locked/>
    <w:uiPriority w:val="0"/>
    <w:rPr>
      <w:rFonts w:ascii="宋体" w:hAnsi="宋体" w:cs="宋体"/>
      <w:kern w:val="2"/>
      <w:sz w:val="24"/>
      <w:szCs w:val="24"/>
    </w:rPr>
  </w:style>
  <w:style w:type="character" w:customStyle="1" w:styleId="54">
    <w:name w:val="MEL正文* 字符"/>
    <w:link w:val="32"/>
    <w:autoRedefine/>
    <w:qFormat/>
    <w:uiPriority w:val="0"/>
    <w:rPr>
      <w:rFonts w:ascii="宋体" w:hAnsi="宋体"/>
      <w:color w:val="FF0000"/>
      <w:sz w:val="24"/>
      <w:szCs w:val="24"/>
    </w:rPr>
  </w:style>
  <w:style w:type="character" w:customStyle="1" w:styleId="55">
    <w:name w:val="CDD正文 Char"/>
    <w:link w:val="56"/>
    <w:autoRedefine/>
    <w:qFormat/>
    <w:locked/>
    <w:uiPriority w:val="0"/>
    <w:rPr>
      <w:rFonts w:ascii="宋体" w:hAnsi="宋体"/>
      <w:kern w:val="2"/>
      <w:sz w:val="24"/>
      <w:szCs w:val="24"/>
    </w:rPr>
  </w:style>
  <w:style w:type="paragraph" w:customStyle="1" w:styleId="56">
    <w:name w:val="CDD正文"/>
    <w:basedOn w:val="1"/>
    <w:link w:val="55"/>
    <w:autoRedefine/>
    <w:qFormat/>
    <w:uiPriority w:val="0"/>
    <w:pPr>
      <w:suppressLineNumbers/>
      <w:suppressAutoHyphens/>
      <w:snapToGrid w:val="0"/>
      <w:spacing w:line="520" w:lineRule="exact"/>
      <w:ind w:firstLine="200" w:firstLineChars="200"/>
      <w:outlineLvl w:val="3"/>
    </w:pPr>
    <w:rPr>
      <w:rFonts w:ascii="宋体" w:hAnsi="宋体"/>
    </w:rPr>
  </w:style>
  <w:style w:type="character" w:customStyle="1" w:styleId="57">
    <w:name w:val="正文(首行缩进) Char Char"/>
    <w:link w:val="58"/>
    <w:autoRedefine/>
    <w:qFormat/>
    <w:locked/>
    <w:uiPriority w:val="99"/>
    <w:rPr>
      <w:rFonts w:hAnsi="宋体"/>
      <w:spacing w:val="-2"/>
      <w:sz w:val="24"/>
      <w:szCs w:val="24"/>
    </w:rPr>
  </w:style>
  <w:style w:type="paragraph" w:customStyle="1" w:styleId="58">
    <w:name w:val="正文(首行缩进)"/>
    <w:basedOn w:val="1"/>
    <w:link w:val="57"/>
    <w:autoRedefine/>
    <w:qFormat/>
    <w:uiPriority w:val="99"/>
    <w:pPr>
      <w:tabs>
        <w:tab w:val="left" w:pos="4584"/>
      </w:tabs>
      <w:adjustRightInd w:val="0"/>
      <w:snapToGrid w:val="0"/>
      <w:spacing w:line="520" w:lineRule="exact"/>
      <w:ind w:firstLine="531" w:firstLineChars="225"/>
    </w:pPr>
    <w:rPr>
      <w:rFonts w:hAnsi="宋体"/>
      <w:spacing w:val="-2"/>
      <w:kern w:val="0"/>
    </w:rPr>
  </w:style>
  <w:style w:type="character" w:customStyle="1" w:styleId="59">
    <w:name w:val="题注 字符"/>
    <w:link w:val="6"/>
    <w:autoRedefine/>
    <w:qFormat/>
    <w:uiPriority w:val="0"/>
    <w:rPr>
      <w:rFonts w:ascii="黑体" w:hAnsi="黑体" w:eastAsia="黑体"/>
      <w:color w:val="FF0000"/>
      <w:kern w:val="2"/>
      <w:sz w:val="21"/>
      <w:szCs w:val="21"/>
    </w:rPr>
  </w:style>
  <w:style w:type="character" w:customStyle="1" w:styleId="60">
    <w:name w:val="MEL表字-书 字符"/>
    <w:link w:val="45"/>
    <w:autoRedefine/>
    <w:qFormat/>
    <w:uiPriority w:val="0"/>
    <w:rPr>
      <w:rFonts w:ascii="宋体" w:hAnsi="宋体"/>
      <w:sz w:val="21"/>
      <w:szCs w:val="21"/>
    </w:rPr>
  </w:style>
  <w:style w:type="character" w:customStyle="1" w:styleId="61">
    <w:name w:val="题注 字符3"/>
    <w:autoRedefine/>
    <w:qFormat/>
    <w:uiPriority w:val="0"/>
    <w:rPr>
      <w:b/>
      <w:kern w:val="2"/>
      <w:sz w:val="21"/>
    </w:rPr>
  </w:style>
  <w:style w:type="character" w:customStyle="1" w:styleId="62">
    <w:name w:val="标题 3 字符"/>
    <w:basedOn w:val="27"/>
    <w:link w:val="4"/>
    <w:autoRedefine/>
    <w:qFormat/>
    <w:uiPriority w:val="9"/>
    <w:rPr>
      <w:b/>
      <w:bCs/>
      <w:kern w:val="2"/>
      <w:sz w:val="32"/>
      <w:szCs w:val="32"/>
    </w:rPr>
  </w:style>
  <w:style w:type="character" w:customStyle="1" w:styleId="63">
    <w:name w:val="文档结构图 字符"/>
    <w:basedOn w:val="27"/>
    <w:link w:val="7"/>
    <w:autoRedefine/>
    <w:qFormat/>
    <w:uiPriority w:val="0"/>
    <w:rPr>
      <w:rFonts w:ascii="宋体" w:hAnsi="宋体" w:cs="宋体"/>
      <w:kern w:val="2"/>
      <w:sz w:val="18"/>
      <w:szCs w:val="18"/>
    </w:rPr>
  </w:style>
  <w:style w:type="character" w:customStyle="1" w:styleId="64">
    <w:name w:val="批注文字 字符"/>
    <w:link w:val="8"/>
    <w:autoRedefine/>
    <w:qFormat/>
    <w:uiPriority w:val="99"/>
    <w:rPr>
      <w:kern w:val="2"/>
      <w:sz w:val="24"/>
      <w:szCs w:val="24"/>
    </w:rPr>
  </w:style>
  <w:style w:type="character" w:customStyle="1" w:styleId="65">
    <w:name w:val="正文文本 字符"/>
    <w:link w:val="9"/>
    <w:autoRedefine/>
    <w:qFormat/>
    <w:uiPriority w:val="99"/>
    <w:rPr>
      <w:rFonts w:ascii="宋体" w:hAnsi="宋体" w:cs="宋体"/>
      <w:b/>
      <w:bCs/>
      <w:color w:val="ED0000"/>
      <w:sz w:val="24"/>
      <w:szCs w:val="24"/>
    </w:rPr>
  </w:style>
  <w:style w:type="character" w:customStyle="1" w:styleId="66">
    <w:name w:val="页脚 字符"/>
    <w:link w:val="15"/>
    <w:autoRedefine/>
    <w:qFormat/>
    <w:uiPriority w:val="0"/>
    <w:rPr>
      <w:kern w:val="2"/>
      <w:sz w:val="18"/>
      <w:szCs w:val="18"/>
    </w:rPr>
  </w:style>
  <w:style w:type="character" w:customStyle="1" w:styleId="67">
    <w:name w:val="页眉 字符"/>
    <w:link w:val="16"/>
    <w:autoRedefine/>
    <w:qFormat/>
    <w:uiPriority w:val="0"/>
    <w:rPr>
      <w:sz w:val="18"/>
      <w:szCs w:val="18"/>
    </w:rPr>
  </w:style>
  <w:style w:type="character" w:customStyle="1" w:styleId="68">
    <w:name w:val="正文文本缩进 3 字符"/>
    <w:basedOn w:val="27"/>
    <w:link w:val="21"/>
    <w:qFormat/>
    <w:uiPriority w:val="0"/>
    <w:rPr>
      <w:rFonts w:ascii="宋体" w:hAnsi="宋体" w:eastAsia="楷体_GB2312" w:cs="宋体"/>
      <w:kern w:val="2"/>
      <w:sz w:val="32"/>
    </w:rPr>
  </w:style>
  <w:style w:type="character" w:customStyle="1" w:styleId="69">
    <w:name w:val="fbrq"/>
    <w:qFormat/>
    <w:uiPriority w:val="0"/>
  </w:style>
  <w:style w:type="character" w:customStyle="1" w:styleId="70">
    <w:name w:val="active"/>
    <w:qFormat/>
    <w:uiPriority w:val="0"/>
    <w:rPr>
      <w:color w:val="000000"/>
      <w:shd w:val="clear" w:color="auto" w:fill="F7F7F7"/>
    </w:rPr>
  </w:style>
  <w:style w:type="character" w:customStyle="1" w:styleId="71">
    <w:name w:val="active1"/>
    <w:autoRedefine/>
    <w:qFormat/>
    <w:uiPriority w:val="0"/>
    <w:rPr>
      <w:shd w:val="clear" w:color="auto" w:fill="FFFFFF"/>
    </w:rPr>
  </w:style>
  <w:style w:type="character" w:customStyle="1" w:styleId="72">
    <w:name w:val="first-child1"/>
    <w:autoRedefine/>
    <w:qFormat/>
    <w:uiPriority w:val="0"/>
  </w:style>
  <w:style w:type="character" w:customStyle="1" w:styleId="73">
    <w:name w:val="first-child2"/>
    <w:autoRedefine/>
    <w:qFormat/>
    <w:uiPriority w:val="0"/>
  </w:style>
  <w:style w:type="character" w:customStyle="1" w:styleId="74">
    <w:name w:val="first-child"/>
    <w:autoRedefine/>
    <w:qFormat/>
    <w:uiPriority w:val="0"/>
    <w:rPr>
      <w:color w:val="DF1C00"/>
    </w:rPr>
  </w:style>
  <w:style w:type="paragraph" w:customStyle="1" w:styleId="75">
    <w:name w:val="Table Paragraph"/>
    <w:basedOn w:val="1"/>
    <w:autoRedefine/>
    <w:qFormat/>
    <w:uiPriority w:val="1"/>
    <w:rPr>
      <w:rFonts w:ascii="楷体" w:hAnsi="楷体" w:eastAsia="楷体" w:cs="楷体"/>
      <w:sz w:val="21"/>
      <w:szCs w:val="22"/>
      <w:lang w:val="zh-CN" w:bidi="zh-CN"/>
    </w:rPr>
  </w:style>
  <w:style w:type="paragraph" w:customStyle="1" w:styleId="76">
    <w:name w:val="Char"/>
    <w:basedOn w:val="1"/>
    <w:autoRedefine/>
    <w:qFormat/>
    <w:uiPriority w:val="0"/>
    <w:rPr>
      <w:sz w:val="21"/>
    </w:rPr>
  </w:style>
  <w:style w:type="paragraph" w:customStyle="1" w:styleId="77">
    <w:name w:val="样式 首行缩进:  2 字符1"/>
    <w:basedOn w:val="1"/>
    <w:autoRedefine/>
    <w:qFormat/>
    <w:uiPriority w:val="0"/>
    <w:pPr>
      <w:spacing w:line="400" w:lineRule="exact"/>
    </w:pPr>
    <w:rPr>
      <w:rFonts w:ascii="宋体"/>
      <w:sz w:val="21"/>
      <w:szCs w:val="20"/>
    </w:rPr>
  </w:style>
  <w:style w:type="character" w:customStyle="1" w:styleId="78">
    <w:name w:val="报告书正文 Char"/>
    <w:link w:val="79"/>
    <w:autoRedefine/>
    <w:qFormat/>
    <w:uiPriority w:val="0"/>
    <w:rPr>
      <w:sz w:val="24"/>
      <w:lang w:val="zh-CN"/>
    </w:rPr>
  </w:style>
  <w:style w:type="paragraph" w:customStyle="1" w:styleId="79">
    <w:name w:val="报告书正文"/>
    <w:basedOn w:val="1"/>
    <w:link w:val="78"/>
    <w:autoRedefine/>
    <w:qFormat/>
    <w:uiPriority w:val="0"/>
    <w:pPr>
      <w:spacing w:line="360" w:lineRule="auto"/>
    </w:pPr>
    <w:rPr>
      <w:kern w:val="0"/>
      <w:szCs w:val="20"/>
      <w:lang w:val="zh-CN"/>
    </w:rPr>
  </w:style>
  <w:style w:type="character" w:customStyle="1" w:styleId="80">
    <w:name w:val="页脚 Char2"/>
    <w:autoRedefine/>
    <w:qFormat/>
    <w:uiPriority w:val="99"/>
    <w:rPr>
      <w:sz w:val="18"/>
      <w:szCs w:val="18"/>
    </w:rPr>
  </w:style>
  <w:style w:type="character" w:customStyle="1" w:styleId="81">
    <w:name w:val="寇 字符"/>
    <w:link w:val="82"/>
    <w:autoRedefine/>
    <w:qFormat/>
    <w:uiPriority w:val="0"/>
    <w:rPr>
      <w:rFonts w:ascii="宋体" w:hAnsi="宋体"/>
      <w:color w:val="FF0000"/>
      <w:kern w:val="2"/>
      <w:sz w:val="24"/>
      <w:szCs w:val="24"/>
    </w:rPr>
  </w:style>
  <w:style w:type="paragraph" w:customStyle="1" w:styleId="82">
    <w:name w:val="寇"/>
    <w:basedOn w:val="35"/>
    <w:link w:val="81"/>
    <w:autoRedefine/>
    <w:qFormat/>
    <w:uiPriority w:val="0"/>
  </w:style>
  <w:style w:type="character" w:customStyle="1" w:styleId="83">
    <w:name w:val="标题 2 字符"/>
    <w:link w:val="3"/>
    <w:autoRedefine/>
    <w:qFormat/>
    <w:uiPriority w:val="0"/>
    <w:rPr>
      <w:rFonts w:ascii="黑体" w:hAnsi="黑体" w:eastAsia="黑体"/>
      <w:bCs/>
      <w:kern w:val="2"/>
      <w:sz w:val="28"/>
      <w:szCs w:val="32"/>
    </w:rPr>
  </w:style>
  <w:style w:type="character" w:customStyle="1" w:styleId="84">
    <w:name w:val="标题 1 字符"/>
    <w:link w:val="2"/>
    <w:autoRedefine/>
    <w:qFormat/>
    <w:uiPriority w:val="0"/>
    <w:rPr>
      <w:rFonts w:ascii="宋体" w:hAnsi="宋体" w:cs="宋体"/>
      <w:b/>
      <w:color w:val="FF0000"/>
      <w:kern w:val="44"/>
      <w:sz w:val="28"/>
      <w:szCs w:val="28"/>
    </w:rPr>
  </w:style>
  <w:style w:type="character" w:customStyle="1" w:styleId="85">
    <w:name w:val="正文文本 (2)_"/>
    <w:basedOn w:val="27"/>
    <w:link w:val="86"/>
    <w:autoRedefine/>
    <w:qFormat/>
    <w:uiPriority w:val="0"/>
    <w:rPr>
      <w:rFonts w:ascii="仿宋" w:eastAsia="仿宋"/>
      <w:sz w:val="13"/>
      <w:szCs w:val="13"/>
      <w:shd w:val="clear" w:color="auto" w:fill="FFFFFF"/>
    </w:rPr>
  </w:style>
  <w:style w:type="paragraph" w:customStyle="1" w:styleId="86">
    <w:name w:val="正文文本 (2)1"/>
    <w:basedOn w:val="1"/>
    <w:link w:val="85"/>
    <w:autoRedefine/>
    <w:qFormat/>
    <w:uiPriority w:val="0"/>
    <w:pPr>
      <w:shd w:val="clear" w:color="auto" w:fill="FFFFFF"/>
      <w:spacing w:line="259" w:lineRule="exact"/>
      <w:ind w:firstLine="300"/>
      <w:jc w:val="distribute"/>
    </w:pPr>
    <w:rPr>
      <w:rFonts w:ascii="仿宋" w:eastAsia="仿宋"/>
      <w:kern w:val="0"/>
      <w:sz w:val="13"/>
      <w:szCs w:val="13"/>
    </w:rPr>
  </w:style>
  <w:style w:type="character" w:customStyle="1" w:styleId="87">
    <w:name w:val="批注主题 字符"/>
    <w:basedOn w:val="64"/>
    <w:link w:val="24"/>
    <w:autoRedefine/>
    <w:qFormat/>
    <w:uiPriority w:val="0"/>
    <w:rPr>
      <w:b/>
      <w:bCs/>
      <w:kern w:val="2"/>
      <w:sz w:val="24"/>
      <w:szCs w:val="24"/>
    </w:rPr>
  </w:style>
  <w:style w:type="character" w:customStyle="1" w:styleId="88">
    <w:name w:val="正文 楷体 Char"/>
    <w:link w:val="89"/>
    <w:autoRedefine/>
    <w:qFormat/>
    <w:uiPriority w:val="0"/>
    <w:rPr>
      <w:rFonts w:ascii="楷体_GB2312" w:hAnsi="楷体_GB2312" w:eastAsia="楷体_GB2312"/>
      <w:sz w:val="24"/>
      <w:szCs w:val="24"/>
    </w:rPr>
  </w:style>
  <w:style w:type="paragraph" w:customStyle="1" w:styleId="89">
    <w:name w:val="正文 楷体"/>
    <w:basedOn w:val="1"/>
    <w:link w:val="88"/>
    <w:autoRedefine/>
    <w:qFormat/>
    <w:uiPriority w:val="0"/>
    <w:pPr>
      <w:spacing w:line="500" w:lineRule="exact"/>
      <w:ind w:firstLine="200" w:firstLineChars="200"/>
    </w:pPr>
    <w:rPr>
      <w:rFonts w:ascii="楷体_GB2312" w:hAnsi="楷体_GB2312" w:eastAsia="楷体_GB2312"/>
      <w:kern w:val="0"/>
    </w:rPr>
  </w:style>
  <w:style w:type="character" w:customStyle="1" w:styleId="90">
    <w:name w:val="正文文本缩进 2 字符"/>
    <w:basedOn w:val="27"/>
    <w:link w:val="14"/>
    <w:autoRedefine/>
    <w:qFormat/>
    <w:uiPriority w:val="0"/>
    <w:rPr>
      <w:kern w:val="2"/>
      <w:sz w:val="24"/>
      <w:szCs w:val="24"/>
    </w:rPr>
  </w:style>
  <w:style w:type="paragraph" w:customStyle="1" w:styleId="91">
    <w:name w:val="文字"/>
    <w:basedOn w:val="35"/>
    <w:link w:val="92"/>
    <w:autoRedefine/>
    <w:qFormat/>
    <w:uiPriority w:val="0"/>
    <w:pPr>
      <w:spacing w:line="520" w:lineRule="exact"/>
    </w:pPr>
    <w:rPr>
      <w:lang w:val="zh-CN"/>
    </w:rPr>
  </w:style>
  <w:style w:type="character" w:customStyle="1" w:styleId="92">
    <w:name w:val="文字 字符"/>
    <w:link w:val="91"/>
    <w:autoRedefine/>
    <w:qFormat/>
    <w:uiPriority w:val="0"/>
    <w:rPr>
      <w:rFonts w:ascii="宋体" w:hAnsi="宋体"/>
      <w:kern w:val="2"/>
      <w:sz w:val="24"/>
      <w:szCs w:val="24"/>
      <w:lang w:val="zh-CN" w:eastAsia="zh-CN"/>
    </w:rPr>
  </w:style>
  <w:style w:type="table" w:customStyle="1" w:styleId="93">
    <w:name w:val="报告书表格样式1"/>
    <w:basedOn w:val="25"/>
    <w:autoRedefine/>
    <w:qFormat/>
    <w:uiPriority w:val="0"/>
    <w:pPr>
      <w:spacing w:line="300" w:lineRule="exact"/>
      <w:contextualSpacing/>
      <w:jc w:val="center"/>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94">
    <w:name w:val="FL正文字体 字符"/>
    <w:link w:val="51"/>
    <w:autoRedefine/>
    <w:qFormat/>
    <w:uiPriority w:val="0"/>
    <w:rPr>
      <w:rFonts w:ascii="宋体" w:hAnsi="宋体" w:cs="宋体"/>
      <w:color w:val="000000" w:themeColor="text1"/>
      <w:sz w:val="21"/>
      <w:szCs w:val="21"/>
      <w14:textFill>
        <w14:solidFill>
          <w14:schemeClr w14:val="tx1"/>
        </w14:solidFill>
      </w14:textFill>
    </w:rPr>
  </w:style>
  <w:style w:type="character" w:customStyle="1" w:styleId="95">
    <w:name w:val="普通(网站) 字符"/>
    <w:link w:val="23"/>
    <w:autoRedefine/>
    <w:qFormat/>
    <w:locked/>
    <w:uiPriority w:val="99"/>
    <w:rPr>
      <w:rFonts w:ascii="宋体" w:hAnsi="宋体"/>
      <w:sz w:val="24"/>
      <w:szCs w:val="24"/>
    </w:rPr>
  </w:style>
  <w:style w:type="paragraph" w:customStyle="1" w:styleId="96">
    <w:name w:val="正文邵"/>
    <w:basedOn w:val="1"/>
    <w:autoRedefine/>
    <w:qFormat/>
    <w:uiPriority w:val="0"/>
    <w:pPr>
      <w:spacing w:line="360" w:lineRule="auto"/>
      <w:ind w:firstLine="200" w:firstLineChars="200"/>
    </w:pPr>
    <w:rPr>
      <w:szCs w:val="21"/>
    </w:rPr>
  </w:style>
  <w:style w:type="table" w:customStyle="1" w:styleId="97">
    <w:name w:val="样式1"/>
    <w:basedOn w:val="25"/>
    <w:autoRedefine/>
    <w:qFormat/>
    <w:uiPriority w:val="99"/>
    <w:tblPr>
      <w:tblBorders>
        <w:top w:val="single" w:color="auto" w:sz="12" w:space="0"/>
        <w:bottom w:val="single" w:color="auto" w:sz="12" w:space="0"/>
        <w:insideH w:val="single" w:color="auto" w:sz="6" w:space="0"/>
        <w:insideV w:val="single" w:color="auto" w:sz="6" w:space="0"/>
      </w:tblBorders>
    </w:tblPr>
  </w:style>
  <w:style w:type="paragraph" w:customStyle="1" w:styleId="98">
    <w:name w:val="报告书-表体（左对齐）小五"/>
    <w:basedOn w:val="99"/>
    <w:next w:val="38"/>
    <w:autoRedefine/>
    <w:qFormat/>
    <w:uiPriority w:val="0"/>
    <w:pPr>
      <w:tabs>
        <w:tab w:val="left" w:pos="2760"/>
      </w:tabs>
    </w:pPr>
    <w:rPr>
      <w:sz w:val="18"/>
      <w:szCs w:val="18"/>
    </w:rPr>
  </w:style>
  <w:style w:type="paragraph" w:customStyle="1" w:styleId="99">
    <w:name w:val="报告书-表体（左对齐）"/>
    <w:basedOn w:val="100"/>
    <w:autoRedefine/>
    <w:qFormat/>
    <w:uiPriority w:val="0"/>
    <w:pPr>
      <w:tabs>
        <w:tab w:val="left" w:pos="2760"/>
      </w:tabs>
      <w:textAlignment w:val="baseline"/>
    </w:pPr>
    <w:rPr>
      <w:szCs w:val="21"/>
    </w:rPr>
  </w:style>
  <w:style w:type="paragraph" w:customStyle="1" w:styleId="100">
    <w:name w:val="报告书-表体（居中）"/>
    <w:basedOn w:val="1"/>
    <w:autoRedefine/>
    <w:qFormat/>
    <w:uiPriority w:val="0"/>
    <w:pPr>
      <w:tabs>
        <w:tab w:val="left" w:pos="2760"/>
      </w:tabs>
      <w:adjustRightInd w:val="0"/>
      <w:snapToGrid w:val="0"/>
      <w:spacing w:line="260" w:lineRule="exact"/>
      <w:jc w:val="center"/>
      <w:textAlignment w:val="center"/>
    </w:pPr>
    <w:rPr>
      <w:snapToGrid w:val="0"/>
      <w:kern w:val="0"/>
      <w:szCs w:val="28"/>
    </w:rPr>
  </w:style>
  <w:style w:type="character" w:customStyle="1" w:styleId="101">
    <w:name w:val="YJ题注 Char"/>
    <w:basedOn w:val="27"/>
    <w:autoRedefine/>
    <w:qFormat/>
    <w:uiPriority w:val="0"/>
    <w:rPr>
      <w:rFonts w:hint="eastAsia" w:ascii="宋体" w:hAnsi="宋体" w:eastAsia="黑体" w:cs="宋体"/>
      <w:kern w:val="2"/>
      <w:sz w:val="24"/>
      <w:szCs w:val="24"/>
    </w:rPr>
  </w:style>
  <w:style w:type="character" w:customStyle="1" w:styleId="102">
    <w:name w:val="YJ表中字体 Char"/>
    <w:link w:val="103"/>
    <w:qFormat/>
    <w:uiPriority w:val="0"/>
    <w:rPr>
      <w:rFonts w:ascii="宋体" w:hAnsi="宋体"/>
      <w:kern w:val="2"/>
      <w:sz w:val="21"/>
      <w:szCs w:val="22"/>
    </w:rPr>
  </w:style>
  <w:style w:type="paragraph" w:customStyle="1" w:styleId="103">
    <w:name w:val="YJ表中字体"/>
    <w:basedOn w:val="5"/>
    <w:link w:val="102"/>
    <w:qFormat/>
    <w:uiPriority w:val="0"/>
    <w:pPr>
      <w:tabs>
        <w:tab w:val="left" w:pos="8176"/>
      </w:tabs>
      <w:adjustRightInd w:val="0"/>
      <w:snapToGrid w:val="0"/>
      <w:spacing w:line="300" w:lineRule="exact"/>
      <w:ind w:firstLine="0" w:firstLineChars="0"/>
      <w:jc w:val="center"/>
    </w:pPr>
    <w:rPr>
      <w:rFonts w:ascii="宋体" w:hAnsi="宋体"/>
      <w:sz w:val="21"/>
      <w:szCs w:val="22"/>
    </w:rPr>
  </w:style>
  <w:style w:type="paragraph" w:customStyle="1" w:styleId="104">
    <w:name w:val="XA表字"/>
    <w:basedOn w:val="1"/>
    <w:qFormat/>
    <w:uiPriority w:val="0"/>
    <w:pPr>
      <w:spacing w:line="300" w:lineRule="exact"/>
      <w:jc w:val="center"/>
    </w:pPr>
    <w:rPr>
      <w:rFonts w:eastAsia="楷体"/>
      <w:snapToGrid w:val="0"/>
      <w:kern w:val="0"/>
      <w:sz w:val="21"/>
    </w:rPr>
  </w:style>
  <w:style w:type="character" w:customStyle="1" w:styleId="105">
    <w:name w:val="表中文字 Char"/>
    <w:link w:val="106"/>
    <w:qFormat/>
    <w:locked/>
    <w:uiPriority w:val="0"/>
    <w:rPr>
      <w:szCs w:val="24"/>
    </w:rPr>
  </w:style>
  <w:style w:type="paragraph" w:customStyle="1" w:styleId="106">
    <w:name w:val="表中文字"/>
    <w:basedOn w:val="1"/>
    <w:link w:val="105"/>
    <w:qFormat/>
    <w:uiPriority w:val="0"/>
    <w:pPr>
      <w:jc w:val="center"/>
    </w:pPr>
    <w:rPr>
      <w:kern w:val="0"/>
      <w:sz w:val="20"/>
    </w:rPr>
  </w:style>
  <w:style w:type="character" w:customStyle="1" w:styleId="107">
    <w:name w:val="FL 字符"/>
    <w:link w:val="108"/>
    <w:qFormat/>
    <w:uiPriority w:val="0"/>
    <w:rPr>
      <w:rFonts w:ascii="宋体" w:hAnsi="宋体"/>
      <w:color w:val="FF0000"/>
      <w:kern w:val="2"/>
      <w:sz w:val="24"/>
      <w:szCs w:val="24"/>
    </w:rPr>
  </w:style>
  <w:style w:type="paragraph" w:customStyle="1" w:styleId="108">
    <w:name w:val="FL"/>
    <w:basedOn w:val="35"/>
    <w:link w:val="107"/>
    <w:qFormat/>
    <w:uiPriority w:val="0"/>
    <w:rPr>
      <w:rFonts w:cs="Times New Roman"/>
    </w:rPr>
  </w:style>
  <w:style w:type="table" w:customStyle="1" w:styleId="109">
    <w:name w:val="报告书表格样式12"/>
    <w:basedOn w:val="25"/>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paragraph" w:customStyle="1" w:styleId="110">
    <w:name w:val="标题 02"/>
    <w:basedOn w:val="1"/>
    <w:autoRedefine/>
    <w:qFormat/>
    <w:uiPriority w:val="0"/>
    <w:pPr>
      <w:numPr>
        <w:ilvl w:val="0"/>
        <w:numId w:val="2"/>
      </w:numPr>
      <w:snapToGrid w:val="0"/>
      <w:spacing w:before="200" w:after="100" w:line="500" w:lineRule="exact"/>
      <w:ind w:left="0" w:firstLine="471" w:firstLineChars="0"/>
    </w:pPr>
    <w:rPr>
      <w:rFonts w:hint="eastAsia" w:ascii="Times New Roman" w:hAnsi="Times New Roman" w:eastAsia="宋体" w:cs="宋体"/>
      <w:b/>
      <w:color w:val="000000" w:themeColor="text1"/>
      <w14:textFill>
        <w14:solidFill>
          <w14:schemeClr w14:val="tx1"/>
        </w14:solidFill>
      </w14:textFill>
    </w:rPr>
  </w:style>
  <w:style w:type="paragraph" w:customStyle="1" w:styleId="111">
    <w:name w:val="C 正文"/>
    <w:basedOn w:val="50"/>
    <w:link w:val="115"/>
    <w:autoRedefine/>
    <w:qFormat/>
    <w:uiPriority w:val="0"/>
    <w:pPr>
      <w:numPr>
        <w:ilvl w:val="0"/>
        <w:numId w:val="0"/>
      </w:numPr>
      <w:snapToGrid w:val="0"/>
      <w:spacing w:line="500" w:lineRule="exact"/>
      <w:ind w:firstLine="200" w:firstLineChars="200"/>
      <w:jc w:val="both"/>
    </w:pPr>
    <w:rPr>
      <w:rFonts w:ascii="Times New Roman" w:hAnsi="Times New Roman" w:eastAsia="宋体" w:cs="Times New Roman"/>
      <w:color w:val="auto"/>
      <w:sz w:val="24"/>
    </w:rPr>
  </w:style>
  <w:style w:type="paragraph" w:customStyle="1" w:styleId="112">
    <w:name w:val="标题 03"/>
    <w:basedOn w:val="1"/>
    <w:autoRedefine/>
    <w:qFormat/>
    <w:uiPriority w:val="0"/>
    <w:pPr>
      <w:numPr>
        <w:ilvl w:val="1"/>
        <w:numId w:val="2"/>
      </w:numPr>
      <w:autoSpaceDE w:val="0"/>
      <w:autoSpaceDN w:val="0"/>
      <w:adjustRightInd w:val="0"/>
      <w:snapToGrid w:val="0"/>
      <w:spacing w:line="500" w:lineRule="exact"/>
      <w:ind w:left="0" w:firstLine="1440" w:firstLineChars="200"/>
    </w:pPr>
    <w:rPr>
      <w:rFonts w:hint="eastAsia" w:ascii="Times New Roman" w:hAnsi="Times New Roman" w:eastAsia="宋体"/>
      <w:color w:val="000000" w:themeColor="text1"/>
      <w:lang w:eastAsia="en-US"/>
      <w14:textFill>
        <w14:solidFill>
          <w14:schemeClr w14:val="tx1"/>
        </w14:solidFill>
      </w14:textFill>
    </w:rPr>
  </w:style>
  <w:style w:type="paragraph" w:customStyle="1" w:styleId="113">
    <w:name w:val="01 正文"/>
    <w:basedOn w:val="1"/>
    <w:autoRedefine/>
    <w:qFormat/>
    <w:uiPriority w:val="0"/>
    <w:pPr>
      <w:widowControl/>
      <w:adjustRightInd w:val="0"/>
      <w:snapToGrid w:val="0"/>
      <w:spacing w:line="520" w:lineRule="exact"/>
      <w:ind w:firstLine="200" w:firstLineChars="200"/>
    </w:pPr>
    <w:rPr>
      <w:rFonts w:ascii="宋体"/>
      <w:kern w:val="0"/>
      <w:sz w:val="24"/>
      <w:szCs w:val="22"/>
    </w:rPr>
  </w:style>
  <w:style w:type="paragraph" w:customStyle="1" w:styleId="114">
    <w:name w:val="表头"/>
    <w:basedOn w:val="1"/>
    <w:autoRedefine/>
    <w:qFormat/>
    <w:uiPriority w:val="0"/>
    <w:pPr>
      <w:snapToGrid w:val="0"/>
      <w:spacing w:line="500" w:lineRule="exact"/>
      <w:jc w:val="center"/>
    </w:pPr>
    <w:rPr>
      <w:rFonts w:hint="eastAsia" w:ascii="黑体" w:hAnsi="黑体" w:eastAsia="黑体" w:cs="黑体"/>
      <w:color w:val="000000" w:themeColor="text1"/>
      <w:sz w:val="21"/>
      <w:szCs w:val="21"/>
      <w14:textFill>
        <w14:solidFill>
          <w14:schemeClr w14:val="tx1"/>
        </w14:solidFill>
      </w14:textFill>
    </w:rPr>
  </w:style>
  <w:style w:type="character" w:customStyle="1" w:styleId="115">
    <w:name w:val="C 正文 Char"/>
    <w:link w:val="111"/>
    <w:autoRedefine/>
    <w:qFormat/>
    <w:uiPriority w:val="0"/>
    <w:rPr>
      <w:rFonts w:ascii="Times New Roman" w:hAnsi="Times New Roman" w:eastAsia="宋体" w:cs="Times New Roman"/>
      <w:color w:val="auto"/>
      <w:sz w:val="24"/>
    </w:rPr>
  </w:style>
  <w:style w:type="paragraph" w:customStyle="1" w:styleId="116">
    <w:name w:val="正文居中"/>
    <w:basedOn w:val="1"/>
    <w:autoRedefine/>
    <w:qFormat/>
    <w:uiPriority w:val="0"/>
    <w:pPr>
      <w:snapToGrid w:val="0"/>
      <w:jc w:val="center"/>
    </w:pPr>
    <w:rPr>
      <w:rFonts w:hint="eastAsia" w:ascii="宋体" w:hAnsi="宋体" w:cs="宋体"/>
    </w:rPr>
  </w:style>
  <w:style w:type="paragraph" w:customStyle="1" w:styleId="117">
    <w:name w:val="yh表头"/>
    <w:basedOn w:val="1"/>
    <w:qFormat/>
    <w:uiPriority w:val="0"/>
    <w:pPr>
      <w:adjustRightInd w:val="0"/>
      <w:snapToGrid w:val="0"/>
      <w:spacing w:line="500" w:lineRule="exact"/>
      <w:jc w:val="center"/>
    </w:pPr>
    <w:rPr>
      <w:rFonts w:ascii="黑体" w:hAnsi="黑体" w:eastAsia="黑体"/>
      <w:bCs/>
      <w:color w:val="000000"/>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rgbClr val="FF0000"/>
          </a:solidFill>
          <a:headEnd type="triangle" w="med" len="med"/>
          <a:tailEnd type="triangle" w="med" len="med"/>
        </a:ln>
      </a:spPr>
      <a:bodyPr/>
      <a:lstStyle/>
      <a:style>
        <a:lnRef idx="2">
          <a:schemeClr val="accent1"/>
        </a:lnRef>
        <a:fillRef idx="0">
          <a:srgbClr val="FFFFFF"/>
        </a:fillRef>
        <a:effectRef idx="0">
          <a:srgbClr val="FFFFFF"/>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12C5B-0C3E-4E59-9DD7-A10267793A29}">
  <ds:schemaRefs/>
</ds:datastoreItem>
</file>

<file path=docProps/app.xml><?xml version="1.0" encoding="utf-8"?>
<Properties xmlns="http://schemas.openxmlformats.org/officeDocument/2006/extended-properties" xmlns:vt="http://schemas.openxmlformats.org/officeDocument/2006/docPropsVTypes">
  <Template>Normal</Template>
  <Pages>73</Pages>
  <Words>16927</Words>
  <Characters>18023</Characters>
  <Lines>307</Lines>
  <Paragraphs>86</Paragraphs>
  <TotalTime>4</TotalTime>
  <ScaleCrop>false</ScaleCrop>
  <LinksUpToDate>false</LinksUpToDate>
  <CharactersWithSpaces>18091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2024-02-29T09:57:00Z</dcterms:created>
  <dc:creator>WPS_pL</dc:creator>
  <cp:lastModifiedBy>M*D*J+=</cp:lastModifiedBy>
  <cp:lastPrinted>2024-09-27T05:59:00Z</cp:lastPrinted>
  <dcterms:modified xsi:type="dcterms:W3CDTF">2025-09-30T04:15:39Z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4B92FB33714E4384AC8C9BDBBA6B4FEC_13</vt:lpwstr>
  </property>
  <property fmtid="{D5CDD505-2E9C-101B-9397-08002B2CF9AE}" pid="4" name="KSOTemplateDocerSaveRecord">
    <vt:lpwstr>eyJoZGlkIjoiMDk4YzQ3MWQ5YWZmM2RlMDQ5YTc0NjJiOWQ4ZDM3NjIiLCJ1c2VySWQiOiI0MjAzMjkyMDkifQ==</vt:lpwstr>
  </property>
</Properties>
</file>