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ind w:firstLine="560"/>
        <w:jc w:val="center"/>
        <w:rPr>
          <w:rFonts w:ascii="黑体" w:hAnsi="微软雅黑" w:eastAsia="黑体"/>
          <w:sz w:val="52"/>
          <w:szCs w:val="52"/>
        </w:rPr>
      </w:pPr>
      <w:r>
        <w:rPr>
          <w:rFonts w:ascii="仿宋" w:hAnsi="仿宋" w:eastAsia="仿宋" w:cs="Times New Roman"/>
          <w:sz w:val="28"/>
          <w:szCs w:val="28"/>
        </w:rPr>
        <w:drawing>
          <wp:anchor distT="0" distB="0" distL="114300" distR="114300" simplePos="0" relativeHeight="251665408" behindDoc="0" locked="0" layoutInCell="1" allowOverlap="1">
            <wp:simplePos x="0" y="0"/>
            <wp:positionH relativeFrom="column">
              <wp:posOffset>-13970</wp:posOffset>
            </wp:positionH>
            <wp:positionV relativeFrom="paragraph">
              <wp:posOffset>187960</wp:posOffset>
            </wp:positionV>
            <wp:extent cx="901065" cy="81915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901065" cy="819150"/>
                    </a:xfrm>
                    <a:prstGeom prst="rect">
                      <a:avLst/>
                    </a:prstGeom>
                    <a:noFill/>
                    <a:ln>
                      <a:noFill/>
                    </a:ln>
                  </pic:spPr>
                </pic:pic>
              </a:graphicData>
            </a:graphic>
          </wp:anchor>
        </w:drawing>
      </w:r>
    </w:p>
    <w:p>
      <w:pPr>
        <w:spacing w:after="156" w:afterLines="50"/>
        <w:ind w:firstLine="1040"/>
        <w:jc w:val="center"/>
        <w:rPr>
          <w:rFonts w:ascii="黑体" w:hAnsi="微软雅黑" w:eastAsia="黑体"/>
          <w:sz w:val="52"/>
          <w:szCs w:val="52"/>
        </w:rPr>
      </w:pPr>
    </w:p>
    <w:p>
      <w:pPr>
        <w:spacing w:after="156" w:afterLines="50"/>
        <w:ind w:firstLine="1040"/>
        <w:jc w:val="center"/>
        <w:rPr>
          <w:rFonts w:ascii="黑体" w:hAnsi="微软雅黑" w:eastAsia="黑体"/>
          <w:sz w:val="52"/>
          <w:szCs w:val="52"/>
        </w:rPr>
      </w:pPr>
      <w:r>
        <w:rPr>
          <w:rFonts w:hint="eastAsia" w:ascii="黑体" w:hAnsi="微软雅黑" w:eastAsia="黑体"/>
          <w:sz w:val="52"/>
          <w:szCs w:val="52"/>
        </w:rPr>
        <w:t>新疆玛纳斯国家湿地公园</w:t>
      </w:r>
    </w:p>
    <w:p>
      <w:pPr>
        <w:spacing w:after="156" w:afterLines="50"/>
        <w:ind w:firstLine="1040"/>
        <w:jc w:val="center"/>
        <w:rPr>
          <w:rFonts w:ascii="黑体" w:hAnsi="微软雅黑" w:eastAsia="黑体"/>
          <w:sz w:val="52"/>
          <w:szCs w:val="52"/>
        </w:rPr>
      </w:pPr>
      <w:r>
        <w:rPr>
          <w:rFonts w:hint="eastAsia" w:ascii="黑体" w:hAnsi="微软雅黑" w:eastAsia="黑体"/>
          <w:sz w:val="52"/>
          <w:szCs w:val="52"/>
        </w:rPr>
        <w:t>总体规划</w:t>
      </w:r>
    </w:p>
    <w:p>
      <w:pPr>
        <w:spacing w:after="156" w:afterLines="50"/>
        <w:ind w:firstLine="720"/>
        <w:jc w:val="center"/>
        <w:rPr>
          <w:rFonts w:ascii="宋体" w:hAnsi="宋体"/>
          <w:sz w:val="36"/>
          <w:szCs w:val="36"/>
        </w:rPr>
      </w:pPr>
      <w:r>
        <w:rPr>
          <w:rFonts w:hint="eastAsia" w:ascii="宋体" w:hAnsi="宋体"/>
          <w:sz w:val="36"/>
          <w:szCs w:val="36"/>
        </w:rPr>
        <w:t>（修编）</w:t>
      </w:r>
    </w:p>
    <w:p>
      <w:pPr>
        <w:spacing w:after="156" w:afterLines="50"/>
        <w:ind w:firstLine="880"/>
        <w:jc w:val="center"/>
        <w:rPr>
          <w:rFonts w:ascii="黑体" w:hAnsi="微软雅黑" w:eastAsia="黑体"/>
          <w:sz w:val="44"/>
          <w:szCs w:val="44"/>
        </w:rPr>
      </w:pPr>
      <w:r>
        <w:rPr>
          <w:rFonts w:hint="eastAsia" w:ascii="黑体" w:hAnsi="微软雅黑" w:eastAsia="黑体"/>
          <w:sz w:val="44"/>
          <w:szCs w:val="44"/>
        </w:rPr>
        <w:t>（2023－2030年）</w:t>
      </w:r>
    </w:p>
    <w:p>
      <w:pPr>
        <w:spacing w:after="156" w:afterLines="50"/>
        <w:ind w:firstLine="1040"/>
        <w:jc w:val="center"/>
        <w:rPr>
          <w:rFonts w:eastAsia="微软雅黑"/>
          <w:sz w:val="52"/>
          <w:szCs w:val="52"/>
        </w:rPr>
      </w:pPr>
    </w:p>
    <w:p>
      <w:pPr>
        <w:spacing w:after="156" w:afterLines="50"/>
        <w:ind w:firstLine="1040"/>
        <w:jc w:val="center"/>
        <w:rPr>
          <w:rFonts w:eastAsia="微软雅黑"/>
          <w:sz w:val="52"/>
          <w:szCs w:val="52"/>
        </w:rPr>
      </w:pPr>
    </w:p>
    <w:p>
      <w:pPr>
        <w:spacing w:after="156" w:afterLines="50"/>
        <w:ind w:firstLine="1040"/>
        <w:jc w:val="center"/>
        <w:rPr>
          <w:rFonts w:eastAsia="微软雅黑"/>
          <w:sz w:val="52"/>
          <w:szCs w:val="52"/>
        </w:rPr>
      </w:pPr>
    </w:p>
    <w:p>
      <w:pPr>
        <w:spacing w:after="156" w:afterLines="50"/>
        <w:ind w:firstLine="480"/>
        <w:jc w:val="center"/>
        <w:rPr>
          <w:rFonts w:eastAsia="微软雅黑"/>
          <w:szCs w:val="24"/>
        </w:rPr>
      </w:pPr>
      <w:r>
        <w:drawing>
          <wp:anchor distT="0" distB="0" distL="114300" distR="114300" simplePos="0" relativeHeight="251667456" behindDoc="0" locked="0" layoutInCell="1" allowOverlap="1">
            <wp:simplePos x="0" y="0"/>
            <wp:positionH relativeFrom="column">
              <wp:posOffset>2061845</wp:posOffset>
            </wp:positionH>
            <wp:positionV relativeFrom="paragraph">
              <wp:posOffset>377190</wp:posOffset>
            </wp:positionV>
            <wp:extent cx="1534795" cy="1539240"/>
            <wp:effectExtent l="0" t="0" r="8255" b="3810"/>
            <wp:wrapNone/>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pic:cNvPicPr>
                  </pic:nvPicPr>
                  <pic:blipFill>
                    <a:blip r:embed="rId25"/>
                    <a:stretch>
                      <a:fillRect/>
                    </a:stretch>
                  </pic:blipFill>
                  <pic:spPr>
                    <a:xfrm>
                      <a:off x="0" y="0"/>
                      <a:ext cx="1534795" cy="1539240"/>
                    </a:xfrm>
                    <a:prstGeom prst="rect">
                      <a:avLst/>
                    </a:prstGeom>
                    <a:noFill/>
                    <a:ln>
                      <a:noFill/>
                    </a:ln>
                  </pic:spPr>
                </pic:pic>
              </a:graphicData>
            </a:graphic>
          </wp:anchor>
        </w:drawing>
      </w:r>
    </w:p>
    <w:p>
      <w:pPr>
        <w:spacing w:after="156" w:afterLines="50"/>
        <w:ind w:firstLine="480"/>
        <w:jc w:val="center"/>
        <w:rPr>
          <w:rFonts w:eastAsia="微软雅黑"/>
          <w:szCs w:val="24"/>
        </w:rPr>
      </w:pPr>
    </w:p>
    <w:p>
      <w:pPr>
        <w:spacing w:after="156" w:afterLines="50"/>
        <w:ind w:firstLine="720"/>
        <w:jc w:val="center"/>
        <w:rPr>
          <w:rFonts w:ascii="黑体" w:hAnsi="微软雅黑" w:eastAsia="黑体"/>
          <w:sz w:val="36"/>
          <w:szCs w:val="36"/>
        </w:rPr>
      </w:pPr>
      <w:r>
        <w:rPr>
          <w:rFonts w:hint="eastAsia" w:ascii="黑体" w:hAnsi="微软雅黑" w:eastAsia="黑体"/>
          <w:sz w:val="36"/>
          <w:szCs w:val="36"/>
        </w:rPr>
        <w:t>国家林业和草原局林草调查规划院</w:t>
      </w:r>
    </w:p>
    <w:p>
      <w:pPr>
        <w:spacing w:after="156" w:afterLines="50"/>
        <w:ind w:firstLine="720"/>
        <w:jc w:val="center"/>
        <w:rPr>
          <w:rFonts w:ascii="黑体" w:hAnsi="微软雅黑" w:eastAsia="黑体"/>
          <w:sz w:val="52"/>
          <w:szCs w:val="52"/>
        </w:rPr>
      </w:pPr>
      <w:r>
        <w:rPr>
          <w:rFonts w:hint="eastAsia" w:ascii="黑体" w:hAnsi="微软雅黑" w:eastAsia="黑体"/>
          <w:sz w:val="36"/>
          <w:szCs w:val="36"/>
        </w:rPr>
        <w:t>二〇二三年一月</w:t>
      </w:r>
      <w:r>
        <w:rPr>
          <w:rFonts w:ascii="黑体" w:hAnsi="微软雅黑" w:eastAsia="黑体"/>
          <w:sz w:val="36"/>
          <w:szCs w:val="36"/>
        </w:rPr>
        <w:br w:type="page"/>
      </w:r>
    </w:p>
    <w:p>
      <w:pPr>
        <w:spacing w:after="156" w:afterLines="50"/>
        <w:ind w:firstLine="1040"/>
        <w:jc w:val="center"/>
        <w:rPr>
          <w:rFonts w:ascii="黑体" w:hAnsi="微软雅黑" w:eastAsia="黑体"/>
          <w:sz w:val="52"/>
          <w:szCs w:val="52"/>
        </w:rPr>
      </w:pPr>
    </w:p>
    <w:p>
      <w:pPr>
        <w:spacing w:after="156" w:afterLines="50"/>
        <w:ind w:firstLine="1040"/>
        <w:jc w:val="center"/>
        <w:rPr>
          <w:rFonts w:ascii="黑体" w:hAnsi="微软雅黑" w:eastAsia="黑体"/>
          <w:sz w:val="52"/>
          <w:szCs w:val="52"/>
        </w:rPr>
      </w:pPr>
    </w:p>
    <w:p>
      <w:pPr>
        <w:spacing w:after="156" w:afterLines="50"/>
        <w:ind w:firstLine="1040"/>
        <w:jc w:val="center"/>
        <w:rPr>
          <w:rFonts w:ascii="黑体" w:hAnsi="微软雅黑" w:eastAsia="黑体"/>
          <w:sz w:val="52"/>
          <w:szCs w:val="52"/>
        </w:rPr>
      </w:pPr>
      <w:r>
        <w:rPr>
          <w:rFonts w:hint="eastAsia" w:ascii="黑体" w:hAnsi="微软雅黑" w:eastAsia="黑体"/>
          <w:sz w:val="52"/>
          <w:szCs w:val="52"/>
        </w:rPr>
        <w:t>新疆玛纳斯国家湿地公园</w:t>
      </w:r>
    </w:p>
    <w:p>
      <w:pPr>
        <w:spacing w:after="156" w:afterLines="50"/>
        <w:ind w:firstLine="1040"/>
        <w:jc w:val="center"/>
        <w:rPr>
          <w:rFonts w:ascii="黑体" w:hAnsi="微软雅黑" w:eastAsia="黑体"/>
          <w:sz w:val="52"/>
          <w:szCs w:val="52"/>
        </w:rPr>
      </w:pPr>
      <w:r>
        <w:rPr>
          <w:rFonts w:hint="eastAsia" w:ascii="黑体" w:hAnsi="微软雅黑" w:eastAsia="黑体"/>
          <w:sz w:val="52"/>
          <w:szCs w:val="52"/>
        </w:rPr>
        <w:t>总体规划</w:t>
      </w:r>
    </w:p>
    <w:p>
      <w:pPr>
        <w:spacing w:after="156" w:afterLines="50"/>
        <w:ind w:firstLine="720"/>
        <w:jc w:val="center"/>
        <w:rPr>
          <w:rFonts w:ascii="宋体" w:hAnsi="宋体"/>
          <w:sz w:val="36"/>
          <w:szCs w:val="36"/>
        </w:rPr>
      </w:pPr>
      <w:r>
        <w:rPr>
          <w:rFonts w:hint="eastAsia" w:ascii="宋体" w:hAnsi="宋体"/>
          <w:sz w:val="36"/>
          <w:szCs w:val="36"/>
        </w:rPr>
        <w:t>（修编）</w:t>
      </w:r>
    </w:p>
    <w:p>
      <w:pPr>
        <w:spacing w:after="156" w:afterLines="50"/>
        <w:ind w:firstLine="880"/>
        <w:jc w:val="center"/>
        <w:rPr>
          <w:rFonts w:ascii="黑体" w:hAnsi="微软雅黑" w:eastAsia="黑体"/>
          <w:sz w:val="44"/>
          <w:szCs w:val="44"/>
        </w:rPr>
      </w:pPr>
      <w:r>
        <w:rPr>
          <w:rFonts w:hint="eastAsia" w:ascii="黑体" w:hAnsi="微软雅黑" w:eastAsia="黑体"/>
          <w:sz w:val="44"/>
          <w:szCs w:val="44"/>
        </w:rPr>
        <w:t>（2023－2030年）</w:t>
      </w:r>
    </w:p>
    <w:p>
      <w:pPr>
        <w:spacing w:after="156" w:afterLines="50"/>
        <w:ind w:firstLine="1040"/>
        <w:jc w:val="center"/>
        <w:rPr>
          <w:rFonts w:eastAsia="微软雅黑"/>
          <w:sz w:val="52"/>
          <w:szCs w:val="52"/>
        </w:rPr>
      </w:pPr>
    </w:p>
    <w:p>
      <w:pPr>
        <w:spacing w:after="156" w:afterLines="50"/>
        <w:ind w:firstLine="1040"/>
        <w:jc w:val="center"/>
        <w:rPr>
          <w:rFonts w:eastAsia="微软雅黑"/>
          <w:sz w:val="52"/>
          <w:szCs w:val="52"/>
        </w:rPr>
      </w:pPr>
    </w:p>
    <w:p>
      <w:pPr>
        <w:spacing w:after="156" w:afterLines="50"/>
        <w:ind w:firstLine="1040"/>
        <w:jc w:val="center"/>
        <w:rPr>
          <w:rFonts w:eastAsia="微软雅黑"/>
          <w:sz w:val="52"/>
          <w:szCs w:val="52"/>
        </w:rPr>
      </w:pPr>
    </w:p>
    <w:p>
      <w:pPr>
        <w:spacing w:after="156" w:afterLines="50"/>
        <w:ind w:firstLine="1040"/>
        <w:jc w:val="center"/>
        <w:rPr>
          <w:rFonts w:eastAsia="微软雅黑"/>
          <w:sz w:val="52"/>
          <w:szCs w:val="52"/>
        </w:rPr>
      </w:pPr>
    </w:p>
    <w:p>
      <w:pPr>
        <w:spacing w:after="156" w:afterLines="50"/>
        <w:ind w:firstLine="1040"/>
        <w:jc w:val="center"/>
        <w:rPr>
          <w:rFonts w:eastAsia="微软雅黑"/>
          <w:sz w:val="52"/>
          <w:szCs w:val="52"/>
        </w:rPr>
      </w:pPr>
    </w:p>
    <w:p>
      <w:pPr>
        <w:spacing w:after="156" w:afterLines="50"/>
        <w:ind w:firstLine="1040"/>
        <w:jc w:val="center"/>
        <w:rPr>
          <w:rFonts w:eastAsia="微软雅黑"/>
          <w:sz w:val="52"/>
          <w:szCs w:val="52"/>
        </w:rPr>
      </w:pPr>
    </w:p>
    <w:p>
      <w:pPr>
        <w:spacing w:after="156" w:afterLines="50"/>
        <w:ind w:firstLine="480"/>
        <w:jc w:val="center"/>
        <w:rPr>
          <w:rFonts w:eastAsia="微软雅黑"/>
          <w:szCs w:val="24"/>
        </w:rPr>
      </w:pPr>
    </w:p>
    <w:p>
      <w:pPr>
        <w:spacing w:after="156" w:afterLines="50"/>
        <w:ind w:firstLine="480"/>
        <w:jc w:val="center"/>
        <w:rPr>
          <w:rFonts w:eastAsia="微软雅黑"/>
          <w:szCs w:val="24"/>
        </w:rPr>
      </w:pPr>
      <w:r>
        <w:drawing>
          <wp:anchor distT="0" distB="0" distL="114300" distR="114300" simplePos="0" relativeHeight="251668480" behindDoc="0" locked="0" layoutInCell="1" allowOverlap="1">
            <wp:simplePos x="0" y="0"/>
            <wp:positionH relativeFrom="column">
              <wp:posOffset>1905635</wp:posOffset>
            </wp:positionH>
            <wp:positionV relativeFrom="paragraph">
              <wp:posOffset>75565</wp:posOffset>
            </wp:positionV>
            <wp:extent cx="1534795" cy="1539240"/>
            <wp:effectExtent l="0" t="0" r="8255" b="381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25"/>
                    <a:stretch>
                      <a:fillRect/>
                    </a:stretch>
                  </pic:blipFill>
                  <pic:spPr>
                    <a:xfrm>
                      <a:off x="0" y="0"/>
                      <a:ext cx="1534795" cy="1539240"/>
                    </a:xfrm>
                    <a:prstGeom prst="rect">
                      <a:avLst/>
                    </a:prstGeom>
                    <a:noFill/>
                    <a:ln>
                      <a:noFill/>
                    </a:ln>
                  </pic:spPr>
                </pic:pic>
              </a:graphicData>
            </a:graphic>
          </wp:anchor>
        </w:drawing>
      </w:r>
    </w:p>
    <w:p>
      <w:pPr>
        <w:spacing w:after="156" w:afterLines="50"/>
        <w:ind w:firstLine="720"/>
        <w:jc w:val="center"/>
        <w:rPr>
          <w:rFonts w:ascii="黑体" w:hAnsi="微软雅黑" w:eastAsia="黑体"/>
          <w:sz w:val="36"/>
          <w:szCs w:val="36"/>
        </w:rPr>
      </w:pPr>
      <w:r>
        <w:rPr>
          <w:rFonts w:hint="eastAsia" w:ascii="黑体" w:hAnsi="微软雅黑" w:eastAsia="黑体"/>
          <w:sz w:val="36"/>
          <w:szCs w:val="36"/>
        </w:rPr>
        <w:t>国家林业和草原局林草调查规划院</w:t>
      </w:r>
    </w:p>
    <w:p>
      <w:pPr>
        <w:widowControl/>
        <w:spacing w:line="240" w:lineRule="auto"/>
        <w:ind w:firstLine="0" w:firstLineChars="0"/>
        <w:jc w:val="center"/>
        <w:rPr>
          <w:rFonts w:ascii="黑体" w:hAnsi="微软雅黑" w:eastAsia="黑体"/>
          <w:sz w:val="36"/>
          <w:szCs w:val="36"/>
        </w:rPr>
      </w:pPr>
      <w:r>
        <w:rPr>
          <w:rFonts w:hint="eastAsia" w:ascii="黑体" w:hAnsi="微软雅黑" w:eastAsia="黑体"/>
          <w:sz w:val="36"/>
          <w:szCs w:val="36"/>
        </w:rPr>
        <w:t>二〇二三年一月</w:t>
      </w:r>
    </w:p>
    <w:p>
      <w:pPr>
        <w:spacing w:after="156" w:afterLines="50"/>
        <w:ind w:firstLine="720"/>
        <w:jc w:val="center"/>
        <w:rPr>
          <w:rFonts w:ascii="黑体" w:hAnsi="微软雅黑" w:eastAsia="黑体"/>
          <w:sz w:val="36"/>
          <w:szCs w:val="36"/>
        </w:rPr>
      </w:pPr>
    </w:p>
    <w:p>
      <w:pPr>
        <w:widowControl/>
        <w:spacing w:line="240" w:lineRule="auto"/>
        <w:ind w:firstLine="0" w:firstLineChars="0"/>
        <w:jc w:val="left"/>
        <w:rPr>
          <w:rFonts w:ascii="黑体" w:hAnsi="微软雅黑" w:eastAsia="黑体"/>
          <w:sz w:val="36"/>
          <w:szCs w:val="36"/>
        </w:rPr>
      </w:pPr>
      <w:r>
        <w:rPr>
          <w:rFonts w:ascii="黑体" w:hAnsi="微软雅黑" w:eastAsia="黑体"/>
          <w:sz w:val="36"/>
          <w:szCs w:val="36"/>
        </w:rPr>
        <w:br w:type="page"/>
      </w:r>
      <w:r>
        <w:rPr>
          <w:rFonts w:cs="Times New Roman"/>
        </w:rPr>
        <w:drawing>
          <wp:anchor distT="0" distB="0" distL="114300" distR="114300" simplePos="0" relativeHeight="251666432" behindDoc="0" locked="0" layoutInCell="1" allowOverlap="1">
            <wp:simplePos x="0" y="0"/>
            <wp:positionH relativeFrom="column">
              <wp:posOffset>154305</wp:posOffset>
            </wp:positionH>
            <wp:positionV relativeFrom="paragraph">
              <wp:posOffset>488950</wp:posOffset>
            </wp:positionV>
            <wp:extent cx="5473065" cy="8001000"/>
            <wp:effectExtent l="0" t="0" r="0" b="0"/>
            <wp:wrapTopAndBottom/>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26" cstate="print"/>
                    <a:stretch>
                      <a:fillRect/>
                    </a:stretch>
                  </pic:blipFill>
                  <pic:spPr>
                    <a:xfrm>
                      <a:off x="0" y="0"/>
                      <a:ext cx="5472808" cy="8001000"/>
                    </a:xfrm>
                    <a:prstGeom prst="rect">
                      <a:avLst/>
                    </a:prstGeom>
                  </pic:spPr>
                </pic:pic>
              </a:graphicData>
            </a:graphic>
          </wp:anchor>
        </w:drawing>
      </w:r>
    </w:p>
    <w:p>
      <w:pPr>
        <w:ind w:firstLine="480"/>
      </w:pPr>
      <w:r>
        <mc:AlternateContent>
          <mc:Choice Requires="wps">
            <w:drawing>
              <wp:anchor distT="0" distB="0" distL="114300" distR="114300" simplePos="0" relativeHeight="251664384" behindDoc="0" locked="0" layoutInCell="1" allowOverlap="1">
                <wp:simplePos x="0" y="0"/>
                <wp:positionH relativeFrom="column">
                  <wp:posOffset>1678305</wp:posOffset>
                </wp:positionH>
                <wp:positionV relativeFrom="paragraph">
                  <wp:posOffset>-2706370</wp:posOffset>
                </wp:positionV>
                <wp:extent cx="3314700" cy="622300"/>
                <wp:effectExtent l="4445" t="4445" r="14605" b="20955"/>
                <wp:wrapNone/>
                <wp:docPr id="20" name="文本框 17"/>
                <wp:cNvGraphicFramePr/>
                <a:graphic xmlns:a="http://schemas.openxmlformats.org/drawingml/2006/main">
                  <a:graphicData uri="http://schemas.microsoft.com/office/word/2010/wordprocessingShape">
                    <wps:wsp>
                      <wps:cNvSpPr txBox="1"/>
                      <wps:spPr>
                        <a:xfrm>
                          <a:off x="0" y="0"/>
                          <a:ext cx="3314700" cy="622300"/>
                        </a:xfrm>
                        <a:prstGeom prst="rect">
                          <a:avLst/>
                        </a:prstGeom>
                        <a:noFill/>
                        <a:ln w="6350" cap="flat" cmpd="sng">
                          <a:solidFill>
                            <a:srgbClr val="FFFFFF"/>
                          </a:solidFill>
                          <a:prstDash val="solid"/>
                          <a:miter/>
                          <a:headEnd type="none" w="med" len="med"/>
                          <a:tailEnd type="none" w="med" len="med"/>
                        </a:ln>
                      </wps:spPr>
                      <wps:txbx>
                        <w:txbxContent>
                          <w:p>
                            <w:pPr>
                              <w:spacing w:line="300" w:lineRule="exact"/>
                              <w:ind w:firstLine="0" w:firstLineChars="0"/>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新疆玛纳斯河国家湿地公园总体规划修编（2023－2030年）</w:t>
                            </w:r>
                          </w:p>
                          <w:p>
                            <w:pPr>
                              <w:spacing w:after="156" w:afterLines="50"/>
                              <w:ind w:firstLine="0" w:firstLineChars="0"/>
                              <w:jc w:val="left"/>
                              <w:rPr>
                                <w:rFonts w:ascii="黑体" w:hAnsi="微软雅黑" w:eastAsia="黑体"/>
                                <w:color w:val="000000" w:themeColor="text1"/>
                                <w:sz w:val="52"/>
                                <w:szCs w:val="52"/>
                                <w14:textFill>
                                  <w14:solidFill>
                                    <w14:schemeClr w14:val="tx1"/>
                                  </w14:solidFill>
                                </w14:textFill>
                              </w:rPr>
                            </w:pPr>
                          </w:p>
                          <w:p>
                            <w:pPr>
                              <w:ind w:firstLine="480"/>
                            </w:pPr>
                          </w:p>
                        </w:txbxContent>
                      </wps:txbx>
                      <wps:bodyPr upright="1"/>
                    </wps:wsp>
                  </a:graphicData>
                </a:graphic>
              </wp:anchor>
            </w:drawing>
          </mc:Choice>
          <mc:Fallback>
            <w:pict>
              <v:shape id="文本框 17" o:spid="_x0000_s1026" o:spt="202" type="#_x0000_t202" style="position:absolute;left:0pt;margin-left:132.15pt;margin-top:-213.1pt;height:49pt;width:261pt;z-index:251664384;mso-width-relative:page;mso-height-relative:page;" filled="f" stroked="t" coordsize="21600,21600" o:gfxdata="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YX3J83AAAAA0BAAAPAAAAAAAAAAEAIAAAACIA&#10;AABkcnMvZG93bnJldi54bWxQSwECFAAUAAAACACHTuJAhcCjWAUCAAAPBAAADgAAAAAAAAABACAA&#10;AAArAQAAZHJzL2Uyb0RvYy54bWxQSwUGAAAAAAYABgBZAQAAogUAAAAA&#10;">
                <v:fill on="f" focussize="0,0"/>
                <v:stroke weight="0.5pt" color="#FFFFFF" joinstyle="miter"/>
                <v:imagedata o:title=""/>
                <o:lock v:ext="edit" aspectratio="f"/>
                <v:textbox>
                  <w:txbxContent>
                    <w:p>
                      <w:pPr>
                        <w:spacing w:line="300" w:lineRule="exact"/>
                        <w:ind w:firstLine="0" w:firstLineChars="0"/>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新疆玛纳斯河国家湿地公园总体规划修编（2023－2030年）</w:t>
                      </w:r>
                    </w:p>
                    <w:p>
                      <w:pPr>
                        <w:spacing w:after="156" w:afterLines="50"/>
                        <w:ind w:firstLine="0" w:firstLineChars="0"/>
                        <w:jc w:val="left"/>
                        <w:rPr>
                          <w:rFonts w:ascii="黑体" w:hAnsi="微软雅黑" w:eastAsia="黑体"/>
                          <w:color w:val="000000" w:themeColor="text1"/>
                          <w:sz w:val="52"/>
                          <w:szCs w:val="52"/>
                          <w14:textFill>
                            <w14:solidFill>
                              <w14:schemeClr w14:val="tx1"/>
                            </w14:solidFill>
                          </w14:textFill>
                        </w:rPr>
                      </w:pPr>
                    </w:p>
                    <w:p>
                      <w:pPr>
                        <w:ind w:firstLine="480"/>
                      </w:pPr>
                    </w:p>
                  </w:txbxContent>
                </v:textbox>
              </v:shape>
            </w:pict>
          </mc:Fallback>
        </mc:AlternateContent>
      </w:r>
    </w:p>
    <w:p>
      <w:pPr>
        <w:adjustRightInd w:val="0"/>
        <w:snapToGrid w:val="0"/>
        <w:ind w:left="2008" w:hanging="2008" w:hangingChars="500"/>
        <w:rPr>
          <w:sz w:val="40"/>
          <w:szCs w:val="40"/>
        </w:rPr>
      </w:pPr>
      <w:r>
        <w:rPr>
          <w:rFonts w:hint="eastAsia" w:ascii="黑体" w:hAnsi="黑体" w:eastAsia="黑体"/>
          <w:b/>
          <w:sz w:val="40"/>
          <w:szCs w:val="36"/>
        </w:rPr>
        <w:t>项目名称：</w:t>
      </w:r>
      <w:r>
        <w:rPr>
          <w:rFonts w:hint="eastAsia"/>
          <w:sz w:val="40"/>
          <w:szCs w:val="40"/>
        </w:rPr>
        <w:t>新疆玛纳斯国家湿地公园总体规划修编（2023－2030年）</w:t>
      </w:r>
    </w:p>
    <w:p>
      <w:pPr>
        <w:adjustRightInd w:val="0"/>
        <w:snapToGrid w:val="0"/>
        <w:ind w:firstLine="0" w:firstLineChars="0"/>
        <w:rPr>
          <w:sz w:val="36"/>
          <w:szCs w:val="32"/>
        </w:rPr>
      </w:pPr>
      <w:r>
        <w:rPr>
          <w:rFonts w:hint="eastAsia" w:ascii="黑体" w:hAnsi="黑体" w:eastAsia="黑体"/>
          <w:b/>
          <w:sz w:val="40"/>
          <w:szCs w:val="36"/>
        </w:rPr>
        <w:t>委托单位：</w:t>
      </w:r>
      <w:r>
        <w:rPr>
          <w:rFonts w:hint="eastAsia" w:asciiTheme="minorEastAsia" w:hAnsiTheme="minorEastAsia"/>
          <w:sz w:val="40"/>
          <w:szCs w:val="36"/>
        </w:rPr>
        <w:t>玛纳斯国家湿地公园管理局</w:t>
      </w:r>
    </w:p>
    <w:p>
      <w:pPr>
        <w:adjustRightInd w:val="0"/>
        <w:snapToGrid w:val="0"/>
        <w:ind w:firstLine="0" w:firstLineChars="0"/>
        <w:rPr>
          <w:sz w:val="40"/>
          <w:szCs w:val="40"/>
        </w:rPr>
      </w:pPr>
      <w:r>
        <w:rPr>
          <w:rFonts w:hint="eastAsia" w:ascii="黑体" w:hAnsi="黑体" w:eastAsia="黑体"/>
          <w:b/>
          <w:sz w:val="40"/>
          <w:szCs w:val="36"/>
        </w:rPr>
        <w:t>咨询单位：</w:t>
      </w:r>
      <w:r>
        <w:rPr>
          <w:rFonts w:hint="eastAsia"/>
          <w:sz w:val="40"/>
          <w:szCs w:val="40"/>
        </w:rPr>
        <w:t>国家林业和草原局林草调查规划院</w:t>
      </w:r>
    </w:p>
    <w:p>
      <w:pPr>
        <w:adjustRightInd w:val="0"/>
        <w:snapToGrid w:val="0"/>
        <w:ind w:left="2000" w:hanging="2000" w:hangingChars="500"/>
        <w:rPr>
          <w:sz w:val="40"/>
          <w:szCs w:val="36"/>
        </w:rPr>
      </w:pPr>
      <w:r>
        <w:rPr>
          <w:sz w:val="40"/>
          <w:szCs w:val="36"/>
        </w:rPr>
        <w:t xml:space="preserve">          </w:t>
      </w:r>
    </w:p>
    <w:p>
      <w:pPr>
        <w:adjustRightInd w:val="0"/>
        <w:snapToGrid w:val="0"/>
        <w:spacing w:line="600" w:lineRule="exact"/>
        <w:ind w:firstLine="141" w:firstLineChars="35"/>
        <w:rPr>
          <w:sz w:val="40"/>
          <w:szCs w:val="36"/>
        </w:rPr>
      </w:pPr>
      <w:r>
        <w:rPr>
          <w:rFonts w:hint="eastAsia" w:eastAsia="黑体"/>
          <w:b/>
          <w:sz w:val="40"/>
          <w:szCs w:val="36"/>
        </w:rPr>
        <w:t>院</w:t>
      </w:r>
      <w:r>
        <w:rPr>
          <w:rFonts w:eastAsia="黑体"/>
          <w:b/>
          <w:sz w:val="40"/>
          <w:szCs w:val="36"/>
        </w:rPr>
        <w:t xml:space="preserve">          </w:t>
      </w:r>
      <w:r>
        <w:rPr>
          <w:rFonts w:hint="eastAsia" w:eastAsia="黑体"/>
          <w:b/>
          <w:sz w:val="40"/>
          <w:szCs w:val="36"/>
        </w:rPr>
        <w:t>长：</w:t>
      </w:r>
      <w:r>
        <w:rPr>
          <w:sz w:val="40"/>
          <w:szCs w:val="36"/>
        </w:rPr>
        <w:t xml:space="preserve"> </w:t>
      </w:r>
      <w:r>
        <w:rPr>
          <w:rFonts w:hint="eastAsia"/>
          <w:sz w:val="40"/>
          <w:szCs w:val="36"/>
        </w:rPr>
        <w:t>张煜星</w:t>
      </w:r>
      <w:r>
        <w:rPr>
          <w:sz w:val="40"/>
          <w:szCs w:val="36"/>
        </w:rPr>
        <w:t xml:space="preserve"> </w:t>
      </w:r>
      <w:r>
        <w:rPr>
          <w:rFonts w:hint="eastAsia"/>
          <w:sz w:val="40"/>
          <w:szCs w:val="36"/>
        </w:rPr>
        <w:t xml:space="preserve"> </w:t>
      </w:r>
      <w:r>
        <w:rPr>
          <w:rFonts w:hint="eastAsia" w:eastAsia="黑体"/>
          <w:sz w:val="40"/>
          <w:szCs w:val="36"/>
        </w:rPr>
        <w:t xml:space="preserve"> </w:t>
      </w:r>
      <w:r>
        <w:rPr>
          <w:sz w:val="40"/>
          <w:szCs w:val="36"/>
        </w:rPr>
        <w:t xml:space="preserve"> </w:t>
      </w:r>
      <w:r>
        <w:rPr>
          <w:rFonts w:hint="eastAsia"/>
          <w:sz w:val="40"/>
          <w:szCs w:val="36"/>
        </w:rPr>
        <w:t>教授级高工</w:t>
      </w:r>
    </w:p>
    <w:p>
      <w:pPr>
        <w:adjustRightInd w:val="0"/>
        <w:snapToGrid w:val="0"/>
        <w:spacing w:line="600" w:lineRule="exact"/>
        <w:ind w:firstLine="141" w:firstLineChars="35"/>
        <w:rPr>
          <w:rFonts w:eastAsia="黑体"/>
          <w:b/>
          <w:sz w:val="40"/>
          <w:szCs w:val="36"/>
        </w:rPr>
      </w:pPr>
    </w:p>
    <w:p>
      <w:pPr>
        <w:adjustRightInd w:val="0"/>
        <w:snapToGrid w:val="0"/>
        <w:spacing w:line="600" w:lineRule="exact"/>
        <w:ind w:firstLine="141" w:firstLineChars="35"/>
        <w:rPr>
          <w:sz w:val="40"/>
          <w:szCs w:val="36"/>
        </w:rPr>
      </w:pPr>
      <w:r>
        <w:rPr>
          <w:rFonts w:hint="eastAsia" w:eastAsia="黑体"/>
          <w:b/>
          <w:sz w:val="40"/>
          <w:szCs w:val="36"/>
        </w:rPr>
        <w:t>总</w:t>
      </w:r>
      <w:r>
        <w:rPr>
          <w:rFonts w:eastAsia="黑体"/>
          <w:b/>
          <w:sz w:val="40"/>
          <w:szCs w:val="36"/>
        </w:rPr>
        <w:t xml:space="preserve">  </w:t>
      </w:r>
      <w:r>
        <w:rPr>
          <w:rFonts w:hint="eastAsia" w:eastAsia="黑体"/>
          <w:b/>
          <w:sz w:val="40"/>
          <w:szCs w:val="36"/>
        </w:rPr>
        <w:t>工</w:t>
      </w:r>
      <w:r>
        <w:rPr>
          <w:rFonts w:eastAsia="黑体"/>
          <w:b/>
          <w:sz w:val="40"/>
          <w:szCs w:val="36"/>
        </w:rPr>
        <w:t xml:space="preserve">  </w:t>
      </w:r>
      <w:r>
        <w:rPr>
          <w:rFonts w:hint="eastAsia" w:eastAsia="黑体"/>
          <w:b/>
          <w:sz w:val="40"/>
          <w:szCs w:val="36"/>
        </w:rPr>
        <w:t>程</w:t>
      </w:r>
      <w:r>
        <w:rPr>
          <w:rFonts w:eastAsia="黑体"/>
          <w:b/>
          <w:sz w:val="40"/>
          <w:szCs w:val="36"/>
        </w:rPr>
        <w:t xml:space="preserve">  </w:t>
      </w:r>
      <w:r>
        <w:rPr>
          <w:rFonts w:hint="eastAsia" w:eastAsia="黑体"/>
          <w:b/>
          <w:sz w:val="40"/>
          <w:szCs w:val="36"/>
        </w:rPr>
        <w:t>师：</w:t>
      </w:r>
      <w:r>
        <w:rPr>
          <w:rFonts w:eastAsia="黑体"/>
          <w:b/>
          <w:sz w:val="40"/>
          <w:szCs w:val="36"/>
        </w:rPr>
        <w:t xml:space="preserve"> </w:t>
      </w:r>
      <w:r>
        <w:rPr>
          <w:rFonts w:hint="eastAsia"/>
          <w:sz w:val="40"/>
          <w:szCs w:val="36"/>
        </w:rPr>
        <w:t>张 剑</w:t>
      </w:r>
      <w:r>
        <w:rPr>
          <w:sz w:val="40"/>
          <w:szCs w:val="36"/>
        </w:rPr>
        <w:t xml:space="preserve"> </w:t>
      </w:r>
      <w:r>
        <w:rPr>
          <w:rFonts w:hint="eastAsia"/>
          <w:sz w:val="40"/>
          <w:szCs w:val="36"/>
        </w:rPr>
        <w:t xml:space="preserve"> </w:t>
      </w:r>
      <w:r>
        <w:rPr>
          <w:sz w:val="40"/>
          <w:szCs w:val="36"/>
        </w:rPr>
        <w:t xml:space="preserve">  </w:t>
      </w:r>
      <w:r>
        <w:rPr>
          <w:rFonts w:hint="eastAsia"/>
          <w:sz w:val="40"/>
          <w:szCs w:val="36"/>
        </w:rPr>
        <w:t>教授级高工</w:t>
      </w:r>
    </w:p>
    <w:p>
      <w:pPr>
        <w:adjustRightInd w:val="0"/>
        <w:snapToGrid w:val="0"/>
        <w:spacing w:line="600" w:lineRule="exact"/>
        <w:ind w:firstLine="140" w:firstLineChars="35"/>
        <w:rPr>
          <w:sz w:val="40"/>
          <w:szCs w:val="36"/>
        </w:rPr>
      </w:pPr>
    </w:p>
    <w:p>
      <w:pPr>
        <w:adjustRightInd w:val="0"/>
        <w:snapToGrid w:val="0"/>
        <w:spacing w:line="600" w:lineRule="exact"/>
        <w:ind w:firstLine="141" w:firstLineChars="35"/>
        <w:rPr>
          <w:sz w:val="40"/>
          <w:szCs w:val="36"/>
        </w:rPr>
      </w:pPr>
      <w:r>
        <w:rPr>
          <w:rFonts w:hint="eastAsia" w:eastAsia="黑体"/>
          <w:b/>
          <w:sz w:val="40"/>
          <w:szCs w:val="36"/>
        </w:rPr>
        <w:t>院协管技术负责人：</w:t>
      </w:r>
      <w:r>
        <w:rPr>
          <w:rFonts w:hint="eastAsia"/>
          <w:sz w:val="40"/>
          <w:szCs w:val="36"/>
        </w:rPr>
        <w:t xml:space="preserve"> 唐小平  教授级高工</w:t>
      </w:r>
    </w:p>
    <w:p>
      <w:pPr>
        <w:adjustRightInd w:val="0"/>
        <w:snapToGrid w:val="0"/>
        <w:spacing w:line="600" w:lineRule="exact"/>
        <w:ind w:firstLine="141" w:firstLineChars="35"/>
        <w:rPr>
          <w:rFonts w:eastAsia="黑体"/>
          <w:b/>
          <w:sz w:val="40"/>
          <w:szCs w:val="36"/>
        </w:rPr>
      </w:pPr>
    </w:p>
    <w:p>
      <w:pPr>
        <w:adjustRightInd w:val="0"/>
        <w:snapToGrid w:val="0"/>
        <w:spacing w:line="600" w:lineRule="exact"/>
        <w:ind w:firstLine="141" w:firstLineChars="35"/>
        <w:rPr>
          <w:rFonts w:eastAsia="黑体"/>
          <w:b/>
          <w:sz w:val="40"/>
          <w:szCs w:val="36"/>
        </w:rPr>
      </w:pPr>
      <w:r>
        <w:rPr>
          <w:rFonts w:hint="eastAsia" w:eastAsia="黑体"/>
          <w:b/>
          <w:sz w:val="40"/>
          <w:szCs w:val="36"/>
        </w:rPr>
        <w:t>项</w:t>
      </w:r>
      <w:r>
        <w:rPr>
          <w:rFonts w:eastAsia="黑体"/>
          <w:b/>
          <w:sz w:val="40"/>
          <w:szCs w:val="36"/>
        </w:rPr>
        <w:t xml:space="preserve"> </w:t>
      </w:r>
      <w:r>
        <w:rPr>
          <w:rFonts w:hint="eastAsia" w:eastAsia="黑体"/>
          <w:b/>
          <w:sz w:val="40"/>
          <w:szCs w:val="36"/>
        </w:rPr>
        <w:t>目</w:t>
      </w:r>
      <w:r>
        <w:rPr>
          <w:rFonts w:eastAsia="黑体"/>
          <w:b/>
          <w:sz w:val="40"/>
          <w:szCs w:val="36"/>
        </w:rPr>
        <w:t xml:space="preserve"> </w:t>
      </w:r>
      <w:r>
        <w:rPr>
          <w:rFonts w:hint="eastAsia" w:eastAsia="黑体"/>
          <w:b/>
          <w:sz w:val="40"/>
          <w:szCs w:val="36"/>
        </w:rPr>
        <w:t>负</w:t>
      </w:r>
      <w:r>
        <w:rPr>
          <w:rFonts w:eastAsia="黑体"/>
          <w:b/>
          <w:sz w:val="40"/>
          <w:szCs w:val="36"/>
        </w:rPr>
        <w:t xml:space="preserve"> </w:t>
      </w:r>
      <w:r>
        <w:rPr>
          <w:rFonts w:hint="eastAsia" w:eastAsia="黑体"/>
          <w:b/>
          <w:sz w:val="40"/>
          <w:szCs w:val="36"/>
        </w:rPr>
        <w:t>责</w:t>
      </w:r>
      <w:r>
        <w:rPr>
          <w:rFonts w:eastAsia="黑体"/>
          <w:b/>
          <w:sz w:val="40"/>
          <w:szCs w:val="36"/>
        </w:rPr>
        <w:t xml:space="preserve"> </w:t>
      </w:r>
      <w:r>
        <w:rPr>
          <w:rFonts w:hint="eastAsia" w:eastAsia="黑体"/>
          <w:b/>
          <w:sz w:val="40"/>
          <w:szCs w:val="36"/>
        </w:rPr>
        <w:t>人：</w:t>
      </w:r>
      <w:r>
        <w:rPr>
          <w:rFonts w:eastAsia="黑体"/>
          <w:b/>
          <w:sz w:val="40"/>
          <w:szCs w:val="36"/>
        </w:rPr>
        <w:t xml:space="preserve"> </w:t>
      </w:r>
      <w:r>
        <w:rPr>
          <w:rFonts w:asciiTheme="minorEastAsia" w:hAnsiTheme="minorEastAsia"/>
          <w:sz w:val="40"/>
          <w:szCs w:val="36"/>
        </w:rPr>
        <w:t xml:space="preserve"> </w:t>
      </w:r>
      <w:r>
        <w:rPr>
          <w:rFonts w:hint="eastAsia" w:asciiTheme="minorEastAsia" w:hAnsiTheme="minorEastAsia"/>
          <w:sz w:val="40"/>
          <w:szCs w:val="36"/>
        </w:rPr>
        <w:t xml:space="preserve">魏伯阳  </w:t>
      </w:r>
      <w:r>
        <w:rPr>
          <w:rFonts w:asciiTheme="minorEastAsia" w:hAnsiTheme="minorEastAsia"/>
          <w:sz w:val="40"/>
          <w:szCs w:val="36"/>
        </w:rPr>
        <w:t xml:space="preserve"> </w:t>
      </w:r>
      <w:r>
        <w:rPr>
          <w:rFonts w:hint="eastAsia" w:asciiTheme="minorEastAsia" w:hAnsiTheme="minorEastAsia"/>
          <w:sz w:val="40"/>
          <w:szCs w:val="36"/>
        </w:rPr>
        <w:t>工</w:t>
      </w:r>
      <w:r>
        <w:rPr>
          <w:rFonts w:asciiTheme="minorEastAsia" w:hAnsiTheme="minorEastAsia"/>
          <w:sz w:val="40"/>
          <w:szCs w:val="36"/>
        </w:rPr>
        <w:t xml:space="preserve">  </w:t>
      </w:r>
      <w:r>
        <w:rPr>
          <w:rFonts w:hint="eastAsia" w:asciiTheme="minorEastAsia" w:hAnsiTheme="minorEastAsia"/>
          <w:sz w:val="40"/>
          <w:szCs w:val="36"/>
        </w:rPr>
        <w:t>程</w:t>
      </w:r>
      <w:r>
        <w:rPr>
          <w:rFonts w:asciiTheme="minorEastAsia" w:hAnsiTheme="minorEastAsia"/>
          <w:sz w:val="40"/>
          <w:szCs w:val="36"/>
        </w:rPr>
        <w:t xml:space="preserve">  </w:t>
      </w:r>
      <w:r>
        <w:rPr>
          <w:rFonts w:hint="eastAsia" w:asciiTheme="minorEastAsia" w:hAnsiTheme="minorEastAsia"/>
          <w:sz w:val="40"/>
          <w:szCs w:val="36"/>
        </w:rPr>
        <w:t>师</w:t>
      </w:r>
    </w:p>
    <w:p>
      <w:pPr>
        <w:adjustRightInd w:val="0"/>
        <w:snapToGrid w:val="0"/>
        <w:spacing w:line="600" w:lineRule="exact"/>
        <w:ind w:firstLine="5762" w:firstLineChars="1435"/>
        <w:rPr>
          <w:rFonts w:eastAsia="黑体"/>
          <w:b/>
          <w:sz w:val="40"/>
          <w:szCs w:val="36"/>
        </w:rPr>
      </w:pPr>
    </w:p>
    <w:p>
      <w:pPr>
        <w:adjustRightInd w:val="0"/>
        <w:snapToGrid w:val="0"/>
        <w:spacing w:line="600" w:lineRule="exact"/>
        <w:ind w:firstLine="3800" w:firstLineChars="950"/>
        <w:rPr>
          <w:rFonts w:asciiTheme="minorEastAsia" w:hAnsiTheme="minorEastAsia"/>
          <w:sz w:val="40"/>
          <w:szCs w:val="36"/>
        </w:rPr>
      </w:pPr>
      <w:r>
        <w:rPr>
          <w:rFonts w:hint="eastAsia" w:asciiTheme="minorEastAsia" w:hAnsiTheme="minorEastAsia"/>
          <w:sz w:val="40"/>
          <w:szCs w:val="36"/>
        </w:rPr>
        <w:t>袁 军    教授级高工</w:t>
      </w:r>
    </w:p>
    <w:p>
      <w:pPr>
        <w:adjustRightInd w:val="0"/>
        <w:snapToGrid w:val="0"/>
        <w:spacing w:line="600" w:lineRule="exact"/>
        <w:ind w:firstLine="141" w:firstLineChars="35"/>
        <w:rPr>
          <w:rFonts w:eastAsia="黑体"/>
          <w:b/>
          <w:sz w:val="40"/>
          <w:szCs w:val="36"/>
        </w:rPr>
      </w:pPr>
    </w:p>
    <w:p>
      <w:pPr>
        <w:adjustRightInd w:val="0"/>
        <w:snapToGrid w:val="0"/>
        <w:spacing w:line="600" w:lineRule="exact"/>
        <w:ind w:firstLine="141" w:firstLineChars="35"/>
        <w:rPr>
          <w:sz w:val="40"/>
          <w:szCs w:val="36"/>
        </w:rPr>
      </w:pPr>
      <w:r>
        <w:rPr>
          <w:rFonts w:hint="eastAsia" w:eastAsia="黑体"/>
          <w:b/>
          <w:sz w:val="40"/>
          <w:szCs w:val="36"/>
        </w:rPr>
        <w:t>部</w:t>
      </w:r>
      <w:r>
        <w:rPr>
          <w:rFonts w:eastAsia="黑体"/>
          <w:b/>
          <w:sz w:val="40"/>
          <w:szCs w:val="36"/>
        </w:rPr>
        <w:t xml:space="preserve"> </w:t>
      </w:r>
      <w:r>
        <w:rPr>
          <w:rFonts w:hint="eastAsia" w:eastAsia="黑体"/>
          <w:b/>
          <w:sz w:val="40"/>
          <w:szCs w:val="36"/>
        </w:rPr>
        <w:t>门</w:t>
      </w:r>
      <w:r>
        <w:rPr>
          <w:rFonts w:eastAsia="黑体"/>
          <w:b/>
          <w:sz w:val="40"/>
          <w:szCs w:val="36"/>
        </w:rPr>
        <w:t xml:space="preserve"> </w:t>
      </w:r>
      <w:r>
        <w:rPr>
          <w:rFonts w:hint="eastAsia" w:eastAsia="黑体"/>
          <w:b/>
          <w:sz w:val="40"/>
          <w:szCs w:val="36"/>
        </w:rPr>
        <w:t>审</w:t>
      </w:r>
      <w:r>
        <w:rPr>
          <w:rFonts w:eastAsia="黑体"/>
          <w:b/>
          <w:sz w:val="40"/>
          <w:szCs w:val="36"/>
        </w:rPr>
        <w:t xml:space="preserve"> </w:t>
      </w:r>
      <w:r>
        <w:rPr>
          <w:rFonts w:hint="eastAsia" w:eastAsia="黑体"/>
          <w:b/>
          <w:sz w:val="40"/>
          <w:szCs w:val="36"/>
        </w:rPr>
        <w:t>核</w:t>
      </w:r>
      <w:r>
        <w:rPr>
          <w:rFonts w:eastAsia="黑体"/>
          <w:b/>
          <w:sz w:val="40"/>
          <w:szCs w:val="36"/>
        </w:rPr>
        <w:t xml:space="preserve"> </w:t>
      </w:r>
      <w:r>
        <w:rPr>
          <w:rFonts w:hint="eastAsia" w:eastAsia="黑体"/>
          <w:b/>
          <w:sz w:val="40"/>
          <w:szCs w:val="36"/>
        </w:rPr>
        <w:t>人：</w:t>
      </w:r>
      <w:r>
        <w:rPr>
          <w:rFonts w:hint="eastAsia"/>
          <w:sz w:val="40"/>
          <w:szCs w:val="36"/>
        </w:rPr>
        <w:t xml:space="preserve">  张晓云   教授级高工</w:t>
      </w:r>
    </w:p>
    <w:p>
      <w:pPr>
        <w:adjustRightInd w:val="0"/>
        <w:snapToGrid w:val="0"/>
        <w:spacing w:line="600" w:lineRule="exact"/>
        <w:ind w:firstLine="126" w:firstLineChars="35"/>
        <w:rPr>
          <w:rFonts w:eastAsia="黑体"/>
          <w:b/>
          <w:sz w:val="36"/>
          <w:szCs w:val="32"/>
        </w:rPr>
      </w:pPr>
    </w:p>
    <w:p>
      <w:pPr>
        <w:adjustRightInd w:val="0"/>
        <w:snapToGrid w:val="0"/>
        <w:spacing w:line="600" w:lineRule="exact"/>
        <w:ind w:firstLine="141" w:firstLineChars="35"/>
        <w:rPr>
          <w:sz w:val="40"/>
          <w:szCs w:val="36"/>
        </w:rPr>
      </w:pPr>
      <w:r>
        <w:rPr>
          <w:rFonts w:hint="eastAsia" w:eastAsia="黑体"/>
          <w:b/>
          <w:sz w:val="40"/>
          <w:szCs w:val="36"/>
        </w:rPr>
        <w:t>注</w:t>
      </w:r>
      <w:r>
        <w:rPr>
          <w:rFonts w:eastAsia="黑体"/>
          <w:b/>
          <w:sz w:val="40"/>
          <w:szCs w:val="36"/>
        </w:rPr>
        <w:t xml:space="preserve">    </w:t>
      </w:r>
      <w:r>
        <w:rPr>
          <w:rFonts w:hint="eastAsia" w:eastAsia="黑体"/>
          <w:b/>
          <w:sz w:val="40"/>
          <w:szCs w:val="36"/>
        </w:rPr>
        <w:t>册</w:t>
      </w:r>
      <w:r>
        <w:rPr>
          <w:rFonts w:eastAsia="黑体"/>
          <w:b/>
          <w:sz w:val="40"/>
          <w:szCs w:val="36"/>
        </w:rPr>
        <w:t xml:space="preserve">    </w:t>
      </w:r>
      <w:r>
        <w:rPr>
          <w:rFonts w:hint="eastAsia" w:eastAsia="黑体"/>
          <w:b/>
          <w:sz w:val="40"/>
          <w:szCs w:val="36"/>
        </w:rPr>
        <w:t>师：</w:t>
      </w:r>
      <w:r>
        <w:rPr>
          <w:sz w:val="21"/>
        </w:rPr>
        <w:drawing>
          <wp:anchor distT="0" distB="0" distL="114300" distR="114300" simplePos="0" relativeHeight="251663360" behindDoc="1" locked="0" layoutInCell="1" allowOverlap="1">
            <wp:simplePos x="0" y="0"/>
            <wp:positionH relativeFrom="column">
              <wp:posOffset>3084830</wp:posOffset>
            </wp:positionH>
            <wp:positionV relativeFrom="paragraph">
              <wp:posOffset>6104255</wp:posOffset>
            </wp:positionV>
            <wp:extent cx="1295400" cy="614045"/>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295400" cy="614045"/>
                    </a:xfrm>
                    <a:prstGeom prst="rect">
                      <a:avLst/>
                    </a:prstGeom>
                    <a:noFill/>
                  </pic:spPr>
                </pic:pic>
              </a:graphicData>
            </a:graphic>
          </wp:anchor>
        </w:drawing>
      </w:r>
      <w:r>
        <w:rPr>
          <w:sz w:val="21"/>
        </w:rPr>
        <w:drawing>
          <wp:anchor distT="0" distB="0" distL="114300" distR="114300" simplePos="0" relativeHeight="251662336" behindDoc="1" locked="0" layoutInCell="1" allowOverlap="1">
            <wp:simplePos x="0" y="0"/>
            <wp:positionH relativeFrom="column">
              <wp:posOffset>3084830</wp:posOffset>
            </wp:positionH>
            <wp:positionV relativeFrom="paragraph">
              <wp:posOffset>6104255</wp:posOffset>
            </wp:positionV>
            <wp:extent cx="1295400" cy="61404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295400" cy="614045"/>
                    </a:xfrm>
                    <a:prstGeom prst="rect">
                      <a:avLst/>
                    </a:prstGeom>
                    <a:noFill/>
                  </pic:spPr>
                </pic:pic>
              </a:graphicData>
            </a:graphic>
          </wp:anchor>
        </w:drawing>
      </w:r>
      <w:r>
        <w:rPr>
          <w:sz w:val="21"/>
        </w:rPr>
        <w:drawing>
          <wp:anchor distT="0" distB="0" distL="114300" distR="114300" simplePos="0" relativeHeight="251661312" behindDoc="1" locked="0" layoutInCell="1" allowOverlap="1">
            <wp:simplePos x="0" y="0"/>
            <wp:positionH relativeFrom="column">
              <wp:posOffset>3084830</wp:posOffset>
            </wp:positionH>
            <wp:positionV relativeFrom="paragraph">
              <wp:posOffset>6104255</wp:posOffset>
            </wp:positionV>
            <wp:extent cx="1295400" cy="61404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295400" cy="614045"/>
                    </a:xfrm>
                    <a:prstGeom prst="rect">
                      <a:avLst/>
                    </a:prstGeom>
                    <a:noFill/>
                  </pic:spPr>
                </pic:pic>
              </a:graphicData>
            </a:graphic>
          </wp:anchor>
        </w:drawing>
      </w:r>
      <w:r>
        <w:rPr>
          <w:rFonts w:hint="eastAsia" w:eastAsia="黑体"/>
          <w:b/>
          <w:sz w:val="40"/>
          <w:szCs w:val="36"/>
        </w:rPr>
        <w:t xml:space="preserve"> </w:t>
      </w:r>
      <w:r>
        <w:rPr>
          <w:rFonts w:eastAsia="黑体"/>
          <w:b/>
          <w:sz w:val="40"/>
          <w:szCs w:val="36"/>
        </w:rPr>
        <w:t xml:space="preserve"> </w:t>
      </w:r>
      <w:r>
        <w:rPr>
          <w:rFonts w:hint="eastAsia"/>
          <w:sz w:val="40"/>
          <w:szCs w:val="36"/>
        </w:rPr>
        <w:t xml:space="preserve">王志臣 </w:t>
      </w:r>
      <w:r>
        <w:rPr>
          <w:rFonts w:hint="eastAsia" w:eastAsia="黑体"/>
          <w:sz w:val="40"/>
          <w:szCs w:val="36"/>
        </w:rPr>
        <w:t xml:space="preserve"> </w:t>
      </w:r>
      <w:r>
        <w:rPr>
          <w:sz w:val="40"/>
          <w:szCs w:val="36"/>
        </w:rPr>
        <w:t xml:space="preserve"> </w:t>
      </w:r>
      <w:r>
        <w:rPr>
          <w:rFonts w:hint="eastAsia"/>
          <w:sz w:val="40"/>
          <w:szCs w:val="36"/>
        </w:rPr>
        <w:t>教授级高工</w:t>
      </w:r>
    </w:p>
    <w:p>
      <w:pPr>
        <w:adjustRightInd w:val="0"/>
        <w:snapToGrid w:val="0"/>
        <w:ind w:firstLine="0" w:firstLineChars="0"/>
        <w:rPr>
          <w:rFonts w:eastAsia="黑体"/>
          <w:sz w:val="36"/>
          <w:szCs w:val="32"/>
        </w:rPr>
      </w:pPr>
    </w:p>
    <w:p>
      <w:pPr>
        <w:adjustRightInd w:val="0"/>
        <w:snapToGrid w:val="0"/>
        <w:ind w:right="-307" w:rightChars="-128" w:firstLine="0" w:firstLineChars="0"/>
        <w:rPr>
          <w:rFonts w:eastAsia="黑体"/>
          <w:sz w:val="32"/>
          <w:szCs w:val="32"/>
        </w:rPr>
      </w:pPr>
      <w:r>
        <w:rPr>
          <w:rFonts w:hint="eastAsia" w:eastAsia="黑体"/>
          <w:sz w:val="32"/>
          <w:szCs w:val="32"/>
        </w:rPr>
        <w:t>资质证书：工程咨询单位甲级资信证书</w:t>
      </w:r>
      <w:r>
        <w:rPr>
          <w:rFonts w:eastAsia="黑体"/>
          <w:sz w:val="32"/>
          <w:szCs w:val="32"/>
        </w:rPr>
        <w:t xml:space="preserve">   </w:t>
      </w:r>
      <w:r>
        <w:rPr>
          <w:rFonts w:hint="eastAsia" w:eastAsia="黑体"/>
          <w:sz w:val="32"/>
          <w:szCs w:val="32"/>
        </w:rPr>
        <w:t>资质等级：甲级</w:t>
      </w:r>
      <w:r>
        <w:rPr>
          <w:rFonts w:eastAsia="黑体"/>
          <w:sz w:val="32"/>
          <w:szCs w:val="32"/>
        </w:rPr>
        <w:tab/>
      </w:r>
    </w:p>
    <w:p>
      <w:pPr>
        <w:adjustRightInd w:val="0"/>
        <w:snapToGrid w:val="0"/>
        <w:ind w:firstLine="0" w:firstLineChars="0"/>
        <w:rPr>
          <w:rFonts w:eastAsia="黑体"/>
          <w:sz w:val="32"/>
          <w:szCs w:val="32"/>
        </w:rPr>
      </w:pPr>
      <w:r>
        <w:rPr>
          <w:rFonts w:hint="eastAsia" w:eastAsia="黑体"/>
          <w:sz w:val="32"/>
          <w:szCs w:val="32"/>
        </w:rPr>
        <w:t>证书编号：</w:t>
      </w:r>
      <w:r>
        <w:rPr>
          <w:rFonts w:eastAsia="黑体"/>
          <w:sz w:val="32"/>
          <w:szCs w:val="32"/>
        </w:rPr>
        <w:t xml:space="preserve"> </w:t>
      </w:r>
      <w:r>
        <w:rPr>
          <w:rFonts w:eastAsia="黑体"/>
          <w:sz w:val="32"/>
          <w:szCs w:val="32"/>
        </w:rPr>
        <w:tab/>
      </w:r>
      <w:r>
        <w:rPr>
          <w:rFonts w:eastAsia="黑体"/>
          <w:sz w:val="32"/>
          <w:szCs w:val="32"/>
        </w:rPr>
        <w:t>121000004000040512-18ZYJ18</w:t>
      </w:r>
    </w:p>
    <w:p>
      <w:pPr>
        <w:widowControl/>
        <w:spacing w:line="240" w:lineRule="auto"/>
        <w:ind w:firstLine="800"/>
        <w:jc w:val="left"/>
        <w:rPr>
          <w:rFonts w:eastAsia="黑体"/>
          <w:b/>
          <w:sz w:val="40"/>
          <w:szCs w:val="36"/>
        </w:rPr>
      </w:pPr>
      <w:r>
        <w:rPr>
          <w:rFonts w:hint="eastAsia" w:eastAsia="黑体"/>
          <w:sz w:val="40"/>
          <w:szCs w:val="36"/>
        </w:rPr>
        <w:t>承担部门负责人：</w:t>
      </w:r>
      <w:r>
        <w:rPr>
          <w:rFonts w:hint="eastAsia"/>
          <w:sz w:val="40"/>
          <w:szCs w:val="40"/>
        </w:rPr>
        <w:t>袁</w:t>
      </w:r>
      <w:r>
        <w:rPr>
          <w:sz w:val="40"/>
          <w:szCs w:val="40"/>
        </w:rPr>
        <w:t xml:space="preserve">  </w:t>
      </w:r>
      <w:r>
        <w:rPr>
          <w:rFonts w:hint="eastAsia"/>
          <w:sz w:val="40"/>
          <w:szCs w:val="40"/>
        </w:rPr>
        <w:t>军</w:t>
      </w:r>
      <w:r>
        <w:rPr>
          <w:sz w:val="40"/>
          <w:szCs w:val="40"/>
        </w:rPr>
        <w:t xml:space="preserve">     </w:t>
      </w:r>
      <w:r>
        <w:rPr>
          <w:rFonts w:hint="eastAsia"/>
          <w:sz w:val="40"/>
          <w:szCs w:val="40"/>
        </w:rPr>
        <w:t>教授级高工</w:t>
      </w:r>
    </w:p>
    <w:p>
      <w:pPr>
        <w:adjustRightInd w:val="0"/>
        <w:snapToGrid w:val="0"/>
        <w:spacing w:line="700" w:lineRule="exact"/>
        <w:ind w:firstLine="784" w:firstLineChars="196"/>
        <w:rPr>
          <w:sz w:val="40"/>
          <w:szCs w:val="40"/>
        </w:rPr>
      </w:pPr>
      <w:r>
        <w:rPr>
          <w:rFonts w:hint="eastAsia" w:eastAsia="黑体"/>
          <w:sz w:val="40"/>
          <w:szCs w:val="36"/>
        </w:rPr>
        <w:t>项目参加人员：</w:t>
      </w:r>
      <w:r>
        <w:rPr>
          <w:sz w:val="36"/>
          <w:szCs w:val="32"/>
        </w:rPr>
        <w:t xml:space="preserve">  </w:t>
      </w:r>
      <w:r>
        <w:rPr>
          <w:rFonts w:hint="eastAsia"/>
          <w:sz w:val="40"/>
          <w:szCs w:val="40"/>
        </w:rPr>
        <w:t>魏伯阳</w:t>
      </w:r>
      <w:r>
        <w:rPr>
          <w:sz w:val="40"/>
          <w:szCs w:val="40"/>
        </w:rPr>
        <w:t xml:space="preserve">     </w:t>
      </w:r>
      <w:r>
        <w:rPr>
          <w:rFonts w:hint="eastAsia"/>
          <w:sz w:val="40"/>
          <w:szCs w:val="40"/>
        </w:rPr>
        <w:t>工</w:t>
      </w:r>
      <w:r>
        <w:rPr>
          <w:sz w:val="40"/>
          <w:szCs w:val="40"/>
        </w:rPr>
        <w:t xml:space="preserve">  </w:t>
      </w:r>
      <w:r>
        <w:rPr>
          <w:rFonts w:hint="eastAsia"/>
          <w:sz w:val="40"/>
          <w:szCs w:val="40"/>
        </w:rPr>
        <w:t>程</w:t>
      </w:r>
      <w:r>
        <w:rPr>
          <w:sz w:val="40"/>
          <w:szCs w:val="40"/>
        </w:rPr>
        <w:t xml:space="preserve">  </w:t>
      </w:r>
      <w:r>
        <w:rPr>
          <w:rFonts w:hint="eastAsia"/>
          <w:sz w:val="40"/>
          <w:szCs w:val="40"/>
        </w:rPr>
        <w:t>师</w:t>
      </w:r>
    </w:p>
    <w:p>
      <w:pPr>
        <w:adjustRightInd w:val="0"/>
        <w:snapToGrid w:val="0"/>
        <w:spacing w:line="700" w:lineRule="exact"/>
        <w:ind w:firstLine="3968" w:firstLineChars="992"/>
        <w:rPr>
          <w:sz w:val="36"/>
          <w:szCs w:val="32"/>
        </w:rPr>
      </w:pPr>
      <w:r>
        <w:rPr>
          <w:rFonts w:hint="eastAsia"/>
          <w:sz w:val="40"/>
          <w:szCs w:val="40"/>
        </w:rPr>
        <w:t>袁</w:t>
      </w:r>
      <w:r>
        <w:rPr>
          <w:sz w:val="40"/>
          <w:szCs w:val="40"/>
        </w:rPr>
        <w:t xml:space="preserve">  </w:t>
      </w:r>
      <w:r>
        <w:rPr>
          <w:rFonts w:hint="eastAsia"/>
          <w:sz w:val="40"/>
          <w:szCs w:val="40"/>
        </w:rPr>
        <w:t>军</w:t>
      </w:r>
      <w:r>
        <w:rPr>
          <w:sz w:val="40"/>
          <w:szCs w:val="40"/>
        </w:rPr>
        <w:t xml:space="preserve">     </w:t>
      </w:r>
      <w:r>
        <w:rPr>
          <w:rFonts w:hint="eastAsia"/>
          <w:sz w:val="40"/>
          <w:szCs w:val="40"/>
        </w:rPr>
        <w:t>教授级高工</w:t>
      </w:r>
    </w:p>
    <w:p>
      <w:pPr>
        <w:adjustRightInd w:val="0"/>
        <w:snapToGrid w:val="0"/>
        <w:spacing w:line="700" w:lineRule="exact"/>
        <w:ind w:firstLine="3968" w:firstLineChars="992"/>
        <w:rPr>
          <w:sz w:val="40"/>
          <w:szCs w:val="40"/>
        </w:rPr>
      </w:pPr>
      <w:r>
        <w:rPr>
          <w:rFonts w:hint="eastAsia"/>
          <w:sz w:val="40"/>
          <w:szCs w:val="40"/>
        </w:rPr>
        <w:t>吴</w:t>
      </w:r>
      <w:r>
        <w:rPr>
          <w:sz w:val="40"/>
          <w:szCs w:val="40"/>
        </w:rPr>
        <w:t xml:space="preserve">  </w:t>
      </w:r>
      <w:r>
        <w:rPr>
          <w:rFonts w:hint="eastAsia"/>
          <w:sz w:val="40"/>
          <w:szCs w:val="40"/>
        </w:rPr>
        <w:t>琼</w:t>
      </w:r>
      <w:r>
        <w:rPr>
          <w:sz w:val="40"/>
          <w:szCs w:val="40"/>
        </w:rPr>
        <w:t xml:space="preserve">     </w:t>
      </w:r>
      <w:r>
        <w:rPr>
          <w:rFonts w:hint="eastAsia"/>
          <w:sz w:val="40"/>
          <w:szCs w:val="40"/>
        </w:rPr>
        <w:t>副</w:t>
      </w:r>
      <w:r>
        <w:rPr>
          <w:sz w:val="40"/>
          <w:szCs w:val="40"/>
        </w:rPr>
        <w:t xml:space="preserve">  </w:t>
      </w:r>
      <w:r>
        <w:rPr>
          <w:rFonts w:hint="eastAsia"/>
          <w:sz w:val="40"/>
          <w:szCs w:val="40"/>
        </w:rPr>
        <w:t>处</w:t>
      </w:r>
      <w:r>
        <w:rPr>
          <w:sz w:val="40"/>
          <w:szCs w:val="40"/>
        </w:rPr>
        <w:t xml:space="preserve">  </w:t>
      </w:r>
      <w:r>
        <w:rPr>
          <w:rFonts w:hint="eastAsia"/>
          <w:sz w:val="40"/>
          <w:szCs w:val="40"/>
        </w:rPr>
        <w:t>长</w:t>
      </w:r>
    </w:p>
    <w:p>
      <w:pPr>
        <w:adjustRightInd w:val="0"/>
        <w:snapToGrid w:val="0"/>
        <w:spacing w:line="700" w:lineRule="exact"/>
        <w:ind w:firstLine="3968" w:firstLineChars="992"/>
        <w:rPr>
          <w:sz w:val="40"/>
          <w:szCs w:val="40"/>
        </w:rPr>
      </w:pPr>
      <w:r>
        <w:rPr>
          <w:rFonts w:hint="eastAsia"/>
          <w:sz w:val="40"/>
          <w:szCs w:val="40"/>
        </w:rPr>
        <w:t>张晓云</w:t>
      </w:r>
      <w:r>
        <w:rPr>
          <w:sz w:val="40"/>
          <w:szCs w:val="40"/>
        </w:rPr>
        <w:t xml:space="preserve">     </w:t>
      </w:r>
      <w:r>
        <w:rPr>
          <w:rFonts w:hint="eastAsia"/>
          <w:sz w:val="40"/>
          <w:szCs w:val="40"/>
        </w:rPr>
        <w:t>教授级高工</w:t>
      </w:r>
    </w:p>
    <w:p>
      <w:pPr>
        <w:adjustRightInd w:val="0"/>
        <w:snapToGrid w:val="0"/>
        <w:spacing w:line="700" w:lineRule="exact"/>
        <w:ind w:firstLine="3968" w:firstLineChars="992"/>
        <w:rPr>
          <w:sz w:val="40"/>
          <w:szCs w:val="40"/>
        </w:rPr>
      </w:pPr>
      <w:r>
        <w:rPr>
          <w:rFonts w:hint="eastAsia"/>
          <w:sz w:val="40"/>
          <w:szCs w:val="40"/>
        </w:rPr>
        <w:t>陈康娟</w:t>
      </w:r>
      <w:r>
        <w:rPr>
          <w:sz w:val="40"/>
          <w:szCs w:val="40"/>
        </w:rPr>
        <w:tab/>
      </w:r>
      <w:r>
        <w:rPr>
          <w:sz w:val="40"/>
          <w:szCs w:val="40"/>
        </w:rPr>
        <w:t xml:space="preserve">    </w:t>
      </w:r>
      <w:r>
        <w:rPr>
          <w:rFonts w:hint="eastAsia"/>
          <w:sz w:val="40"/>
          <w:szCs w:val="40"/>
        </w:rPr>
        <w:t>教授级高工</w:t>
      </w:r>
    </w:p>
    <w:p>
      <w:pPr>
        <w:adjustRightInd w:val="0"/>
        <w:snapToGrid w:val="0"/>
        <w:spacing w:line="700" w:lineRule="exact"/>
        <w:ind w:firstLine="3968" w:firstLineChars="992"/>
        <w:rPr>
          <w:sz w:val="40"/>
          <w:szCs w:val="40"/>
        </w:rPr>
      </w:pPr>
      <w:r>
        <w:rPr>
          <w:rFonts w:hint="eastAsia"/>
          <w:sz w:val="40"/>
          <w:szCs w:val="40"/>
        </w:rPr>
        <w:t>周天元</w:t>
      </w:r>
      <w:r>
        <w:rPr>
          <w:sz w:val="40"/>
          <w:szCs w:val="40"/>
        </w:rPr>
        <w:t xml:space="preserve">     </w:t>
      </w:r>
      <w:r>
        <w:rPr>
          <w:rFonts w:hint="eastAsia"/>
          <w:sz w:val="40"/>
          <w:szCs w:val="40"/>
        </w:rPr>
        <w:t>工</w:t>
      </w:r>
      <w:r>
        <w:rPr>
          <w:sz w:val="40"/>
          <w:szCs w:val="40"/>
        </w:rPr>
        <w:t xml:space="preserve">  </w:t>
      </w:r>
      <w:r>
        <w:rPr>
          <w:rFonts w:hint="eastAsia"/>
          <w:sz w:val="40"/>
          <w:szCs w:val="40"/>
        </w:rPr>
        <w:t>程</w:t>
      </w:r>
      <w:r>
        <w:rPr>
          <w:sz w:val="40"/>
          <w:szCs w:val="40"/>
        </w:rPr>
        <w:t xml:space="preserve">  </w:t>
      </w:r>
      <w:r>
        <w:rPr>
          <w:rFonts w:hint="eastAsia"/>
          <w:sz w:val="40"/>
          <w:szCs w:val="40"/>
        </w:rPr>
        <w:t>师</w:t>
      </w:r>
    </w:p>
    <w:p>
      <w:pPr>
        <w:adjustRightInd w:val="0"/>
        <w:snapToGrid w:val="0"/>
        <w:spacing w:line="700" w:lineRule="exact"/>
        <w:ind w:firstLine="3968" w:firstLineChars="992"/>
        <w:rPr>
          <w:sz w:val="40"/>
          <w:szCs w:val="40"/>
        </w:rPr>
      </w:pPr>
      <w:r>
        <w:rPr>
          <w:rFonts w:hint="eastAsia"/>
          <w:sz w:val="40"/>
          <w:szCs w:val="40"/>
        </w:rPr>
        <w:t>朱新胜</w:t>
      </w:r>
      <w:r>
        <w:rPr>
          <w:sz w:val="40"/>
          <w:szCs w:val="40"/>
        </w:rPr>
        <w:t xml:space="preserve">     </w:t>
      </w:r>
      <w:r>
        <w:rPr>
          <w:rFonts w:hint="eastAsia"/>
          <w:sz w:val="40"/>
          <w:szCs w:val="40"/>
        </w:rPr>
        <w:t>工</w:t>
      </w:r>
      <w:r>
        <w:rPr>
          <w:sz w:val="40"/>
          <w:szCs w:val="40"/>
        </w:rPr>
        <w:t xml:space="preserve">  </w:t>
      </w:r>
      <w:r>
        <w:rPr>
          <w:rFonts w:hint="eastAsia"/>
          <w:sz w:val="40"/>
          <w:szCs w:val="40"/>
        </w:rPr>
        <w:t>程</w:t>
      </w:r>
      <w:r>
        <w:rPr>
          <w:sz w:val="40"/>
          <w:szCs w:val="40"/>
        </w:rPr>
        <w:t xml:space="preserve">  </w:t>
      </w:r>
      <w:r>
        <w:rPr>
          <w:rFonts w:hint="eastAsia"/>
          <w:sz w:val="40"/>
          <w:szCs w:val="40"/>
        </w:rPr>
        <w:t>师</w:t>
      </w:r>
    </w:p>
    <w:p>
      <w:pPr>
        <w:adjustRightInd w:val="0"/>
        <w:snapToGrid w:val="0"/>
        <w:spacing w:line="700" w:lineRule="exact"/>
        <w:ind w:firstLine="3968" w:firstLineChars="992"/>
        <w:rPr>
          <w:sz w:val="40"/>
          <w:szCs w:val="40"/>
        </w:rPr>
      </w:pPr>
      <w:r>
        <w:rPr>
          <w:rFonts w:hint="eastAsia"/>
          <w:sz w:val="40"/>
          <w:szCs w:val="40"/>
        </w:rPr>
        <w:t>戴玉丽</w:t>
      </w:r>
      <w:r>
        <w:rPr>
          <w:sz w:val="40"/>
          <w:szCs w:val="40"/>
        </w:rPr>
        <w:t xml:space="preserve">     </w:t>
      </w:r>
      <w:r>
        <w:rPr>
          <w:rFonts w:hint="eastAsia"/>
          <w:sz w:val="40"/>
          <w:szCs w:val="40"/>
        </w:rPr>
        <w:t>高级工程师</w:t>
      </w:r>
    </w:p>
    <w:p>
      <w:pPr>
        <w:adjustRightInd w:val="0"/>
        <w:snapToGrid w:val="0"/>
        <w:spacing w:line="700" w:lineRule="exact"/>
        <w:ind w:firstLine="3968" w:firstLineChars="992"/>
        <w:rPr>
          <w:sz w:val="40"/>
          <w:szCs w:val="40"/>
        </w:rPr>
      </w:pPr>
      <w:r>
        <w:rPr>
          <w:rFonts w:hint="eastAsia"/>
          <w:sz w:val="40"/>
          <w:szCs w:val="40"/>
        </w:rPr>
        <w:t>朱永红</w:t>
      </w:r>
      <w:r>
        <w:rPr>
          <w:sz w:val="40"/>
          <w:szCs w:val="40"/>
        </w:rPr>
        <w:t xml:space="preserve">     </w:t>
      </w:r>
      <w:r>
        <w:rPr>
          <w:rFonts w:hint="eastAsia"/>
          <w:sz w:val="40"/>
          <w:szCs w:val="40"/>
        </w:rPr>
        <w:t>高级工程师</w:t>
      </w:r>
    </w:p>
    <w:p>
      <w:pPr>
        <w:adjustRightInd w:val="0"/>
        <w:snapToGrid w:val="0"/>
        <w:spacing w:line="700" w:lineRule="exact"/>
        <w:ind w:firstLine="3968" w:firstLineChars="992"/>
        <w:rPr>
          <w:sz w:val="40"/>
          <w:szCs w:val="40"/>
        </w:rPr>
      </w:pPr>
      <w:r>
        <w:rPr>
          <w:rFonts w:hint="eastAsia"/>
          <w:sz w:val="40"/>
          <w:szCs w:val="40"/>
        </w:rPr>
        <w:t>杨永峰</w:t>
      </w:r>
      <w:r>
        <w:rPr>
          <w:sz w:val="40"/>
          <w:szCs w:val="40"/>
        </w:rPr>
        <w:t xml:space="preserve">     </w:t>
      </w:r>
      <w:r>
        <w:rPr>
          <w:rFonts w:hint="eastAsia"/>
          <w:sz w:val="40"/>
          <w:szCs w:val="40"/>
        </w:rPr>
        <w:t>高级工程师</w:t>
      </w:r>
    </w:p>
    <w:p>
      <w:pPr>
        <w:adjustRightInd w:val="0"/>
        <w:snapToGrid w:val="0"/>
        <w:spacing w:line="700" w:lineRule="exact"/>
        <w:ind w:firstLine="3968" w:firstLineChars="992"/>
        <w:rPr>
          <w:sz w:val="40"/>
          <w:szCs w:val="40"/>
        </w:rPr>
      </w:pPr>
      <w:r>
        <w:rPr>
          <w:rFonts w:hint="eastAsia"/>
          <w:sz w:val="40"/>
          <w:szCs w:val="40"/>
        </w:rPr>
        <w:t>马晓晖</w:t>
      </w:r>
      <w:r>
        <w:rPr>
          <w:sz w:val="40"/>
          <w:szCs w:val="40"/>
        </w:rPr>
        <w:t xml:space="preserve">     </w:t>
      </w:r>
      <w:r>
        <w:rPr>
          <w:rFonts w:hint="eastAsia"/>
          <w:sz w:val="40"/>
          <w:szCs w:val="40"/>
        </w:rPr>
        <w:t>工</w:t>
      </w:r>
      <w:r>
        <w:rPr>
          <w:sz w:val="40"/>
          <w:szCs w:val="40"/>
        </w:rPr>
        <w:t xml:space="preserve">  </w:t>
      </w:r>
      <w:r>
        <w:rPr>
          <w:rFonts w:hint="eastAsia"/>
          <w:sz w:val="40"/>
          <w:szCs w:val="40"/>
        </w:rPr>
        <w:t>程</w:t>
      </w:r>
      <w:r>
        <w:rPr>
          <w:sz w:val="40"/>
          <w:szCs w:val="40"/>
        </w:rPr>
        <w:t xml:space="preserve">  </w:t>
      </w:r>
      <w:r>
        <w:rPr>
          <w:rFonts w:hint="eastAsia"/>
          <w:sz w:val="40"/>
          <w:szCs w:val="40"/>
        </w:rPr>
        <w:t>师</w:t>
      </w:r>
    </w:p>
    <w:p>
      <w:pPr>
        <w:adjustRightInd w:val="0"/>
        <w:snapToGrid w:val="0"/>
        <w:spacing w:line="700" w:lineRule="exact"/>
        <w:ind w:firstLine="3968" w:firstLineChars="992"/>
        <w:rPr>
          <w:sz w:val="40"/>
          <w:szCs w:val="40"/>
        </w:rPr>
      </w:pPr>
      <w:r>
        <w:rPr>
          <w:rFonts w:hint="eastAsia"/>
          <w:sz w:val="40"/>
          <w:szCs w:val="40"/>
        </w:rPr>
        <w:t>慈雪伦</w:t>
      </w:r>
      <w:r>
        <w:rPr>
          <w:sz w:val="40"/>
          <w:szCs w:val="40"/>
        </w:rPr>
        <w:t xml:space="preserve">     </w:t>
      </w:r>
      <w:r>
        <w:rPr>
          <w:rFonts w:hint="eastAsia"/>
          <w:sz w:val="40"/>
          <w:szCs w:val="40"/>
        </w:rPr>
        <w:t>工</w:t>
      </w:r>
      <w:r>
        <w:rPr>
          <w:sz w:val="40"/>
          <w:szCs w:val="40"/>
        </w:rPr>
        <w:t xml:space="preserve">  </w:t>
      </w:r>
      <w:r>
        <w:rPr>
          <w:rFonts w:hint="eastAsia"/>
          <w:sz w:val="40"/>
          <w:szCs w:val="40"/>
        </w:rPr>
        <w:t>程</w:t>
      </w:r>
      <w:r>
        <w:rPr>
          <w:sz w:val="40"/>
          <w:szCs w:val="40"/>
        </w:rPr>
        <w:t xml:space="preserve">  </w:t>
      </w:r>
      <w:r>
        <w:rPr>
          <w:rFonts w:hint="eastAsia"/>
          <w:sz w:val="40"/>
          <w:szCs w:val="40"/>
        </w:rPr>
        <w:t>师</w:t>
      </w:r>
    </w:p>
    <w:p>
      <w:pPr>
        <w:adjustRightInd w:val="0"/>
        <w:snapToGrid w:val="0"/>
        <w:spacing w:line="700" w:lineRule="exact"/>
        <w:ind w:firstLine="3600" w:firstLineChars="1000"/>
        <w:rPr>
          <w:rFonts w:ascii="宋体" w:hAnsi="宋体"/>
          <w:sz w:val="36"/>
          <w:szCs w:val="32"/>
        </w:rPr>
      </w:pPr>
    </w:p>
    <w:p>
      <w:pPr>
        <w:tabs>
          <w:tab w:val="left" w:pos="540"/>
          <w:tab w:val="left" w:pos="2160"/>
          <w:tab w:val="left" w:pos="2340"/>
        </w:tabs>
        <w:adjustRightInd w:val="0"/>
        <w:snapToGrid w:val="0"/>
        <w:spacing w:line="700" w:lineRule="exact"/>
        <w:ind w:firstLine="848" w:firstLineChars="212"/>
        <w:rPr>
          <w:rFonts w:asciiTheme="minorHAnsi" w:hAnsiTheme="minorHAnsi"/>
          <w:sz w:val="40"/>
          <w:szCs w:val="32"/>
        </w:rPr>
      </w:pPr>
      <w:r>
        <w:rPr>
          <w:rFonts w:hint="eastAsia" w:eastAsia="黑体"/>
          <w:sz w:val="40"/>
          <w:szCs w:val="32"/>
        </w:rPr>
        <w:t>执　</w:t>
      </w:r>
      <w:r>
        <w:rPr>
          <w:rFonts w:eastAsia="黑体"/>
          <w:sz w:val="40"/>
          <w:szCs w:val="32"/>
        </w:rPr>
        <w:t xml:space="preserve">      </w:t>
      </w:r>
      <w:r>
        <w:rPr>
          <w:rFonts w:hint="eastAsia" w:eastAsia="黑体"/>
          <w:sz w:val="40"/>
          <w:szCs w:val="32"/>
        </w:rPr>
        <w:t>笔：</w:t>
      </w:r>
      <w:r>
        <w:rPr>
          <w:rFonts w:eastAsia="黑体"/>
          <w:sz w:val="40"/>
          <w:szCs w:val="32"/>
        </w:rPr>
        <w:t xml:space="preserve">  </w:t>
      </w:r>
      <w:r>
        <w:rPr>
          <w:rFonts w:hint="eastAsia"/>
          <w:sz w:val="40"/>
          <w:szCs w:val="32"/>
        </w:rPr>
        <w:t>魏伯阳</w:t>
      </w:r>
      <w:r>
        <w:rPr>
          <w:sz w:val="40"/>
          <w:szCs w:val="32"/>
        </w:rPr>
        <w:tab/>
      </w:r>
      <w:r>
        <w:rPr>
          <w:sz w:val="40"/>
          <w:szCs w:val="32"/>
        </w:rPr>
        <w:tab/>
      </w:r>
      <w:r>
        <w:rPr>
          <w:sz w:val="40"/>
          <w:szCs w:val="32"/>
        </w:rPr>
        <w:t xml:space="preserve"> </w:t>
      </w:r>
      <w:r>
        <w:rPr>
          <w:rFonts w:hint="eastAsia"/>
          <w:sz w:val="40"/>
          <w:szCs w:val="32"/>
        </w:rPr>
        <w:t>工</w:t>
      </w:r>
      <w:r>
        <w:rPr>
          <w:sz w:val="40"/>
          <w:szCs w:val="32"/>
        </w:rPr>
        <w:t xml:space="preserve">  </w:t>
      </w:r>
      <w:r>
        <w:rPr>
          <w:rFonts w:hint="eastAsia"/>
          <w:sz w:val="40"/>
          <w:szCs w:val="32"/>
        </w:rPr>
        <w:t>程</w:t>
      </w:r>
      <w:r>
        <w:rPr>
          <w:sz w:val="40"/>
          <w:szCs w:val="32"/>
        </w:rPr>
        <w:t xml:space="preserve">  </w:t>
      </w:r>
      <w:r>
        <w:rPr>
          <w:rFonts w:hint="eastAsia"/>
          <w:sz w:val="40"/>
          <w:szCs w:val="32"/>
        </w:rPr>
        <w:t>师</w:t>
      </w:r>
    </w:p>
    <w:p>
      <w:pPr>
        <w:adjustRightInd w:val="0"/>
        <w:snapToGrid w:val="0"/>
        <w:spacing w:line="700" w:lineRule="exact"/>
        <w:ind w:firstLine="848" w:firstLineChars="212"/>
        <w:rPr>
          <w:sz w:val="40"/>
          <w:szCs w:val="32"/>
        </w:rPr>
      </w:pPr>
      <w:r>
        <w:rPr>
          <w:rFonts w:hint="eastAsia" w:eastAsia="黑体"/>
          <w:sz w:val="40"/>
          <w:szCs w:val="32"/>
        </w:rPr>
        <w:t>校　</w:t>
      </w:r>
      <w:r>
        <w:rPr>
          <w:rFonts w:eastAsia="黑体"/>
          <w:sz w:val="40"/>
          <w:szCs w:val="32"/>
        </w:rPr>
        <w:t xml:space="preserve">      </w:t>
      </w:r>
      <w:r>
        <w:rPr>
          <w:rFonts w:hint="eastAsia" w:eastAsia="黑体"/>
          <w:sz w:val="40"/>
          <w:szCs w:val="32"/>
        </w:rPr>
        <w:t>对：</w:t>
      </w:r>
      <w:r>
        <w:rPr>
          <w:rFonts w:eastAsia="黑体"/>
          <w:sz w:val="40"/>
          <w:szCs w:val="32"/>
        </w:rPr>
        <w:t xml:space="preserve">  </w:t>
      </w:r>
      <w:r>
        <w:rPr>
          <w:rFonts w:hint="eastAsia"/>
          <w:sz w:val="40"/>
          <w:szCs w:val="32"/>
        </w:rPr>
        <w:t>袁</w:t>
      </w:r>
      <w:r>
        <w:rPr>
          <w:sz w:val="40"/>
          <w:szCs w:val="32"/>
        </w:rPr>
        <w:t xml:space="preserve">  </w:t>
      </w:r>
      <w:r>
        <w:rPr>
          <w:rFonts w:hint="eastAsia"/>
          <w:sz w:val="40"/>
          <w:szCs w:val="32"/>
        </w:rPr>
        <w:t>军</w:t>
      </w:r>
      <w:r>
        <w:rPr>
          <w:sz w:val="40"/>
          <w:szCs w:val="32"/>
        </w:rPr>
        <w:tab/>
      </w:r>
      <w:r>
        <w:rPr>
          <w:sz w:val="40"/>
          <w:szCs w:val="32"/>
        </w:rPr>
        <w:tab/>
      </w:r>
      <w:r>
        <w:rPr>
          <w:sz w:val="40"/>
          <w:szCs w:val="32"/>
        </w:rPr>
        <w:t xml:space="preserve"> </w:t>
      </w:r>
      <w:r>
        <w:rPr>
          <w:rFonts w:hint="eastAsia"/>
          <w:sz w:val="40"/>
          <w:szCs w:val="32"/>
        </w:rPr>
        <w:t>教授级高工</w:t>
      </w:r>
    </w:p>
    <w:p>
      <w:pPr>
        <w:adjustRightInd w:val="0"/>
        <w:snapToGrid w:val="0"/>
        <w:spacing w:line="700" w:lineRule="exact"/>
        <w:ind w:firstLine="848" w:firstLineChars="212"/>
        <w:rPr>
          <w:sz w:val="40"/>
          <w:szCs w:val="32"/>
        </w:rPr>
      </w:pPr>
      <w:r>
        <w:rPr>
          <w:rFonts w:hint="eastAsia" w:eastAsia="黑体"/>
          <w:sz w:val="40"/>
          <w:szCs w:val="32"/>
        </w:rPr>
        <w:t>制</w:t>
      </w:r>
      <w:r>
        <w:rPr>
          <w:rFonts w:eastAsia="黑体"/>
          <w:sz w:val="40"/>
          <w:szCs w:val="32"/>
        </w:rPr>
        <w:t xml:space="preserve">        </w:t>
      </w:r>
      <w:r>
        <w:rPr>
          <w:rFonts w:hint="eastAsia" w:eastAsia="黑体"/>
          <w:sz w:val="40"/>
          <w:szCs w:val="32"/>
        </w:rPr>
        <w:t>图：</w:t>
      </w:r>
      <w:r>
        <w:rPr>
          <w:rFonts w:eastAsia="黑体"/>
          <w:sz w:val="40"/>
          <w:szCs w:val="32"/>
        </w:rPr>
        <w:t xml:space="preserve">  </w:t>
      </w:r>
      <w:r>
        <w:rPr>
          <w:rFonts w:hint="eastAsia"/>
          <w:sz w:val="40"/>
          <w:szCs w:val="32"/>
        </w:rPr>
        <w:t>朱新胜</w:t>
      </w:r>
      <w:r>
        <w:rPr>
          <w:sz w:val="40"/>
          <w:szCs w:val="32"/>
        </w:rPr>
        <w:t xml:space="preserve">    </w:t>
      </w:r>
      <w:r>
        <w:rPr>
          <w:rFonts w:hint="eastAsia"/>
          <w:sz w:val="40"/>
          <w:szCs w:val="32"/>
        </w:rPr>
        <w:t>工</w:t>
      </w:r>
      <w:r>
        <w:rPr>
          <w:sz w:val="40"/>
          <w:szCs w:val="32"/>
        </w:rPr>
        <w:t xml:space="preserve">  </w:t>
      </w:r>
      <w:r>
        <w:rPr>
          <w:rFonts w:hint="eastAsia"/>
          <w:sz w:val="40"/>
          <w:szCs w:val="32"/>
        </w:rPr>
        <w:t>程</w:t>
      </w:r>
      <w:r>
        <w:rPr>
          <w:sz w:val="40"/>
          <w:szCs w:val="32"/>
        </w:rPr>
        <w:t xml:space="preserve">  </w:t>
      </w:r>
      <w:r>
        <w:rPr>
          <w:rFonts w:hint="eastAsia"/>
          <w:sz w:val="40"/>
          <w:szCs w:val="32"/>
        </w:rPr>
        <w:t>师</w:t>
      </w:r>
    </w:p>
    <w:p>
      <w:pPr>
        <w:adjustRightInd w:val="0"/>
        <w:snapToGrid w:val="0"/>
        <w:spacing w:line="700" w:lineRule="exact"/>
        <w:ind w:firstLine="848" w:firstLineChars="212"/>
        <w:rPr>
          <w:sz w:val="40"/>
          <w:szCs w:val="32"/>
        </w:rPr>
      </w:pPr>
      <w:r>
        <w:rPr>
          <w:rFonts w:hint="eastAsia" w:eastAsia="黑体"/>
          <w:sz w:val="40"/>
          <w:szCs w:val="32"/>
        </w:rPr>
        <w:t>制</w:t>
      </w:r>
      <w:r>
        <w:rPr>
          <w:rFonts w:eastAsia="黑体"/>
          <w:sz w:val="40"/>
          <w:szCs w:val="32"/>
        </w:rPr>
        <w:t xml:space="preserve">        </w:t>
      </w:r>
      <w:r>
        <w:rPr>
          <w:rFonts w:hint="eastAsia" w:eastAsia="黑体"/>
          <w:sz w:val="40"/>
          <w:szCs w:val="32"/>
        </w:rPr>
        <w:t>表：</w:t>
      </w:r>
      <w:r>
        <w:rPr>
          <w:rFonts w:eastAsia="黑体"/>
          <w:sz w:val="40"/>
          <w:szCs w:val="32"/>
        </w:rPr>
        <w:t xml:space="preserve">  </w:t>
      </w:r>
      <w:r>
        <w:rPr>
          <w:rFonts w:hint="eastAsia"/>
          <w:sz w:val="40"/>
          <w:szCs w:val="32"/>
        </w:rPr>
        <w:t>朱新胜</w:t>
      </w:r>
      <w:r>
        <w:rPr>
          <w:sz w:val="40"/>
          <w:szCs w:val="32"/>
        </w:rPr>
        <w:t xml:space="preserve">    </w:t>
      </w:r>
      <w:r>
        <w:rPr>
          <w:rFonts w:hint="eastAsia"/>
          <w:sz w:val="40"/>
          <w:szCs w:val="32"/>
        </w:rPr>
        <w:t>工</w:t>
      </w:r>
      <w:r>
        <w:rPr>
          <w:sz w:val="40"/>
          <w:szCs w:val="32"/>
        </w:rPr>
        <w:t xml:space="preserve">  </w:t>
      </w:r>
      <w:r>
        <w:rPr>
          <w:rFonts w:hint="eastAsia"/>
          <w:sz w:val="40"/>
          <w:szCs w:val="32"/>
        </w:rPr>
        <w:t>程</w:t>
      </w:r>
      <w:r>
        <w:rPr>
          <w:sz w:val="40"/>
          <w:szCs w:val="32"/>
        </w:rPr>
        <w:t xml:space="preserve">  </w:t>
      </w:r>
      <w:r>
        <w:rPr>
          <w:rFonts w:hint="eastAsia"/>
          <w:sz w:val="40"/>
          <w:szCs w:val="32"/>
        </w:rPr>
        <w:t>师</w:t>
      </w:r>
    </w:p>
    <w:p>
      <w:pPr>
        <w:spacing w:after="156" w:afterLines="50"/>
        <w:ind w:firstLine="720"/>
        <w:jc w:val="center"/>
        <w:rPr>
          <w:rFonts w:ascii="黑体" w:hAnsi="微软雅黑" w:eastAsia="黑体"/>
          <w:sz w:val="36"/>
          <w:szCs w:val="36"/>
        </w:rPr>
      </w:pPr>
    </w:p>
    <w:p>
      <w:pPr>
        <w:pStyle w:val="10"/>
        <w:ind w:right="105" w:firstLine="723"/>
        <w:rPr>
          <w:rFonts w:ascii="宋体"/>
          <w:b/>
          <w:bCs/>
          <w:sz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720" w:num="1"/>
          <w:docGrid w:type="lines" w:linePitch="312" w:charSpace="0"/>
        </w:sectPr>
      </w:pPr>
    </w:p>
    <w:p>
      <w:pPr>
        <w:widowControl/>
        <w:spacing w:line="240" w:lineRule="auto"/>
        <w:ind w:firstLine="0" w:firstLineChars="0"/>
        <w:jc w:val="center"/>
        <w:rPr>
          <w:rFonts w:eastAsia="黑体"/>
          <w:b/>
          <w:bCs/>
          <w:kern w:val="44"/>
          <w:sz w:val="36"/>
          <w:szCs w:val="44"/>
        </w:rPr>
      </w:pPr>
      <w:r>
        <w:rPr>
          <w:rFonts w:hint="eastAsia" w:eastAsia="黑体"/>
          <w:b/>
          <w:bCs/>
          <w:kern w:val="44"/>
          <w:sz w:val="36"/>
          <w:szCs w:val="44"/>
        </w:rPr>
        <w:t xml:space="preserve">目 </w:t>
      </w:r>
      <w:r>
        <w:rPr>
          <w:rFonts w:eastAsia="黑体"/>
          <w:b/>
          <w:bCs/>
          <w:kern w:val="44"/>
          <w:sz w:val="36"/>
          <w:szCs w:val="44"/>
        </w:rPr>
        <w:t xml:space="preserve"> </w:t>
      </w:r>
      <w:r>
        <w:rPr>
          <w:rFonts w:hint="eastAsia" w:eastAsia="黑体"/>
          <w:b/>
          <w:bCs/>
          <w:kern w:val="44"/>
          <w:sz w:val="36"/>
          <w:szCs w:val="44"/>
        </w:rPr>
        <w:t>录</w:t>
      </w:r>
    </w:p>
    <w:p>
      <w:pPr>
        <w:pStyle w:val="18"/>
        <w:tabs>
          <w:tab w:val="right" w:leader="dot" w:pos="8296"/>
        </w:tabs>
        <w:ind w:firstLine="426" w:firstLineChars="118"/>
        <w:rPr>
          <w:rFonts w:asciiTheme="minorHAnsi" w:hAnsiTheme="minorHAnsi"/>
          <w:sz w:val="21"/>
        </w:rPr>
      </w:pPr>
      <w:r>
        <w:rPr>
          <w:rFonts w:eastAsia="黑体"/>
          <w:b/>
          <w:bCs/>
          <w:kern w:val="44"/>
          <w:sz w:val="36"/>
          <w:szCs w:val="44"/>
        </w:rPr>
        <w:fldChar w:fldCharType="begin"/>
      </w:r>
      <w:r>
        <w:rPr>
          <w:rFonts w:eastAsia="黑体"/>
          <w:b/>
          <w:bCs/>
          <w:kern w:val="44"/>
          <w:sz w:val="36"/>
          <w:szCs w:val="44"/>
        </w:rPr>
        <w:instrText xml:space="preserve"> </w:instrText>
      </w:r>
      <w:r>
        <w:rPr>
          <w:rFonts w:hint="eastAsia" w:eastAsia="黑体"/>
          <w:b/>
          <w:bCs/>
          <w:kern w:val="44"/>
          <w:sz w:val="36"/>
          <w:szCs w:val="44"/>
        </w:rPr>
        <w:instrText xml:space="preserve">TOC \o "1-2" \h \z \u</w:instrText>
      </w:r>
      <w:r>
        <w:rPr>
          <w:rFonts w:eastAsia="黑体"/>
          <w:b/>
          <w:bCs/>
          <w:kern w:val="44"/>
          <w:sz w:val="36"/>
          <w:szCs w:val="44"/>
        </w:rPr>
        <w:instrText xml:space="preserve"> </w:instrText>
      </w:r>
      <w:r>
        <w:rPr>
          <w:rFonts w:eastAsia="黑体"/>
          <w:b/>
          <w:bCs/>
          <w:kern w:val="44"/>
          <w:sz w:val="36"/>
          <w:szCs w:val="44"/>
        </w:rPr>
        <w:fldChar w:fldCharType="separate"/>
      </w:r>
      <w:r>
        <w:fldChar w:fldCharType="begin"/>
      </w:r>
      <w:r>
        <w:instrText xml:space="preserve"> HYPERLINK \l "_Toc130121628" </w:instrText>
      </w:r>
      <w:r>
        <w:fldChar w:fldCharType="separate"/>
      </w:r>
      <w:r>
        <w:rPr>
          <w:rStyle w:val="29"/>
          <w:rFonts w:hint="eastAsia"/>
        </w:rPr>
        <w:t>第一章</w:t>
      </w:r>
      <w:r>
        <w:rPr>
          <w:rStyle w:val="29"/>
        </w:rPr>
        <w:t xml:space="preserve">  </w:t>
      </w:r>
      <w:r>
        <w:rPr>
          <w:rStyle w:val="29"/>
          <w:rFonts w:hint="eastAsia"/>
        </w:rPr>
        <w:t>总</w:t>
      </w:r>
      <w:r>
        <w:rPr>
          <w:rStyle w:val="29"/>
        </w:rPr>
        <w:t xml:space="preserve">   </w:t>
      </w:r>
      <w:r>
        <w:rPr>
          <w:rStyle w:val="29"/>
          <w:rFonts w:hint="eastAsia"/>
        </w:rPr>
        <w:t>则</w:t>
      </w:r>
      <w:r>
        <w:tab/>
      </w:r>
      <w:r>
        <w:fldChar w:fldCharType="begin"/>
      </w:r>
      <w:r>
        <w:instrText xml:space="preserve"> PAGEREF _Toc130121628 \h </w:instrText>
      </w:r>
      <w:r>
        <w:fldChar w:fldCharType="separate"/>
      </w:r>
      <w:r>
        <w:t>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"_Toc130121629" </w:instrText>
      </w:r>
      <w:r>
        <w:fldChar w:fldCharType="separate"/>
      </w:r>
      <w:r>
        <w:rPr>
          <w:rStyle w:val="29"/>
          <w:rFonts w:hint="eastAsia"/>
        </w:rPr>
        <w:t>第一节</w:t>
      </w:r>
      <w:r>
        <w:rPr>
          <w:rStyle w:val="29"/>
        </w:rPr>
        <w:t xml:space="preserve">  </w:t>
      </w:r>
      <w:r>
        <w:rPr>
          <w:rStyle w:val="29"/>
          <w:rFonts w:hint="eastAsia"/>
        </w:rPr>
        <w:t>规划背景</w:t>
      </w:r>
      <w:r>
        <w:tab/>
      </w:r>
      <w:r>
        <w:fldChar w:fldCharType="begin"/>
      </w:r>
      <w:r>
        <w:instrText xml:space="preserve"> PAGEREF _Toc130121629 \h </w:instrText>
      </w:r>
      <w:r>
        <w:fldChar w:fldCharType="separate"/>
      </w:r>
      <w:r>
        <w:t>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"_Toc130121630" </w:instrText>
      </w:r>
      <w:r>
        <w:fldChar w:fldCharType="separate"/>
      </w:r>
      <w:r>
        <w:rPr>
          <w:rStyle w:val="29"/>
          <w:rFonts w:hint="eastAsia"/>
        </w:rPr>
        <w:t>第二节</w:t>
      </w:r>
      <w:r>
        <w:rPr>
          <w:rStyle w:val="29"/>
        </w:rPr>
        <w:t xml:space="preserve">  </w:t>
      </w:r>
      <w:r>
        <w:rPr>
          <w:rStyle w:val="29"/>
          <w:rFonts w:hint="eastAsia"/>
        </w:rPr>
        <w:t>规划概述</w:t>
      </w:r>
      <w:r>
        <w:tab/>
      </w:r>
      <w:r>
        <w:fldChar w:fldCharType="begin"/>
      </w:r>
      <w:r>
        <w:instrText xml:space="preserve"> PAGEREF _Toc130121630 \h </w:instrText>
      </w:r>
      <w:r>
        <w:fldChar w:fldCharType="separate"/>
      </w:r>
      <w:r>
        <w:t>2</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"_Toc130121631" </w:instrText>
      </w:r>
      <w:r>
        <w:fldChar w:fldCharType="separate"/>
      </w:r>
      <w:r>
        <w:rPr>
          <w:rStyle w:val="29"/>
          <w:rFonts w:hint="eastAsia"/>
        </w:rPr>
        <w:t>第二章</w:t>
      </w:r>
      <w:r>
        <w:rPr>
          <w:rStyle w:val="29"/>
        </w:rPr>
        <w:t xml:space="preserve">  </w:t>
      </w:r>
      <w:r>
        <w:rPr>
          <w:rStyle w:val="29"/>
          <w:rFonts w:hint="eastAsia"/>
        </w:rPr>
        <w:t>基本情况</w:t>
      </w:r>
      <w:r>
        <w:tab/>
      </w:r>
      <w:r>
        <w:fldChar w:fldCharType="begin"/>
      </w:r>
      <w:r>
        <w:instrText xml:space="preserve"> PAGEREF _Toc130121631 \h </w:instrText>
      </w:r>
      <w:r>
        <w:fldChar w:fldCharType="separate"/>
      </w:r>
      <w:r>
        <w:t>5</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"_Toc130121632" </w:instrText>
      </w:r>
      <w:r>
        <w:fldChar w:fldCharType="separate"/>
      </w:r>
      <w:r>
        <w:rPr>
          <w:rStyle w:val="29"/>
          <w:rFonts w:hint="eastAsia"/>
        </w:rPr>
        <w:t>第一节</w:t>
      </w:r>
      <w:r>
        <w:rPr>
          <w:rStyle w:val="29"/>
        </w:rPr>
        <w:t xml:space="preserve">  </w:t>
      </w:r>
      <w:r>
        <w:rPr>
          <w:rStyle w:val="29"/>
          <w:rFonts w:hint="eastAsia"/>
        </w:rPr>
        <w:t>区位概况</w:t>
      </w:r>
      <w:r>
        <w:tab/>
      </w:r>
      <w:r>
        <w:fldChar w:fldCharType="begin"/>
      </w:r>
      <w:r>
        <w:instrText xml:space="preserve"> PAGEREF _Toc130121632 \h </w:instrText>
      </w:r>
      <w:r>
        <w:fldChar w:fldCharType="separate"/>
      </w:r>
      <w:r>
        <w:t>5</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"_Toc130121633" </w:instrText>
      </w:r>
      <w:r>
        <w:fldChar w:fldCharType="separate"/>
      </w:r>
      <w:r>
        <w:rPr>
          <w:rStyle w:val="29"/>
          <w:rFonts w:hint="eastAsia"/>
        </w:rPr>
        <w:t>第二节</w:t>
      </w:r>
      <w:r>
        <w:rPr>
          <w:rStyle w:val="29"/>
        </w:rPr>
        <w:t xml:space="preserve">  </w:t>
      </w:r>
      <w:r>
        <w:rPr>
          <w:rStyle w:val="29"/>
          <w:rFonts w:hint="eastAsia"/>
        </w:rPr>
        <w:t>自然地理条件</w:t>
      </w:r>
      <w:r>
        <w:tab/>
      </w:r>
      <w:r>
        <w:fldChar w:fldCharType="begin"/>
      </w:r>
      <w:r>
        <w:instrText xml:space="preserve"> PAGEREF _Toc130121633 \h </w:instrText>
      </w:r>
      <w:r>
        <w:fldChar w:fldCharType="separate"/>
      </w:r>
      <w:r>
        <w:t>6</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"_Toc130121634" </w:instrText>
      </w:r>
      <w:r>
        <w:fldChar w:fldCharType="separate"/>
      </w:r>
      <w:r>
        <w:rPr>
          <w:rStyle w:val="29"/>
          <w:rFonts w:hint="eastAsia"/>
        </w:rPr>
        <w:t>第三节</w:t>
      </w:r>
      <w:r>
        <w:rPr>
          <w:rStyle w:val="29"/>
        </w:rPr>
        <w:t xml:space="preserve">  </w:t>
      </w:r>
      <w:r>
        <w:rPr>
          <w:rStyle w:val="29"/>
          <w:rFonts w:hint="eastAsia"/>
        </w:rPr>
        <w:t>社会经济条件</w:t>
      </w:r>
      <w:r>
        <w:tab/>
      </w:r>
      <w:r>
        <w:fldChar w:fldCharType="begin"/>
      </w:r>
      <w:r>
        <w:instrText xml:space="preserve"> PAGEREF _Toc130121634 \h </w:instrText>
      </w:r>
      <w:r>
        <w:fldChar w:fldCharType="separate"/>
      </w:r>
      <w:r>
        <w:t>11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"_Toc130121635" </w:instrText>
      </w:r>
      <w:r>
        <w:fldChar w:fldCharType="separate"/>
      </w:r>
      <w:r>
        <w:rPr>
          <w:rStyle w:val="29"/>
          <w:rFonts w:hint="eastAsia"/>
        </w:rPr>
        <w:t>第四节</w:t>
      </w:r>
      <w:r>
        <w:rPr>
          <w:rStyle w:val="29"/>
        </w:rPr>
        <w:t xml:space="preserve">  </w:t>
      </w:r>
      <w:r>
        <w:rPr>
          <w:rStyle w:val="29"/>
          <w:rFonts w:hint="eastAsia"/>
        </w:rPr>
        <w:t>历史沿革</w:t>
      </w:r>
      <w:r>
        <w:tab/>
      </w:r>
      <w:r>
        <w:fldChar w:fldCharType="begin"/>
      </w:r>
      <w:r>
        <w:instrText xml:space="preserve"> PAGEREF _Toc130121635 \h </w:instrText>
      </w:r>
      <w:r>
        <w:fldChar w:fldCharType="separate"/>
      </w:r>
      <w:r>
        <w:t>14</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"_Toc130121636" </w:instrText>
      </w:r>
      <w:r>
        <w:fldChar w:fldCharType="separate"/>
      </w:r>
      <w:r>
        <w:rPr>
          <w:rStyle w:val="29"/>
          <w:rFonts w:hint="eastAsia"/>
        </w:rPr>
        <w:t>第五节</w:t>
      </w:r>
      <w:r>
        <w:rPr>
          <w:rStyle w:val="29"/>
        </w:rPr>
        <w:t xml:space="preserve">  </w:t>
      </w:r>
      <w:r>
        <w:rPr>
          <w:rStyle w:val="29"/>
          <w:rFonts w:hint="eastAsia"/>
        </w:rPr>
        <w:t>建设现状评价</w:t>
      </w:r>
      <w:r>
        <w:tab/>
      </w:r>
      <w:r>
        <w:fldChar w:fldCharType="begin"/>
      </w:r>
      <w:r>
        <w:instrText xml:space="preserve"> PAGEREF _Toc130121636 \h </w:instrText>
      </w:r>
      <w:r>
        <w:fldChar w:fldCharType="separate"/>
      </w:r>
      <w:r>
        <w:t>15</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"_Toc130121637" </w:instrText>
      </w:r>
      <w:r>
        <w:fldChar w:fldCharType="separate"/>
      </w:r>
      <w:r>
        <w:rPr>
          <w:rStyle w:val="29"/>
          <w:rFonts w:hint="eastAsia"/>
        </w:rPr>
        <w:t>第三章</w:t>
      </w:r>
      <w:r>
        <w:rPr>
          <w:rStyle w:val="29"/>
        </w:rPr>
        <w:t xml:space="preserve">  </w:t>
      </w:r>
      <w:r>
        <w:rPr>
          <w:rStyle w:val="29"/>
          <w:rFonts w:hint="eastAsia"/>
        </w:rPr>
        <w:t>湿地资源</w:t>
      </w:r>
      <w:r>
        <w:tab/>
      </w:r>
      <w:r>
        <w:fldChar w:fldCharType="begin"/>
      </w:r>
      <w:r>
        <w:instrText xml:space="preserve"> PAGEREF _Toc130121637 \h </w:instrText>
      </w:r>
      <w:r>
        <w:fldChar w:fldCharType="separate"/>
      </w:r>
      <w:r>
        <w:t>20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"_Toc130121638" </w:instrText>
      </w:r>
      <w:r>
        <w:fldChar w:fldCharType="separate"/>
      </w:r>
      <w:r>
        <w:rPr>
          <w:rStyle w:val="29"/>
          <w:rFonts w:hint="eastAsia"/>
        </w:rPr>
        <w:t>第一节</w:t>
      </w:r>
      <w:r>
        <w:rPr>
          <w:rStyle w:val="29"/>
        </w:rPr>
        <w:t xml:space="preserve">  </w:t>
      </w:r>
      <w:r>
        <w:rPr>
          <w:rStyle w:val="29"/>
          <w:rFonts w:hint="eastAsia"/>
        </w:rPr>
        <w:t>湿地类型、面积与分布</w:t>
      </w:r>
      <w:r>
        <w:tab/>
      </w:r>
      <w:r>
        <w:fldChar w:fldCharType="begin"/>
      </w:r>
      <w:r>
        <w:instrText xml:space="preserve"> PAGEREF _Toc130121638 \h </w:instrText>
      </w:r>
      <w:r>
        <w:fldChar w:fldCharType="separate"/>
      </w:r>
      <w:r>
        <w:t>20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"_Toc130121639" </w:instrText>
      </w:r>
      <w:r>
        <w:fldChar w:fldCharType="separate"/>
      </w:r>
      <w:r>
        <w:rPr>
          <w:rStyle w:val="29"/>
          <w:rFonts w:hint="eastAsia"/>
        </w:rPr>
        <w:t>第二节</w:t>
      </w:r>
      <w:r>
        <w:rPr>
          <w:rStyle w:val="29"/>
        </w:rPr>
        <w:t xml:space="preserve">  </w:t>
      </w:r>
      <w:r>
        <w:rPr>
          <w:rStyle w:val="29"/>
          <w:rFonts w:hint="eastAsia"/>
        </w:rPr>
        <w:t>湿地生物多样性</w:t>
      </w:r>
      <w:r>
        <w:tab/>
      </w:r>
      <w:r>
        <w:fldChar w:fldCharType="begin"/>
      </w:r>
      <w:r>
        <w:instrText xml:space="preserve"> PAGEREF _Toc130121639 \h </w:instrText>
      </w:r>
      <w:r>
        <w:fldChar w:fldCharType="separate"/>
      </w:r>
      <w:r>
        <w:t>20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"_Toc130121640" </w:instrText>
      </w:r>
      <w:r>
        <w:fldChar w:fldCharType="separate"/>
      </w:r>
      <w:r>
        <w:rPr>
          <w:rStyle w:val="29"/>
          <w:rFonts w:hint="eastAsia"/>
        </w:rPr>
        <w:t>第三节</w:t>
      </w:r>
      <w:r>
        <w:rPr>
          <w:rStyle w:val="29"/>
        </w:rPr>
        <w:t xml:space="preserve">  </w:t>
      </w:r>
      <w:r>
        <w:rPr>
          <w:rStyle w:val="29"/>
          <w:rFonts w:hint="eastAsia"/>
        </w:rPr>
        <w:t>湿地景观与文化资源</w:t>
      </w:r>
      <w:r>
        <w:tab/>
      </w:r>
      <w:r>
        <w:fldChar w:fldCharType="begin"/>
      </w:r>
      <w:r>
        <w:instrText xml:space="preserve"> PAGEREF _Toc130121640 \h </w:instrText>
      </w:r>
      <w:r>
        <w:fldChar w:fldCharType="separate"/>
      </w:r>
      <w:r>
        <w:t>23</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"_Toc130121641" </w:instrText>
      </w:r>
      <w:r>
        <w:fldChar w:fldCharType="separate"/>
      </w:r>
      <w:r>
        <w:rPr>
          <w:rStyle w:val="29"/>
          <w:rFonts w:hint="eastAsia"/>
        </w:rPr>
        <w:t>第四节</w:t>
      </w:r>
      <w:r>
        <w:rPr>
          <w:rStyle w:val="29"/>
        </w:rPr>
        <w:t xml:space="preserve">  </w:t>
      </w:r>
      <w:r>
        <w:rPr>
          <w:rStyle w:val="29"/>
          <w:rFonts w:hint="eastAsia"/>
        </w:rPr>
        <w:t>湿地生态系统评价</w:t>
      </w:r>
      <w:r>
        <w:tab/>
      </w:r>
      <w:r>
        <w:fldChar w:fldCharType="begin"/>
      </w:r>
      <w:r>
        <w:instrText xml:space="preserve"> PAGEREF _Toc130121641 \h </w:instrText>
      </w:r>
      <w:r>
        <w:fldChar w:fldCharType="separate"/>
      </w:r>
      <w:r>
        <w:t>24</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"_Toc130121642" </w:instrText>
      </w:r>
      <w:r>
        <w:fldChar w:fldCharType="separate"/>
      </w:r>
      <w:r>
        <w:rPr>
          <w:rStyle w:val="29"/>
          <w:rFonts w:hint="eastAsia"/>
        </w:rPr>
        <w:t>第四章</w:t>
      </w:r>
      <w:r>
        <w:rPr>
          <w:rStyle w:val="29"/>
        </w:rPr>
        <w:t xml:space="preserve">  </w:t>
      </w:r>
      <w:r>
        <w:rPr>
          <w:rStyle w:val="29"/>
          <w:rFonts w:hint="eastAsia"/>
        </w:rPr>
        <w:t>湿地公园建设的必要性和可行性</w:t>
      </w:r>
      <w:r>
        <w:tab/>
      </w:r>
      <w:r>
        <w:fldChar w:fldCharType="begin"/>
      </w:r>
      <w:r>
        <w:instrText xml:space="preserve"> PAGEREF _Toc130121642 \h </w:instrText>
      </w:r>
      <w:r>
        <w:fldChar w:fldCharType="separate"/>
      </w:r>
      <w:r>
        <w:t>27</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"_Toc130121643" </w:instrText>
      </w:r>
      <w:r>
        <w:fldChar w:fldCharType="separate"/>
      </w:r>
      <w:r>
        <w:rPr>
          <w:rStyle w:val="29"/>
          <w:rFonts w:hint="eastAsia"/>
        </w:rPr>
        <w:t>第一节</w:t>
      </w:r>
      <w:r>
        <w:rPr>
          <w:rStyle w:val="29"/>
        </w:rPr>
        <w:t xml:space="preserve">  </w:t>
      </w:r>
      <w:r>
        <w:rPr>
          <w:rStyle w:val="29"/>
          <w:rFonts w:hint="eastAsia"/>
        </w:rPr>
        <w:t>湿地公园建设的必要性</w:t>
      </w:r>
      <w:r>
        <w:tab/>
      </w:r>
      <w:r>
        <w:fldChar w:fldCharType="begin"/>
      </w:r>
      <w:r>
        <w:instrText xml:space="preserve"> PAGEREF _Toc130121643 \h </w:instrText>
      </w:r>
      <w:r>
        <w:fldChar w:fldCharType="separate"/>
      </w:r>
      <w:r>
        <w:t>27</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"_Toc130121644" </w:instrText>
      </w:r>
      <w:r>
        <w:fldChar w:fldCharType="separate"/>
      </w:r>
      <w:r>
        <w:rPr>
          <w:rStyle w:val="29"/>
          <w:rFonts w:hint="eastAsia"/>
        </w:rPr>
        <w:t>第二节</w:t>
      </w:r>
      <w:r>
        <w:rPr>
          <w:rStyle w:val="29"/>
        </w:rPr>
        <w:t xml:space="preserve">  </w:t>
      </w:r>
      <w:r>
        <w:rPr>
          <w:rStyle w:val="29"/>
          <w:rFonts w:hint="eastAsia"/>
        </w:rPr>
        <w:t>湿地公园建设的可行性</w:t>
      </w:r>
      <w:r>
        <w:tab/>
      </w:r>
      <w:r>
        <w:fldChar w:fldCharType="begin"/>
      </w:r>
      <w:r>
        <w:instrText xml:space="preserve"> PAGEREF _Toc130121644 \h </w:instrText>
      </w:r>
      <w:r>
        <w:fldChar w:fldCharType="separate"/>
      </w:r>
      <w:r>
        <w:t>28</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"_Toc130121645" </w:instrText>
      </w:r>
      <w:r>
        <w:fldChar w:fldCharType="separate"/>
      </w:r>
      <w:r>
        <w:rPr>
          <w:rStyle w:val="29"/>
          <w:rFonts w:hint="eastAsia"/>
        </w:rPr>
        <w:t>第五章</w:t>
      </w:r>
      <w:r>
        <w:rPr>
          <w:rStyle w:val="29"/>
        </w:rPr>
        <w:t xml:space="preserve"> </w:t>
      </w:r>
      <w:r>
        <w:rPr>
          <w:rStyle w:val="29"/>
          <w:rFonts w:hint="eastAsia"/>
        </w:rPr>
        <w:t>总体布局</w:t>
      </w:r>
      <w:r>
        <w:tab/>
      </w:r>
      <w:r>
        <w:fldChar w:fldCharType="begin"/>
      </w:r>
      <w:r>
        <w:instrText xml:space="preserve"> PAGEREF _Toc130121645 \h </w:instrText>
      </w:r>
      <w:r>
        <w:fldChar w:fldCharType="separate"/>
      </w:r>
      <w:r>
        <w:t>29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"_Toc130121646" </w:instrText>
      </w:r>
      <w:r>
        <w:fldChar w:fldCharType="separate"/>
      </w:r>
      <w:r>
        <w:rPr>
          <w:rStyle w:val="29"/>
          <w:rFonts w:hint="eastAsia"/>
        </w:rPr>
        <w:t>第一节</w:t>
      </w:r>
      <w:r>
        <w:rPr>
          <w:rStyle w:val="29"/>
        </w:rPr>
        <w:t xml:space="preserve">  </w:t>
      </w:r>
      <w:r>
        <w:rPr>
          <w:rStyle w:val="29"/>
          <w:rFonts w:hint="eastAsia"/>
        </w:rPr>
        <w:t>湿地公园范围</w:t>
      </w:r>
      <w:r>
        <w:tab/>
      </w:r>
      <w:r>
        <w:fldChar w:fldCharType="begin"/>
      </w:r>
      <w:r>
        <w:instrText xml:space="preserve"> PAGEREF _Toc130121646 \h </w:instrText>
      </w:r>
      <w:r>
        <w:fldChar w:fldCharType="separate"/>
      </w:r>
      <w:r>
        <w:t>29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"_Toc130121647" </w:instrText>
      </w:r>
      <w:r>
        <w:fldChar w:fldCharType="separate"/>
      </w:r>
      <w:r>
        <w:rPr>
          <w:rStyle w:val="29"/>
          <w:rFonts w:hint="eastAsia"/>
        </w:rPr>
        <w:t>第二节</w:t>
      </w:r>
      <w:r>
        <w:rPr>
          <w:rStyle w:val="29"/>
        </w:rPr>
        <w:t xml:space="preserve">  </w:t>
      </w:r>
      <w:r>
        <w:rPr>
          <w:rStyle w:val="29"/>
          <w:rFonts w:hint="eastAsia"/>
        </w:rPr>
        <w:t>湿地公园定位</w:t>
      </w:r>
      <w:r>
        <w:tab/>
      </w:r>
      <w:r>
        <w:fldChar w:fldCharType="begin"/>
      </w:r>
      <w:r>
        <w:instrText xml:space="preserve"> PAGEREF _Toc130121647 \h </w:instrText>
      </w:r>
      <w:r>
        <w:fldChar w:fldCharType="separate"/>
      </w:r>
      <w:r>
        <w:t>29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"_Toc130121648" </w:instrText>
      </w:r>
      <w:r>
        <w:fldChar w:fldCharType="separate"/>
      </w:r>
      <w:r>
        <w:rPr>
          <w:rStyle w:val="29"/>
          <w:rFonts w:hint="eastAsia"/>
        </w:rPr>
        <w:t>第三节</w:t>
      </w:r>
      <w:r>
        <w:rPr>
          <w:rStyle w:val="29"/>
        </w:rPr>
        <w:t xml:space="preserve">  </w:t>
      </w:r>
      <w:r>
        <w:rPr>
          <w:rStyle w:val="29"/>
          <w:rFonts w:hint="eastAsia"/>
        </w:rPr>
        <w:t>指导思想</w:t>
      </w:r>
      <w:r>
        <w:tab/>
      </w:r>
      <w:r>
        <w:fldChar w:fldCharType="begin"/>
      </w:r>
      <w:r>
        <w:instrText xml:space="preserve"> PAGEREF _Toc130121648 \h </w:instrText>
      </w:r>
      <w:r>
        <w:fldChar w:fldCharType="separate"/>
      </w:r>
      <w:r>
        <w:t>29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"_Toc130121649" </w:instrText>
      </w:r>
      <w:r>
        <w:fldChar w:fldCharType="separate"/>
      </w:r>
      <w:r>
        <w:rPr>
          <w:rStyle w:val="29"/>
          <w:rFonts w:hint="eastAsia"/>
        </w:rPr>
        <w:t>第四节</w:t>
      </w:r>
      <w:r>
        <w:rPr>
          <w:rStyle w:val="29"/>
        </w:rPr>
        <w:t xml:space="preserve">  </w:t>
      </w:r>
      <w:r>
        <w:rPr>
          <w:rStyle w:val="29"/>
          <w:rFonts w:hint="eastAsia"/>
        </w:rPr>
        <w:t>规划原则</w:t>
      </w:r>
      <w:r>
        <w:tab/>
      </w:r>
      <w:r>
        <w:fldChar w:fldCharType="begin"/>
      </w:r>
      <w:r>
        <w:instrText xml:space="preserve"> PAGEREF _Toc130121649 \h </w:instrText>
      </w:r>
      <w:r>
        <w:fldChar w:fldCharType="separate"/>
      </w:r>
      <w:r>
        <w:t>30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"_Toc130121650" </w:instrText>
      </w:r>
      <w:r>
        <w:fldChar w:fldCharType="separate"/>
      </w:r>
      <w:r>
        <w:rPr>
          <w:rStyle w:val="29"/>
          <w:rFonts w:hint="eastAsia"/>
        </w:rPr>
        <w:t>第五节</w:t>
      </w:r>
      <w:r>
        <w:rPr>
          <w:rStyle w:val="29"/>
        </w:rPr>
        <w:t xml:space="preserve">  </w:t>
      </w:r>
      <w:r>
        <w:rPr>
          <w:rStyle w:val="29"/>
          <w:rFonts w:hint="eastAsia"/>
        </w:rPr>
        <w:t>规划依据</w:t>
      </w:r>
      <w:r>
        <w:tab/>
      </w:r>
      <w:r>
        <w:fldChar w:fldCharType="begin"/>
      </w:r>
      <w:r>
        <w:instrText xml:space="preserve"> PAGEREF _Toc130121650 \h </w:instrText>
      </w:r>
      <w:r>
        <w:fldChar w:fldCharType="separate"/>
      </w:r>
      <w:r>
        <w:t>31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"_Toc130121651" </w:instrText>
      </w:r>
      <w:r>
        <w:fldChar w:fldCharType="separate"/>
      </w:r>
      <w:r>
        <w:rPr>
          <w:rStyle w:val="29"/>
          <w:rFonts w:hint="eastAsia"/>
        </w:rPr>
        <w:t>第六节</w:t>
      </w:r>
      <w:r>
        <w:rPr>
          <w:rStyle w:val="29"/>
        </w:rPr>
        <w:t xml:space="preserve">  </w:t>
      </w:r>
      <w:r>
        <w:rPr>
          <w:rStyle w:val="29"/>
          <w:rFonts w:hint="eastAsia"/>
        </w:rPr>
        <w:t>规划总目标与分期目标</w:t>
      </w:r>
      <w:r>
        <w:tab/>
      </w:r>
      <w:r>
        <w:fldChar w:fldCharType="begin"/>
      </w:r>
      <w:r>
        <w:instrText xml:space="preserve"> PAGEREF _Toc130121651 \h </w:instrText>
      </w:r>
      <w:r>
        <w:fldChar w:fldCharType="separate"/>
      </w:r>
      <w:r>
        <w:t>32</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"_Toc130121652" </w:instrText>
      </w:r>
      <w:r>
        <w:fldChar w:fldCharType="separate"/>
      </w:r>
      <w:r>
        <w:rPr>
          <w:rStyle w:val="29"/>
          <w:rFonts w:hint="eastAsia"/>
        </w:rPr>
        <w:t>第七节</w:t>
      </w:r>
      <w:r>
        <w:rPr>
          <w:rStyle w:val="29"/>
        </w:rPr>
        <w:t xml:space="preserve">  </w:t>
      </w:r>
      <w:r>
        <w:rPr>
          <w:rStyle w:val="29"/>
          <w:rFonts w:hint="eastAsia"/>
        </w:rPr>
        <w:t>空间管控与功能分区</w:t>
      </w:r>
      <w:r>
        <w:tab/>
      </w:r>
      <w:r>
        <w:fldChar w:fldCharType="begin"/>
      </w:r>
      <w:r>
        <w:instrText xml:space="preserve"> PAGEREF _Toc130121652 \h </w:instrText>
      </w:r>
      <w:r>
        <w:fldChar w:fldCharType="separate"/>
      </w:r>
      <w:r>
        <w:t>33</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"_Toc130121653" </w:instrText>
      </w:r>
      <w:r>
        <w:fldChar w:fldCharType="separate"/>
      </w:r>
      <w:r>
        <w:rPr>
          <w:rStyle w:val="29"/>
          <w:rFonts w:hint="eastAsia"/>
        </w:rPr>
        <w:t>第六章</w:t>
      </w:r>
      <w:r>
        <w:rPr>
          <w:rStyle w:val="29"/>
        </w:rPr>
        <w:t xml:space="preserve">  </w:t>
      </w:r>
      <w:r>
        <w:rPr>
          <w:rStyle w:val="29"/>
          <w:rFonts w:hint="eastAsia"/>
        </w:rPr>
        <w:t>保护与恢复规划</w:t>
      </w:r>
      <w:r>
        <w:tab/>
      </w:r>
      <w:r>
        <w:fldChar w:fldCharType="begin"/>
      </w:r>
      <w:r>
        <w:instrText xml:space="preserve"> PAGEREF _Toc130121653 \h </w:instrText>
      </w:r>
      <w:r>
        <w:fldChar w:fldCharType="separate"/>
      </w:r>
      <w:r>
        <w:t>39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"_Toc130121654" </w:instrText>
      </w:r>
      <w:r>
        <w:fldChar w:fldCharType="separate"/>
      </w:r>
      <w:r>
        <w:rPr>
          <w:rStyle w:val="29"/>
          <w:rFonts w:hint="eastAsia"/>
        </w:rPr>
        <w:t>第一节</w:t>
      </w:r>
      <w:r>
        <w:rPr>
          <w:rStyle w:val="29"/>
        </w:rPr>
        <w:t xml:space="preserve">  </w:t>
      </w:r>
      <w:r>
        <w:rPr>
          <w:rStyle w:val="29"/>
          <w:rFonts w:hint="eastAsia"/>
        </w:rPr>
        <w:t>规划原则</w:t>
      </w:r>
      <w:r>
        <w:tab/>
      </w:r>
      <w:r>
        <w:fldChar w:fldCharType="begin"/>
      </w:r>
      <w:r>
        <w:instrText xml:space="preserve"> PAGEREF _Toc130121654 \h </w:instrText>
      </w:r>
      <w:r>
        <w:fldChar w:fldCharType="separate"/>
      </w:r>
      <w:r>
        <w:t>39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"_Toc130121655" </w:instrText>
      </w:r>
      <w:r>
        <w:fldChar w:fldCharType="separate"/>
      </w:r>
      <w:r>
        <w:rPr>
          <w:rStyle w:val="29"/>
          <w:rFonts w:hint="eastAsia"/>
        </w:rPr>
        <w:t>第二节</w:t>
      </w:r>
      <w:r>
        <w:rPr>
          <w:rStyle w:val="29"/>
        </w:rPr>
        <w:t xml:space="preserve">  </w:t>
      </w:r>
      <w:r>
        <w:rPr>
          <w:rStyle w:val="29"/>
          <w:rFonts w:hint="eastAsia"/>
        </w:rPr>
        <w:t>保护对象与保护策略</w:t>
      </w:r>
      <w:r>
        <w:tab/>
      </w:r>
      <w:r>
        <w:fldChar w:fldCharType="begin"/>
      </w:r>
      <w:r>
        <w:instrText xml:space="preserve"> PAGEREF _Toc130121655 \h </w:instrText>
      </w:r>
      <w:r>
        <w:fldChar w:fldCharType="separate"/>
      </w:r>
      <w:r>
        <w:t>40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"_Toc130121656" </w:instrText>
      </w:r>
      <w:r>
        <w:fldChar w:fldCharType="separate"/>
      </w:r>
      <w:r>
        <w:rPr>
          <w:rStyle w:val="29"/>
          <w:rFonts w:hint="eastAsia"/>
        </w:rPr>
        <w:t>第三节</w:t>
      </w:r>
      <w:r>
        <w:rPr>
          <w:rStyle w:val="29"/>
        </w:rPr>
        <w:t xml:space="preserve">  </w:t>
      </w:r>
      <w:r>
        <w:rPr>
          <w:rStyle w:val="29"/>
          <w:rFonts w:hint="eastAsia"/>
        </w:rPr>
        <w:t>水资源保障规划</w:t>
      </w:r>
      <w:r>
        <w:tab/>
      </w:r>
      <w:r>
        <w:fldChar w:fldCharType="begin"/>
      </w:r>
      <w:r>
        <w:instrText xml:space="preserve"> PAGEREF _Toc130121656 \h </w:instrText>
      </w:r>
      <w:r>
        <w:fldChar w:fldCharType="separate"/>
      </w:r>
      <w:r>
        <w:t>42</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"_Toc130121657" </w:instrText>
      </w:r>
      <w:r>
        <w:fldChar w:fldCharType="separate"/>
      </w:r>
      <w:r>
        <w:rPr>
          <w:rStyle w:val="29"/>
          <w:rFonts w:hint="eastAsia"/>
        </w:rPr>
        <w:t>第四节</w:t>
      </w:r>
      <w:r>
        <w:rPr>
          <w:rStyle w:val="29"/>
        </w:rPr>
        <w:t xml:space="preserve">  </w:t>
      </w:r>
      <w:r>
        <w:rPr>
          <w:rStyle w:val="29"/>
          <w:rFonts w:hint="eastAsia"/>
        </w:rPr>
        <w:t>水系保护与恢复</w:t>
      </w:r>
      <w:r>
        <w:tab/>
      </w:r>
      <w:r>
        <w:fldChar w:fldCharType="begin"/>
      </w:r>
      <w:r>
        <w:instrText xml:space="preserve"> PAGEREF _Toc130121657 \h </w:instrText>
      </w:r>
      <w:r>
        <w:fldChar w:fldCharType="separate"/>
      </w:r>
      <w:r>
        <w:t>49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"_Toc130121658" </w:instrText>
      </w:r>
      <w:r>
        <w:fldChar w:fldCharType="separate"/>
      </w:r>
      <w:r>
        <w:rPr>
          <w:rStyle w:val="29"/>
          <w:rFonts w:hint="eastAsia"/>
        </w:rPr>
        <w:t>第五节</w:t>
      </w:r>
      <w:r>
        <w:rPr>
          <w:rStyle w:val="29"/>
        </w:rPr>
        <w:t xml:space="preserve">  </w:t>
      </w:r>
      <w:r>
        <w:rPr>
          <w:rStyle w:val="29"/>
          <w:rFonts w:hint="eastAsia"/>
        </w:rPr>
        <w:t>水质保护</w:t>
      </w:r>
      <w:r>
        <w:tab/>
      </w:r>
      <w:r>
        <w:fldChar w:fldCharType="begin"/>
      </w:r>
      <w:r>
        <w:instrText xml:space="preserve"> PAGEREF _Toc130121658 \h </w:instrText>
      </w:r>
      <w:r>
        <w:fldChar w:fldCharType="separate"/>
      </w:r>
      <w:r>
        <w:t>52</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"_Toc130121659" </w:instrText>
      </w:r>
      <w:r>
        <w:fldChar w:fldCharType="separate"/>
      </w:r>
      <w:r>
        <w:rPr>
          <w:rStyle w:val="29"/>
          <w:rFonts w:hint="eastAsia"/>
        </w:rPr>
        <w:t>第六节</w:t>
      </w:r>
      <w:r>
        <w:rPr>
          <w:rStyle w:val="29"/>
        </w:rPr>
        <w:t xml:space="preserve">  </w:t>
      </w:r>
      <w:r>
        <w:rPr>
          <w:rStyle w:val="29"/>
          <w:rFonts w:hint="eastAsia"/>
        </w:rPr>
        <w:t>水岸保护</w:t>
      </w:r>
      <w:r>
        <w:tab/>
      </w:r>
      <w:r>
        <w:fldChar w:fldCharType="begin"/>
      </w:r>
      <w:r>
        <w:instrText xml:space="preserve"> PAGEREF _Toc130121659 \h </w:instrText>
      </w:r>
      <w:r>
        <w:fldChar w:fldCharType="separate"/>
      </w:r>
      <w:r>
        <w:t>55</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"_Toc130121660" </w:instrText>
      </w:r>
      <w:r>
        <w:fldChar w:fldCharType="separate"/>
      </w:r>
      <w:r>
        <w:rPr>
          <w:rStyle w:val="29"/>
          <w:rFonts w:hint="eastAsia"/>
        </w:rPr>
        <w:t>第七节</w:t>
      </w:r>
      <w:r>
        <w:rPr>
          <w:rStyle w:val="29"/>
        </w:rPr>
        <w:t xml:space="preserve">  </w:t>
      </w:r>
      <w:r>
        <w:rPr>
          <w:rStyle w:val="29"/>
          <w:rFonts w:hint="eastAsia"/>
        </w:rPr>
        <w:t>生境（栖息地）保护与恢复</w:t>
      </w:r>
      <w:r>
        <w:tab/>
      </w:r>
      <w:r>
        <w:fldChar w:fldCharType="begin"/>
      </w:r>
      <w:r>
        <w:instrText xml:space="preserve"> PAGEREF _Toc130121660 \h </w:instrText>
      </w:r>
      <w:r>
        <w:fldChar w:fldCharType="separate"/>
      </w:r>
      <w:r>
        <w:t>57</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"_Toc130121661" </w:instrText>
      </w:r>
      <w:r>
        <w:fldChar w:fldCharType="separate"/>
      </w:r>
      <w:r>
        <w:rPr>
          <w:rStyle w:val="29"/>
          <w:rFonts w:hint="eastAsia"/>
        </w:rPr>
        <w:t>第八节</w:t>
      </w:r>
      <w:r>
        <w:rPr>
          <w:rStyle w:val="29"/>
        </w:rPr>
        <w:t xml:space="preserve">  </w:t>
      </w:r>
      <w:r>
        <w:rPr>
          <w:rStyle w:val="29"/>
          <w:rFonts w:hint="eastAsia"/>
        </w:rPr>
        <w:t>保护管理能力规划</w:t>
      </w:r>
      <w:r>
        <w:tab/>
      </w:r>
      <w:r>
        <w:fldChar w:fldCharType="begin"/>
      </w:r>
      <w:r>
        <w:instrText xml:space="preserve"> PAGEREF _Toc130121661 \h </w:instrText>
      </w:r>
      <w:r>
        <w:fldChar w:fldCharType="separate"/>
      </w:r>
      <w:r>
        <w:t>59</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"_Toc130121662" </w:instrText>
      </w:r>
      <w:r>
        <w:fldChar w:fldCharType="separate"/>
      </w:r>
      <w:r>
        <w:rPr>
          <w:rStyle w:val="29"/>
          <w:rFonts w:hint="eastAsia"/>
        </w:rPr>
        <w:t>第七章</w:t>
      </w:r>
      <w:r>
        <w:rPr>
          <w:rStyle w:val="29"/>
        </w:rPr>
        <w:t xml:space="preserve">  </w:t>
      </w:r>
      <w:r>
        <w:rPr>
          <w:rStyle w:val="29"/>
          <w:rFonts w:hint="eastAsia"/>
        </w:rPr>
        <w:t>科研监测规划</w:t>
      </w:r>
      <w:r>
        <w:tab/>
      </w:r>
      <w:r>
        <w:fldChar w:fldCharType="begin"/>
      </w:r>
      <w:r>
        <w:instrText xml:space="preserve"> PAGEREF _Toc130121662 \h </w:instrText>
      </w:r>
      <w:r>
        <w:fldChar w:fldCharType="separate"/>
      </w:r>
      <w:r>
        <w:t>61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"_Toc130121663" </w:instrText>
      </w:r>
      <w:r>
        <w:fldChar w:fldCharType="separate"/>
      </w:r>
      <w:r>
        <w:rPr>
          <w:rStyle w:val="29"/>
          <w:rFonts w:hint="eastAsia"/>
        </w:rPr>
        <w:t>第一节</w:t>
      </w:r>
      <w:r>
        <w:rPr>
          <w:rStyle w:val="29"/>
        </w:rPr>
        <w:t xml:space="preserve">  </w:t>
      </w:r>
      <w:r>
        <w:rPr>
          <w:rStyle w:val="29"/>
          <w:rFonts w:hint="eastAsia"/>
        </w:rPr>
        <w:t>科研规划</w:t>
      </w:r>
      <w:r>
        <w:tab/>
      </w:r>
      <w:r>
        <w:fldChar w:fldCharType="begin"/>
      </w:r>
      <w:r>
        <w:instrText xml:space="preserve"> PAGEREF _Toc130121663 \h </w:instrText>
      </w:r>
      <w:r>
        <w:fldChar w:fldCharType="separate"/>
      </w:r>
      <w:r>
        <w:t>61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"_Toc130121664" </w:instrText>
      </w:r>
      <w:r>
        <w:fldChar w:fldCharType="separate"/>
      </w:r>
      <w:r>
        <w:rPr>
          <w:rStyle w:val="29"/>
          <w:rFonts w:hint="eastAsia"/>
        </w:rPr>
        <w:t>第二节</w:t>
      </w:r>
      <w:r>
        <w:rPr>
          <w:rStyle w:val="29"/>
        </w:rPr>
        <w:t xml:space="preserve">  </w:t>
      </w:r>
      <w:r>
        <w:rPr>
          <w:rStyle w:val="29"/>
          <w:rFonts w:hint="eastAsia"/>
        </w:rPr>
        <w:t>监测规划</w:t>
      </w:r>
      <w:r>
        <w:tab/>
      </w:r>
      <w:r>
        <w:fldChar w:fldCharType="begin"/>
      </w:r>
      <w:r>
        <w:instrText xml:space="preserve"> PAGEREF _Toc130121664 \h </w:instrText>
      </w:r>
      <w:r>
        <w:fldChar w:fldCharType="separate"/>
      </w:r>
      <w:r>
        <w:t>62</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"_Toc130121665" </w:instrText>
      </w:r>
      <w:r>
        <w:fldChar w:fldCharType="separate"/>
      </w:r>
      <w:r>
        <w:rPr>
          <w:rStyle w:val="29"/>
          <w:rFonts w:hint="eastAsia"/>
        </w:rPr>
        <w:t>第八章</w:t>
      </w:r>
      <w:r>
        <w:rPr>
          <w:rStyle w:val="29"/>
        </w:rPr>
        <w:t xml:space="preserve">  </w:t>
      </w:r>
      <w:r>
        <w:rPr>
          <w:rStyle w:val="29"/>
          <w:rFonts w:hint="eastAsia"/>
        </w:rPr>
        <w:t>科普宣教规划</w:t>
      </w:r>
      <w:r>
        <w:tab/>
      </w:r>
      <w:r>
        <w:fldChar w:fldCharType="begin"/>
      </w:r>
      <w:r>
        <w:instrText xml:space="preserve"> PAGEREF _Toc130121665 \h </w:instrText>
      </w:r>
      <w:r>
        <w:fldChar w:fldCharType="separate"/>
      </w:r>
      <w:r>
        <w:t>68</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"_Toc130121666" </w:instrText>
      </w:r>
      <w:r>
        <w:fldChar w:fldCharType="separate"/>
      </w:r>
      <w:r>
        <w:rPr>
          <w:rStyle w:val="29"/>
          <w:rFonts w:hint="eastAsia"/>
        </w:rPr>
        <w:t>第一节</w:t>
      </w:r>
      <w:r>
        <w:rPr>
          <w:rStyle w:val="29"/>
        </w:rPr>
        <w:t xml:space="preserve">  </w:t>
      </w:r>
      <w:r>
        <w:rPr>
          <w:rStyle w:val="29"/>
          <w:rFonts w:hint="eastAsia"/>
        </w:rPr>
        <w:t>湿地宣教设施</w:t>
      </w:r>
      <w:r>
        <w:tab/>
      </w:r>
      <w:r>
        <w:fldChar w:fldCharType="begin"/>
      </w:r>
      <w:r>
        <w:instrText xml:space="preserve"> PAGEREF _Toc130121666 \h </w:instrText>
      </w:r>
      <w:r>
        <w:fldChar w:fldCharType="separate"/>
      </w:r>
      <w:r>
        <w:t>68</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"_Toc130121667" </w:instrText>
      </w:r>
      <w:r>
        <w:fldChar w:fldCharType="separate"/>
      </w:r>
      <w:r>
        <w:rPr>
          <w:rStyle w:val="29"/>
          <w:rFonts w:hint="eastAsia"/>
        </w:rPr>
        <w:t>第二节</w:t>
      </w:r>
      <w:r>
        <w:rPr>
          <w:rStyle w:val="29"/>
        </w:rPr>
        <w:t xml:space="preserve">  </w:t>
      </w:r>
      <w:r>
        <w:rPr>
          <w:rStyle w:val="29"/>
          <w:rFonts w:hint="eastAsia"/>
        </w:rPr>
        <w:t>解说标识系统</w:t>
      </w:r>
      <w:r>
        <w:tab/>
      </w:r>
      <w:r>
        <w:fldChar w:fldCharType="begin"/>
      </w:r>
      <w:r>
        <w:instrText xml:space="preserve"> PAGEREF _Toc130121667 \h </w:instrText>
      </w:r>
      <w:r>
        <w:fldChar w:fldCharType="separate"/>
      </w:r>
      <w:r>
        <w:t>70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"_Toc130121668" </w:instrText>
      </w:r>
      <w:r>
        <w:fldChar w:fldCharType="separate"/>
      </w:r>
      <w:r>
        <w:rPr>
          <w:rStyle w:val="29"/>
          <w:rFonts w:hint="eastAsia"/>
        </w:rPr>
        <w:t>第三节</w:t>
      </w:r>
      <w:r>
        <w:rPr>
          <w:rStyle w:val="29"/>
        </w:rPr>
        <w:t xml:space="preserve">  </w:t>
      </w:r>
      <w:r>
        <w:rPr>
          <w:rStyle w:val="29"/>
          <w:rFonts w:hint="eastAsia"/>
        </w:rPr>
        <w:t>湿地生态文化保护规划</w:t>
      </w:r>
      <w:r>
        <w:tab/>
      </w:r>
      <w:r>
        <w:fldChar w:fldCharType="begin"/>
      </w:r>
      <w:r>
        <w:instrText xml:space="preserve"> PAGEREF _Toc130121668 \h </w:instrText>
      </w:r>
      <w:r>
        <w:fldChar w:fldCharType="separate"/>
      </w:r>
      <w:r>
        <w:t>71</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"_Toc130121669" </w:instrText>
      </w:r>
      <w:r>
        <w:fldChar w:fldCharType="separate"/>
      </w:r>
      <w:r>
        <w:rPr>
          <w:rStyle w:val="29"/>
          <w:rFonts w:hint="eastAsia"/>
        </w:rPr>
        <w:t>第九章</w:t>
      </w:r>
      <w:r>
        <w:rPr>
          <w:rStyle w:val="29"/>
        </w:rPr>
        <w:t xml:space="preserve">  </w:t>
      </w:r>
      <w:r>
        <w:rPr>
          <w:rStyle w:val="29"/>
          <w:rFonts w:hint="eastAsia"/>
        </w:rPr>
        <w:t>合理利用规划</w:t>
      </w:r>
      <w:r>
        <w:tab/>
      </w:r>
      <w:r>
        <w:fldChar w:fldCharType="begin"/>
      </w:r>
      <w:r>
        <w:instrText xml:space="preserve"> PAGEREF _Toc130121669 \h </w:instrText>
      </w:r>
      <w:r>
        <w:fldChar w:fldCharType="separate"/>
      </w:r>
      <w:r>
        <w:t>73</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"_Toc130121670" </w:instrText>
      </w:r>
      <w:r>
        <w:fldChar w:fldCharType="separate"/>
      </w:r>
      <w:r>
        <w:rPr>
          <w:rStyle w:val="29"/>
          <w:rFonts w:hint="eastAsia"/>
        </w:rPr>
        <w:t>第一节</w:t>
      </w:r>
      <w:r>
        <w:rPr>
          <w:rStyle w:val="29"/>
        </w:rPr>
        <w:t xml:space="preserve">  </w:t>
      </w:r>
      <w:r>
        <w:rPr>
          <w:rStyle w:val="29"/>
          <w:rFonts w:hint="eastAsia"/>
        </w:rPr>
        <w:t>旅游资源构成与利用方式</w:t>
      </w:r>
      <w:r>
        <w:tab/>
      </w:r>
      <w:r>
        <w:fldChar w:fldCharType="begin"/>
      </w:r>
      <w:r>
        <w:instrText xml:space="preserve"> PAGEREF _Toc130121670 \h </w:instrText>
      </w:r>
      <w:r>
        <w:fldChar w:fldCharType="separate"/>
      </w:r>
      <w:r>
        <w:t>73</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"_Toc130121671" </w:instrText>
      </w:r>
      <w:r>
        <w:fldChar w:fldCharType="separate"/>
      </w:r>
      <w:r>
        <w:rPr>
          <w:rStyle w:val="29"/>
          <w:rFonts w:hint="eastAsia"/>
        </w:rPr>
        <w:t>第二节</w:t>
      </w:r>
      <w:r>
        <w:rPr>
          <w:rStyle w:val="29"/>
        </w:rPr>
        <w:t xml:space="preserve">  </w:t>
      </w:r>
      <w:r>
        <w:rPr>
          <w:rStyle w:val="29"/>
          <w:rFonts w:hint="eastAsia"/>
        </w:rPr>
        <w:t>旅游发展现状</w:t>
      </w:r>
      <w:r>
        <w:tab/>
      </w:r>
      <w:r>
        <w:fldChar w:fldCharType="begin"/>
      </w:r>
      <w:r>
        <w:instrText xml:space="preserve"> PAGEREF _Toc130121671 \h </w:instrText>
      </w:r>
      <w:r>
        <w:fldChar w:fldCharType="separate"/>
      </w:r>
      <w:r>
        <w:t>76</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"_Toc130121672" </w:instrText>
      </w:r>
      <w:r>
        <w:fldChar w:fldCharType="separate"/>
      </w:r>
      <w:r>
        <w:rPr>
          <w:rStyle w:val="29"/>
          <w:rFonts w:hint="eastAsia"/>
        </w:rPr>
        <w:t>第三节</w:t>
      </w:r>
      <w:r>
        <w:rPr>
          <w:rStyle w:val="29"/>
        </w:rPr>
        <w:t xml:space="preserve">  </w:t>
      </w:r>
      <w:r>
        <w:rPr>
          <w:rStyle w:val="29"/>
          <w:rFonts w:hint="eastAsia"/>
        </w:rPr>
        <w:t>客源市场及游客规模分析</w:t>
      </w:r>
      <w:r>
        <w:tab/>
      </w:r>
      <w:r>
        <w:fldChar w:fldCharType="begin"/>
      </w:r>
      <w:r>
        <w:instrText xml:space="preserve"> PAGEREF _Toc130121672 \h </w:instrText>
      </w:r>
      <w:r>
        <w:fldChar w:fldCharType="separate"/>
      </w:r>
      <w:r>
        <w:t>77</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"_Toc130121673" </w:instrText>
      </w:r>
      <w:r>
        <w:fldChar w:fldCharType="separate"/>
      </w:r>
      <w:r>
        <w:rPr>
          <w:rStyle w:val="29"/>
          <w:rFonts w:hint="eastAsia"/>
        </w:rPr>
        <w:t>第四节</w:t>
      </w:r>
      <w:r>
        <w:rPr>
          <w:rStyle w:val="29"/>
        </w:rPr>
        <w:t xml:space="preserve">  </w:t>
      </w:r>
      <w:r>
        <w:rPr>
          <w:rStyle w:val="29"/>
          <w:rFonts w:hint="eastAsia"/>
        </w:rPr>
        <w:t>环境容量及游客容量预测</w:t>
      </w:r>
      <w:r>
        <w:tab/>
      </w:r>
      <w:r>
        <w:fldChar w:fldCharType="begin"/>
      </w:r>
      <w:r>
        <w:instrText xml:space="preserve"> PAGEREF _Toc130121673 \h </w:instrText>
      </w:r>
      <w:r>
        <w:fldChar w:fldCharType="separate"/>
      </w:r>
      <w:r>
        <w:t>81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"_Toc130121674" </w:instrText>
      </w:r>
      <w:r>
        <w:fldChar w:fldCharType="separate"/>
      </w:r>
      <w:r>
        <w:rPr>
          <w:rStyle w:val="29"/>
          <w:rFonts w:hint="eastAsia"/>
        </w:rPr>
        <w:t>第五节</w:t>
      </w:r>
      <w:r>
        <w:rPr>
          <w:rStyle w:val="29"/>
        </w:rPr>
        <w:t xml:space="preserve">  </w:t>
      </w:r>
      <w:r>
        <w:rPr>
          <w:rStyle w:val="29"/>
          <w:rFonts w:hint="eastAsia"/>
        </w:rPr>
        <w:t>旅游项目规划</w:t>
      </w:r>
      <w:r>
        <w:tab/>
      </w:r>
      <w:r>
        <w:fldChar w:fldCharType="begin"/>
      </w:r>
      <w:r>
        <w:instrText xml:space="preserve"> PAGEREF _Toc130121674 \h </w:instrText>
      </w:r>
      <w:r>
        <w:fldChar w:fldCharType="separate"/>
      </w:r>
      <w:r>
        <w:t>82</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"_Toc130121675" </w:instrText>
      </w:r>
      <w:r>
        <w:fldChar w:fldCharType="separate"/>
      </w:r>
      <w:r>
        <w:rPr>
          <w:rStyle w:val="29"/>
          <w:rFonts w:hint="eastAsia"/>
        </w:rPr>
        <w:t>第六节</w:t>
      </w:r>
      <w:r>
        <w:rPr>
          <w:rStyle w:val="29"/>
        </w:rPr>
        <w:t xml:space="preserve">  </w:t>
      </w:r>
      <w:r>
        <w:rPr>
          <w:rStyle w:val="29"/>
          <w:rFonts w:hint="eastAsia"/>
        </w:rPr>
        <w:t>游线与旅游设施规划</w:t>
      </w:r>
      <w:r>
        <w:tab/>
      </w:r>
      <w:r>
        <w:fldChar w:fldCharType="begin"/>
      </w:r>
      <w:r>
        <w:instrText xml:space="preserve"> PAGEREF _Toc130121675 \h </w:instrText>
      </w:r>
      <w:r>
        <w:fldChar w:fldCharType="separate"/>
      </w:r>
      <w:r>
        <w:t>85</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"_Toc130121676" </w:instrText>
      </w:r>
      <w:r>
        <w:fldChar w:fldCharType="separate"/>
      </w:r>
      <w:r>
        <w:rPr>
          <w:rStyle w:val="29"/>
          <w:rFonts w:hint="eastAsia"/>
        </w:rPr>
        <w:t>第十章</w:t>
      </w:r>
      <w:r>
        <w:rPr>
          <w:rStyle w:val="29"/>
        </w:rPr>
        <w:t xml:space="preserve">  </w:t>
      </w:r>
      <w:r>
        <w:rPr>
          <w:rStyle w:val="29"/>
          <w:rFonts w:hint="eastAsia"/>
        </w:rPr>
        <w:t>灾害防御规划</w:t>
      </w:r>
      <w:r>
        <w:tab/>
      </w:r>
      <w:r>
        <w:fldChar w:fldCharType="begin"/>
      </w:r>
      <w:r>
        <w:instrText xml:space="preserve"> PAGEREF _Toc130121676 \h </w:instrText>
      </w:r>
      <w:r>
        <w:fldChar w:fldCharType="separate"/>
      </w:r>
      <w:r>
        <w:t>90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"_Toc130121677" </w:instrText>
      </w:r>
      <w:r>
        <w:fldChar w:fldCharType="separate"/>
      </w:r>
      <w:r>
        <w:rPr>
          <w:rStyle w:val="29"/>
          <w:rFonts w:hint="eastAsia"/>
        </w:rPr>
        <w:t>第一节</w:t>
      </w:r>
      <w:r>
        <w:rPr>
          <w:rStyle w:val="29"/>
        </w:rPr>
        <w:t xml:space="preserve">  </w:t>
      </w:r>
      <w:r>
        <w:rPr>
          <w:rStyle w:val="29"/>
          <w:rFonts w:hint="eastAsia"/>
        </w:rPr>
        <w:t>地质灾害防治规划</w:t>
      </w:r>
      <w:r>
        <w:tab/>
      </w:r>
      <w:r>
        <w:fldChar w:fldCharType="begin"/>
      </w:r>
      <w:r>
        <w:instrText xml:space="preserve"> PAGEREF _Toc130121677 \h </w:instrText>
      </w:r>
      <w:r>
        <w:fldChar w:fldCharType="separate"/>
      </w:r>
      <w:r>
        <w:t>90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"_Toc130121678" </w:instrText>
      </w:r>
      <w:r>
        <w:fldChar w:fldCharType="separate"/>
      </w:r>
      <w:r>
        <w:rPr>
          <w:rStyle w:val="29"/>
          <w:rFonts w:hint="eastAsia"/>
        </w:rPr>
        <w:t>第二节</w:t>
      </w:r>
      <w:r>
        <w:rPr>
          <w:rStyle w:val="29"/>
        </w:rPr>
        <w:t xml:space="preserve">  </w:t>
      </w:r>
      <w:r>
        <w:rPr>
          <w:rStyle w:val="29"/>
          <w:rFonts w:hint="eastAsia"/>
        </w:rPr>
        <w:t>洪涝防治规划</w:t>
      </w:r>
      <w:r>
        <w:tab/>
      </w:r>
      <w:r>
        <w:fldChar w:fldCharType="begin"/>
      </w:r>
      <w:r>
        <w:instrText xml:space="preserve"> PAGEREF _Toc130121678 \h </w:instrText>
      </w:r>
      <w:r>
        <w:fldChar w:fldCharType="separate"/>
      </w:r>
      <w:r>
        <w:t>91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"_Toc130121679" </w:instrText>
      </w:r>
      <w:r>
        <w:fldChar w:fldCharType="separate"/>
      </w:r>
      <w:r>
        <w:rPr>
          <w:rStyle w:val="29"/>
          <w:rFonts w:hint="eastAsia"/>
        </w:rPr>
        <w:t>第三节</w:t>
      </w:r>
      <w:r>
        <w:rPr>
          <w:rStyle w:val="29"/>
        </w:rPr>
        <w:t xml:space="preserve">  </w:t>
      </w:r>
      <w:r>
        <w:rPr>
          <w:rStyle w:val="29"/>
          <w:rFonts w:hint="eastAsia"/>
        </w:rPr>
        <w:t>防火规划</w:t>
      </w:r>
      <w:r>
        <w:tab/>
      </w:r>
      <w:r>
        <w:fldChar w:fldCharType="begin"/>
      </w:r>
      <w:r>
        <w:instrText xml:space="preserve"> PAGEREF _Toc130121679 \h </w:instrText>
      </w:r>
      <w:r>
        <w:fldChar w:fldCharType="separate"/>
      </w:r>
      <w:r>
        <w:t>94</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"_Toc130121680" </w:instrText>
      </w:r>
      <w:r>
        <w:fldChar w:fldCharType="separate"/>
      </w:r>
      <w:r>
        <w:rPr>
          <w:rStyle w:val="29"/>
          <w:rFonts w:hint="eastAsia"/>
        </w:rPr>
        <w:t>第四节</w:t>
      </w:r>
      <w:r>
        <w:rPr>
          <w:rStyle w:val="29"/>
        </w:rPr>
        <w:t xml:space="preserve">  </w:t>
      </w:r>
      <w:r>
        <w:rPr>
          <w:rStyle w:val="29"/>
          <w:rFonts w:hint="eastAsia"/>
        </w:rPr>
        <w:t>应急救援安全规划</w:t>
      </w:r>
      <w:r>
        <w:tab/>
      </w:r>
      <w:r>
        <w:fldChar w:fldCharType="begin"/>
      </w:r>
      <w:r>
        <w:instrText xml:space="preserve"> PAGEREF _Toc130121680 \h </w:instrText>
      </w:r>
      <w:r>
        <w:fldChar w:fldCharType="separate"/>
      </w:r>
      <w:r>
        <w:t>95</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"_Toc130121681" </w:instrText>
      </w:r>
      <w:r>
        <w:fldChar w:fldCharType="separate"/>
      </w:r>
      <w:r>
        <w:rPr>
          <w:rStyle w:val="29"/>
          <w:rFonts w:hint="eastAsia"/>
        </w:rPr>
        <w:t>第五节</w:t>
      </w:r>
      <w:r>
        <w:rPr>
          <w:rStyle w:val="29"/>
        </w:rPr>
        <w:t xml:space="preserve">  </w:t>
      </w:r>
      <w:r>
        <w:rPr>
          <w:rStyle w:val="29"/>
          <w:rFonts w:hint="eastAsia"/>
        </w:rPr>
        <w:t>有害生物防治规划</w:t>
      </w:r>
      <w:r>
        <w:tab/>
      </w:r>
      <w:r>
        <w:fldChar w:fldCharType="begin"/>
      </w:r>
      <w:r>
        <w:instrText xml:space="preserve"> PAGEREF _Toc130121681 \h </w:instrText>
      </w:r>
      <w:r>
        <w:fldChar w:fldCharType="separate"/>
      </w:r>
      <w:r>
        <w:t>96</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"_Toc130121682" </w:instrText>
      </w:r>
      <w:r>
        <w:fldChar w:fldCharType="separate"/>
      </w:r>
      <w:r>
        <w:rPr>
          <w:rStyle w:val="29"/>
          <w:rFonts w:hint="eastAsia"/>
        </w:rPr>
        <w:t>第十一章</w:t>
      </w:r>
      <w:r>
        <w:rPr>
          <w:rStyle w:val="29"/>
        </w:rPr>
        <w:t xml:space="preserve">  </w:t>
      </w:r>
      <w:r>
        <w:rPr>
          <w:rStyle w:val="29"/>
          <w:rFonts w:hint="eastAsia"/>
        </w:rPr>
        <w:t>区域协调与社区共建规划</w:t>
      </w:r>
      <w:r>
        <w:tab/>
      </w:r>
      <w:r>
        <w:fldChar w:fldCharType="begin"/>
      </w:r>
      <w:r>
        <w:instrText xml:space="preserve"> PAGEREF _Toc130121682 \h </w:instrText>
      </w:r>
      <w:r>
        <w:fldChar w:fldCharType="separate"/>
      </w:r>
      <w:r>
        <w:t>97</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"_Toc130121683" </w:instrText>
      </w:r>
      <w:r>
        <w:fldChar w:fldCharType="separate"/>
      </w:r>
      <w:r>
        <w:rPr>
          <w:rStyle w:val="29"/>
          <w:rFonts w:hint="eastAsia"/>
        </w:rPr>
        <w:t>第一节</w:t>
      </w:r>
      <w:r>
        <w:rPr>
          <w:rStyle w:val="29"/>
        </w:rPr>
        <w:t xml:space="preserve">  </w:t>
      </w:r>
      <w:r>
        <w:rPr>
          <w:rStyle w:val="29"/>
          <w:rFonts w:hint="eastAsia"/>
        </w:rPr>
        <w:t>土地利用协调规划</w:t>
      </w:r>
      <w:r>
        <w:tab/>
      </w:r>
      <w:r>
        <w:fldChar w:fldCharType="begin"/>
      </w:r>
      <w:r>
        <w:instrText xml:space="preserve"> PAGEREF _Toc130121683 \h </w:instrText>
      </w:r>
      <w:r>
        <w:fldChar w:fldCharType="separate"/>
      </w:r>
      <w:r>
        <w:t>97</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"_Toc130121684" </w:instrText>
      </w:r>
      <w:r>
        <w:fldChar w:fldCharType="separate"/>
      </w:r>
      <w:r>
        <w:rPr>
          <w:rStyle w:val="29"/>
          <w:rFonts w:hint="eastAsia"/>
        </w:rPr>
        <w:t>第二节</w:t>
      </w:r>
      <w:r>
        <w:rPr>
          <w:rStyle w:val="29"/>
        </w:rPr>
        <w:t xml:space="preserve">  </w:t>
      </w:r>
      <w:r>
        <w:rPr>
          <w:rStyle w:val="29"/>
          <w:rFonts w:hint="eastAsia"/>
        </w:rPr>
        <w:t>周边环境空间管控</w:t>
      </w:r>
      <w:r>
        <w:tab/>
      </w:r>
      <w:r>
        <w:fldChar w:fldCharType="begin"/>
      </w:r>
      <w:r>
        <w:instrText xml:space="preserve"> PAGEREF _Toc130121684 \h </w:instrText>
      </w:r>
      <w:r>
        <w:fldChar w:fldCharType="separate"/>
      </w:r>
      <w:r>
        <w:t>99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"_Toc130121685" </w:instrText>
      </w:r>
      <w:r>
        <w:fldChar w:fldCharType="separate"/>
      </w:r>
      <w:r>
        <w:rPr>
          <w:rStyle w:val="29"/>
          <w:rFonts w:hint="eastAsia"/>
        </w:rPr>
        <w:t>第三节</w:t>
      </w:r>
      <w:r>
        <w:rPr>
          <w:rStyle w:val="29"/>
        </w:rPr>
        <w:t xml:space="preserve">  </w:t>
      </w:r>
      <w:r>
        <w:rPr>
          <w:rStyle w:val="29"/>
          <w:rFonts w:hint="eastAsia"/>
        </w:rPr>
        <w:t>社区共建规划</w:t>
      </w:r>
      <w:r>
        <w:tab/>
      </w:r>
      <w:r>
        <w:fldChar w:fldCharType="begin"/>
      </w:r>
      <w:r>
        <w:instrText xml:space="preserve"> PAGEREF _Toc130121685 \h </w:instrText>
      </w:r>
      <w:r>
        <w:fldChar w:fldCharType="separate"/>
      </w:r>
      <w:r>
        <w:t>101</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"_Toc130121686" </w:instrText>
      </w:r>
      <w:r>
        <w:fldChar w:fldCharType="separate"/>
      </w:r>
      <w:r>
        <w:rPr>
          <w:rStyle w:val="29"/>
          <w:rFonts w:hint="eastAsia"/>
        </w:rPr>
        <w:t>第十二章</w:t>
      </w:r>
      <w:r>
        <w:rPr>
          <w:rStyle w:val="29"/>
        </w:rPr>
        <w:t xml:space="preserve">  </w:t>
      </w:r>
      <w:r>
        <w:rPr>
          <w:rStyle w:val="29"/>
          <w:rFonts w:hint="eastAsia"/>
        </w:rPr>
        <w:t>基础工程规划</w:t>
      </w:r>
      <w:r>
        <w:tab/>
      </w:r>
      <w:r>
        <w:fldChar w:fldCharType="begin"/>
      </w:r>
      <w:r>
        <w:instrText xml:space="preserve"> PAGEREF _Toc130121686 \h </w:instrText>
      </w:r>
      <w:r>
        <w:fldChar w:fldCharType="separate"/>
      </w:r>
      <w:r>
        <w:t>103</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"_Toc130121687" </w:instrText>
      </w:r>
      <w:r>
        <w:fldChar w:fldCharType="separate"/>
      </w:r>
      <w:r>
        <w:rPr>
          <w:rStyle w:val="29"/>
          <w:rFonts w:hint="eastAsia"/>
        </w:rPr>
        <w:t>第一节</w:t>
      </w:r>
      <w:r>
        <w:rPr>
          <w:rStyle w:val="29"/>
        </w:rPr>
        <w:t xml:space="preserve">  </w:t>
      </w:r>
      <w:r>
        <w:rPr>
          <w:rStyle w:val="29"/>
          <w:rFonts w:hint="eastAsia"/>
        </w:rPr>
        <w:t>道路交通规划</w:t>
      </w:r>
      <w:r>
        <w:tab/>
      </w:r>
      <w:r>
        <w:fldChar w:fldCharType="begin"/>
      </w:r>
      <w:r>
        <w:instrText xml:space="preserve"> PAGEREF _Toc130121687 \h </w:instrText>
      </w:r>
      <w:r>
        <w:fldChar w:fldCharType="separate"/>
      </w:r>
      <w:r>
        <w:t>103</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"_Toc130121688" </w:instrText>
      </w:r>
      <w:r>
        <w:fldChar w:fldCharType="separate"/>
      </w:r>
      <w:r>
        <w:rPr>
          <w:rStyle w:val="29"/>
          <w:rFonts w:hint="eastAsia"/>
        </w:rPr>
        <w:t>第二节</w:t>
      </w:r>
      <w:r>
        <w:rPr>
          <w:rStyle w:val="29"/>
        </w:rPr>
        <w:t xml:space="preserve">  </w:t>
      </w:r>
      <w:r>
        <w:rPr>
          <w:rStyle w:val="29"/>
          <w:rFonts w:hint="eastAsia"/>
        </w:rPr>
        <w:t>电力、电信工程规划</w:t>
      </w:r>
      <w:r>
        <w:tab/>
      </w:r>
      <w:r>
        <w:fldChar w:fldCharType="begin"/>
      </w:r>
      <w:r>
        <w:instrText xml:space="preserve"> PAGEREF _Toc130121688 \h </w:instrText>
      </w:r>
      <w:r>
        <w:fldChar w:fldCharType="separate"/>
      </w:r>
      <w:r>
        <w:t>105</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"_Toc130121689" </w:instrText>
      </w:r>
      <w:r>
        <w:fldChar w:fldCharType="separate"/>
      </w:r>
      <w:r>
        <w:rPr>
          <w:rStyle w:val="29"/>
          <w:rFonts w:hint="eastAsia"/>
        </w:rPr>
        <w:t>第三节</w:t>
      </w:r>
      <w:r>
        <w:rPr>
          <w:rStyle w:val="29"/>
        </w:rPr>
        <w:t xml:space="preserve">  </w:t>
      </w:r>
      <w:r>
        <w:rPr>
          <w:rStyle w:val="29"/>
          <w:rFonts w:hint="eastAsia"/>
        </w:rPr>
        <w:t>给排水工程规划</w:t>
      </w:r>
      <w:r>
        <w:tab/>
      </w:r>
      <w:r>
        <w:fldChar w:fldCharType="begin"/>
      </w:r>
      <w:r>
        <w:instrText xml:space="preserve"> PAGEREF _Toc130121689 \h </w:instrText>
      </w:r>
      <w:r>
        <w:fldChar w:fldCharType="separate"/>
      </w:r>
      <w:r>
        <w:t>106</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"_Toc130121690" </w:instrText>
      </w:r>
      <w:r>
        <w:fldChar w:fldCharType="separate"/>
      </w:r>
      <w:r>
        <w:rPr>
          <w:rStyle w:val="29"/>
          <w:rFonts w:hint="eastAsia"/>
        </w:rPr>
        <w:t>第四节</w:t>
      </w:r>
      <w:r>
        <w:rPr>
          <w:rStyle w:val="29"/>
        </w:rPr>
        <w:t xml:space="preserve">  </w:t>
      </w:r>
      <w:r>
        <w:rPr>
          <w:rStyle w:val="29"/>
          <w:rFonts w:hint="eastAsia"/>
        </w:rPr>
        <w:t>供热和燃气工程规划</w:t>
      </w:r>
      <w:r>
        <w:tab/>
      </w:r>
      <w:r>
        <w:fldChar w:fldCharType="begin"/>
      </w:r>
      <w:r>
        <w:instrText xml:space="preserve"> PAGEREF _Toc130121690 \h </w:instrText>
      </w:r>
      <w:r>
        <w:fldChar w:fldCharType="separate"/>
      </w:r>
      <w:r>
        <w:t>107</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"_Toc130121691" </w:instrText>
      </w:r>
      <w:r>
        <w:fldChar w:fldCharType="separate"/>
      </w:r>
      <w:r>
        <w:rPr>
          <w:rStyle w:val="29"/>
          <w:rFonts w:hint="eastAsia"/>
        </w:rPr>
        <w:t>第十三章</w:t>
      </w:r>
      <w:r>
        <w:rPr>
          <w:rStyle w:val="29"/>
        </w:rPr>
        <w:t xml:space="preserve">  </w:t>
      </w:r>
      <w:r>
        <w:rPr>
          <w:rStyle w:val="29"/>
          <w:rFonts w:hint="eastAsia"/>
        </w:rPr>
        <w:t>投资估算与效益评价</w:t>
      </w:r>
      <w:r>
        <w:tab/>
      </w:r>
      <w:r>
        <w:fldChar w:fldCharType="begin"/>
      </w:r>
      <w:r>
        <w:instrText xml:space="preserve"> PAGEREF _Toc130121691 \h </w:instrText>
      </w:r>
      <w:r>
        <w:fldChar w:fldCharType="separate"/>
      </w:r>
      <w:r>
        <w:t>109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"_Toc130121692" </w:instrText>
      </w:r>
      <w:r>
        <w:fldChar w:fldCharType="separate"/>
      </w:r>
      <w:r>
        <w:rPr>
          <w:rStyle w:val="29"/>
          <w:rFonts w:hint="eastAsia"/>
        </w:rPr>
        <w:t>第一节</w:t>
      </w:r>
      <w:r>
        <w:rPr>
          <w:rStyle w:val="29"/>
        </w:rPr>
        <w:t xml:space="preserve">  </w:t>
      </w:r>
      <w:r>
        <w:rPr>
          <w:rStyle w:val="29"/>
          <w:rFonts w:hint="eastAsia"/>
        </w:rPr>
        <w:t>投资估算编制说明</w:t>
      </w:r>
      <w:r>
        <w:tab/>
      </w:r>
      <w:r>
        <w:fldChar w:fldCharType="begin"/>
      </w:r>
      <w:r>
        <w:instrText xml:space="preserve"> PAGEREF _Toc130121692 \h </w:instrText>
      </w:r>
      <w:r>
        <w:fldChar w:fldCharType="separate"/>
      </w:r>
      <w:r>
        <w:t>109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"_Toc130121693" </w:instrText>
      </w:r>
      <w:r>
        <w:fldChar w:fldCharType="separate"/>
      </w:r>
      <w:r>
        <w:rPr>
          <w:rStyle w:val="29"/>
          <w:rFonts w:hint="eastAsia"/>
        </w:rPr>
        <w:t>第二节</w:t>
      </w:r>
      <w:r>
        <w:rPr>
          <w:rStyle w:val="29"/>
        </w:rPr>
        <w:t xml:space="preserve">  </w:t>
      </w:r>
      <w:r>
        <w:rPr>
          <w:rStyle w:val="29"/>
          <w:rFonts w:hint="eastAsia"/>
        </w:rPr>
        <w:t>投资估算</w:t>
      </w:r>
      <w:r>
        <w:tab/>
      </w:r>
      <w:r>
        <w:fldChar w:fldCharType="begin"/>
      </w:r>
      <w:r>
        <w:instrText xml:space="preserve"> PAGEREF _Toc130121693 \h </w:instrText>
      </w:r>
      <w:r>
        <w:fldChar w:fldCharType="separate"/>
      </w:r>
      <w:r>
        <w:t>109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"_Toc130121694" </w:instrText>
      </w:r>
      <w:r>
        <w:fldChar w:fldCharType="separate"/>
      </w:r>
      <w:r>
        <w:rPr>
          <w:rStyle w:val="29"/>
          <w:rFonts w:hint="eastAsia"/>
        </w:rPr>
        <w:t>第三节</w:t>
      </w:r>
      <w:r>
        <w:rPr>
          <w:rStyle w:val="29"/>
        </w:rPr>
        <w:t xml:space="preserve">  </w:t>
      </w:r>
      <w:r>
        <w:rPr>
          <w:rStyle w:val="29"/>
          <w:rFonts w:hint="eastAsia"/>
        </w:rPr>
        <w:t>投资筹措</w:t>
      </w:r>
      <w:r>
        <w:tab/>
      </w:r>
      <w:r>
        <w:fldChar w:fldCharType="begin"/>
      </w:r>
      <w:r>
        <w:instrText xml:space="preserve"> PAGEREF _Toc130121694 \h </w:instrText>
      </w:r>
      <w:r>
        <w:fldChar w:fldCharType="separate"/>
      </w:r>
      <w:r>
        <w:t>110</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"_Toc130121695" </w:instrText>
      </w:r>
      <w:r>
        <w:fldChar w:fldCharType="separate"/>
      </w:r>
      <w:r>
        <w:rPr>
          <w:rStyle w:val="29"/>
          <w:rFonts w:hint="eastAsia"/>
        </w:rPr>
        <w:t>第四节</w:t>
      </w:r>
      <w:r>
        <w:rPr>
          <w:rStyle w:val="29"/>
        </w:rPr>
        <w:t xml:space="preserve">  </w:t>
      </w:r>
      <w:r>
        <w:rPr>
          <w:rStyle w:val="29"/>
          <w:rFonts w:hint="eastAsia"/>
        </w:rPr>
        <w:t>效益评价</w:t>
      </w:r>
      <w:r>
        <w:tab/>
      </w:r>
      <w:r>
        <w:fldChar w:fldCharType="begin"/>
      </w:r>
      <w:r>
        <w:instrText xml:space="preserve"> PAGEREF _Toc130121695 \h </w:instrText>
      </w:r>
      <w:r>
        <w:fldChar w:fldCharType="separate"/>
      </w:r>
      <w:r>
        <w:t>111</w:t>
      </w:r>
      <w:r>
        <w:fldChar w:fldCharType="end"/>
      </w:r>
      <w:r>
        <w:fldChar w:fldCharType="end"/>
      </w:r>
    </w:p>
    <w:p>
      <w:pPr>
        <w:pStyle w:val="18"/>
        <w:tabs>
          <w:tab w:val="right" w:leader="dot" w:pos="8296"/>
        </w:tabs>
        <w:ind w:firstLine="480"/>
        <w:rPr>
          <w:rFonts w:asciiTheme="minorHAnsi" w:hAnsiTheme="minorHAnsi"/>
          <w:sz w:val="21"/>
        </w:rPr>
      </w:pPr>
      <w:r>
        <w:fldChar w:fldCharType="begin"/>
      </w:r>
      <w:r>
        <w:instrText xml:space="preserve"> HYPERLINK \l "_Toc130121696" </w:instrText>
      </w:r>
      <w:r>
        <w:fldChar w:fldCharType="separate"/>
      </w:r>
      <w:r>
        <w:rPr>
          <w:rStyle w:val="29"/>
          <w:rFonts w:hint="eastAsia"/>
        </w:rPr>
        <w:t>第十四章</w:t>
      </w:r>
      <w:r>
        <w:rPr>
          <w:rStyle w:val="29"/>
        </w:rPr>
        <w:t xml:space="preserve">  </w:t>
      </w:r>
      <w:r>
        <w:rPr>
          <w:rStyle w:val="29"/>
          <w:rFonts w:hint="eastAsia"/>
        </w:rPr>
        <w:t>环境影响评价</w:t>
      </w:r>
      <w:r>
        <w:tab/>
      </w:r>
      <w:r>
        <w:fldChar w:fldCharType="begin"/>
      </w:r>
      <w:r>
        <w:instrText xml:space="preserve"> PAGEREF _Toc130121696 \h </w:instrText>
      </w:r>
      <w:r>
        <w:fldChar w:fldCharType="separate"/>
      </w:r>
      <w:r>
        <w:t>116</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"_Toc130121697" </w:instrText>
      </w:r>
      <w:r>
        <w:fldChar w:fldCharType="separate"/>
      </w:r>
      <w:r>
        <w:rPr>
          <w:rStyle w:val="29"/>
          <w:rFonts w:hint="eastAsia"/>
        </w:rPr>
        <w:t>第一节</w:t>
      </w:r>
      <w:r>
        <w:rPr>
          <w:rStyle w:val="29"/>
        </w:rPr>
        <w:t xml:space="preserve">  </w:t>
      </w:r>
      <w:r>
        <w:rPr>
          <w:rStyle w:val="29"/>
          <w:rFonts w:hint="eastAsia"/>
        </w:rPr>
        <w:t>生态环境现状</w:t>
      </w:r>
      <w:r>
        <w:tab/>
      </w:r>
      <w:r>
        <w:fldChar w:fldCharType="begin"/>
      </w:r>
      <w:r>
        <w:instrText xml:space="preserve"> PAGEREF _Toc130121697 \h </w:instrText>
      </w:r>
      <w:r>
        <w:fldChar w:fldCharType="separate"/>
      </w:r>
      <w:r>
        <w:t>116</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"_Toc130121698" </w:instrText>
      </w:r>
      <w:r>
        <w:fldChar w:fldCharType="separate"/>
      </w:r>
      <w:r>
        <w:rPr>
          <w:rStyle w:val="29"/>
          <w:rFonts w:hint="eastAsia"/>
        </w:rPr>
        <w:t>第二节</w:t>
      </w:r>
      <w:r>
        <w:rPr>
          <w:rStyle w:val="29"/>
        </w:rPr>
        <w:t xml:space="preserve">  </w:t>
      </w:r>
      <w:r>
        <w:rPr>
          <w:rStyle w:val="29"/>
          <w:rFonts w:hint="eastAsia"/>
        </w:rPr>
        <w:t>环境影响因素识别与预测</w:t>
      </w:r>
      <w:r>
        <w:tab/>
      </w:r>
      <w:r>
        <w:fldChar w:fldCharType="begin"/>
      </w:r>
      <w:r>
        <w:instrText xml:space="preserve"> PAGEREF _Toc130121698 \h </w:instrText>
      </w:r>
      <w:r>
        <w:fldChar w:fldCharType="separate"/>
      </w:r>
      <w:r>
        <w:t>118</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"_Toc130121699" </w:instrText>
      </w:r>
      <w:r>
        <w:fldChar w:fldCharType="separate"/>
      </w:r>
      <w:r>
        <w:rPr>
          <w:rStyle w:val="29"/>
          <w:rFonts w:hint="eastAsia"/>
        </w:rPr>
        <w:t>第三节</w:t>
      </w:r>
      <w:r>
        <w:rPr>
          <w:rStyle w:val="29"/>
        </w:rPr>
        <w:t xml:space="preserve">  </w:t>
      </w:r>
      <w:r>
        <w:rPr>
          <w:rStyle w:val="29"/>
          <w:rFonts w:hint="eastAsia"/>
        </w:rPr>
        <w:t>项目建设对环境影响分析</w:t>
      </w:r>
      <w:r>
        <w:tab/>
      </w:r>
      <w:r>
        <w:fldChar w:fldCharType="begin"/>
      </w:r>
      <w:r>
        <w:instrText xml:space="preserve"> PAGEREF _Toc130121699 \h </w:instrText>
      </w:r>
      <w:r>
        <w:fldChar w:fldCharType="separate"/>
      </w:r>
      <w:r>
        <w:t>121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"_Toc130121700" </w:instrText>
      </w:r>
      <w:r>
        <w:fldChar w:fldCharType="separate"/>
      </w:r>
      <w:r>
        <w:rPr>
          <w:rStyle w:val="29"/>
          <w:rFonts w:hint="eastAsia"/>
        </w:rPr>
        <w:t>第四节</w:t>
      </w:r>
      <w:r>
        <w:rPr>
          <w:rStyle w:val="29"/>
        </w:rPr>
        <w:t xml:space="preserve">  </w:t>
      </w:r>
      <w:r>
        <w:rPr>
          <w:rStyle w:val="29"/>
          <w:rFonts w:hint="eastAsia"/>
        </w:rPr>
        <w:t>环境保护措施</w:t>
      </w:r>
      <w:r>
        <w:tab/>
      </w:r>
      <w:r>
        <w:fldChar w:fldCharType="begin"/>
      </w:r>
      <w:r>
        <w:instrText xml:space="preserve"> PAGEREF _Toc130121700 \h </w:instrText>
      </w:r>
      <w:r>
        <w:fldChar w:fldCharType="separate"/>
      </w:r>
      <w:r>
        <w:t>122</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"_Toc130121701" </w:instrText>
      </w:r>
      <w:r>
        <w:fldChar w:fldCharType="separate"/>
      </w:r>
      <w:r>
        <w:rPr>
          <w:rStyle w:val="29"/>
          <w:rFonts w:hint="eastAsia"/>
        </w:rPr>
        <w:t>第五节</w:t>
      </w:r>
      <w:r>
        <w:rPr>
          <w:rStyle w:val="29"/>
        </w:rPr>
        <w:t xml:space="preserve">  </w:t>
      </w:r>
      <w:r>
        <w:rPr>
          <w:rStyle w:val="29"/>
          <w:rFonts w:hint="eastAsia"/>
        </w:rPr>
        <w:t>环境影响分析结论</w:t>
      </w:r>
      <w:r>
        <w:tab/>
      </w:r>
      <w:r>
        <w:fldChar w:fldCharType="begin"/>
      </w:r>
      <w:r>
        <w:instrText xml:space="preserve"> PAGEREF _Toc130121701 \h </w:instrText>
      </w:r>
      <w:r>
        <w:fldChar w:fldCharType="separate"/>
      </w:r>
      <w:r>
        <w:t>125</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"_Toc130121702" </w:instrText>
      </w:r>
      <w:r>
        <w:fldChar w:fldCharType="separate"/>
      </w:r>
      <w:r>
        <w:rPr>
          <w:rStyle w:val="29"/>
          <w:rFonts w:hint="eastAsia"/>
        </w:rPr>
        <w:t>附表</w:t>
      </w:r>
      <w:r>
        <w:rPr>
          <w:rStyle w:val="29"/>
        </w:rPr>
        <w:t>1</w:t>
      </w:r>
      <w:r>
        <w:rPr>
          <w:rStyle w:val="29"/>
          <w:rFonts w:hint="eastAsia"/>
        </w:rPr>
        <w:t>投资估算表</w:t>
      </w:r>
      <w:r>
        <w:tab/>
      </w:r>
      <w:r>
        <w:fldChar w:fldCharType="begin"/>
      </w:r>
      <w:r>
        <w:instrText xml:space="preserve"> PAGEREF _Toc130121702 \h </w:instrText>
      </w:r>
      <w:r>
        <w:fldChar w:fldCharType="separate"/>
      </w:r>
      <w:r>
        <w:t>127</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"_Toc130121703" </w:instrText>
      </w:r>
      <w:r>
        <w:fldChar w:fldCharType="separate"/>
      </w:r>
      <w:r>
        <w:rPr>
          <w:rStyle w:val="29"/>
          <w:rFonts w:hint="eastAsia"/>
        </w:rPr>
        <w:t>附录</w:t>
      </w:r>
      <w:r>
        <w:rPr>
          <w:rStyle w:val="29"/>
        </w:rPr>
        <w:t>1</w:t>
      </w:r>
      <w:r>
        <w:rPr>
          <w:rStyle w:val="29"/>
          <w:rFonts w:hint="eastAsia"/>
        </w:rPr>
        <w:t>：玛纳斯国家湿地公园植物名录</w:t>
      </w:r>
      <w:r>
        <w:tab/>
      </w:r>
      <w:r>
        <w:fldChar w:fldCharType="begin"/>
      </w:r>
      <w:r>
        <w:instrText xml:space="preserve"> PAGEREF _Toc130121703 \h </w:instrText>
      </w:r>
      <w:r>
        <w:fldChar w:fldCharType="separate"/>
      </w:r>
      <w:r>
        <w:t>131</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"_Toc130121704" </w:instrText>
      </w:r>
      <w:r>
        <w:fldChar w:fldCharType="separate"/>
      </w:r>
      <w:r>
        <w:rPr>
          <w:rStyle w:val="29"/>
          <w:rFonts w:hint="eastAsia"/>
        </w:rPr>
        <w:t>附录</w:t>
      </w:r>
      <w:r>
        <w:rPr>
          <w:rStyle w:val="29"/>
        </w:rPr>
        <w:t>2</w:t>
      </w:r>
      <w:r>
        <w:rPr>
          <w:rStyle w:val="29"/>
          <w:rFonts w:hint="eastAsia"/>
        </w:rPr>
        <w:t>：玛纳斯国家湿地公园鸟类名录</w:t>
      </w:r>
      <w:r>
        <w:tab/>
      </w:r>
      <w:r>
        <w:fldChar w:fldCharType="begin"/>
      </w:r>
      <w:r>
        <w:instrText xml:space="preserve"> PAGEREF _Toc130121704 \h </w:instrText>
      </w:r>
      <w:r>
        <w:fldChar w:fldCharType="separate"/>
      </w:r>
      <w:r>
        <w:t>139</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"_Toc130121705" </w:instrText>
      </w:r>
      <w:r>
        <w:fldChar w:fldCharType="separate"/>
      </w:r>
      <w:r>
        <w:rPr>
          <w:rStyle w:val="29"/>
          <w:rFonts w:hint="eastAsia"/>
        </w:rPr>
        <w:t>附录</w:t>
      </w:r>
      <w:r>
        <w:rPr>
          <w:rStyle w:val="29"/>
        </w:rPr>
        <w:t>3</w:t>
      </w:r>
      <w:r>
        <w:rPr>
          <w:rStyle w:val="29"/>
          <w:rFonts w:hint="eastAsia"/>
        </w:rPr>
        <w:t xml:space="preserve">  玛纳斯国家湿地公园哺乳动物分布名录</w:t>
      </w:r>
      <w:r>
        <w:tab/>
      </w:r>
      <w:r>
        <w:fldChar w:fldCharType="begin"/>
      </w:r>
      <w:r>
        <w:instrText xml:space="preserve"> PAGEREF _Toc130121705 \h </w:instrText>
      </w:r>
      <w:r>
        <w:fldChar w:fldCharType="separate"/>
      </w:r>
      <w:r>
        <w:t>165</w:t>
      </w:r>
      <w:r>
        <w:fldChar w:fldCharType="end"/>
      </w:r>
      <w:r>
        <w:fldChar w:fldCharType="end"/>
      </w:r>
    </w:p>
    <w:p>
      <w:pPr>
        <w:pStyle w:val="21"/>
        <w:tabs>
          <w:tab w:val="right" w:leader="dot" w:pos="8296"/>
        </w:tabs>
        <w:ind w:left="480" w:firstLine="480"/>
        <w:rPr>
          <w:rFonts w:asciiTheme="minorHAnsi" w:hAnsiTheme="minorHAnsi"/>
          <w:sz w:val="21"/>
        </w:rPr>
      </w:pPr>
      <w:r>
        <w:fldChar w:fldCharType="begin"/>
      </w:r>
      <w:r>
        <w:instrText xml:space="preserve"> HYPERLINK \l "_Toc130121706" </w:instrText>
      </w:r>
      <w:r>
        <w:fldChar w:fldCharType="separate"/>
      </w:r>
      <w:r>
        <w:rPr>
          <w:rStyle w:val="29"/>
          <w:rFonts w:hint="eastAsia"/>
        </w:rPr>
        <w:t>附录</w:t>
      </w:r>
      <w:r>
        <w:rPr>
          <w:rStyle w:val="29"/>
        </w:rPr>
        <w:t xml:space="preserve">4 </w:t>
      </w:r>
      <w:r>
        <w:rPr>
          <w:rStyle w:val="29"/>
          <w:rFonts w:hint="eastAsia"/>
        </w:rPr>
        <w:t xml:space="preserve"> 玛纳斯国家湿地公园爬行动物分布名录</w:t>
      </w:r>
      <w:r>
        <w:tab/>
      </w:r>
      <w:r>
        <w:fldChar w:fldCharType="begin"/>
      </w:r>
      <w:r>
        <w:instrText xml:space="preserve"> PAGEREF _Toc130121706 \h </w:instrText>
      </w:r>
      <w:r>
        <w:fldChar w:fldCharType="separate"/>
      </w:r>
      <w:r>
        <w:t>167</w:t>
      </w:r>
      <w:r>
        <w:fldChar w:fldCharType="end"/>
      </w:r>
      <w:r>
        <w:fldChar w:fldCharType="end"/>
      </w:r>
    </w:p>
    <w:p>
      <w:pPr>
        <w:pStyle w:val="21"/>
        <w:tabs>
          <w:tab w:val="right" w:leader="dot" w:pos="8296"/>
        </w:tabs>
        <w:ind w:left="480" w:firstLine="480"/>
      </w:pPr>
      <w:r>
        <w:fldChar w:fldCharType="begin"/>
      </w:r>
      <w:r>
        <w:instrText xml:space="preserve"> HYPERLINK \l "_Toc130121707" </w:instrText>
      </w:r>
      <w:r>
        <w:fldChar w:fldCharType="separate"/>
      </w:r>
      <w:r>
        <w:rPr>
          <w:rStyle w:val="29"/>
          <w:rFonts w:hint="eastAsia"/>
        </w:rPr>
        <w:t>附录</w:t>
      </w:r>
      <w:r>
        <w:rPr>
          <w:rStyle w:val="29"/>
        </w:rPr>
        <w:t xml:space="preserve">5 </w:t>
      </w:r>
      <w:r>
        <w:rPr>
          <w:rStyle w:val="29"/>
          <w:rFonts w:hint="eastAsia"/>
        </w:rPr>
        <w:t xml:space="preserve"> 玛纳斯国家湿地公园两栖动物分布名录</w:t>
      </w:r>
      <w:r>
        <w:tab/>
      </w:r>
      <w:r>
        <w:fldChar w:fldCharType="begin"/>
      </w:r>
      <w:r>
        <w:instrText xml:space="preserve"> PAGEREF _Toc130121707 \h </w:instrText>
      </w:r>
      <w:r>
        <w:fldChar w:fldCharType="separate"/>
      </w:r>
      <w:r>
        <w:t>168</w:t>
      </w:r>
      <w:r>
        <w:fldChar w:fldCharType="end"/>
      </w:r>
      <w:r>
        <w:fldChar w:fldCharType="end"/>
      </w:r>
    </w:p>
    <w:p>
      <w:pPr>
        <w:ind w:firstLine="480"/>
      </w:pPr>
      <w:r>
        <w:rPr>
          <w:rFonts w:hint="eastAsia"/>
        </w:rPr>
        <w:t xml:space="preserve">    附件1：玛纳斯国家湿地公园管理局机构成立文件…………………169</w:t>
      </w:r>
    </w:p>
    <w:p>
      <w:pPr>
        <w:ind w:firstLine="480"/>
      </w:pPr>
      <w:r>
        <w:rPr>
          <w:rFonts w:hint="eastAsia"/>
        </w:rPr>
        <w:t xml:space="preserve">    附件2：玛纳斯县人民政府关于呈报文件……………………………172</w:t>
      </w:r>
    </w:p>
    <w:p>
      <w:pPr>
        <w:ind w:firstLine="480"/>
      </w:pPr>
      <w:r>
        <w:rPr>
          <w:rFonts w:hint="eastAsia"/>
        </w:rPr>
        <w:t xml:space="preserve">    附件3：昌吉州专拣评审意见及修改说明……………………………174</w:t>
      </w:r>
    </w:p>
    <w:p>
      <w:pPr>
        <w:ind w:firstLine="480"/>
      </w:pPr>
      <w:r>
        <w:rPr>
          <w:rFonts w:hint="eastAsia"/>
        </w:rPr>
        <w:t xml:space="preserve">    附件4：自治区专家评审意见及修改说明……………………………182</w:t>
      </w:r>
    </w:p>
    <w:p>
      <w:pPr>
        <w:ind w:firstLine="480"/>
      </w:pPr>
      <w:r>
        <w:rPr>
          <w:rFonts w:hint="eastAsia"/>
        </w:rPr>
        <w:t xml:space="preserve">    附件5：自治区各厅局意见及修改说明………………………………193</w:t>
      </w:r>
    </w:p>
    <w:p>
      <w:pPr>
        <w:ind w:firstLine="723"/>
        <w:rPr>
          <w:rFonts w:eastAsia="宋体"/>
          <w:smallCaps/>
          <w:szCs w:val="21"/>
        </w:rPr>
      </w:pPr>
      <w:r>
        <w:rPr>
          <w:rFonts w:eastAsia="黑体"/>
          <w:b/>
          <w:bCs/>
          <w:kern w:val="44"/>
          <w:sz w:val="36"/>
          <w:szCs w:val="44"/>
        </w:rPr>
        <w:fldChar w:fldCharType="end"/>
      </w:r>
      <w:r>
        <w:rPr>
          <w:rFonts w:eastAsia="宋体"/>
          <w:smallCaps/>
          <w:szCs w:val="21"/>
        </w:rPr>
        <w:t xml:space="preserve"> </w:t>
      </w:r>
      <w:r>
        <w:rPr>
          <w:rFonts w:hint="eastAsia" w:eastAsia="宋体"/>
          <w:smallCaps/>
          <w:szCs w:val="21"/>
        </w:rPr>
        <w:t xml:space="preserve"> </w:t>
      </w:r>
    </w:p>
    <w:p>
      <w:pPr>
        <w:ind w:firstLine="480"/>
        <w:rPr>
          <w:rFonts w:eastAsia="宋体"/>
          <w:smallCaps/>
          <w:szCs w:val="21"/>
        </w:rPr>
      </w:pPr>
      <w:r>
        <w:rPr>
          <w:rFonts w:hint="eastAsia" w:eastAsia="宋体"/>
          <w:smallCaps/>
          <w:szCs w:val="21"/>
        </w:rPr>
        <w:t>附图：</w:t>
      </w:r>
    </w:p>
    <w:p>
      <w:pPr>
        <w:pStyle w:val="35"/>
        <w:numPr>
          <w:ilvl w:val="0"/>
          <w:numId w:val="2"/>
        </w:numPr>
        <w:ind w:firstLineChars="0"/>
        <w:rPr>
          <w:rFonts w:eastAsia="宋体"/>
          <w:smallCaps/>
          <w:szCs w:val="21"/>
        </w:rPr>
      </w:pPr>
      <w:r>
        <w:rPr>
          <w:rFonts w:hint="eastAsia" w:eastAsia="宋体"/>
          <w:smallCaps/>
          <w:szCs w:val="21"/>
        </w:rPr>
        <w:t>地理区位分析图；</w:t>
      </w:r>
    </w:p>
    <w:p>
      <w:pPr>
        <w:pStyle w:val="35"/>
        <w:numPr>
          <w:ilvl w:val="0"/>
          <w:numId w:val="2"/>
        </w:numPr>
        <w:ind w:firstLineChars="0"/>
        <w:rPr>
          <w:rFonts w:eastAsia="宋体"/>
          <w:smallCaps/>
          <w:szCs w:val="21"/>
        </w:rPr>
      </w:pPr>
      <w:r>
        <w:rPr>
          <w:rFonts w:hint="eastAsia" w:eastAsia="宋体"/>
          <w:smallCaps/>
          <w:szCs w:val="21"/>
        </w:rPr>
        <w:t>生态区位分析图；</w:t>
      </w:r>
    </w:p>
    <w:p>
      <w:pPr>
        <w:pStyle w:val="35"/>
        <w:numPr>
          <w:ilvl w:val="0"/>
          <w:numId w:val="2"/>
        </w:numPr>
        <w:ind w:firstLineChars="0"/>
        <w:rPr>
          <w:rFonts w:eastAsia="宋体"/>
          <w:smallCaps/>
          <w:szCs w:val="21"/>
        </w:rPr>
      </w:pPr>
      <w:r>
        <w:rPr>
          <w:rFonts w:hint="eastAsia" w:eastAsia="宋体"/>
          <w:smallCaps/>
          <w:szCs w:val="21"/>
        </w:rPr>
        <w:t>水系关系分布图；</w:t>
      </w:r>
    </w:p>
    <w:p>
      <w:pPr>
        <w:pStyle w:val="35"/>
        <w:numPr>
          <w:ilvl w:val="0"/>
          <w:numId w:val="2"/>
        </w:numPr>
        <w:ind w:firstLineChars="0"/>
        <w:rPr>
          <w:rFonts w:eastAsia="宋体"/>
          <w:smallCaps/>
          <w:szCs w:val="21"/>
        </w:rPr>
      </w:pPr>
      <w:r>
        <w:rPr>
          <w:rFonts w:hint="eastAsia" w:eastAsia="宋体"/>
          <w:smallCaps/>
          <w:szCs w:val="21"/>
        </w:rPr>
        <w:t>周边保护地分布图；</w:t>
      </w:r>
    </w:p>
    <w:p>
      <w:pPr>
        <w:pStyle w:val="35"/>
        <w:numPr>
          <w:ilvl w:val="0"/>
          <w:numId w:val="2"/>
        </w:numPr>
        <w:ind w:firstLineChars="0"/>
        <w:rPr>
          <w:rFonts w:eastAsia="宋体"/>
          <w:smallCaps/>
          <w:szCs w:val="21"/>
        </w:rPr>
      </w:pPr>
      <w:r>
        <w:rPr>
          <w:rFonts w:hint="eastAsia" w:eastAsia="宋体"/>
          <w:smallCaps/>
          <w:szCs w:val="21"/>
        </w:rPr>
        <w:t>鸟类资源分布图；</w:t>
      </w:r>
    </w:p>
    <w:p>
      <w:pPr>
        <w:pStyle w:val="35"/>
        <w:numPr>
          <w:ilvl w:val="0"/>
          <w:numId w:val="2"/>
        </w:numPr>
        <w:ind w:firstLineChars="0"/>
        <w:rPr>
          <w:rFonts w:eastAsia="宋体"/>
          <w:smallCaps/>
          <w:szCs w:val="21"/>
        </w:rPr>
      </w:pPr>
      <w:r>
        <w:rPr>
          <w:rFonts w:hint="eastAsia" w:eastAsia="宋体"/>
          <w:smallCaps/>
          <w:szCs w:val="21"/>
        </w:rPr>
        <w:t>遥感影像图；</w:t>
      </w:r>
    </w:p>
    <w:p>
      <w:pPr>
        <w:pStyle w:val="35"/>
        <w:numPr>
          <w:ilvl w:val="0"/>
          <w:numId w:val="2"/>
        </w:numPr>
        <w:ind w:firstLineChars="0"/>
        <w:rPr>
          <w:rFonts w:eastAsia="宋体"/>
          <w:smallCaps/>
          <w:szCs w:val="21"/>
        </w:rPr>
      </w:pPr>
      <w:r>
        <w:rPr>
          <w:rFonts w:hint="eastAsia" w:eastAsia="宋体"/>
          <w:smallCaps/>
          <w:szCs w:val="21"/>
        </w:rPr>
        <w:t>湿地资源类型图；</w:t>
      </w:r>
    </w:p>
    <w:p>
      <w:pPr>
        <w:pStyle w:val="35"/>
        <w:numPr>
          <w:ilvl w:val="0"/>
          <w:numId w:val="2"/>
        </w:numPr>
        <w:ind w:firstLineChars="0"/>
        <w:rPr>
          <w:rFonts w:eastAsia="宋体"/>
          <w:smallCaps/>
          <w:szCs w:val="21"/>
        </w:rPr>
      </w:pPr>
      <w:r>
        <w:rPr>
          <w:rFonts w:hint="eastAsia" w:eastAsia="宋体"/>
          <w:smallCaps/>
          <w:szCs w:val="21"/>
        </w:rPr>
        <w:t>土地利用现状图；</w:t>
      </w:r>
    </w:p>
    <w:p>
      <w:pPr>
        <w:pStyle w:val="35"/>
        <w:numPr>
          <w:ilvl w:val="0"/>
          <w:numId w:val="2"/>
        </w:numPr>
        <w:ind w:firstLineChars="0"/>
        <w:rPr>
          <w:rFonts w:eastAsia="宋体"/>
          <w:smallCaps/>
          <w:szCs w:val="21"/>
        </w:rPr>
      </w:pPr>
      <w:r>
        <w:rPr>
          <w:rFonts w:hint="eastAsia" w:eastAsia="宋体"/>
          <w:smallCaps/>
          <w:szCs w:val="21"/>
        </w:rPr>
        <w:t>功能分区规划图；</w:t>
      </w:r>
    </w:p>
    <w:p>
      <w:pPr>
        <w:ind w:left="426" w:firstLine="0" w:firstLineChars="0"/>
        <w:rPr>
          <w:rFonts w:eastAsia="宋体"/>
          <w:smallCaps/>
          <w:szCs w:val="21"/>
        </w:rPr>
      </w:pPr>
      <w:r>
        <w:rPr>
          <w:rFonts w:hint="eastAsia" w:eastAsia="宋体"/>
          <w:smallCaps/>
          <w:szCs w:val="21"/>
        </w:rPr>
        <w:t>10、总体布局图；</w:t>
      </w:r>
    </w:p>
    <w:p>
      <w:pPr>
        <w:ind w:left="426" w:firstLine="0" w:firstLineChars="0"/>
        <w:rPr>
          <w:rFonts w:eastAsia="宋体"/>
          <w:smallCaps/>
          <w:szCs w:val="21"/>
        </w:rPr>
      </w:pPr>
      <w:r>
        <w:rPr>
          <w:rFonts w:hint="eastAsia" w:eastAsia="宋体"/>
          <w:smallCaps/>
          <w:szCs w:val="21"/>
        </w:rPr>
        <w:t>11、保护管理规划图；</w:t>
      </w:r>
    </w:p>
    <w:p>
      <w:pPr>
        <w:ind w:left="426" w:firstLine="0" w:firstLineChars="0"/>
        <w:rPr>
          <w:rFonts w:eastAsia="宋体"/>
          <w:smallCaps/>
          <w:szCs w:val="21"/>
        </w:rPr>
      </w:pPr>
      <w:r>
        <w:rPr>
          <w:rFonts w:hint="eastAsia" w:eastAsia="宋体"/>
          <w:smallCaps/>
          <w:szCs w:val="21"/>
        </w:rPr>
        <w:t>12、生境保护小区布局图；</w:t>
      </w:r>
    </w:p>
    <w:p>
      <w:pPr>
        <w:ind w:left="426" w:firstLine="0" w:firstLineChars="0"/>
        <w:rPr>
          <w:rFonts w:eastAsia="宋体"/>
          <w:smallCaps/>
          <w:szCs w:val="21"/>
        </w:rPr>
      </w:pPr>
      <w:r>
        <w:rPr>
          <w:rFonts w:hint="eastAsia" w:eastAsia="宋体"/>
          <w:smallCaps/>
          <w:szCs w:val="21"/>
        </w:rPr>
        <w:t>13、科研监测布局图；</w:t>
      </w:r>
    </w:p>
    <w:p>
      <w:pPr>
        <w:ind w:left="426" w:firstLine="0" w:firstLineChars="0"/>
        <w:rPr>
          <w:rFonts w:eastAsia="宋体"/>
          <w:smallCaps/>
          <w:szCs w:val="21"/>
        </w:rPr>
      </w:pPr>
      <w:r>
        <w:rPr>
          <w:rFonts w:hint="eastAsia" w:eastAsia="宋体"/>
          <w:smallCaps/>
          <w:szCs w:val="21"/>
        </w:rPr>
        <w:t>14、生态旅游规划图；</w:t>
      </w:r>
    </w:p>
    <w:p>
      <w:pPr>
        <w:ind w:left="426" w:firstLine="0" w:firstLineChars="0"/>
        <w:rPr>
          <w:rFonts w:eastAsia="宋体"/>
          <w:smallCaps/>
          <w:szCs w:val="21"/>
        </w:rPr>
      </w:pPr>
      <w:r>
        <w:rPr>
          <w:rFonts w:hint="eastAsia" w:eastAsia="宋体"/>
          <w:smallCaps/>
          <w:szCs w:val="21"/>
        </w:rPr>
        <w:t>15、科普宣教设施布局图；</w:t>
      </w:r>
    </w:p>
    <w:p>
      <w:pPr>
        <w:ind w:left="426" w:firstLine="0" w:firstLineChars="0"/>
        <w:rPr>
          <w:rFonts w:eastAsia="宋体"/>
          <w:smallCaps/>
          <w:szCs w:val="21"/>
        </w:rPr>
      </w:pPr>
      <w:r>
        <w:rPr>
          <w:rFonts w:hint="eastAsia" w:eastAsia="宋体"/>
          <w:smallCaps/>
          <w:szCs w:val="21"/>
        </w:rPr>
        <w:t>16、修编范围对比图</w:t>
      </w:r>
    </w:p>
    <w:p>
      <w:pPr>
        <w:ind w:firstLine="480"/>
        <w:rPr>
          <w:rFonts w:eastAsia="宋体"/>
          <w:szCs w:val="21"/>
        </w:rPr>
      </w:pPr>
    </w:p>
    <w:p>
      <w:pPr>
        <w:pStyle w:val="2"/>
        <w:ind w:firstLine="723"/>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624" w:gutter="0"/>
          <w:pgNumType w:fmt="upperRoman" w:start="1"/>
          <w:cols w:space="425" w:num="1"/>
          <w:docGrid w:type="lines" w:linePitch="312" w:charSpace="0"/>
        </w:sectPr>
      </w:pPr>
    </w:p>
    <w:p>
      <w:pPr>
        <w:pStyle w:val="2"/>
        <w:ind w:firstLine="723"/>
      </w:pPr>
      <w:bookmarkStart w:id="0" w:name="_Toc130121628"/>
      <w:r>
        <w:rPr>
          <w:rFonts w:hint="eastAsia"/>
        </w:rPr>
        <w:t>第一章</w:t>
      </w:r>
      <w:r>
        <w:t xml:space="preserve">  </w:t>
      </w:r>
      <w:r>
        <w:rPr>
          <w:rFonts w:hint="eastAsia"/>
        </w:rPr>
        <w:t>总   则</w:t>
      </w:r>
      <w:bookmarkEnd w:id="0"/>
    </w:p>
    <w:p>
      <w:pPr>
        <w:pStyle w:val="3"/>
        <w:ind w:firstLine="643"/>
      </w:pPr>
      <w:bookmarkStart w:id="1" w:name="_Toc130121629"/>
      <w:r>
        <w:rPr>
          <w:rFonts w:hint="eastAsia"/>
        </w:rPr>
        <w:t>第一节</w:t>
      </w:r>
      <w:r>
        <w:t xml:space="preserve">  </w:t>
      </w:r>
      <w:r>
        <w:rPr>
          <w:rFonts w:hint="eastAsia"/>
        </w:rPr>
        <w:t>规划背景</w:t>
      </w:r>
      <w:bookmarkEnd w:id="1"/>
    </w:p>
    <w:p>
      <w:pPr>
        <w:pStyle w:val="4"/>
      </w:pPr>
      <w:r>
        <w:rPr>
          <w:rFonts w:hint="eastAsia"/>
        </w:rPr>
        <w:t>一、湿地公园基本情况</w:t>
      </w:r>
    </w:p>
    <w:p>
      <w:pPr>
        <w:ind w:firstLine="480"/>
      </w:pPr>
      <w:r>
        <w:rPr>
          <w:szCs w:val="24"/>
        </w:rPr>
        <w:t>湿地是生命的摇篮、是文明的源头，</w:t>
      </w:r>
      <w:r>
        <w:rPr>
          <w:rFonts w:hint="eastAsia"/>
          <w:szCs w:val="24"/>
        </w:rPr>
        <w:t>也</w:t>
      </w:r>
      <w:r>
        <w:rPr>
          <w:szCs w:val="24"/>
        </w:rPr>
        <w:t>是人类文化传承的载体。</w:t>
      </w:r>
      <w:r>
        <w:rPr>
          <w:rFonts w:hint="eastAsia"/>
          <w:szCs w:val="24"/>
        </w:rPr>
        <w:t>保护与合理利用湿地，对区域经济和生态文明建设有着举足轻重的作用。</w:t>
      </w:r>
      <w:r>
        <w:rPr>
          <w:rFonts w:hint="eastAsia"/>
        </w:rPr>
        <w:t>新疆地处我国西北内陆，是我国沙化土地面积最大、分布最广、风沙危害最严重的省区。新疆的绿洲分布于塔里木盆地和准噶尔盆地的周边，仅占总面积的7%，却养育着新疆97% 的人口，绿洲因水而建，湿地是绿洲生态系统的重要组成部分。</w:t>
      </w:r>
    </w:p>
    <w:p>
      <w:pPr>
        <w:ind w:firstLine="480"/>
      </w:pPr>
      <w:r>
        <w:rPr>
          <w:rFonts w:hint="eastAsia"/>
        </w:rPr>
        <w:t>玛纳斯国家湿地公园位于天山北坡中段，准噶尔盆地南缘，是区域重要的水源涵养和补给地。玛纳斯河流域总面积约为1.76万km</w:t>
      </w:r>
      <w:r>
        <w:rPr>
          <w:rFonts w:hint="eastAsia"/>
          <w:vertAlign w:val="superscript"/>
        </w:rPr>
        <w:t>2</w:t>
      </w:r>
      <w:r>
        <w:rPr>
          <w:rFonts w:hint="eastAsia"/>
        </w:rPr>
        <w:t>，是天山北坡水系最丰富的流域，玛纳斯河是准噶尔盆地流程最长、流量最大的内陆河流。</w:t>
      </w:r>
    </w:p>
    <w:p>
      <w:pPr>
        <w:ind w:firstLine="480"/>
      </w:pPr>
      <w:r>
        <w:rPr>
          <w:rFonts w:hint="eastAsia"/>
        </w:rPr>
        <w:t>玛纳斯国家湿地公园于2011 年被国家林业局批准为国家湿地公园建设试点，2</w:t>
      </w:r>
      <w:r>
        <w:t>016</w:t>
      </w:r>
      <w:r>
        <w:rPr>
          <w:rFonts w:hint="eastAsia"/>
        </w:rPr>
        <w:t>年通过验收正式授牌。湿地公园原规划总面积</w:t>
      </w:r>
      <w:r>
        <w:t>4702</w:t>
      </w:r>
      <w:r>
        <w:rPr>
          <w:rFonts w:hint="eastAsia"/>
          <w:sz w:val="28"/>
          <w:szCs w:val="28"/>
        </w:rPr>
        <w:t xml:space="preserve"> hm</w:t>
      </w:r>
      <w:r>
        <w:rPr>
          <w:rFonts w:hint="eastAsia"/>
          <w:sz w:val="28"/>
          <w:szCs w:val="28"/>
          <w:vertAlign w:val="superscript"/>
        </w:rPr>
        <w:t>2</w:t>
      </w:r>
      <w:r>
        <w:rPr>
          <w:rFonts w:hint="eastAsia"/>
        </w:rPr>
        <w:t>，范围涉及玛纳斯河流域、塔西河流域的部分区域，湿地面积</w:t>
      </w:r>
      <w:r>
        <w:rPr>
          <w:rFonts w:cs="Times New Roman"/>
          <w:szCs w:val="21"/>
        </w:rPr>
        <w:t>2080.80</w:t>
      </w:r>
      <w:r>
        <w:rPr>
          <w:rFonts w:hint="eastAsia"/>
          <w:sz w:val="28"/>
          <w:szCs w:val="28"/>
        </w:rPr>
        <w:t xml:space="preserve"> hm</w:t>
      </w:r>
      <w:r>
        <w:rPr>
          <w:rFonts w:hint="eastAsia"/>
          <w:sz w:val="28"/>
          <w:szCs w:val="28"/>
          <w:vertAlign w:val="superscript"/>
        </w:rPr>
        <w:t>2</w:t>
      </w:r>
      <w:r>
        <w:rPr>
          <w:rFonts w:hint="eastAsia"/>
        </w:rPr>
        <w:t>，湿地率</w:t>
      </w:r>
      <w:r>
        <w:rPr>
          <w:rFonts w:cs="Times New Roman"/>
          <w:szCs w:val="21"/>
        </w:rPr>
        <w:t>52.71%</w:t>
      </w:r>
      <w:r>
        <w:rPr>
          <w:rFonts w:hint="eastAsia"/>
        </w:rPr>
        <w:t>，以河流和库塘湿地类型为主。</w:t>
      </w:r>
    </w:p>
    <w:p>
      <w:pPr>
        <w:pStyle w:val="4"/>
      </w:pPr>
      <w:r>
        <w:rPr>
          <w:rFonts w:hint="eastAsia"/>
        </w:rPr>
        <w:t>二、规划（修编）的原因</w:t>
      </w:r>
    </w:p>
    <w:p>
      <w:pPr>
        <w:ind w:firstLine="480"/>
      </w:pPr>
      <w:r>
        <w:rPr>
          <w:rFonts w:hint="eastAsia"/>
        </w:rPr>
        <w:t>在上一轮总体规划指导下，通过实施湿地保护条例和开展系列保护与恢复措施，玛纳斯国家湿地公园生态环境显著改善，植被覆盖增加，提升了野生动物栖息地质量，扭转了生物多样性下降的趋势。2019年玛纳斯县组织编制了《新疆玛纳斯国家湿地公园总体规划（修编）（2019-2025年》，因国家林草局自然保护地优化整合政策调整期未获得批复，故本次规划（修编）是对首次规划的延续编制。</w:t>
      </w:r>
    </w:p>
    <w:p>
      <w:pPr>
        <w:ind w:firstLine="480"/>
      </w:pPr>
      <w:r>
        <w:rPr>
          <w:rFonts w:hint="eastAsia"/>
        </w:rPr>
        <w:t>根据2022年3月中央第五生态环境保护督察组督察新疆时反馈的问题所制定的相关生态环境治理措施，妥善处理当前湿地保护和管理面临的新情况、新问题，统筹协调湿地保护与新型城镇化建设、乡村振兴战略以及区域经济社会发展重大项目布局的关系，推进湿地生态保护的持续发展。本次规划是在调整方案的基础上进行的，范围和功能分区采用的是调整报告确定的内容。</w:t>
      </w:r>
    </w:p>
    <w:p>
      <w:pPr>
        <w:pStyle w:val="3"/>
        <w:ind w:firstLine="643"/>
      </w:pPr>
      <w:bookmarkStart w:id="2" w:name="_Toc130121630"/>
      <w:r>
        <w:rPr>
          <w:rFonts w:hint="eastAsia"/>
        </w:rPr>
        <w:t>第二节</w:t>
      </w:r>
      <w:r>
        <w:t xml:space="preserve">  </w:t>
      </w:r>
      <w:r>
        <w:rPr>
          <w:rFonts w:hint="eastAsia"/>
        </w:rPr>
        <w:t>规划概述</w:t>
      </w:r>
      <w:bookmarkEnd w:id="2"/>
    </w:p>
    <w:p>
      <w:pPr>
        <w:pStyle w:val="4"/>
      </w:pPr>
      <w:r>
        <w:rPr>
          <w:rFonts w:hint="eastAsia"/>
        </w:rPr>
        <w:t>一、规划概况</w:t>
      </w:r>
    </w:p>
    <w:p>
      <w:pPr>
        <w:ind w:firstLine="480"/>
      </w:pPr>
      <w:r>
        <w:rPr>
          <w:rFonts w:hint="eastAsia"/>
        </w:rPr>
        <w:t xml:space="preserve">规划名称：玛纳斯国家湿地公园总体规划 </w:t>
      </w:r>
    </w:p>
    <w:p>
      <w:pPr>
        <w:ind w:firstLine="480"/>
      </w:pPr>
      <w:r>
        <w:rPr>
          <w:rFonts w:hint="eastAsia"/>
        </w:rPr>
        <w:t>主管单位：玛纳斯国家湿地公园管理局</w:t>
      </w:r>
    </w:p>
    <w:p>
      <w:pPr>
        <w:ind w:firstLine="480"/>
      </w:pPr>
      <w:r>
        <w:rPr>
          <w:rFonts w:hint="eastAsia"/>
        </w:rPr>
        <w:t>项目性质：国有、扩建、生态建设、公益性事业</w:t>
      </w:r>
    </w:p>
    <w:p>
      <w:pPr>
        <w:pStyle w:val="4"/>
      </w:pPr>
      <w:r>
        <w:rPr>
          <w:rFonts w:hint="eastAsia"/>
        </w:rPr>
        <w:t>二、湿地公园范围调整说明</w:t>
      </w:r>
    </w:p>
    <w:p>
      <w:pPr>
        <w:pStyle w:val="5"/>
      </w:pPr>
      <w:r>
        <w:rPr>
          <w:rFonts w:hint="eastAsia"/>
        </w:rPr>
        <w:t>（一）</w:t>
      </w:r>
      <w:r>
        <w:t>范围调整思路</w:t>
      </w:r>
    </w:p>
    <w:p>
      <w:pPr>
        <w:spacing w:before="190"/>
        <w:ind w:firstLine="480"/>
        <w:rPr>
          <w:rFonts w:cs="Times New Roman"/>
          <w:szCs w:val="21"/>
        </w:rPr>
      </w:pPr>
      <w:r>
        <w:rPr>
          <w:rFonts w:cs="Times New Roman"/>
          <w:szCs w:val="21"/>
        </w:rPr>
        <w:t>调整方案是以湿地公园实际核实矢量数据为基础进行编制，主要为两部分内容：一是因管理权属问题调整，将新疆生产建设兵团第八师有争议地块调出公园范围。二是因保护与发展矛盾冲突调整，调出与国家湿地公园建设和管理相冲突区域，调入应保尽保区域，确保自然和谐，提高湿地生态质量。</w:t>
      </w:r>
    </w:p>
    <w:p>
      <w:pPr>
        <w:spacing w:before="190"/>
        <w:ind w:firstLine="480"/>
        <w:rPr>
          <w:rFonts w:cs="Times New Roman"/>
          <w:szCs w:val="21"/>
        </w:rPr>
      </w:pPr>
      <w:r>
        <w:rPr>
          <w:rFonts w:cs="Times New Roman"/>
          <w:szCs w:val="21"/>
        </w:rPr>
        <w:t>（1）为落实国务院办公厅文件中关于对湿地实施“全面保护”的方针，有效保护玛纳斯河流域水环境和生物栖息环境，将玛纳斯县境内的具有重要生态功能的湿地如塔西河湿地、夹河子水库库区沼泽湿地以及柽柳次生林、退耕还湿地纳入湿地公园范围，扩大湿地有效保护面积。</w:t>
      </w:r>
    </w:p>
    <w:p>
      <w:pPr>
        <w:spacing w:before="190"/>
        <w:ind w:firstLine="480"/>
        <w:rPr>
          <w:rFonts w:cs="Times New Roman"/>
          <w:szCs w:val="21"/>
        </w:rPr>
      </w:pPr>
      <w:r>
        <w:rPr>
          <w:rFonts w:cs="Times New Roman"/>
          <w:szCs w:val="21"/>
        </w:rPr>
        <w:t>（2）将部分不属于玛纳斯县管辖的湿地和土地纳入湿地公园范围，造成保护管理不便，此次范围</w:t>
      </w:r>
      <w:r>
        <w:rPr>
          <w:rFonts w:hint="eastAsia" w:cs="Times New Roman"/>
          <w:szCs w:val="21"/>
        </w:rPr>
        <w:t>调整</w:t>
      </w:r>
      <w:r>
        <w:rPr>
          <w:rFonts w:cs="Times New Roman"/>
          <w:szCs w:val="21"/>
        </w:rPr>
        <w:t>明确以玛纳斯县管辖土地为界限</w:t>
      </w:r>
      <w:r>
        <w:rPr>
          <w:rFonts w:hint="eastAsia" w:cs="Times New Roman"/>
          <w:szCs w:val="21"/>
        </w:rPr>
        <w:t>，</w:t>
      </w:r>
      <w:r>
        <w:rPr>
          <w:rFonts w:cs="Times New Roman"/>
          <w:szCs w:val="21"/>
        </w:rPr>
        <w:t>并争取与邻接地市共同保护流域湿地资源。</w:t>
      </w:r>
    </w:p>
    <w:p>
      <w:pPr>
        <w:ind w:firstLine="480"/>
      </w:pPr>
      <w:r>
        <w:rPr>
          <w:rFonts w:cs="Times New Roman"/>
          <w:szCs w:val="21"/>
        </w:rPr>
        <w:t>（3）原湿地公园范围中包含了周边的部分村庄和基本农田，不能进行有效管理</w:t>
      </w:r>
      <w:r>
        <w:rPr>
          <w:rFonts w:hint="eastAsia" w:cs="Times New Roman"/>
          <w:szCs w:val="21"/>
        </w:rPr>
        <w:t>，在</w:t>
      </w:r>
      <w:r>
        <w:rPr>
          <w:rFonts w:cs="Times New Roman"/>
          <w:szCs w:val="21"/>
        </w:rPr>
        <w:t>范围调整中调出湿地公园范围。</w:t>
      </w:r>
    </w:p>
    <w:p>
      <w:pPr>
        <w:pStyle w:val="5"/>
      </w:pPr>
      <w:r>
        <w:rPr>
          <w:rFonts w:hint="eastAsia"/>
        </w:rPr>
        <w:t>（二）原规划范围</w:t>
      </w:r>
    </w:p>
    <w:p>
      <w:pPr>
        <w:ind w:firstLine="480"/>
      </w:pPr>
      <w:r>
        <w:rPr>
          <w:rFonts w:cs="Times New Roman"/>
        </w:rPr>
        <w:t>玛纳斯国家湿地公园</w:t>
      </w:r>
      <w:r>
        <w:rPr>
          <w:rFonts w:hint="eastAsia" w:cs="Times New Roman"/>
        </w:rPr>
        <w:t>原规划</w:t>
      </w:r>
      <w:r>
        <w:rPr>
          <w:rFonts w:cs="Times New Roman"/>
        </w:rPr>
        <w:t>范围包括：北至玛纳斯河峡谷一四七团十四连，东北至白土坑水库北岸，南至头二三宫渠与玛河交汇水坝，西至玛纳斯与石河子市边界，东至新户坪水库东岸。</w:t>
      </w:r>
      <w:r>
        <w:rPr>
          <w:rFonts w:hint="eastAsia" w:cs="Times New Roman"/>
        </w:rPr>
        <w:t>地理</w:t>
      </w:r>
      <w:r>
        <w:rPr>
          <w:rFonts w:cs="Times New Roman"/>
        </w:rPr>
        <w:t xml:space="preserve">坐标东经86°04′10.46″～86°18′32.00″，北纬44°22′26.58″～44°31′10.65″，南北跨度28.62 </w:t>
      </w:r>
      <w:r>
        <w:rPr>
          <w:rFonts w:hint="eastAsia" w:cs="Times New Roman"/>
        </w:rPr>
        <w:t>km</w:t>
      </w:r>
      <w:r>
        <w:rPr>
          <w:rFonts w:cs="Times New Roman"/>
        </w:rPr>
        <w:t xml:space="preserve">，东西21.40 </w:t>
      </w:r>
      <w:r>
        <w:rPr>
          <w:rFonts w:hint="eastAsia" w:cs="Times New Roman"/>
        </w:rPr>
        <w:t>km</w:t>
      </w:r>
      <w:r>
        <w:rPr>
          <w:rFonts w:cs="Times New Roman"/>
        </w:rPr>
        <w:t>。</w:t>
      </w:r>
      <w:r>
        <w:rPr>
          <w:rFonts w:hint="eastAsia" w:cs="Times New Roman"/>
        </w:rPr>
        <w:t>规划</w:t>
      </w:r>
      <w:r>
        <w:rPr>
          <w:rFonts w:hint="eastAsia"/>
        </w:rPr>
        <w:t>总面积</w:t>
      </w:r>
      <w:r>
        <w:t xml:space="preserve">4702 </w:t>
      </w:r>
      <w:r>
        <w:rPr>
          <w:rFonts w:hint="eastAsia"/>
        </w:rPr>
        <w:t>hm²，其中湿地面积</w:t>
      </w:r>
      <w:r>
        <w:rPr>
          <w:rFonts w:cs="Times New Roman"/>
          <w:szCs w:val="21"/>
        </w:rPr>
        <w:t>2080.80</w:t>
      </w:r>
      <w:r>
        <w:rPr>
          <w:rFonts w:hint="eastAsia"/>
        </w:rPr>
        <w:t>hm²，湿地率为</w:t>
      </w:r>
      <w:r>
        <w:rPr>
          <w:rFonts w:cs="Times New Roman"/>
          <w:szCs w:val="21"/>
        </w:rPr>
        <w:t>52.71%</w:t>
      </w:r>
      <w:r>
        <w:rPr>
          <w:rFonts w:hint="eastAsia"/>
        </w:rPr>
        <w:t>。</w:t>
      </w:r>
    </w:p>
    <w:p>
      <w:pPr>
        <w:pStyle w:val="5"/>
      </w:pPr>
      <w:r>
        <w:rPr>
          <w:rFonts w:hint="eastAsia"/>
        </w:rPr>
        <w:t>（三）调整后范围</w:t>
      </w:r>
    </w:p>
    <w:p>
      <w:pPr>
        <w:ind w:firstLine="480"/>
      </w:pPr>
      <w:r>
        <w:rPr>
          <w:rFonts w:hint="eastAsia"/>
        </w:rPr>
        <w:t>调整后玛纳斯国家湿地公园北至玛纳斯河与大海子水库泄洪道交汇处，东北至白土坑水库北岸，西南至玛纳斯河G30桥，西至玛纳斯县边界，东、南到塔西河水库，地理坐标东经86°4′50.9″-86°21′32.1″，北纬44°16′38.3″-44°30′15.6″。调整后，湿地公园总面积变化为</w:t>
      </w:r>
      <w:r>
        <w:rPr>
          <w:rFonts w:hint="eastAsia" w:cs="Times New Roman"/>
          <w:color w:val="000000"/>
          <w:sz w:val="21"/>
          <w:szCs w:val="21"/>
        </w:rPr>
        <w:t>3611.76</w:t>
      </w:r>
      <w:r>
        <w:rPr>
          <w:rFonts w:hint="eastAsia"/>
        </w:rPr>
        <w:t>hm²，湿地面积2361.57 hm²，湿地率65.4%。包括夹河子水库南北属于玛纳斯县管辖的玛纳斯河自然河道、夹河子水库南侧坑塘，红柳公园及南侧林地，莫合渠及两侧林地，白土坑水库及南侧内陆滩涂，老海子库塘，新户坪水库及南侧内陆滩涂，塔西河上中下水库。调整后范围基本维持了湿地公园原有河流—库塘基本结构，并扩大了对塔西河流域的保护范围。</w:t>
      </w:r>
    </w:p>
    <w:p>
      <w:pPr>
        <w:pStyle w:val="4"/>
      </w:pPr>
      <w:r>
        <w:rPr>
          <w:rFonts w:hint="eastAsia"/>
        </w:rPr>
        <w:t>三、公园定位</w:t>
      </w:r>
    </w:p>
    <w:p>
      <w:pPr>
        <w:ind w:firstLine="480"/>
      </w:pPr>
      <w:r>
        <w:rPr>
          <w:rFonts w:hint="eastAsia"/>
        </w:rPr>
        <w:t>玛纳斯国家湿地公园是维护天山北疆中部绿洲稳定的天然屏障，是我国西北内陆干旱半干旱地区湿地的典型代表，其生物多样性维护在新疆乃至西北内陆和中亚地区都具有代表性，是具有湿地生态系统保育、科普宣教研学、科研监测、生物多样性保护、湿地生态旅游和生态文化传承等功能的国家湿地公园。</w:t>
      </w:r>
    </w:p>
    <w:p>
      <w:pPr>
        <w:pStyle w:val="4"/>
      </w:pPr>
      <w:r>
        <w:rPr>
          <w:rFonts w:hint="eastAsia"/>
        </w:rPr>
        <w:t>四、规划目标</w:t>
      </w:r>
    </w:p>
    <w:p>
      <w:pPr>
        <w:ind w:firstLine="480"/>
      </w:pPr>
      <w:r>
        <w:rPr>
          <w:rFonts w:hint="eastAsia"/>
        </w:rPr>
        <w:t>全面加强玛纳斯国家湿地公园的保护，在维护其生态系统完整性基础上，挖掘自然资源的生产力要素功能，发挥其在改善人居环境、科学研究、科普教育、和生态文化传承等方面的多种生态服务，保证湿地资源可持续利用，实现人与自然和谐发展，将玛纳斯湿地建设成为具有地域特色、自然环境优美、景观质朴的国家湿地公园。在全面保护基础上，增加规划区湿地面积，湿地质量与生态系统服务功能得到进一步提升。</w:t>
      </w:r>
    </w:p>
    <w:p>
      <w:pPr>
        <w:pStyle w:val="4"/>
      </w:pPr>
      <w:r>
        <w:rPr>
          <w:rFonts w:hint="eastAsia"/>
        </w:rPr>
        <w:t>六、规划内容</w:t>
      </w:r>
    </w:p>
    <w:p>
      <w:pPr>
        <w:ind w:firstLine="480"/>
      </w:pPr>
      <w:r>
        <w:rPr>
          <w:rFonts w:hint="eastAsia"/>
        </w:rPr>
        <w:t>按照《国家湿地公园管理办法》，本规划以湿地保护与恢复为重点，以展示湿地生态功能、体现湿地生态服务价值为宗旨，挖掘地域生态文化特征，发挥好“生态名片”的引导作用，树立玛纳斯国家湿地公园的形象与品牌影响力。规划内容包括：湿地保护与恢复、宣教展示、科研监测、合理利用、区域协调与社区共管、灾害防御、保护管理基础能力建设、基础设施规划等。</w:t>
      </w:r>
    </w:p>
    <w:p>
      <w:pPr>
        <w:pStyle w:val="4"/>
      </w:pPr>
      <w:r>
        <w:rPr>
          <w:rFonts w:hint="eastAsia"/>
        </w:rPr>
        <w:t>五、规划期限</w:t>
      </w:r>
    </w:p>
    <w:p>
      <w:pPr>
        <w:ind w:firstLine="480"/>
      </w:pPr>
      <w:r>
        <w:rPr>
          <w:rFonts w:hint="eastAsia"/>
        </w:rPr>
        <w:t>规划期限为2023-2030年，规划期8年。近期阶段为2023-2025年，远期阶段为2026-2030年。</w:t>
      </w:r>
    </w:p>
    <w:p>
      <w:pPr>
        <w:pStyle w:val="4"/>
      </w:pPr>
      <w:r>
        <w:rPr>
          <w:rFonts w:hint="eastAsia"/>
        </w:rPr>
        <w:t>六、投资估算</w:t>
      </w:r>
    </w:p>
    <w:p>
      <w:pPr>
        <w:ind w:firstLine="480"/>
        <w:rPr>
          <w:rFonts w:eastAsia="黑体"/>
          <w:b/>
          <w:bCs/>
          <w:kern w:val="44"/>
          <w:sz w:val="36"/>
          <w:szCs w:val="44"/>
        </w:rPr>
      </w:pPr>
      <w:r>
        <w:rPr>
          <w:rFonts w:hint="eastAsia"/>
        </w:rPr>
        <w:t>经估算，项目总投资规模约为2.</w:t>
      </w:r>
      <w:r>
        <w:t>36</w:t>
      </w:r>
      <w:r>
        <w:rPr>
          <w:rFonts w:hint="eastAsia"/>
        </w:rPr>
        <w:t>亿元 ，近期建设资金约为1.</w:t>
      </w:r>
      <w:r>
        <w:t>46</w:t>
      </w:r>
      <w:r>
        <w:rPr>
          <w:rFonts w:hint="eastAsia"/>
        </w:rPr>
        <w:t>亿元。</w:t>
      </w:r>
      <w:r>
        <w:br w:type="page"/>
      </w:r>
    </w:p>
    <w:p>
      <w:pPr>
        <w:pStyle w:val="2"/>
        <w:ind w:firstLine="723"/>
      </w:pPr>
      <w:bookmarkStart w:id="3" w:name="_Toc130121631"/>
      <w:r>
        <w:rPr>
          <w:rFonts w:hint="eastAsia"/>
        </w:rPr>
        <w:t>第二章  基本情况</w:t>
      </w:r>
      <w:bookmarkEnd w:id="3"/>
    </w:p>
    <w:p>
      <w:pPr>
        <w:pStyle w:val="3"/>
        <w:ind w:firstLine="643"/>
      </w:pPr>
      <w:bookmarkStart w:id="4" w:name="_Toc130121632"/>
      <w:r>
        <w:rPr>
          <w:rFonts w:hint="eastAsia"/>
        </w:rPr>
        <w:t>第一节</w:t>
      </w:r>
      <w:r>
        <w:t xml:space="preserve">  </w:t>
      </w:r>
      <w:r>
        <w:rPr>
          <w:rFonts w:hint="eastAsia"/>
        </w:rPr>
        <w:t>区位概况</w:t>
      </w:r>
      <w:bookmarkEnd w:id="4"/>
    </w:p>
    <w:p>
      <w:pPr>
        <w:pStyle w:val="4"/>
      </w:pPr>
      <w:r>
        <w:rPr>
          <w:rFonts w:hint="eastAsia"/>
        </w:rPr>
        <w:t>一、地理区位</w:t>
      </w:r>
    </w:p>
    <w:p>
      <w:pPr>
        <w:ind w:firstLine="480"/>
        <w:rPr>
          <w:rFonts w:cs="Times New Roman"/>
        </w:rPr>
      </w:pPr>
      <w:r>
        <w:rPr>
          <w:rFonts w:cs="Times New Roman"/>
        </w:rPr>
        <w:t>玛纳斯县位于北疆天山山脉中段伊林——哈比尔尕山的北麓，古尔班通古特沙漠南侧，地跨北纬43°28′29″～45°38′52″，东经85°41′16″～ 86°43′10″。东面以干河子为界与呼图壁县相邻，西以玛纳斯河为界与石河子市、沙湾县相望，北面在沙漠中与阿尔泰地区的和布克赛尔、福海县相连，南面在天山中与和静县接壤。与北部塔城、西部伊宁呈三角鼎立之势，素有乌鲁木齐“西大门”之称。东距新疆首府乌鲁木齐市126 km，距昌吉州政府所在地昌吉市91km。兰新铁路、G30国家高速横贯全县，“西气东输”二、三线增压分输站、“西电东送”首站750 KV凤凰站均落户玛纳斯县。</w:t>
      </w:r>
    </w:p>
    <w:p>
      <w:pPr>
        <w:pStyle w:val="4"/>
      </w:pPr>
      <w:r>
        <w:rPr>
          <w:rFonts w:hint="eastAsia"/>
        </w:rPr>
        <w:t>二、生态区位</w:t>
      </w:r>
    </w:p>
    <w:p>
      <w:pPr>
        <w:ind w:firstLine="480"/>
      </w:pPr>
      <w:r>
        <w:rPr>
          <w:rFonts w:hint="eastAsia"/>
        </w:rPr>
        <w:t>规划区在天山水源涵养与生物多样性保护重要区的北部，空间跨度较大。北部位于准噶尔盆地温带干旱荒漠与绿洲生态功能区（</w:t>
      </w:r>
      <w:r>
        <w:fldChar w:fldCharType="begin"/>
      </w:r>
      <w:r>
        <w:instrText xml:space="preserve"> </w:instrText>
      </w:r>
      <w:r>
        <w:rPr>
          <w:rFonts w:hint="eastAsia"/>
        </w:rPr>
        <w:instrText xml:space="preserve">= 2 \* ROMAN</w:instrText>
      </w:r>
      <w:r>
        <w:instrText xml:space="preserve"> </w:instrText>
      </w:r>
      <w:r>
        <w:fldChar w:fldCharType="separate"/>
      </w:r>
      <w:r>
        <w:t>II</w:t>
      </w:r>
      <w:r>
        <w:fldChar w:fldCharType="end"/>
      </w:r>
      <w:r>
        <w:rPr>
          <w:rFonts w:hint="eastAsia"/>
        </w:rPr>
        <w:t>）中准噶尔盆地中部固定、半固定沙漠景观生态亚区（</w:t>
      </w:r>
      <w:r>
        <w:fldChar w:fldCharType="begin"/>
      </w:r>
      <w:r>
        <w:instrText xml:space="preserve"> </w:instrText>
      </w:r>
      <w:r>
        <w:rPr>
          <w:rFonts w:hint="eastAsia"/>
        </w:rPr>
        <w:instrText xml:space="preserve">= 2 \* ROMAN</w:instrText>
      </w:r>
      <w:r>
        <w:instrText xml:space="preserve"> </w:instrText>
      </w:r>
      <w:r>
        <w:fldChar w:fldCharType="separate"/>
      </w:r>
      <w:r>
        <w:t>II</w:t>
      </w:r>
      <w:r>
        <w:fldChar w:fldCharType="end"/>
      </w:r>
      <w:r>
        <w:t>3</w:t>
      </w:r>
      <w:r>
        <w:rPr>
          <w:rFonts w:hint="eastAsia"/>
        </w:rPr>
        <w:t>）的古尔班通古特沙漠化敏感生态功能区其主要的生态服务功能是沙漠化控制和生物多样性保护。南部位于准噶尔盆地温带干旱荒漠与绿洲生态功能区（</w:t>
      </w:r>
      <w:r>
        <w:fldChar w:fldCharType="begin"/>
      </w:r>
      <w:r>
        <w:instrText xml:space="preserve"> </w:instrText>
      </w:r>
      <w:r>
        <w:rPr>
          <w:rFonts w:hint="eastAsia"/>
        </w:rPr>
        <w:instrText xml:space="preserve">= 2 \* ROMAN</w:instrText>
      </w:r>
      <w:r>
        <w:instrText xml:space="preserve"> </w:instrText>
      </w:r>
      <w:r>
        <w:fldChar w:fldCharType="separate"/>
      </w:r>
      <w:r>
        <w:t>II</w:t>
      </w:r>
      <w:r>
        <w:fldChar w:fldCharType="end"/>
      </w:r>
      <w:r>
        <w:rPr>
          <w:rFonts w:hint="eastAsia"/>
        </w:rPr>
        <w:t>）中准噶尔盆地南部灌木半灌木荒漠绿洲农业生态亚区（</w:t>
      </w:r>
      <w:r>
        <w:fldChar w:fldCharType="begin"/>
      </w:r>
      <w:r>
        <w:instrText xml:space="preserve"> </w:instrText>
      </w:r>
      <w:r>
        <w:rPr>
          <w:rFonts w:hint="eastAsia"/>
        </w:rPr>
        <w:instrText xml:space="preserve">= 2 \* ROMAN</w:instrText>
      </w:r>
      <w:r>
        <w:instrText xml:space="preserve"> </w:instrText>
      </w:r>
      <w:r>
        <w:fldChar w:fldCharType="separate"/>
      </w:r>
      <w:r>
        <w:t>II</w:t>
      </w:r>
      <w:r>
        <w:fldChar w:fldCharType="end"/>
      </w:r>
      <w:r>
        <w:t>5</w:t>
      </w:r>
      <w:r>
        <w:rPr>
          <w:rFonts w:hint="eastAsia"/>
        </w:rPr>
        <w:t>）的乌苏-石河子-昌吉城镇与绿洲农业生态功能区的重要组成，主要生态服务功能是工农畜产品生产、人居环境和荒漠化控制。</w:t>
      </w:r>
    </w:p>
    <w:p>
      <w:pPr>
        <w:ind w:firstLine="480"/>
      </w:pPr>
      <w:r>
        <w:rPr>
          <w:rFonts w:hint="eastAsia"/>
        </w:rPr>
        <w:t>玛纳斯湿地玛纳斯河流域的重要组成，是国际候鸟迁徙线3号线的节点，也是当地雁鸭类水禽的越冬地。因此，保护和改善玛纳斯湿地生态，对于鸟类等生物多样性保护和区域生态平衡具有重要的生态意义。</w:t>
      </w:r>
    </w:p>
    <w:p>
      <w:pPr>
        <w:pStyle w:val="4"/>
      </w:pPr>
      <w:r>
        <w:rPr>
          <w:rFonts w:hint="eastAsia"/>
        </w:rPr>
        <w:t>三、经济区位</w:t>
      </w:r>
    </w:p>
    <w:p>
      <w:pPr>
        <w:ind w:firstLine="480"/>
      </w:pPr>
      <w:r>
        <w:rPr>
          <w:rFonts w:hint="eastAsia"/>
        </w:rPr>
        <w:t>玛纳斯县是古丝绸之路的北道重镇，史有“金玉之乡”、“凤凰城”等美誉。唐朝设置西海县，乾隆四十三年(1778年)建绥来县，1954年改称玛纳斯县。玛河文化、碧玉文化、凤凰文化，并称为“玛纳斯三大文化”。同时拥有“国家湿地公园、国家森林公园、中国碧玉之都 、国际葡萄酒庄”四张名片。2017年，玛纳斯县被列入国家园林县城。</w:t>
      </w:r>
    </w:p>
    <w:p>
      <w:pPr>
        <w:ind w:firstLine="480"/>
      </w:pPr>
      <w:r>
        <w:rPr>
          <w:rFonts w:hint="eastAsia"/>
        </w:rPr>
        <w:t>玛纳斯县地处乌昌经济一体化辐射区和乌鲁木齐一小时经济圈，第二亚欧大陆桥横贯全境，是天山北坡重要的交通中转站和北疆地区物资集散地，也是东联西出的黄金通道。</w:t>
      </w:r>
    </w:p>
    <w:p>
      <w:pPr>
        <w:pStyle w:val="3"/>
        <w:ind w:firstLine="643"/>
      </w:pPr>
      <w:bookmarkStart w:id="5" w:name="_Toc130121633"/>
      <w:r>
        <w:rPr>
          <w:rFonts w:hint="eastAsia"/>
        </w:rPr>
        <w:t xml:space="preserve">第二节 </w:t>
      </w:r>
      <w:r>
        <w:t xml:space="preserve"> </w:t>
      </w:r>
      <w:r>
        <w:rPr>
          <w:rFonts w:hint="eastAsia"/>
        </w:rPr>
        <w:t>自然地理条件</w:t>
      </w:r>
      <w:bookmarkEnd w:id="5"/>
    </w:p>
    <w:p>
      <w:pPr>
        <w:pStyle w:val="4"/>
      </w:pPr>
      <w:r>
        <w:rPr>
          <w:rFonts w:hint="eastAsia"/>
        </w:rPr>
        <w:t>一、地形地貌</w:t>
      </w:r>
    </w:p>
    <w:p>
      <w:pPr>
        <w:ind w:firstLine="480"/>
      </w:pPr>
      <w:r>
        <w:t>玛纳斯县南部为天山山区，北部为古尔班通古特沙漠，中部为冲积扇平原。地势自东南向西北倾斜，坡降山区平均</w:t>
      </w:r>
      <w:r>
        <w:rPr>
          <w:rFonts w:hint="eastAsia"/>
        </w:rPr>
        <w:t>为50</w:t>
      </w:r>
      <w:r>
        <w:t>／</w:t>
      </w:r>
      <w:r>
        <w:rPr>
          <w:rFonts w:hint="eastAsia"/>
        </w:rPr>
        <w:t>170</w:t>
      </w:r>
      <w:r>
        <w:t>，平原区为</w:t>
      </w:r>
      <w:r>
        <w:rPr>
          <w:rFonts w:hint="eastAsia"/>
        </w:rPr>
        <w:t>150</w:t>
      </w:r>
      <w:r>
        <w:t>／</w:t>
      </w:r>
      <w:r>
        <w:rPr>
          <w:rFonts w:hint="eastAsia"/>
        </w:rPr>
        <w:t>200</w:t>
      </w:r>
      <w:r>
        <w:t>。</w:t>
      </w:r>
    </w:p>
    <w:p>
      <w:pPr>
        <w:ind w:firstLine="480"/>
      </w:pPr>
      <w:r>
        <w:rPr>
          <w:rFonts w:hint="eastAsia"/>
        </w:rPr>
        <w:t>玛纳斯县域可划分为南部山区、山前冲积平原和北部沙漠三个大地貌单元。</w:t>
      </w:r>
      <w:r>
        <w:t>南部为天山山区和丘陵地，海拔在</w:t>
      </w:r>
      <w:r>
        <w:rPr>
          <w:rFonts w:hint="eastAsia"/>
        </w:rPr>
        <w:t>650</w:t>
      </w:r>
      <w:r>
        <w:t>m至</w:t>
      </w:r>
      <w:r>
        <w:rPr>
          <w:rFonts w:hint="eastAsia"/>
        </w:rPr>
        <w:t>5200</w:t>
      </w:r>
      <w:r>
        <w:t>m之间</w:t>
      </w:r>
      <w:r>
        <w:rPr>
          <w:rFonts w:hint="eastAsia"/>
        </w:rPr>
        <w:t>；</w:t>
      </w:r>
      <w:r>
        <w:t>中部为冲积平原区，海拔在</w:t>
      </w:r>
      <w:r>
        <w:rPr>
          <w:rFonts w:hint="eastAsia"/>
        </w:rPr>
        <w:t>250</w:t>
      </w:r>
      <w:r>
        <w:t>m至</w:t>
      </w:r>
      <w:r>
        <w:rPr>
          <w:rFonts w:hint="eastAsia"/>
        </w:rPr>
        <w:t>650</w:t>
      </w:r>
      <w:r>
        <w:t>m之间；北部为沙漠区，是古尔班通古特沙漠的一部分，海拔在</w:t>
      </w:r>
      <w:r>
        <w:rPr>
          <w:rFonts w:hint="eastAsia"/>
        </w:rPr>
        <w:t>280</w:t>
      </w:r>
      <w:r>
        <w:t>m至</w:t>
      </w:r>
      <w:r>
        <w:rPr>
          <w:rFonts w:hint="eastAsia"/>
        </w:rPr>
        <w:t>400</w:t>
      </w:r>
      <w:r>
        <w:t>m之间</w:t>
      </w:r>
      <w:r>
        <w:rPr>
          <w:rFonts w:hint="eastAsia"/>
        </w:rPr>
        <w:t>。</w:t>
      </w:r>
    </w:p>
    <w:p>
      <w:pPr>
        <w:ind w:firstLine="480"/>
      </w:pPr>
      <w:r>
        <w:rPr>
          <w:rFonts w:hint="eastAsia"/>
        </w:rPr>
        <w:t>规划区内地势较为平坦，属于中部冲积平原区。南部地势较高，向北逐渐降低。玛纳斯湿地公园北至玛河丰收水库库南，南起玛纳斯县头二三宫渠，中部为三大蓄水水库，并有小型水库、鱼塘、沼泽、芦苇滩沟通水系，这种特殊的地貌特征，是湿地公园时而曲折蜿蜒，时而平坦开阔。</w:t>
      </w:r>
    </w:p>
    <w:p>
      <w:pPr>
        <w:pStyle w:val="4"/>
      </w:pPr>
      <w:r>
        <w:rPr>
          <w:rFonts w:hint="eastAsia"/>
        </w:rPr>
        <w:t>二、气候条件</w:t>
      </w:r>
    </w:p>
    <w:p>
      <w:pPr>
        <w:pStyle w:val="9"/>
        <w:textAlignment w:val="baseline"/>
        <w:rPr>
          <w:color w:val="auto"/>
          <w:kern w:val="0"/>
        </w:rPr>
      </w:pPr>
      <w:r>
        <w:rPr>
          <w:rFonts w:hint="eastAsia"/>
          <w:color w:val="auto"/>
          <w:kern w:val="0"/>
        </w:rPr>
        <w:t>规划区位于亚洲大陆腹地，属干旱半干旱温带大陆性气候，其主要特征为干旱少雨，热量丰富，日照充足，四季分明。年平均温为6.8℃～7.1℃。</w:t>
      </w:r>
      <w:r>
        <w:rPr>
          <w:color w:val="auto"/>
          <w:kern w:val="0"/>
        </w:rPr>
        <w:t>年平均日照</w:t>
      </w:r>
      <w:r>
        <w:rPr>
          <w:rFonts w:hint="eastAsia"/>
          <w:color w:val="auto"/>
          <w:kern w:val="0"/>
        </w:rPr>
        <w:t>时数</w:t>
      </w:r>
      <w:r>
        <w:rPr>
          <w:color w:val="auto"/>
          <w:kern w:val="0"/>
        </w:rPr>
        <w:t>为</w:t>
      </w:r>
      <w:r>
        <w:rPr>
          <w:rFonts w:hint="eastAsia"/>
          <w:color w:val="auto"/>
          <w:kern w:val="0"/>
        </w:rPr>
        <w:t>2886</w:t>
      </w:r>
      <w:r>
        <w:rPr>
          <w:color w:val="auto"/>
          <w:kern w:val="0"/>
        </w:rPr>
        <w:t>小时，年平均日照百分率为</w:t>
      </w:r>
      <w:r>
        <w:rPr>
          <w:rFonts w:hint="eastAsia"/>
          <w:color w:val="auto"/>
          <w:kern w:val="0"/>
        </w:rPr>
        <w:t>45—52</w:t>
      </w:r>
      <w:r>
        <w:rPr>
          <w:color w:val="auto"/>
          <w:kern w:val="0"/>
        </w:rPr>
        <w:t>%</w:t>
      </w:r>
      <w:r>
        <w:rPr>
          <w:rFonts w:hint="eastAsia"/>
          <w:color w:val="auto"/>
          <w:kern w:val="0"/>
        </w:rPr>
        <w:t>，</w:t>
      </w:r>
      <w:r>
        <w:rPr>
          <w:color w:val="auto"/>
          <w:kern w:val="0"/>
        </w:rPr>
        <w:t>年平均无霜期</w:t>
      </w:r>
      <w:r>
        <w:rPr>
          <w:rFonts w:hint="eastAsia"/>
          <w:color w:val="auto"/>
          <w:kern w:val="0"/>
        </w:rPr>
        <w:t>172</w:t>
      </w:r>
      <w:r>
        <w:rPr>
          <w:color w:val="auto"/>
          <w:kern w:val="0"/>
        </w:rPr>
        <w:t>天。</w:t>
      </w:r>
      <w:r>
        <w:rPr>
          <w:rFonts w:hint="eastAsia"/>
          <w:color w:val="auto"/>
          <w:kern w:val="0"/>
        </w:rPr>
        <w:t>年降水总量为117.2～243.5mm，</w:t>
      </w:r>
      <w:r>
        <w:rPr>
          <w:color w:val="auto"/>
          <w:kern w:val="0"/>
        </w:rPr>
        <w:t>年平均降水量为</w:t>
      </w:r>
      <w:r>
        <w:rPr>
          <w:rFonts w:hint="eastAsia"/>
          <w:color w:val="auto"/>
          <w:kern w:val="0"/>
        </w:rPr>
        <w:t>205.7mm</w:t>
      </w:r>
      <w:r>
        <w:rPr>
          <w:color w:val="auto"/>
          <w:kern w:val="0"/>
        </w:rPr>
        <w:t>，</w:t>
      </w:r>
      <w:r>
        <w:rPr>
          <w:rFonts w:hint="eastAsia"/>
          <w:color w:val="auto"/>
          <w:kern w:val="0"/>
        </w:rPr>
        <w:t>年最大降水量326.2mm</w:t>
      </w:r>
      <w:r>
        <w:rPr>
          <w:color w:val="auto"/>
          <w:kern w:val="0"/>
        </w:rPr>
        <w:t>（19</w:t>
      </w:r>
      <w:r>
        <w:rPr>
          <w:rFonts w:hint="eastAsia"/>
          <w:color w:val="auto"/>
          <w:kern w:val="0"/>
        </w:rPr>
        <w:t>99</w:t>
      </w:r>
      <w:r>
        <w:rPr>
          <w:color w:val="auto"/>
          <w:kern w:val="0"/>
        </w:rPr>
        <w:t>年）</w:t>
      </w:r>
      <w:r>
        <w:rPr>
          <w:rFonts w:hint="eastAsia"/>
          <w:color w:val="auto"/>
          <w:kern w:val="0"/>
        </w:rPr>
        <w:t>，</w:t>
      </w:r>
      <w:r>
        <w:rPr>
          <w:color w:val="auto"/>
          <w:kern w:val="0"/>
        </w:rPr>
        <w:t>年平均相对湿度为</w:t>
      </w:r>
      <w:r>
        <w:rPr>
          <w:rFonts w:hint="eastAsia"/>
          <w:color w:val="auto"/>
          <w:kern w:val="0"/>
        </w:rPr>
        <w:t>65</w:t>
      </w:r>
      <w:r>
        <w:rPr>
          <w:color w:val="auto"/>
          <w:kern w:val="0"/>
        </w:rPr>
        <w:t>%</w:t>
      </w:r>
      <w:r>
        <w:rPr>
          <w:rFonts w:hint="eastAsia"/>
          <w:color w:val="auto"/>
          <w:kern w:val="0"/>
        </w:rPr>
        <w:t>，</w:t>
      </w:r>
      <w:r>
        <w:rPr>
          <w:color w:val="auto"/>
          <w:kern w:val="0"/>
        </w:rPr>
        <w:t>年平均蒸发量</w:t>
      </w:r>
      <w:r>
        <w:rPr>
          <w:rFonts w:hint="eastAsia"/>
          <w:color w:val="auto"/>
          <w:kern w:val="0"/>
        </w:rPr>
        <w:t>1648.4</w:t>
      </w:r>
      <w:r>
        <w:rPr>
          <w:color w:val="auto"/>
          <w:kern w:val="0"/>
        </w:rPr>
        <w:t>mm。</w:t>
      </w:r>
      <w:r>
        <w:rPr>
          <w:rFonts w:hint="eastAsia"/>
          <w:color w:val="auto"/>
          <w:kern w:val="0"/>
        </w:rPr>
        <w:t>相当于降水量的4～</w:t>
      </w:r>
      <w:r>
        <w:rPr>
          <w:color w:val="auto"/>
          <w:kern w:val="0"/>
        </w:rPr>
        <w:t>11</w:t>
      </w:r>
      <w:r>
        <w:rPr>
          <w:rFonts w:hint="eastAsia"/>
          <w:color w:val="auto"/>
          <w:kern w:val="0"/>
        </w:rPr>
        <w:t>倍。冬季严寒，夏季酷热，降水少，空气干燥，是典型的大陆性气候。</w:t>
      </w:r>
    </w:p>
    <w:p>
      <w:pPr>
        <w:pStyle w:val="9"/>
        <w:textAlignment w:val="baseline"/>
        <w:rPr>
          <w:color w:val="auto"/>
          <w:kern w:val="0"/>
        </w:rPr>
      </w:pPr>
      <w:r>
        <w:rPr>
          <w:rFonts w:hint="eastAsia"/>
          <w:color w:val="auto"/>
          <w:kern w:val="0"/>
        </w:rPr>
        <w:t>玛纳斯县年平均风速以平原为最大，从季节变化来看平原和沙漠地区平均风速以春夏秋三季为最大，冬季最小。风向主要受山谷风的影响为西南风。春夏秋三季在无天气影响情况下风向有明显的日变化，白天刮上山风（山风），夜间刮下山风（谷风），下山风不但风速大而且出现的次数多。春秋季日变化最为明显，夏季次之，冬季很少出现。春夏秋有日变化，主要是白天沙漠增温很快，空气膨胀，从沙漠中向外流动。夜间沙漠降温快，空气冷却收缩，以及山区空气下滑，向沙漠中心流动造成。冬季沙漠中形成冷湖，温度低日变化小，山区由于逆温比沙漠地区温度高，所以冬季风向日变化不明显。</w:t>
      </w:r>
    </w:p>
    <w:p>
      <w:pPr>
        <w:pStyle w:val="4"/>
      </w:pPr>
      <w:r>
        <w:rPr>
          <w:rFonts w:hint="eastAsia"/>
        </w:rPr>
        <w:t>三、自然资源</w:t>
      </w:r>
    </w:p>
    <w:p>
      <w:pPr>
        <w:pStyle w:val="5"/>
      </w:pPr>
      <w:r>
        <w:rPr>
          <w:rFonts w:hint="eastAsia"/>
        </w:rPr>
        <w:t>（一）土地资源</w:t>
      </w:r>
    </w:p>
    <w:p>
      <w:pPr>
        <w:ind w:firstLine="480"/>
      </w:pPr>
      <w:r>
        <w:rPr>
          <w:rFonts w:hint="eastAsia"/>
        </w:rPr>
        <w:t xml:space="preserve">玛纳斯县拥有100万亩耕地、750万亩天然草场、460万亩林地。玛纳斯县的土壤共分7个类型，即灌淤土、潮土、灰漠土、栗钙土、棕钙土、风沙土、盐土。七个土壤类型的主要分布区域:灌淤土，在全县灌溉农区均有分布，是玛纳斯的基本农田，面积达236227亩。潮土，分布于玛纳斯县中部冲积扇北缘与河漫滩等地形低洼处，当地群众称之为"下潮地"。灰漠土，主要分布在玛纳斯河、塔西河两河冲积扇中部和上部。栗钙土、棕钙土，是半干旱草原地区形成的热带性土壤，分布在县南部前山丘陵地区，其中前山丘陵地区的南半部主要为栗钙土。风沙土，分布于北五岔乡、六户地乡北部及准噶尔盆地的腹地，属于古玛纳斯盆地的一部分。盐土，是玛纳斯县平原地区分布最广的荒地土壤，常与耕作土壤形成复区，面积为392832.5亩。 </w:t>
      </w:r>
    </w:p>
    <w:p>
      <w:pPr>
        <w:pStyle w:val="5"/>
      </w:pPr>
      <w:r>
        <w:rPr>
          <w:rFonts w:hint="eastAsia"/>
        </w:rPr>
        <w:t>（二）矿产资源</w:t>
      </w:r>
    </w:p>
    <w:p>
      <w:pPr>
        <w:ind w:firstLine="480"/>
      </w:pPr>
      <w:r>
        <w:rPr>
          <w:rFonts w:hint="eastAsia"/>
        </w:rPr>
        <w:t>玛纳斯县境内有煤炭、石油、天然气、硫铁矿、碧玉、砂金、石灰石等20多种矿产资源。截至2013年，已探明煤炭储量100亿吨，石油1.4亿吨，天然气128亿m</w:t>
      </w:r>
      <w:r>
        <w:rPr>
          <w:vertAlign w:val="superscript"/>
        </w:rPr>
        <w:t>3</w:t>
      </w:r>
      <w:r>
        <w:rPr>
          <w:rFonts w:hint="eastAsia"/>
        </w:rPr>
        <w:t xml:space="preserve">。特别玛纳斯碧玉，颜色鲜艳，玉质细腻，光泽良好，闻名中外。玛纳斯作为世界三大碧玉产地之一，自古就是碧玉的重要产地，史料可查清乾隆年间就有开采记录。已探明的玉石矿产资源点约20余处，其中黄台子8处，吉蓝德5处。2011年，玛纳斯成功申报“中国碧玉之都”。故宫博物馆至今仍完好保存着聚珍图等一批玛纳斯玉雕精品。2011年成功申报"中国碧玉之都"。 其黄金出产量，居昌吉州之首。 </w:t>
      </w:r>
    </w:p>
    <w:p>
      <w:pPr>
        <w:pStyle w:val="5"/>
      </w:pPr>
      <w:r>
        <w:rPr>
          <w:rFonts w:hint="eastAsia"/>
        </w:rPr>
        <w:t>（三）生物资源</w:t>
      </w:r>
    </w:p>
    <w:p>
      <w:pPr>
        <w:pStyle w:val="6"/>
        <w:ind w:firstLine="482"/>
      </w:pPr>
      <w:r>
        <w:rPr>
          <w:rFonts w:hint="eastAsia"/>
        </w:rPr>
        <w:t>1.</w:t>
      </w:r>
      <w:r>
        <w:t xml:space="preserve"> </w:t>
      </w:r>
      <w:r>
        <w:rPr>
          <w:rFonts w:hint="eastAsia"/>
        </w:rPr>
        <w:t>动物资源</w:t>
      </w:r>
    </w:p>
    <w:p>
      <w:pPr>
        <w:ind w:firstLine="480"/>
      </w:pPr>
      <w:r>
        <w:rPr>
          <w:rFonts w:hint="eastAsia"/>
        </w:rPr>
        <w:t>玛纳斯县境内野生动物有马鹿、棕熊、野猪、狍子、雪豹、野山羊、大头羊、鹅喉羚、毛腿沙鸡、绿头鸭、灰雁、高山雪鸡、隼、苍鹰、麻雀、粉红椋鸟等。</w:t>
      </w:r>
    </w:p>
    <w:p>
      <w:pPr>
        <w:pStyle w:val="6"/>
        <w:ind w:firstLine="482"/>
      </w:pPr>
      <w:r>
        <w:rPr>
          <w:rFonts w:hint="eastAsia"/>
        </w:rPr>
        <w:t>2.</w:t>
      </w:r>
      <w:r>
        <w:t xml:space="preserve"> </w:t>
      </w:r>
      <w:r>
        <w:rPr>
          <w:rFonts w:hint="eastAsia"/>
        </w:rPr>
        <w:t>植物资源</w:t>
      </w:r>
    </w:p>
    <w:p>
      <w:pPr>
        <w:ind w:firstLine="480"/>
      </w:pPr>
      <w:r>
        <w:rPr>
          <w:rFonts w:hint="eastAsia"/>
        </w:rPr>
        <w:t>玛纳斯县自南向北跨越山区、平原和荒漠，植被类型多样。境内药用植物有210种，其中分布在山区182种，平原区189种。历史上，玛纳斯是西北地区三大药材集散地之一，所产贝母为大宗，产量多，质量好，远销国内外。黄芪品种多，分布广。常用及名贵药材有甘草、大荔子、锁阳、红花、大云、鹿茸等。玛纳斯县境内林木有104种，主要有杨柳科、榆科、杉科、藜科、柽柳科、蔷薇科、忍冬科等种类。</w:t>
      </w:r>
    </w:p>
    <w:p>
      <w:pPr>
        <w:pStyle w:val="4"/>
      </w:pPr>
      <w:r>
        <w:rPr>
          <w:rFonts w:hint="eastAsia"/>
        </w:rPr>
        <w:t xml:space="preserve">四、水文概况 </w:t>
      </w:r>
    </w:p>
    <w:p>
      <w:pPr>
        <w:pStyle w:val="5"/>
      </w:pPr>
      <w:r>
        <w:rPr>
          <w:rFonts w:hint="eastAsia"/>
        </w:rPr>
        <w:t>（一）地表水</w:t>
      </w:r>
    </w:p>
    <w:p>
      <w:pPr>
        <w:ind w:firstLine="480"/>
      </w:pPr>
      <w:r>
        <w:rPr>
          <w:rFonts w:hint="eastAsia"/>
        </w:rPr>
        <w:t>玛纳斯县境内有玛纳斯河、塔西河两大水系。</w:t>
      </w:r>
    </w:p>
    <w:p>
      <w:pPr>
        <w:ind w:firstLine="480"/>
      </w:pPr>
      <w:r>
        <w:rPr>
          <w:rFonts w:hint="eastAsia"/>
        </w:rPr>
        <w:t>玛纳斯河流经玛纳斯县、沙湾县、石河子市、克拉玛依市，最后注入玛纳斯湖，全长3</w:t>
      </w:r>
      <w:r>
        <w:t xml:space="preserve">24 </w:t>
      </w:r>
      <w:r>
        <w:rPr>
          <w:rFonts w:hint="eastAsia"/>
        </w:rPr>
        <w:t>km，流域面积</w:t>
      </w:r>
      <w:r>
        <w:t>1</w:t>
      </w:r>
      <w:r>
        <w:rPr>
          <w:rFonts w:hint="eastAsia"/>
        </w:rPr>
        <w:t>.</w:t>
      </w:r>
      <w:r>
        <w:t>98</w:t>
      </w:r>
      <w:r>
        <w:rPr>
          <w:rFonts w:hint="eastAsia"/>
        </w:rPr>
        <w:t>万</w:t>
      </w:r>
      <w:r>
        <w:t xml:space="preserve"> </w:t>
      </w:r>
      <w:r>
        <w:rPr>
          <w:rFonts w:hint="eastAsia"/>
        </w:rPr>
        <w:t>km</w:t>
      </w:r>
      <w:r>
        <w:rPr>
          <w:vertAlign w:val="superscript"/>
        </w:rPr>
        <w:t>2</w:t>
      </w:r>
      <w:r>
        <w:rPr>
          <w:rFonts w:hint="eastAsia"/>
        </w:rPr>
        <w:t>，以冰川融水、降水及沿程地下水补给为主，红嘴山水文站以上多年平均年径流量</w:t>
      </w:r>
      <w:r>
        <w:t>13</w:t>
      </w:r>
      <w:r>
        <w:rPr>
          <w:rFonts w:hint="eastAsia"/>
        </w:rPr>
        <w:t>.</w:t>
      </w:r>
      <w:r>
        <w:t>16</w:t>
      </w:r>
      <w:r>
        <w:rPr>
          <w:rFonts w:hint="eastAsia"/>
        </w:rPr>
        <w:t>亿m</w:t>
      </w:r>
      <w:r>
        <w:rPr>
          <w:vertAlign w:val="superscript"/>
        </w:rPr>
        <w:t>3</w:t>
      </w:r>
      <w:r>
        <w:rPr>
          <w:rFonts w:hint="eastAsia"/>
        </w:rPr>
        <w:t>。玛纳斯河是玛纳斯县与石河子市、沙湾县三地界河，发源于巴音郭楞蒙古自治州和静县境内，是玛纳斯县乃至天山北坡中段水量最大的河流主要支流有芦草沟、大白杨沟、呼斯台郭勒、哈熊沟和清水河，县境灌溉面积为3</w:t>
      </w:r>
      <w:r>
        <w:t>09</w:t>
      </w:r>
      <w:r>
        <w:rPr>
          <w:rFonts w:hint="eastAsia"/>
        </w:rPr>
        <w:t>万亩。</w:t>
      </w:r>
    </w:p>
    <w:p>
      <w:pPr>
        <w:ind w:firstLine="480"/>
      </w:pPr>
      <w:r>
        <w:rPr>
          <w:rFonts w:hint="eastAsia"/>
        </w:rPr>
        <w:t>塔西河发源于天山山脉依连哈比尔尕山的河源峰，由主要支流协克塔依达腊斯和库普依达腊斯汇合后，与另一无名支流汇合成塔西河，经石门子水库调节后向北流经山前冲洪积平原和绿洲，经过塔西河乡、乐土驿镇、包家店镇，向北流入塔西河水库，最后消失于沙漠中。塔西河全长120</w:t>
      </w:r>
      <w:r>
        <w:t xml:space="preserve"> </w:t>
      </w:r>
      <w:r>
        <w:rPr>
          <w:rFonts w:hint="eastAsia"/>
        </w:rPr>
        <w:t>km，塔西河径流主要靠降水、冰雪融水和地下水，石门子水文站以上集水面积664</w:t>
      </w:r>
      <w:r>
        <w:t xml:space="preserve"> </w:t>
      </w:r>
      <w:r>
        <w:rPr>
          <w:rFonts w:hint="eastAsia"/>
        </w:rPr>
        <w:t>km</w:t>
      </w:r>
      <w:r>
        <w:rPr>
          <w:rFonts w:hint="eastAsia"/>
          <w:vertAlign w:val="superscript"/>
        </w:rPr>
        <w:t>2</w:t>
      </w:r>
      <w:r>
        <w:rPr>
          <w:rFonts w:hint="eastAsia"/>
        </w:rPr>
        <w:t>，多年均径流量为2.31亿m</w:t>
      </w:r>
      <w:r>
        <w:rPr>
          <w:rFonts w:hint="eastAsia"/>
          <w:vertAlign w:val="superscript"/>
        </w:rPr>
        <w:t>3</w:t>
      </w:r>
      <w:r>
        <w:rPr>
          <w:rFonts w:hint="eastAsia"/>
        </w:rPr>
        <w:t>。灌溉面积16.14万亩。</w:t>
      </w:r>
    </w:p>
    <w:p>
      <w:pPr>
        <w:ind w:firstLine="0" w:firstLineChars="0"/>
        <w:rPr>
          <w:kern w:val="0"/>
        </w:rPr>
      </w:pPr>
      <w:r>
        <mc:AlternateContent>
          <mc:Choice Requires="wps">
            <w:drawing>
              <wp:anchor distT="0" distB="0" distL="114300" distR="114300" simplePos="0" relativeHeight="251659264" behindDoc="0" locked="0" layoutInCell="1" allowOverlap="1">
                <wp:simplePos x="0" y="0"/>
                <wp:positionH relativeFrom="column">
                  <wp:posOffset>3323590</wp:posOffset>
                </wp:positionH>
                <wp:positionV relativeFrom="paragraph">
                  <wp:posOffset>5568950</wp:posOffset>
                </wp:positionV>
                <wp:extent cx="817245" cy="1404620"/>
                <wp:effectExtent l="0" t="294005" r="0" b="0"/>
                <wp:wrapNone/>
                <wp:docPr id="19" name="文本框 2"/>
                <wp:cNvGraphicFramePr/>
                <a:graphic xmlns:a="http://schemas.openxmlformats.org/drawingml/2006/main">
                  <a:graphicData uri="http://schemas.microsoft.com/office/word/2010/wordprocessingShape">
                    <wps:wsp>
                      <wps:cNvSpPr txBox="1">
                        <a:spLocks noChangeArrowheads="1"/>
                      </wps:cNvSpPr>
                      <wps:spPr bwMode="auto">
                        <a:xfrm rot="18116496">
                          <a:off x="0" y="0"/>
                          <a:ext cx="817418" cy="1404620"/>
                        </a:xfrm>
                        <a:prstGeom prst="rect">
                          <a:avLst/>
                        </a:prstGeom>
                        <a:noFill/>
                        <a:ln w="9525">
                          <a:noFill/>
                          <a:miter lim="800000"/>
                        </a:ln>
                        <a:effectLst/>
                      </wps:spPr>
                      <wps:txbx>
                        <w:txbxContent>
                          <w:p>
                            <w:pPr>
                              <w:ind w:firstLine="0" w:firstLineChars="0"/>
                              <w:rPr>
                                <w:rFonts w:ascii="微软雅黑" w:hAnsi="微软雅黑" w:eastAsia="微软雅黑"/>
                                <w:sz w:val="21"/>
                                <w:szCs w:val="21"/>
                              </w:rPr>
                            </w:pPr>
                            <w:r>
                              <w:rPr>
                                <w:rFonts w:hint="eastAsia" w:ascii="微软雅黑" w:hAnsi="微软雅黑" w:eastAsia="微软雅黑"/>
                                <w:sz w:val="21"/>
                                <w:szCs w:val="21"/>
                              </w:rPr>
                              <w:t>塔西河</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61.7pt;margin-top:438.5pt;height:110.6pt;width:64.35pt;rotation:-3804915f;z-index:251659264;mso-width-relative:page;mso-height-relative:margin;mso-height-percent:200;" filled="f" stroked="f" coordsize="21600,21600" o:gfxdata="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RP5nJ2wAAAAwBAAAPAAAAAAAAAAEAIAAAACIAAABkcnMvZG93&#10;bnJldi54bWxQSwECFAAUAAAACACHTuJAnyqMezYCAABHBAAADgAAAAAAAAABACAAAAAqAQAAZHJz&#10;L2Uyb0RvYy54bWxQSwUGAAAAAAYABgBZAQAA0gUAAAAA&#10;">
                <v:fill on="f" focussize="0,0"/>
                <v:stroke on="f" miterlimit="8" joinstyle="miter"/>
                <v:imagedata o:title=""/>
                <o:lock v:ext="edit" aspectratio="f"/>
                <v:textbox style="mso-fit-shape-to-text:t;">
                  <w:txbxContent>
                    <w:p>
                      <w:pPr>
                        <w:ind w:firstLine="0" w:firstLineChars="0"/>
                        <w:rPr>
                          <w:rFonts w:ascii="微软雅黑" w:hAnsi="微软雅黑" w:eastAsia="微软雅黑"/>
                          <w:sz w:val="21"/>
                          <w:szCs w:val="21"/>
                        </w:rPr>
                      </w:pPr>
                      <w:r>
                        <w:rPr>
                          <w:rFonts w:hint="eastAsia" w:ascii="微软雅黑" w:hAnsi="微软雅黑" w:eastAsia="微软雅黑"/>
                          <w:sz w:val="21"/>
                          <w:szCs w:val="21"/>
                        </w:rPr>
                        <w:t>塔西河</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2056765</wp:posOffset>
                </wp:positionH>
                <wp:positionV relativeFrom="paragraph">
                  <wp:posOffset>4770755</wp:posOffset>
                </wp:positionV>
                <wp:extent cx="817245" cy="1404620"/>
                <wp:effectExtent l="0" t="294005"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rot="17945614">
                          <a:off x="0" y="0"/>
                          <a:ext cx="817418" cy="1404620"/>
                        </a:xfrm>
                        <a:prstGeom prst="rect">
                          <a:avLst/>
                        </a:prstGeom>
                        <a:noFill/>
                        <a:ln w="9525">
                          <a:noFill/>
                          <a:miter lim="800000"/>
                        </a:ln>
                        <a:effectLst/>
                      </wps:spPr>
                      <wps:txbx>
                        <w:txbxContent>
                          <w:p>
                            <w:pPr>
                              <w:ind w:firstLine="0" w:firstLineChars="0"/>
                              <w:rPr>
                                <w:rFonts w:ascii="微软雅黑" w:hAnsi="微软雅黑" w:eastAsia="微软雅黑"/>
                                <w:sz w:val="21"/>
                                <w:szCs w:val="21"/>
                              </w:rPr>
                            </w:pPr>
                            <w:r>
                              <w:rPr>
                                <w:rFonts w:ascii="微软雅黑" w:hAnsi="微软雅黑" w:eastAsia="微软雅黑"/>
                                <w:sz w:val="21"/>
                                <w:szCs w:val="21"/>
                              </w:rPr>
                              <w:t>玛纳斯河</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61.95pt;margin-top:375.65pt;height:110.6pt;width:64.35pt;rotation:-3991564f;z-index:251660288;mso-width-relative:page;mso-height-relative:margin;mso-height-percent:200;" filled="f" stroked="f" coordsize="21600,21600" o:gfxdata="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s60CG3AAAAAsBAAAPAAAAAAAAAAEAIAAAACIAAABkcnMv&#10;ZG93bnJldi54bWxQSwECFAAUAAAACACHTuJAC6dvFTgCAABIBAAADgAAAAAAAAABACAAAAArAQAA&#10;ZHJzL2Uyb0RvYy54bWxQSwUGAAAAAAYABgBZAQAA1QUAAAAA&#10;">
                <v:fill on="f" focussize="0,0"/>
                <v:stroke on="f" miterlimit="8" joinstyle="miter"/>
                <v:imagedata o:title=""/>
                <o:lock v:ext="edit" aspectratio="f"/>
                <v:textbox style="mso-fit-shape-to-text:t;">
                  <w:txbxContent>
                    <w:p>
                      <w:pPr>
                        <w:ind w:firstLine="0" w:firstLineChars="0"/>
                        <w:rPr>
                          <w:rFonts w:ascii="微软雅黑" w:hAnsi="微软雅黑" w:eastAsia="微软雅黑"/>
                          <w:sz w:val="21"/>
                          <w:szCs w:val="21"/>
                        </w:rPr>
                      </w:pPr>
                      <w:r>
                        <w:rPr>
                          <w:rFonts w:ascii="微软雅黑" w:hAnsi="微软雅黑" w:eastAsia="微软雅黑"/>
                          <w:sz w:val="21"/>
                          <w:szCs w:val="21"/>
                        </w:rPr>
                        <w:t>玛纳斯河</w:t>
                      </w:r>
                    </w:p>
                  </w:txbxContent>
                </v:textbox>
              </v:shape>
            </w:pict>
          </mc:Fallback>
        </mc:AlternateContent>
      </w:r>
      <w:r>
        <w:rPr>
          <w:sz w:val="28"/>
        </w:rPr>
        <w:drawing>
          <wp:inline distT="0" distB="0" distL="0" distR="0">
            <wp:extent cx="5381625" cy="7580630"/>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8" cstate="print">
                      <a:extLst>
                        <a:ext uri="{28A0092B-C50C-407E-A947-70E740481C1C}">
                          <a14:useLocalDpi xmlns:a14="http://schemas.microsoft.com/office/drawing/2010/main" val="0"/>
                        </a:ext>
                      </a:extLst>
                    </a:blip>
                    <a:srcRect l="12104" t="15155" r="5697" b="5218"/>
                    <a:stretch>
                      <a:fillRect/>
                    </a:stretch>
                  </pic:blipFill>
                  <pic:spPr>
                    <a:xfrm>
                      <a:off x="0" y="0"/>
                      <a:ext cx="5381625" cy="7580745"/>
                    </a:xfrm>
                    <a:prstGeom prst="rect">
                      <a:avLst/>
                    </a:prstGeom>
                    <a:ln>
                      <a:noFill/>
                    </a:ln>
                  </pic:spPr>
                </pic:pic>
              </a:graphicData>
            </a:graphic>
          </wp:inline>
        </w:drawing>
      </w:r>
    </w:p>
    <w:p>
      <w:pPr>
        <w:pStyle w:val="45"/>
      </w:pPr>
      <w:r>
        <w:t>图2-1  玛纳斯县水系分布图</w:t>
      </w:r>
    </w:p>
    <w:p>
      <w:pPr>
        <w:pStyle w:val="9"/>
        <w:textAlignment w:val="baseline"/>
        <w:rPr>
          <w:color w:val="auto"/>
          <w:kern w:val="0"/>
        </w:rPr>
      </w:pPr>
      <w:r>
        <w:rPr>
          <w:rFonts w:hint="eastAsia"/>
          <w:color w:val="auto"/>
          <w:kern w:val="0"/>
        </w:rPr>
        <w:t>玛纳斯县水利设施基本完善，全县共建成中小型水库</w:t>
      </w:r>
      <w:r>
        <w:rPr>
          <w:color w:val="auto"/>
          <w:kern w:val="0"/>
        </w:rPr>
        <w:t>18</w:t>
      </w:r>
      <w:r>
        <w:rPr>
          <w:rFonts w:hint="eastAsia"/>
          <w:color w:val="auto"/>
          <w:kern w:val="0"/>
        </w:rPr>
        <w:t>座，设计库容5530万m</w:t>
      </w:r>
      <w:r>
        <w:rPr>
          <w:rFonts w:hint="eastAsia"/>
          <w:color w:val="auto"/>
          <w:kern w:val="0"/>
          <w:vertAlign w:val="superscript"/>
        </w:rPr>
        <w:t>3</w:t>
      </w:r>
      <w:r>
        <w:rPr>
          <w:rFonts w:hint="eastAsia"/>
          <w:color w:val="auto"/>
          <w:kern w:val="0"/>
        </w:rPr>
        <w:t>，由于泥沙沉积，现蓄水能力只有3580万m</w:t>
      </w:r>
      <w:r>
        <w:rPr>
          <w:rFonts w:hint="eastAsia"/>
          <w:color w:val="auto"/>
          <w:kern w:val="0"/>
          <w:vertAlign w:val="superscript"/>
        </w:rPr>
        <w:t>3</w:t>
      </w:r>
      <w:r>
        <w:rPr>
          <w:rFonts w:hint="eastAsia"/>
          <w:color w:val="auto"/>
          <w:kern w:val="0"/>
        </w:rPr>
        <w:t>，主要包括石门子水库、塔西河水库、新户坪水库、白土坑水库、大海子、夹河子水库等。</w:t>
      </w:r>
    </w:p>
    <w:p>
      <w:pPr>
        <w:pStyle w:val="9"/>
        <w:textAlignment w:val="baseline"/>
        <w:rPr>
          <w:color w:val="auto"/>
          <w:kern w:val="0"/>
        </w:rPr>
      </w:pPr>
      <w:r>
        <w:rPr>
          <w:rFonts w:hint="eastAsia"/>
          <w:color w:val="auto"/>
          <w:kern w:val="0"/>
        </w:rPr>
        <w:t>新户坪水库为位于县城东北12.5 k</w:t>
      </w:r>
      <w:r>
        <w:rPr>
          <w:color w:val="auto"/>
          <w:kern w:val="0"/>
        </w:rPr>
        <w:t>m</w:t>
      </w:r>
      <w:r>
        <w:rPr>
          <w:rFonts w:hint="eastAsia"/>
          <w:color w:val="auto"/>
          <w:kern w:val="0"/>
        </w:rPr>
        <w:t>，原是一片芦苇洼地，始建于1956年，水库坝型为均质土坝，坝长10.9 k</w:t>
      </w:r>
      <w:r>
        <w:rPr>
          <w:color w:val="auto"/>
          <w:kern w:val="0"/>
        </w:rPr>
        <w:t>m</w:t>
      </w:r>
      <w:r>
        <w:rPr>
          <w:rFonts w:hint="eastAsia"/>
          <w:color w:val="auto"/>
          <w:kern w:val="0"/>
        </w:rPr>
        <w:t>，高10m，顶宽3.5m，底宽15m，竣工库容量3000万m³，汇水面积4</w:t>
      </w:r>
      <w:r>
        <w:rPr>
          <w:color w:val="auto"/>
          <w:kern w:val="0"/>
        </w:rPr>
        <w:t xml:space="preserve"> </w:t>
      </w:r>
      <w:r>
        <w:rPr>
          <w:rFonts w:hint="eastAsia"/>
          <w:color w:val="auto"/>
          <w:kern w:val="0"/>
        </w:rPr>
        <w:t>km²，灌溉面积20万亩。</w:t>
      </w:r>
    </w:p>
    <w:p>
      <w:pPr>
        <w:pStyle w:val="9"/>
        <w:textAlignment w:val="baseline"/>
        <w:rPr>
          <w:color w:val="auto"/>
          <w:kern w:val="0"/>
        </w:rPr>
      </w:pPr>
      <w:r>
        <w:rPr>
          <w:rFonts w:hint="eastAsia"/>
          <w:color w:val="auto"/>
          <w:kern w:val="0"/>
        </w:rPr>
        <w:t>白土坑水库是塔西河古河床，水库坝几经复建，全长5km，坝高5.2m，顶宽4m，底宽40m，水库为常年性调节性水库，实际库容量700万m³，灌溉面积3万亩。</w:t>
      </w:r>
    </w:p>
    <w:p>
      <w:pPr>
        <w:pStyle w:val="9"/>
        <w:textAlignment w:val="baseline"/>
        <w:rPr>
          <w:color w:val="auto"/>
          <w:kern w:val="0"/>
        </w:rPr>
      </w:pPr>
      <w:r>
        <w:rPr>
          <w:rFonts w:hint="eastAsia"/>
          <w:color w:val="auto"/>
          <w:kern w:val="0"/>
        </w:rPr>
        <w:t>玛纳斯河东岸大渠是灌区引水总干渠，全长17</w:t>
      </w:r>
      <w:r>
        <w:rPr>
          <w:color w:val="auto"/>
          <w:kern w:val="0"/>
        </w:rPr>
        <w:t xml:space="preserve">.2 </w:t>
      </w:r>
      <w:r>
        <w:rPr>
          <w:rFonts w:hint="eastAsia"/>
          <w:color w:val="auto"/>
          <w:kern w:val="0"/>
        </w:rPr>
        <w:t>k</w:t>
      </w:r>
      <w:r>
        <w:rPr>
          <w:color w:val="auto"/>
          <w:kern w:val="0"/>
        </w:rPr>
        <w:t>m</w:t>
      </w:r>
      <w:r>
        <w:rPr>
          <w:rFonts w:hint="eastAsia"/>
          <w:color w:val="auto"/>
          <w:kern w:val="0"/>
        </w:rPr>
        <w:t>。头二三宫渠全长13</w:t>
      </w:r>
      <w:r>
        <w:rPr>
          <w:color w:val="auto"/>
          <w:kern w:val="0"/>
        </w:rPr>
        <w:t xml:space="preserve"> </w:t>
      </w:r>
      <w:r>
        <w:rPr>
          <w:rFonts w:hint="eastAsia"/>
          <w:color w:val="auto"/>
          <w:kern w:val="0"/>
        </w:rPr>
        <w:t xml:space="preserve">km，在东岸大渠10+800处引水，设计流量9.0 </w:t>
      </w:r>
      <w:r>
        <w:rPr>
          <w:color w:val="auto"/>
          <w:kern w:val="0"/>
          <w:szCs w:val="21"/>
        </w:rPr>
        <w:t>m</w:t>
      </w:r>
      <w:r>
        <w:rPr>
          <w:color w:val="auto"/>
          <w:kern w:val="0"/>
          <w:szCs w:val="21"/>
          <w:vertAlign w:val="superscript"/>
        </w:rPr>
        <w:t>3</w:t>
      </w:r>
      <w:r>
        <w:rPr>
          <w:rFonts w:hint="eastAsia"/>
          <w:color w:val="auto"/>
          <w:kern w:val="0"/>
        </w:rPr>
        <w:t>/s，灌溉面积7万亩。莫合渠作为县城以北的农业灌溉渠，由东岸大渠分水闸处分水，流量18</w:t>
      </w:r>
      <w:r>
        <w:rPr>
          <w:color w:val="auto"/>
          <w:kern w:val="0"/>
          <w:szCs w:val="21"/>
        </w:rPr>
        <w:t xml:space="preserve"> m</w:t>
      </w:r>
      <w:r>
        <w:rPr>
          <w:color w:val="auto"/>
          <w:kern w:val="0"/>
          <w:szCs w:val="21"/>
          <w:vertAlign w:val="superscript"/>
        </w:rPr>
        <w:t>3</w:t>
      </w:r>
      <w:r>
        <w:rPr>
          <w:rFonts w:hint="eastAsia"/>
          <w:color w:val="auto"/>
          <w:kern w:val="0"/>
        </w:rPr>
        <w:t>/s，受益灌溉面积47万亩。</w:t>
      </w:r>
    </w:p>
    <w:p>
      <w:pPr>
        <w:pStyle w:val="9"/>
        <w:textAlignment w:val="baseline"/>
        <w:rPr>
          <w:rFonts w:ascii="宋体" w:hAnsi="宋体"/>
          <w:color w:val="auto"/>
        </w:rPr>
      </w:pPr>
      <w:r>
        <w:rPr>
          <w:rFonts w:hint="eastAsia" w:ascii="宋体" w:hAnsi="宋体"/>
          <w:color w:val="auto"/>
        </w:rPr>
        <w:t>玛纳斯国家湿地公园</w:t>
      </w:r>
      <w:r>
        <w:rPr>
          <w:rFonts w:hint="eastAsia"/>
          <w:color w:val="auto"/>
          <w:kern w:val="0"/>
        </w:rPr>
        <w:t>位于玛纳斯河上游，</w:t>
      </w:r>
      <w:r>
        <w:rPr>
          <w:rFonts w:hint="eastAsia" w:ascii="宋体" w:hAnsi="宋体"/>
          <w:color w:val="auto"/>
        </w:rPr>
        <w:t>包括白土坑水库、新户坪水库等以及玛纳斯河故道、六阜渠、漠河渠周边部分区域。</w:t>
      </w:r>
    </w:p>
    <w:p>
      <w:pPr>
        <w:pStyle w:val="5"/>
      </w:pPr>
      <w:r>
        <w:rPr>
          <w:rFonts w:hint="eastAsia"/>
        </w:rPr>
        <w:t>（二）地下水</w:t>
      </w:r>
    </w:p>
    <w:p>
      <w:pPr>
        <w:pStyle w:val="9"/>
        <w:textAlignment w:val="baseline"/>
        <w:rPr>
          <w:color w:val="auto"/>
        </w:rPr>
      </w:pPr>
      <w:r>
        <w:rPr>
          <w:rFonts w:hint="eastAsia"/>
          <w:color w:val="auto"/>
          <w:kern w:val="0"/>
        </w:rPr>
        <w:t>县域内地下水也较为丰富，总储量达3.24亿m</w:t>
      </w:r>
      <w:r>
        <w:rPr>
          <w:color w:val="auto"/>
          <w:kern w:val="0"/>
          <w:vertAlign w:val="superscript"/>
        </w:rPr>
        <w:t>3</w:t>
      </w:r>
      <w:r>
        <w:rPr>
          <w:rFonts w:hint="eastAsia"/>
          <w:color w:val="auto"/>
          <w:kern w:val="0"/>
        </w:rPr>
        <w:t>。其主要补给来源于天然降水，地表水体山前侧渗入。全县地下水年补给量为4.05亿m</w:t>
      </w:r>
      <w:r>
        <w:rPr>
          <w:color w:val="auto"/>
          <w:kern w:val="0"/>
          <w:vertAlign w:val="superscript"/>
        </w:rPr>
        <w:t>3</w:t>
      </w:r>
      <w:r>
        <w:rPr>
          <w:rFonts w:hint="eastAsia"/>
          <w:color w:val="auto"/>
          <w:kern w:val="0"/>
        </w:rPr>
        <w:t>，地下水可开采量2.3亿m</w:t>
      </w:r>
      <w:r>
        <w:rPr>
          <w:color w:val="auto"/>
          <w:kern w:val="0"/>
          <w:vertAlign w:val="superscript"/>
        </w:rPr>
        <w:t>3</w:t>
      </w:r>
      <w:r>
        <w:rPr>
          <w:rFonts w:hint="eastAsia"/>
          <w:color w:val="auto"/>
          <w:kern w:val="0"/>
        </w:rPr>
        <w:t>，现年开采总量可达1.38亿m</w:t>
      </w:r>
      <w:r>
        <w:rPr>
          <w:color w:val="auto"/>
          <w:kern w:val="0"/>
          <w:vertAlign w:val="superscript"/>
        </w:rPr>
        <w:t>3</w:t>
      </w:r>
      <w:r>
        <w:rPr>
          <w:rFonts w:hint="eastAsia"/>
          <w:color w:val="auto"/>
          <w:kern w:val="0"/>
        </w:rPr>
        <w:t xml:space="preserve">。 </w:t>
      </w:r>
    </w:p>
    <w:p>
      <w:pPr>
        <w:pStyle w:val="9"/>
        <w:textAlignment w:val="baseline"/>
        <w:rPr>
          <w:color w:val="auto"/>
          <w:kern w:val="0"/>
        </w:rPr>
      </w:pPr>
      <w:r>
        <w:rPr>
          <w:rFonts w:hint="eastAsia"/>
          <w:color w:val="auto"/>
          <w:kern w:val="0"/>
        </w:rPr>
        <w:t>根据中国新疆水环境功能区划，玛纳斯河全河段(玛纳斯源头水)30.7km，控制城镇玛纳斯县、和静县，现状使用功能为源头水，现状水质类别和水质目标为Ⅰ类水体，规划主导功能为自然保护。</w:t>
      </w:r>
    </w:p>
    <w:p>
      <w:pPr>
        <w:pStyle w:val="9"/>
        <w:textAlignment w:val="baseline"/>
        <w:rPr>
          <w:color w:val="auto"/>
          <w:kern w:val="0"/>
        </w:rPr>
      </w:pPr>
      <w:r>
        <w:rPr>
          <w:rFonts w:hint="eastAsia"/>
          <w:color w:val="auto"/>
          <w:kern w:val="0"/>
        </w:rPr>
        <w:t>呼斯台郭勒与玛纳斯河交汇处-肯斯瓦特，54.2km，控制城镇玛纳斯县、沙湾县，现状使用功能为灌溉、发电，现状水质类别和水质目标为Ⅱ类水体，规划主导功能为灌溉蓄水、汛期调峰、渔业生产、生态用水、景观用水。</w:t>
      </w:r>
    </w:p>
    <w:p>
      <w:pPr>
        <w:pStyle w:val="9"/>
        <w:textAlignment w:val="baseline"/>
        <w:rPr>
          <w:color w:val="auto"/>
        </w:rPr>
      </w:pPr>
      <w:r>
        <w:rPr>
          <w:rFonts w:hint="eastAsia"/>
          <w:color w:val="auto"/>
          <w:kern w:val="0"/>
        </w:rPr>
        <w:t>肯斯瓦特-135团7连海拔308.1km，控制城镇玛纳斯县、沙湾县、石河子市，现状使用功能为工业、农业用水，现状水质类别和水质目标为Ⅲ类水体，规划主导功能为景观娱乐用水。</w:t>
      </w:r>
    </w:p>
    <w:p>
      <w:pPr>
        <w:pStyle w:val="3"/>
        <w:ind w:firstLine="643"/>
      </w:pPr>
      <w:bookmarkStart w:id="6" w:name="_Toc130121634"/>
      <w:r>
        <w:rPr>
          <w:rFonts w:hint="eastAsia"/>
        </w:rPr>
        <w:t>第三节</w:t>
      </w:r>
      <w:r>
        <w:t xml:space="preserve">  </w:t>
      </w:r>
      <w:r>
        <w:rPr>
          <w:rFonts w:hint="eastAsia"/>
        </w:rPr>
        <w:t>社会经济条件</w:t>
      </w:r>
      <w:bookmarkEnd w:id="6"/>
    </w:p>
    <w:p>
      <w:pPr>
        <w:pStyle w:val="4"/>
      </w:pPr>
      <w:r>
        <w:rPr>
          <w:rFonts w:hint="eastAsia"/>
        </w:rPr>
        <w:t>一、行政区域</w:t>
      </w:r>
    </w:p>
    <w:p>
      <w:pPr>
        <w:ind w:firstLine="480"/>
      </w:pPr>
      <w:r>
        <w:rPr>
          <w:rFonts w:hint="eastAsia"/>
        </w:rPr>
        <w:t>玛纳斯县所属范围包括玛纳斯县城及乡镇，包含7镇5乡3个场站，即玛纳斯镇、乐土驿镇、凉州户镇、北五岔镇、六户地镇、包家店镇及兰州湾镇等7镇，头工乡、广东地乡、清水河乡、塔西河乡、旱卡子滩乡5乡和园艺场、玛平林场、试验站3个场站。土地面积1.1 万km</w:t>
      </w:r>
      <w:r>
        <w:rPr>
          <w:rFonts w:hint="eastAsia"/>
          <w:vertAlign w:val="superscript"/>
        </w:rPr>
        <w:t>2</w:t>
      </w:r>
      <w:r>
        <w:rPr>
          <w:rFonts w:hint="eastAsia"/>
        </w:rPr>
        <w:t>。</w:t>
      </w:r>
    </w:p>
    <w:p>
      <w:pPr>
        <w:ind w:firstLine="480"/>
      </w:pPr>
      <w:r>
        <w:rPr>
          <w:rFonts w:hint="eastAsia"/>
        </w:rPr>
        <w:t>规划区涉及兰州湾镇、广东地乡、凉州户镇、园艺场管理区域。周边有村落20座，包括兰州湾镇大湾子村、下桥子三村、下桥子一村、下桥子四村、小李庄、八家户村、下八家户村、小李庄农场；广东地乡小海子村、蒲家庄、新户坪村、三棵树村、苇坝村、新湖七场七连、二连以及玛纳斯县域五圣宫村。</w:t>
      </w:r>
    </w:p>
    <w:p>
      <w:pPr>
        <w:pStyle w:val="4"/>
      </w:pPr>
      <w:r>
        <w:rPr>
          <w:rFonts w:hint="eastAsia"/>
        </w:rPr>
        <w:t>二、人口与民族组成</w:t>
      </w:r>
    </w:p>
    <w:p>
      <w:pPr>
        <w:ind w:firstLine="480"/>
      </w:pPr>
      <w:r>
        <w:rPr>
          <w:rFonts w:hint="eastAsia"/>
        </w:rPr>
        <w:t>玛纳斯县隶属于昌吉州，年全县总人口为</w:t>
      </w:r>
      <w:r>
        <w:t>24</w:t>
      </w:r>
      <w:r>
        <w:rPr>
          <w:rFonts w:hint="eastAsia"/>
        </w:rPr>
        <w:t>.</w:t>
      </w:r>
      <w:r>
        <w:t>5</w:t>
      </w:r>
      <w:r>
        <w:rPr>
          <w:rFonts w:hint="eastAsia"/>
        </w:rPr>
        <w:t>万人，全年人口出生率</w:t>
      </w:r>
      <w:r>
        <w:t>9</w:t>
      </w:r>
      <w:r>
        <w:rPr>
          <w:rFonts w:hint="eastAsia"/>
        </w:rPr>
        <w:t>.</w:t>
      </w:r>
      <w:r>
        <w:t>71</w:t>
      </w:r>
      <w:r>
        <w:rPr>
          <w:rFonts w:hint="eastAsia"/>
        </w:rPr>
        <w:t>‰，人口死亡率</w:t>
      </w:r>
      <w:r>
        <w:t>4</w:t>
      </w:r>
      <w:r>
        <w:rPr>
          <w:rFonts w:hint="eastAsia"/>
        </w:rPr>
        <w:t>.</w:t>
      </w:r>
      <w:r>
        <w:t>69</w:t>
      </w:r>
      <w:r>
        <w:rPr>
          <w:rFonts w:hint="eastAsia"/>
        </w:rPr>
        <w:t>‰，人口自然增长率5.</w:t>
      </w:r>
      <w:r>
        <w:t>02</w:t>
      </w:r>
      <w:r>
        <w:rPr>
          <w:rFonts w:hint="eastAsia"/>
        </w:rPr>
        <w:t>‰。</w:t>
      </w:r>
    </w:p>
    <w:p>
      <w:pPr>
        <w:ind w:firstLine="480"/>
      </w:pPr>
      <w:r>
        <w:rPr>
          <w:rFonts w:hint="eastAsia"/>
        </w:rPr>
        <w:t>县境有维吾尔族、汉族、哈萨克族、回族等3</w:t>
      </w:r>
      <w:r>
        <w:t>3</w:t>
      </w:r>
      <w:r>
        <w:rPr>
          <w:rFonts w:hint="eastAsia"/>
        </w:rPr>
        <w:t>个民族。汉族2</w:t>
      </w:r>
      <w:r>
        <w:t>0</w:t>
      </w:r>
      <w:r>
        <w:rPr>
          <w:rFonts w:hint="eastAsia"/>
        </w:rPr>
        <w:t>.</w:t>
      </w:r>
      <w:r>
        <w:t>84</w:t>
      </w:r>
      <w:r>
        <w:rPr>
          <w:rFonts w:hint="eastAsia"/>
        </w:rPr>
        <w:t>万人，占8</w:t>
      </w:r>
      <w:r>
        <w:t>5</w:t>
      </w:r>
      <w:r>
        <w:rPr>
          <w:rFonts w:hint="eastAsia"/>
        </w:rPr>
        <w:t>.</w:t>
      </w:r>
      <w:r>
        <w:t>1</w:t>
      </w:r>
      <w:r>
        <w:rPr>
          <w:rFonts w:hint="eastAsia"/>
        </w:rPr>
        <w:t>%，哈萨克族人口为1.</w:t>
      </w:r>
      <w:r>
        <w:t>94</w:t>
      </w:r>
      <w:r>
        <w:rPr>
          <w:rFonts w:hint="eastAsia"/>
        </w:rPr>
        <w:t>万人，回族人口</w:t>
      </w:r>
      <w:r>
        <w:t>8634</w:t>
      </w:r>
      <w:r>
        <w:rPr>
          <w:rFonts w:hint="eastAsia"/>
        </w:rPr>
        <w:t>人，维吾尔族人口</w:t>
      </w:r>
      <w:r>
        <w:t>6251</w:t>
      </w:r>
      <w:r>
        <w:rPr>
          <w:rFonts w:hint="eastAsia"/>
        </w:rPr>
        <w:t>人，其它民族</w:t>
      </w:r>
      <w:r>
        <w:t>2233</w:t>
      </w:r>
      <w:r>
        <w:rPr>
          <w:rFonts w:hint="eastAsia"/>
        </w:rPr>
        <w:t>人。人口结构上，0-</w:t>
      </w:r>
      <w:r>
        <w:t>17</w:t>
      </w:r>
      <w:r>
        <w:rPr>
          <w:rFonts w:hint="eastAsia"/>
        </w:rPr>
        <w:t>岁的3.</w:t>
      </w:r>
      <w:r>
        <w:t>72</w:t>
      </w:r>
      <w:r>
        <w:rPr>
          <w:rFonts w:hint="eastAsia"/>
        </w:rPr>
        <w:t>万人，1</w:t>
      </w:r>
      <w:r>
        <w:t>8</w:t>
      </w:r>
      <w:r>
        <w:rPr>
          <w:rFonts w:hint="eastAsia"/>
        </w:rPr>
        <w:t>-</w:t>
      </w:r>
      <w:r>
        <w:t>34</w:t>
      </w:r>
      <w:r>
        <w:rPr>
          <w:rFonts w:hint="eastAsia"/>
        </w:rPr>
        <w:t>岁5.</w:t>
      </w:r>
      <w:r>
        <w:t>51</w:t>
      </w:r>
      <w:r>
        <w:rPr>
          <w:rFonts w:hint="eastAsia"/>
        </w:rPr>
        <w:t>万人，3</w:t>
      </w:r>
      <w:r>
        <w:t>5</w:t>
      </w:r>
      <w:r>
        <w:rPr>
          <w:rFonts w:hint="eastAsia"/>
        </w:rPr>
        <w:t>-</w:t>
      </w:r>
      <w:r>
        <w:t>59</w:t>
      </w:r>
      <w:r>
        <w:rPr>
          <w:rFonts w:hint="eastAsia"/>
        </w:rPr>
        <w:t>岁1</w:t>
      </w:r>
      <w:r>
        <w:t>0</w:t>
      </w:r>
      <w:r>
        <w:rPr>
          <w:rFonts w:hint="eastAsia"/>
        </w:rPr>
        <w:t>.</w:t>
      </w:r>
      <w:r>
        <w:t>95</w:t>
      </w:r>
      <w:r>
        <w:rPr>
          <w:rFonts w:hint="eastAsia"/>
        </w:rPr>
        <w:t>万人，6</w:t>
      </w:r>
      <w:r>
        <w:t>0</w:t>
      </w:r>
      <w:r>
        <w:rPr>
          <w:rFonts w:hint="eastAsia"/>
        </w:rPr>
        <w:t>岁以上4.</w:t>
      </w:r>
      <w:r>
        <w:t>30</w:t>
      </w:r>
      <w:r>
        <w:rPr>
          <w:rFonts w:hint="eastAsia"/>
        </w:rPr>
        <w:t>万人，分别占1</w:t>
      </w:r>
      <w:r>
        <w:t>5</w:t>
      </w:r>
      <w:r>
        <w:rPr>
          <w:rFonts w:hint="eastAsia"/>
        </w:rPr>
        <w:t>.</w:t>
      </w:r>
      <w:r>
        <w:t>2</w:t>
      </w:r>
      <w:r>
        <w:rPr>
          <w:rFonts w:hint="eastAsia"/>
        </w:rPr>
        <w:t>%、2</w:t>
      </w:r>
      <w:r>
        <w:t>2</w:t>
      </w:r>
      <w:r>
        <w:rPr>
          <w:rFonts w:hint="eastAsia"/>
        </w:rPr>
        <w:t>.</w:t>
      </w:r>
      <w:r>
        <w:t>5</w:t>
      </w:r>
      <w:r>
        <w:rPr>
          <w:rFonts w:hint="eastAsia"/>
        </w:rPr>
        <w:t>%、4</w:t>
      </w:r>
      <w:r>
        <w:t>4</w:t>
      </w:r>
      <w:r>
        <w:rPr>
          <w:rFonts w:hint="eastAsia"/>
        </w:rPr>
        <w:t>.</w:t>
      </w:r>
      <w:r>
        <w:t>7</w:t>
      </w:r>
      <w:r>
        <w:rPr>
          <w:rFonts w:hint="eastAsia"/>
        </w:rPr>
        <w:t>%和1</w:t>
      </w:r>
      <w:r>
        <w:t>7</w:t>
      </w:r>
      <w:r>
        <w:rPr>
          <w:rFonts w:hint="eastAsia"/>
        </w:rPr>
        <w:t>.</w:t>
      </w:r>
      <w:r>
        <w:t>6</w:t>
      </w:r>
      <w:r>
        <w:rPr>
          <w:rFonts w:hint="eastAsia"/>
        </w:rPr>
        <w:t>%。</w:t>
      </w:r>
    </w:p>
    <w:p>
      <w:pPr>
        <w:pStyle w:val="4"/>
      </w:pPr>
      <w:r>
        <w:rPr>
          <w:rFonts w:hint="eastAsia"/>
        </w:rPr>
        <w:t>三、地方经济</w:t>
      </w:r>
    </w:p>
    <w:p>
      <w:pPr>
        <w:ind w:firstLine="480"/>
      </w:pPr>
      <w:r>
        <w:rPr>
          <w:rFonts w:hint="eastAsia"/>
        </w:rPr>
        <w:t>玛纳斯县委县政府坚持“生态立县，绿色发展”的理念，按照“提质增效、重点突破、创新驱动”的发展要求，围绕“均衡凤城、幸福玛纳斯”的发展目标着力稳增长、调结构、促改革、惠民生，社会经济取得新的发展。2022年，实现地区生产总值189.04亿元，增长3.9%；规模以上工业增加值50.1亿元；全社会固定资产投资39.1亿元、增长20.1%；社会消费品零售总额18.45亿元；公共财政预算收入10.72亿元、增长10.4%；城乡居民可支配收入分别达37970元、28734元，增长1.5%、3.3%。</w:t>
      </w:r>
    </w:p>
    <w:p>
      <w:pPr>
        <w:pStyle w:val="4"/>
      </w:pPr>
      <w:r>
        <w:rPr>
          <w:rFonts w:hint="eastAsia"/>
        </w:rPr>
        <w:t>四、交通条件</w:t>
      </w:r>
    </w:p>
    <w:p>
      <w:pPr>
        <w:ind w:firstLine="480"/>
      </w:pPr>
      <w:r>
        <w:rPr>
          <w:rFonts w:hint="eastAsia"/>
        </w:rPr>
        <w:t>规划区距乌鲁木齐地窝铺国际机场120km，距离石河子花园机场3</w:t>
      </w:r>
      <w:r>
        <w:t>0</w:t>
      </w:r>
      <w:r>
        <w:rPr>
          <w:rFonts w:hint="eastAsia"/>
        </w:rPr>
        <w:t>km，北疆铁路从玛纳斯县城南部东西向穿过，在县城南部设有玛纳斯火车站。公路初步形成以国道、高速公路、省道为主骨架，以农村公路网为脉络的“两纵五横三联络”的公路网结构。其中县道X158，X155，X894南北贯穿规划区，省道S201东西向绕过规划区北界，国道G312与乌奎高速穿过规划区南端。玛纳斯县率先在全疆实现城乡公交标准化运营。</w:t>
      </w:r>
    </w:p>
    <w:p>
      <w:pPr>
        <w:ind w:firstLine="480"/>
      </w:pPr>
      <w:r>
        <w:rPr>
          <w:rFonts w:hint="eastAsia"/>
        </w:rPr>
        <w:t>目前规划区内交通主要为陆路。由于受到地理环境和经济条件的制约，主要为生产路，道路崎岖不平，路况较差，道路等级不高。在政府P</w:t>
      </w:r>
      <w:r>
        <w:t>PP</w:t>
      </w:r>
      <w:r>
        <w:rPr>
          <w:rFonts w:hint="eastAsia"/>
        </w:rPr>
        <w:t>项目资金支持下，建设了1</w:t>
      </w:r>
      <w:r>
        <w:t>2</w:t>
      </w:r>
      <w:r>
        <w:rPr>
          <w:rFonts w:hint="eastAsia"/>
        </w:rPr>
        <w:t>km木栈道，与在规划区之外新建公路连通到景区。</w:t>
      </w:r>
    </w:p>
    <w:p>
      <w:pPr>
        <w:pStyle w:val="4"/>
      </w:pPr>
      <w:r>
        <w:rPr>
          <w:rFonts w:hint="eastAsia"/>
        </w:rPr>
        <w:t>五、文化旅游资源</w:t>
      </w:r>
    </w:p>
    <w:p>
      <w:pPr>
        <w:pStyle w:val="5"/>
      </w:pPr>
      <w:r>
        <w:rPr>
          <w:rFonts w:hint="eastAsia"/>
        </w:rPr>
        <w:t>（一）历史</w:t>
      </w:r>
      <w:r>
        <w:t>人文资源</w:t>
      </w:r>
    </w:p>
    <w:p>
      <w:pPr>
        <w:ind w:firstLine="480"/>
        <w:rPr>
          <w:u w:color="000000"/>
        </w:rPr>
      </w:pPr>
      <w:r>
        <w:rPr>
          <w:u w:color="000000"/>
        </w:rPr>
        <w:t>玛纳斯县地处“丝绸北道”重要地段，文物遗存十分丰富，目前全县现有不可移动文物22处，其中遗址13处、古墓葬4处、古建筑2处、岩画3处，重要文物出土点2处。已被公布为各级文物保护单位的13处，其中自治区级3处，县级10处。现有110</w:t>
      </w:r>
      <w:r>
        <w:rPr>
          <w:rFonts w:hint="eastAsia"/>
          <w:u w:color="000000"/>
        </w:rPr>
        <w:t>m</w:t>
      </w:r>
      <w:r>
        <w:rPr>
          <w:u w:color="000000"/>
          <w:vertAlign w:val="superscript"/>
        </w:rPr>
        <w:t>2</w:t>
      </w:r>
      <w:r>
        <w:rPr>
          <w:u w:color="000000"/>
        </w:rPr>
        <w:t>的文物展厅1间、文物库房1间，馆藏文物395件。</w:t>
      </w:r>
    </w:p>
    <w:p>
      <w:pPr>
        <w:ind w:firstLine="480"/>
        <w:rPr>
          <w:u w:color="000000"/>
        </w:rPr>
      </w:pPr>
      <w:r>
        <w:rPr>
          <w:u w:color="000000"/>
        </w:rPr>
        <w:t>玛纳斯县文物点多面广线长，北部沙漠地区文物保护单位距县城远，交通不便，文物保护部门无法及时掌握和处理全县文物安全动态，很大程度制约了文物保护工作的开展。玛纳斯县域文物保护单位见表2-1。</w:t>
      </w:r>
    </w:p>
    <w:p>
      <w:pPr>
        <w:pStyle w:val="45"/>
      </w:pPr>
      <w:r>
        <w:t>表2</w:t>
      </w:r>
      <w:r>
        <w:rPr>
          <w:rFonts w:hint="eastAsia"/>
        </w:rPr>
        <w:t>-</w:t>
      </w:r>
      <w:r>
        <w:t>1  玛纳斯县域文物保护点一览表</w:t>
      </w:r>
    </w:p>
    <w:tbl>
      <w:tblPr>
        <w:tblStyle w:val="25"/>
        <w:tblW w:w="8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295"/>
        <w:gridCol w:w="1213"/>
        <w:gridCol w:w="1213"/>
        <w:gridCol w:w="3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b/>
                <w:sz w:val="21"/>
                <w:szCs w:val="21"/>
              </w:rPr>
            </w:pPr>
            <w:r>
              <w:rPr>
                <w:rFonts w:eastAsia="楷体" w:cs="Times New Roman"/>
                <w:b/>
                <w:sz w:val="21"/>
                <w:szCs w:val="21"/>
              </w:rPr>
              <w:t>序号</w:t>
            </w:r>
          </w:p>
        </w:tc>
        <w:tc>
          <w:tcPr>
            <w:tcW w:w="2295" w:type="dxa"/>
          </w:tcPr>
          <w:p>
            <w:pPr>
              <w:spacing w:line="240" w:lineRule="auto"/>
              <w:ind w:firstLine="0" w:firstLineChars="0"/>
              <w:rPr>
                <w:rFonts w:eastAsia="楷体" w:cs="Times New Roman"/>
                <w:b/>
                <w:sz w:val="21"/>
                <w:szCs w:val="21"/>
              </w:rPr>
            </w:pPr>
            <w:r>
              <w:rPr>
                <w:rFonts w:eastAsia="楷体" w:cs="Times New Roman"/>
                <w:b/>
                <w:sz w:val="21"/>
                <w:szCs w:val="21"/>
              </w:rPr>
              <w:t>名称</w:t>
            </w:r>
          </w:p>
        </w:tc>
        <w:tc>
          <w:tcPr>
            <w:tcW w:w="1213" w:type="dxa"/>
          </w:tcPr>
          <w:p>
            <w:pPr>
              <w:spacing w:line="240" w:lineRule="auto"/>
              <w:ind w:firstLine="0" w:firstLineChars="0"/>
              <w:rPr>
                <w:rFonts w:eastAsia="楷体" w:cs="Times New Roman"/>
                <w:b/>
                <w:sz w:val="21"/>
                <w:szCs w:val="21"/>
              </w:rPr>
            </w:pPr>
            <w:r>
              <w:rPr>
                <w:rFonts w:eastAsia="楷体" w:cs="Times New Roman"/>
                <w:b/>
                <w:sz w:val="21"/>
                <w:szCs w:val="21"/>
              </w:rPr>
              <w:t>级别</w:t>
            </w:r>
          </w:p>
        </w:tc>
        <w:tc>
          <w:tcPr>
            <w:tcW w:w="1213" w:type="dxa"/>
          </w:tcPr>
          <w:p>
            <w:pPr>
              <w:spacing w:line="240" w:lineRule="auto"/>
              <w:ind w:firstLine="0" w:firstLineChars="0"/>
              <w:rPr>
                <w:rFonts w:eastAsia="楷体" w:cs="Times New Roman"/>
                <w:b/>
                <w:sz w:val="21"/>
                <w:szCs w:val="21"/>
              </w:rPr>
            </w:pPr>
            <w:r>
              <w:rPr>
                <w:rFonts w:eastAsia="楷体" w:cs="Times New Roman"/>
                <w:b/>
                <w:sz w:val="21"/>
                <w:szCs w:val="21"/>
              </w:rPr>
              <w:t>年代</w:t>
            </w:r>
          </w:p>
        </w:tc>
        <w:tc>
          <w:tcPr>
            <w:tcW w:w="3099" w:type="dxa"/>
          </w:tcPr>
          <w:p>
            <w:pPr>
              <w:spacing w:line="240" w:lineRule="auto"/>
              <w:ind w:firstLine="0" w:firstLineChars="0"/>
              <w:rPr>
                <w:rFonts w:eastAsia="楷体" w:cs="Times New Roman"/>
                <w:b/>
                <w:sz w:val="21"/>
                <w:szCs w:val="21"/>
              </w:rPr>
            </w:pPr>
            <w:r>
              <w:rPr>
                <w:rFonts w:eastAsia="楷体" w:cs="Times New Roman"/>
                <w:b/>
                <w:sz w:val="21"/>
                <w:szCs w:val="21"/>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陕西会馆</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自治区级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县医院院内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2</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楼南古城</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自治区级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唐代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头工乡楼南村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3</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多木拉克脱拜古墓群</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自治区级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唐代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清水河乡贝母房子村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4</w:t>
            </w:r>
          </w:p>
        </w:tc>
        <w:tc>
          <w:tcPr>
            <w:tcW w:w="2295" w:type="dxa"/>
          </w:tcPr>
          <w:p>
            <w:pPr>
              <w:spacing w:line="240" w:lineRule="auto"/>
              <w:ind w:firstLine="0" w:firstLineChars="0"/>
              <w:rPr>
                <w:rFonts w:eastAsia="楷体" w:cs="Times New Roman"/>
                <w:sz w:val="21"/>
                <w:szCs w:val="21"/>
              </w:rPr>
            </w:pPr>
            <w:r>
              <w:rPr>
                <w:rFonts w:hint="eastAsia" w:eastAsia="楷体" w:cs="Times New Roman"/>
                <w:sz w:val="21"/>
                <w:szCs w:val="21"/>
                <w:lang w:val="en-US" w:eastAsia="zh-CN"/>
              </w:rPr>
              <w:t>维吾尔族</w:t>
            </w:r>
            <w:r>
              <w:rPr>
                <w:rFonts w:eastAsia="楷体" w:cs="Times New Roman"/>
                <w:sz w:val="21"/>
                <w:szCs w:val="21"/>
              </w:rPr>
              <w:t>清真寺</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玛纳斯镇凤凰北路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5</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黄台子石堆墓</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唐代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塔西河乡黄台子村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6</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沙拉乔克岩画</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战国－元</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 xml:space="preserve">塔西河乡政府南约7 </w:t>
            </w:r>
            <w:r>
              <w:rPr>
                <w:rFonts w:hint="eastAsia" w:eastAsia="楷体" w:cs="Times New Roman"/>
                <w:sz w:val="21"/>
                <w:szCs w:val="21"/>
              </w:rPr>
              <w:t>k</w:t>
            </w:r>
            <w:r>
              <w:rPr>
                <w:rFonts w:eastAsia="楷体" w:cs="Times New Roman"/>
                <w:sz w:val="21"/>
                <w:szCs w:val="21"/>
              </w:rPr>
              <w:t>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7</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头墩台子烽火台</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旱卡子滩乡红山口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8</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塔西河古堡</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唐代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包家店镇疙瘩河村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9</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塔西河烽火台</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包家店镇塔西河村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10</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十里墩</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兰州湾镇十里墩村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11</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烽火台村烽火台</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唐代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兵团农八师149团2连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12</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东古城</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兵团农八师149团12连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13</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西营城</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兵团农八师148团6连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14</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宫家台子古墓群</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唐代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 xml:space="preserve">清水河乡政府南300 </w:t>
            </w:r>
            <w:r>
              <w:rPr>
                <w:rFonts w:hint="eastAsia" w:eastAsia="楷体" w:cs="Times New Roman"/>
                <w:sz w:val="21"/>
                <w:szCs w:val="21"/>
              </w:rPr>
              <w:t>m</w:t>
            </w:r>
            <w:r>
              <w:rPr>
                <w:rFonts w:eastAsia="楷体" w:cs="Times New Roman"/>
                <w:sz w:val="21"/>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15</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康吉城残墙</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县级</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玛纳斯县看守所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16</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鸽子洞岩画</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文保点</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战国－元</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 xml:space="preserve">清水河团庄子村东5 </w:t>
            </w:r>
            <w:r>
              <w:rPr>
                <w:rFonts w:hint="eastAsia" w:eastAsia="楷体" w:cs="Times New Roman"/>
                <w:sz w:val="21"/>
                <w:szCs w:val="21"/>
              </w:rPr>
              <w:t>k</w:t>
            </w:r>
            <w:r>
              <w:rPr>
                <w:rFonts w:eastAsia="楷体" w:cs="Times New Roman"/>
                <w:sz w:val="21"/>
                <w:szCs w:val="21"/>
              </w:rPr>
              <w:t>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17</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苏鲁萨依岩画</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文保点</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战国－元</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石门子水库东500</w:t>
            </w:r>
            <w:r>
              <w:rPr>
                <w:rFonts w:hint="eastAsia" w:eastAsia="楷体" w:cs="Times New Roman"/>
                <w:sz w:val="21"/>
                <w:szCs w:val="21"/>
              </w:rPr>
              <w:t>m</w:t>
            </w:r>
            <w:r>
              <w:rPr>
                <w:rFonts w:eastAsia="楷体" w:cs="Times New Roman"/>
                <w:sz w:val="21"/>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18</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虫王庙遗址</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文保点</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清代</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 xml:space="preserve">头工乡政府南2 </w:t>
            </w:r>
            <w:r>
              <w:rPr>
                <w:rFonts w:hint="eastAsia" w:eastAsia="楷体" w:cs="Times New Roman"/>
                <w:sz w:val="21"/>
                <w:szCs w:val="21"/>
              </w:rPr>
              <w:t>k</w:t>
            </w:r>
            <w:r>
              <w:rPr>
                <w:rFonts w:eastAsia="楷体" w:cs="Times New Roman"/>
                <w:sz w:val="21"/>
                <w:szCs w:val="21"/>
              </w:rPr>
              <w:t>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19</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石门子岩画</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文保点</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战国－元</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石门子水库东侧2</w:t>
            </w:r>
            <w:r>
              <w:rPr>
                <w:rFonts w:hint="eastAsia" w:eastAsia="楷体" w:cs="Times New Roman"/>
                <w:sz w:val="21"/>
                <w:szCs w:val="21"/>
              </w:rPr>
              <w:t>k</w:t>
            </w:r>
            <w:r>
              <w:rPr>
                <w:rFonts w:eastAsia="楷体" w:cs="Times New Roman"/>
                <w:sz w:val="21"/>
                <w:szCs w:val="21"/>
              </w:rPr>
              <w:t>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8" w:type="dxa"/>
          </w:tcPr>
          <w:p>
            <w:pPr>
              <w:spacing w:line="240" w:lineRule="auto"/>
              <w:ind w:firstLine="0" w:firstLineChars="0"/>
              <w:rPr>
                <w:rFonts w:eastAsia="楷体" w:cs="Times New Roman"/>
                <w:sz w:val="21"/>
                <w:szCs w:val="21"/>
              </w:rPr>
            </w:pPr>
            <w:r>
              <w:rPr>
                <w:rFonts w:eastAsia="楷体" w:cs="Times New Roman"/>
                <w:sz w:val="21"/>
                <w:szCs w:val="21"/>
              </w:rPr>
              <w:t>20</w:t>
            </w:r>
          </w:p>
        </w:tc>
        <w:tc>
          <w:tcPr>
            <w:tcW w:w="2295" w:type="dxa"/>
          </w:tcPr>
          <w:p>
            <w:pPr>
              <w:spacing w:line="240" w:lineRule="auto"/>
              <w:ind w:firstLine="0" w:firstLineChars="0"/>
              <w:rPr>
                <w:rFonts w:eastAsia="楷体" w:cs="Times New Roman"/>
                <w:sz w:val="21"/>
                <w:szCs w:val="21"/>
              </w:rPr>
            </w:pPr>
            <w:r>
              <w:rPr>
                <w:rFonts w:eastAsia="楷体" w:cs="Times New Roman"/>
                <w:sz w:val="21"/>
                <w:szCs w:val="21"/>
              </w:rPr>
              <w:t>包家店镇黑梁湾古墓</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文保点</w:t>
            </w:r>
          </w:p>
        </w:tc>
        <w:tc>
          <w:tcPr>
            <w:tcW w:w="1213" w:type="dxa"/>
          </w:tcPr>
          <w:p>
            <w:pPr>
              <w:spacing w:line="240" w:lineRule="auto"/>
              <w:ind w:firstLine="0" w:firstLineChars="0"/>
              <w:rPr>
                <w:rFonts w:eastAsia="楷体" w:cs="Times New Roman"/>
                <w:sz w:val="21"/>
                <w:szCs w:val="21"/>
              </w:rPr>
            </w:pPr>
            <w:r>
              <w:rPr>
                <w:rFonts w:eastAsia="楷体" w:cs="Times New Roman"/>
                <w:sz w:val="21"/>
                <w:szCs w:val="21"/>
              </w:rPr>
              <w:t>战国</w:t>
            </w:r>
          </w:p>
        </w:tc>
        <w:tc>
          <w:tcPr>
            <w:tcW w:w="3099" w:type="dxa"/>
          </w:tcPr>
          <w:p>
            <w:pPr>
              <w:spacing w:line="240" w:lineRule="auto"/>
              <w:ind w:firstLine="0" w:firstLineChars="0"/>
              <w:rPr>
                <w:rFonts w:eastAsia="楷体" w:cs="Times New Roman"/>
                <w:sz w:val="21"/>
                <w:szCs w:val="21"/>
              </w:rPr>
            </w:pPr>
            <w:r>
              <w:rPr>
                <w:rFonts w:eastAsia="楷体" w:cs="Times New Roman"/>
                <w:sz w:val="21"/>
                <w:szCs w:val="21"/>
              </w:rPr>
              <w:t>黑梁湾山庄西侧</w:t>
            </w:r>
            <w:r>
              <w:rPr>
                <w:rFonts w:hint="eastAsia" w:eastAsia="楷体" w:cs="Times New Roman"/>
                <w:sz w:val="21"/>
                <w:szCs w:val="21"/>
              </w:rPr>
              <w:t>1</w:t>
            </w:r>
            <w:r>
              <w:rPr>
                <w:rFonts w:eastAsia="楷体" w:cs="Times New Roman"/>
                <w:sz w:val="21"/>
                <w:szCs w:val="21"/>
              </w:rPr>
              <w:t>00m处</w:t>
            </w:r>
          </w:p>
        </w:tc>
      </w:tr>
    </w:tbl>
    <w:p>
      <w:pPr>
        <w:pStyle w:val="5"/>
      </w:pPr>
      <w:r>
        <w:rPr>
          <w:rFonts w:hint="eastAsia"/>
        </w:rPr>
        <w:t>（二）旅游资源</w:t>
      </w:r>
    </w:p>
    <w:p>
      <w:pPr>
        <w:ind w:firstLine="480"/>
      </w:pPr>
      <w:r>
        <w:rPr>
          <w:rFonts w:hint="eastAsia"/>
        </w:rPr>
        <w:t>玛纳斯县历史悠久，地貌多样，旅游资源丰富。有以红山地质构造、五道垭、莫索湾沙漠为代表的地文景观；有以清水河风景段、塔西河风景段、十户窑景区、火烧洼热气泉为代表的水域风光。此外，玛纳斯还有丰富的生物景观、历史遗迹、多样的旅游商品、独特的民俗风情。目前，已初步开发的旅游景区有8处，其中分布在中部平原区的景区（点）有黑梁湾山庄、城郊型农家乐、北公园、大佛寺和红柳生态园5处；分布在南部山区的景区（点）有清水河风景区、金驼山景区和十户窑景区3处。</w:t>
      </w:r>
    </w:p>
    <w:p>
      <w:pPr>
        <w:pStyle w:val="45"/>
      </w:pPr>
      <w:r>
        <w:t>表2</w:t>
      </w:r>
      <w:r>
        <w:rPr>
          <w:rFonts w:hint="eastAsia"/>
        </w:rPr>
        <w:t>-</w:t>
      </w:r>
      <w:r>
        <w:t>2  玛纳斯县旅游资源分类系统表</w:t>
      </w:r>
    </w:p>
    <w:tbl>
      <w:tblPr>
        <w:tblStyle w:val="25"/>
        <w:tblW w:w="8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701"/>
        <w:gridCol w:w="2552"/>
        <w:gridCol w:w="1984"/>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Align w:val="center"/>
          </w:tcPr>
          <w:p>
            <w:pPr>
              <w:spacing w:line="240" w:lineRule="auto"/>
              <w:ind w:firstLine="0" w:firstLineChars="0"/>
              <w:rPr>
                <w:rFonts w:eastAsia="楷体" w:cs="Times New Roman"/>
                <w:b/>
                <w:sz w:val="21"/>
                <w:szCs w:val="21"/>
              </w:rPr>
            </w:pPr>
            <w:r>
              <w:rPr>
                <w:rFonts w:eastAsia="楷体" w:cs="Times New Roman"/>
                <w:b/>
                <w:sz w:val="21"/>
                <w:szCs w:val="21"/>
              </w:rPr>
              <w:t>主类</w:t>
            </w:r>
          </w:p>
        </w:tc>
        <w:tc>
          <w:tcPr>
            <w:tcW w:w="1701" w:type="dxa"/>
            <w:vAlign w:val="center"/>
          </w:tcPr>
          <w:p>
            <w:pPr>
              <w:spacing w:line="240" w:lineRule="auto"/>
              <w:ind w:firstLine="0" w:firstLineChars="0"/>
              <w:rPr>
                <w:rFonts w:eastAsia="楷体" w:cs="Times New Roman"/>
                <w:b/>
                <w:sz w:val="21"/>
                <w:szCs w:val="21"/>
              </w:rPr>
            </w:pPr>
            <w:r>
              <w:rPr>
                <w:rFonts w:eastAsia="楷体" w:cs="Times New Roman"/>
                <w:b/>
                <w:sz w:val="21"/>
                <w:szCs w:val="21"/>
              </w:rPr>
              <w:t>亚类</w:t>
            </w:r>
          </w:p>
        </w:tc>
        <w:tc>
          <w:tcPr>
            <w:tcW w:w="2552" w:type="dxa"/>
            <w:vAlign w:val="center"/>
          </w:tcPr>
          <w:p>
            <w:pPr>
              <w:spacing w:line="240" w:lineRule="auto"/>
              <w:ind w:firstLine="0" w:firstLineChars="0"/>
              <w:rPr>
                <w:rFonts w:eastAsia="楷体" w:cs="Times New Roman"/>
                <w:b/>
                <w:sz w:val="21"/>
                <w:szCs w:val="21"/>
              </w:rPr>
            </w:pPr>
            <w:r>
              <w:rPr>
                <w:rFonts w:eastAsia="楷体" w:cs="Times New Roman"/>
                <w:b/>
                <w:sz w:val="21"/>
                <w:szCs w:val="21"/>
              </w:rPr>
              <w:t>基本类型</w:t>
            </w:r>
          </w:p>
        </w:tc>
        <w:tc>
          <w:tcPr>
            <w:tcW w:w="1984" w:type="dxa"/>
            <w:vAlign w:val="center"/>
          </w:tcPr>
          <w:p>
            <w:pPr>
              <w:spacing w:line="240" w:lineRule="auto"/>
              <w:ind w:firstLine="0" w:firstLineChars="0"/>
              <w:rPr>
                <w:rFonts w:eastAsia="楷体" w:cs="Times New Roman"/>
                <w:b/>
                <w:sz w:val="21"/>
                <w:szCs w:val="21"/>
              </w:rPr>
            </w:pPr>
            <w:r>
              <w:rPr>
                <w:rFonts w:eastAsia="楷体" w:cs="Times New Roman"/>
                <w:b/>
                <w:sz w:val="21"/>
                <w:szCs w:val="21"/>
              </w:rPr>
              <w:t>资源名称</w:t>
            </w:r>
          </w:p>
        </w:tc>
        <w:tc>
          <w:tcPr>
            <w:tcW w:w="1080" w:type="dxa"/>
            <w:vAlign w:val="center"/>
          </w:tcPr>
          <w:p>
            <w:pPr>
              <w:spacing w:line="240" w:lineRule="auto"/>
              <w:ind w:firstLine="0" w:firstLineChars="0"/>
              <w:rPr>
                <w:rFonts w:eastAsia="楷体" w:cs="Times New Roman"/>
                <w:b/>
                <w:sz w:val="21"/>
                <w:szCs w:val="21"/>
              </w:rPr>
            </w:pPr>
            <w:r>
              <w:rPr>
                <w:rFonts w:eastAsia="楷体" w:cs="Times New Roman"/>
                <w:b/>
                <w:sz w:val="21"/>
                <w:szCs w:val="21"/>
              </w:rPr>
              <w:t>开发状况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A、地文景观</w:t>
            </w:r>
          </w:p>
        </w:tc>
        <w:tc>
          <w:tcPr>
            <w:tcW w:w="1701" w:type="dxa"/>
            <w:vAlign w:val="center"/>
          </w:tcPr>
          <w:p>
            <w:pPr>
              <w:spacing w:line="240" w:lineRule="auto"/>
              <w:ind w:firstLine="0" w:firstLineChars="0"/>
              <w:rPr>
                <w:rFonts w:eastAsia="楷体" w:cs="Times New Roman"/>
                <w:sz w:val="21"/>
                <w:szCs w:val="21"/>
              </w:rPr>
            </w:pPr>
            <w:r>
              <w:rPr>
                <w:rFonts w:eastAsia="楷体" w:cs="Times New Roman"/>
                <w:sz w:val="21"/>
                <w:szCs w:val="21"/>
              </w:rPr>
              <w:t>AB沉积与构造</w:t>
            </w: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ABD地层剖面</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红山地质构造</w:t>
            </w:r>
          </w:p>
        </w:tc>
        <w:tc>
          <w:tcPr>
            <w:tcW w:w="1080"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未开发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AC地质地貌过程形迹</w:t>
            </w: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ACC峰丛</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五道垭</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ACM沙丘地</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莫索湾沙漠</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B、水域风光</w:t>
            </w:r>
          </w:p>
        </w:tc>
        <w:tc>
          <w:tcPr>
            <w:tcW w:w="170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BA河段</w:t>
            </w:r>
          </w:p>
        </w:tc>
        <w:tc>
          <w:tcPr>
            <w:tcW w:w="2552"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BAA观光游憩河段</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清水河风景段</w:t>
            </w:r>
          </w:p>
        </w:tc>
        <w:tc>
          <w:tcPr>
            <w:tcW w:w="1080"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初步开发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十户窑景区</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塔西河风景段</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Align w:val="center"/>
          </w:tcPr>
          <w:p>
            <w:pPr>
              <w:spacing w:line="240" w:lineRule="auto"/>
              <w:ind w:firstLine="0" w:firstLineChars="0"/>
              <w:rPr>
                <w:rFonts w:eastAsia="楷体" w:cs="Times New Roman"/>
                <w:sz w:val="21"/>
                <w:szCs w:val="21"/>
              </w:rPr>
            </w:pPr>
            <w:r>
              <w:rPr>
                <w:rFonts w:eastAsia="楷体" w:cs="Times New Roman"/>
                <w:sz w:val="21"/>
                <w:szCs w:val="21"/>
              </w:rPr>
              <w:t>BD泉</w:t>
            </w: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BDB地热与热泉</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火烧洼热气泉</w:t>
            </w:r>
          </w:p>
        </w:tc>
        <w:tc>
          <w:tcPr>
            <w:tcW w:w="1080" w:type="dxa"/>
            <w:vAlign w:val="center"/>
          </w:tcPr>
          <w:p>
            <w:pPr>
              <w:spacing w:line="240" w:lineRule="auto"/>
              <w:ind w:firstLine="0" w:firstLineChars="0"/>
              <w:rPr>
                <w:rFonts w:eastAsia="楷体" w:cs="Times New Roman"/>
                <w:sz w:val="21"/>
                <w:szCs w:val="21"/>
              </w:rPr>
            </w:pPr>
            <w:r>
              <w:rPr>
                <w:rFonts w:eastAsia="楷体" w:cs="Times New Roman"/>
                <w:sz w:val="21"/>
                <w:szCs w:val="21"/>
              </w:rPr>
              <w:t>未开发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Align w:val="center"/>
          </w:tcPr>
          <w:p>
            <w:pPr>
              <w:spacing w:line="240" w:lineRule="auto"/>
              <w:ind w:firstLine="0" w:firstLineChars="0"/>
              <w:rPr>
                <w:rFonts w:eastAsia="楷体" w:cs="Times New Roman"/>
                <w:sz w:val="21"/>
                <w:szCs w:val="21"/>
              </w:rPr>
            </w:pPr>
            <w:r>
              <w:rPr>
                <w:rFonts w:eastAsia="楷体" w:cs="Times New Roman"/>
                <w:sz w:val="21"/>
                <w:szCs w:val="21"/>
              </w:rPr>
              <w:t>C、生物景观</w:t>
            </w:r>
          </w:p>
        </w:tc>
        <w:tc>
          <w:tcPr>
            <w:tcW w:w="1701" w:type="dxa"/>
            <w:vAlign w:val="center"/>
          </w:tcPr>
          <w:p>
            <w:pPr>
              <w:spacing w:line="240" w:lineRule="auto"/>
              <w:ind w:firstLine="0" w:firstLineChars="0"/>
              <w:rPr>
                <w:rFonts w:eastAsia="楷体" w:cs="Times New Roman"/>
                <w:sz w:val="21"/>
                <w:szCs w:val="21"/>
              </w:rPr>
            </w:pPr>
            <w:r>
              <w:rPr>
                <w:rFonts w:eastAsia="楷体" w:cs="Times New Roman"/>
                <w:sz w:val="21"/>
                <w:szCs w:val="21"/>
              </w:rPr>
              <w:t>CA树木</w:t>
            </w: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CAA林地</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红柳生态园</w:t>
            </w:r>
          </w:p>
        </w:tc>
        <w:tc>
          <w:tcPr>
            <w:tcW w:w="1080" w:type="dxa"/>
            <w:vAlign w:val="center"/>
          </w:tcPr>
          <w:p>
            <w:pPr>
              <w:spacing w:line="240" w:lineRule="auto"/>
              <w:ind w:firstLine="0" w:firstLineChars="0"/>
              <w:rPr>
                <w:rFonts w:eastAsia="楷体" w:cs="Times New Roman"/>
                <w:sz w:val="21"/>
                <w:szCs w:val="21"/>
              </w:rPr>
            </w:pPr>
            <w:r>
              <w:rPr>
                <w:rFonts w:eastAsia="楷体" w:cs="Times New Roman"/>
                <w:sz w:val="21"/>
                <w:szCs w:val="21"/>
              </w:rPr>
              <w:t>初步开发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E、遗址遗迹</w:t>
            </w:r>
          </w:p>
        </w:tc>
        <w:tc>
          <w:tcPr>
            <w:tcW w:w="170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EA史前人类活动场所</w:t>
            </w:r>
          </w:p>
        </w:tc>
        <w:tc>
          <w:tcPr>
            <w:tcW w:w="2552"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EAA人类活动遗址</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楼兰古城</w:t>
            </w:r>
          </w:p>
        </w:tc>
        <w:tc>
          <w:tcPr>
            <w:tcW w:w="1080"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未开发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塔西河古堡</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F、建筑与设施</w:t>
            </w:r>
          </w:p>
        </w:tc>
        <w:tc>
          <w:tcPr>
            <w:tcW w:w="170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FA综合人文旅游地</w:t>
            </w:r>
          </w:p>
        </w:tc>
        <w:tc>
          <w:tcPr>
            <w:tcW w:w="2552"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FAB康体游乐休闲度假</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黑梁湾山庄</w:t>
            </w:r>
          </w:p>
        </w:tc>
        <w:tc>
          <w:tcPr>
            <w:tcW w:w="1080"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已开发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城郊型农家乐</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FAC宗教与祭祀活动场所</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大佛寺</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FAD园林游憩区域</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北公园</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葡萄风情园</w:t>
            </w:r>
          </w:p>
        </w:tc>
        <w:tc>
          <w:tcPr>
            <w:tcW w:w="1080"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未开发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Align w:val="center"/>
          </w:tcPr>
          <w:p>
            <w:pPr>
              <w:spacing w:line="240" w:lineRule="auto"/>
              <w:ind w:firstLine="0" w:firstLineChars="0"/>
              <w:rPr>
                <w:rFonts w:eastAsia="楷体" w:cs="Times New Roman"/>
                <w:sz w:val="21"/>
                <w:szCs w:val="21"/>
              </w:rPr>
            </w:pPr>
            <w:r>
              <w:rPr>
                <w:rFonts w:eastAsia="楷体" w:cs="Times New Roman"/>
                <w:sz w:val="21"/>
                <w:szCs w:val="21"/>
              </w:rPr>
              <w:t>FD居住地与社区</w:t>
            </w: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FDF会馆</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陕西会馆</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Align w:val="center"/>
          </w:tcPr>
          <w:p>
            <w:pPr>
              <w:spacing w:line="240" w:lineRule="auto"/>
              <w:ind w:firstLine="0" w:firstLineChars="0"/>
              <w:rPr>
                <w:rFonts w:eastAsia="楷体" w:cs="Times New Roman"/>
                <w:sz w:val="21"/>
                <w:szCs w:val="21"/>
              </w:rPr>
            </w:pPr>
            <w:r>
              <w:rPr>
                <w:rFonts w:eastAsia="楷体" w:cs="Times New Roman"/>
                <w:sz w:val="21"/>
                <w:szCs w:val="21"/>
              </w:rPr>
              <w:t>FE归葬地</w:t>
            </w: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FEB会馆</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多木拉克脱拜古墓群</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FG水工建筑</w:t>
            </w:r>
          </w:p>
        </w:tc>
        <w:tc>
          <w:tcPr>
            <w:tcW w:w="2552"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FGA水库观光游憩区段</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新户坪水库</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石门子水库</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G、旅游商品</w:t>
            </w:r>
          </w:p>
        </w:tc>
        <w:tc>
          <w:tcPr>
            <w:tcW w:w="170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CA地方旅游商品</w:t>
            </w:r>
          </w:p>
        </w:tc>
        <w:tc>
          <w:tcPr>
            <w:tcW w:w="2552"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CBA农林畜产品与制品</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葡萄酒品系列</w:t>
            </w:r>
          </w:p>
        </w:tc>
        <w:tc>
          <w:tcPr>
            <w:tcW w:w="1080"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已开发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乳制品系列</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CAE传统手工产品与制品</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玉雕系列</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H、文化娱乐</w:t>
            </w:r>
          </w:p>
        </w:tc>
        <w:tc>
          <w:tcPr>
            <w:tcW w:w="1701"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HC民间习俗</w:t>
            </w:r>
          </w:p>
        </w:tc>
        <w:tc>
          <w:tcPr>
            <w:tcW w:w="2552"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HCA地方风俗</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叼羊</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姑娘追</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赛马</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restart"/>
            <w:vAlign w:val="center"/>
          </w:tcPr>
          <w:p>
            <w:pPr>
              <w:spacing w:line="240" w:lineRule="auto"/>
              <w:ind w:firstLine="0" w:firstLineChars="0"/>
              <w:rPr>
                <w:rFonts w:eastAsia="楷体" w:cs="Times New Roman"/>
                <w:sz w:val="21"/>
                <w:szCs w:val="21"/>
              </w:rPr>
            </w:pPr>
            <w:r>
              <w:rPr>
                <w:rFonts w:eastAsia="楷体" w:cs="Times New Roman"/>
                <w:sz w:val="21"/>
                <w:szCs w:val="21"/>
              </w:rPr>
              <w:t>HCB民间节庆</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肉孜节</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Merge w:val="continue"/>
            <w:vAlign w:val="center"/>
          </w:tcPr>
          <w:p>
            <w:pPr>
              <w:spacing w:line="240" w:lineRule="auto"/>
              <w:ind w:firstLine="0" w:firstLineChars="0"/>
              <w:rPr>
                <w:rFonts w:eastAsia="楷体" w:cs="Times New Roman"/>
                <w:sz w:val="21"/>
                <w:szCs w:val="21"/>
              </w:rPr>
            </w:pP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纳吾鲁孜节</w:t>
            </w:r>
          </w:p>
        </w:tc>
        <w:tc>
          <w:tcPr>
            <w:tcW w:w="1080" w:type="dxa"/>
            <w:vMerge w:val="continue"/>
            <w:vAlign w:val="center"/>
          </w:tcPr>
          <w:p>
            <w:pPr>
              <w:spacing w:line="240" w:lineRule="auto"/>
              <w:ind w:firstLine="0" w:firstLineChars="0"/>
              <w:rPr>
                <w:rFonts w:eastAsia="楷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31" w:type="dxa"/>
            <w:vMerge w:val="continue"/>
            <w:vAlign w:val="center"/>
          </w:tcPr>
          <w:p>
            <w:pPr>
              <w:spacing w:line="240" w:lineRule="auto"/>
              <w:ind w:firstLine="0" w:firstLineChars="0"/>
              <w:rPr>
                <w:rFonts w:eastAsia="楷体" w:cs="Times New Roman"/>
                <w:sz w:val="21"/>
                <w:szCs w:val="21"/>
              </w:rPr>
            </w:pPr>
          </w:p>
        </w:tc>
        <w:tc>
          <w:tcPr>
            <w:tcW w:w="1701" w:type="dxa"/>
            <w:vMerge w:val="continue"/>
            <w:vAlign w:val="center"/>
          </w:tcPr>
          <w:p>
            <w:pPr>
              <w:spacing w:line="240" w:lineRule="auto"/>
              <w:ind w:firstLine="0" w:firstLineChars="0"/>
              <w:rPr>
                <w:rFonts w:eastAsia="楷体" w:cs="Times New Roman"/>
                <w:sz w:val="21"/>
                <w:szCs w:val="21"/>
              </w:rPr>
            </w:pPr>
          </w:p>
        </w:tc>
        <w:tc>
          <w:tcPr>
            <w:tcW w:w="2552" w:type="dxa"/>
            <w:vAlign w:val="center"/>
          </w:tcPr>
          <w:p>
            <w:pPr>
              <w:spacing w:line="240" w:lineRule="auto"/>
              <w:ind w:firstLine="0" w:firstLineChars="0"/>
              <w:rPr>
                <w:rFonts w:eastAsia="楷体" w:cs="Times New Roman"/>
                <w:sz w:val="21"/>
                <w:szCs w:val="21"/>
              </w:rPr>
            </w:pPr>
            <w:r>
              <w:rPr>
                <w:rFonts w:eastAsia="楷体" w:cs="Times New Roman"/>
                <w:sz w:val="21"/>
                <w:szCs w:val="21"/>
              </w:rPr>
              <w:t>HCC民间演艺</w:t>
            </w:r>
          </w:p>
        </w:tc>
        <w:tc>
          <w:tcPr>
            <w:tcW w:w="1984" w:type="dxa"/>
            <w:vAlign w:val="center"/>
          </w:tcPr>
          <w:p>
            <w:pPr>
              <w:spacing w:line="240" w:lineRule="auto"/>
              <w:ind w:firstLine="0" w:firstLineChars="0"/>
              <w:rPr>
                <w:rFonts w:eastAsia="楷体" w:cs="Times New Roman"/>
                <w:sz w:val="21"/>
                <w:szCs w:val="21"/>
              </w:rPr>
            </w:pPr>
            <w:r>
              <w:rPr>
                <w:rFonts w:eastAsia="楷体" w:cs="Times New Roman"/>
                <w:sz w:val="21"/>
                <w:szCs w:val="21"/>
              </w:rPr>
              <w:t>啊肯弹唱</w:t>
            </w:r>
          </w:p>
        </w:tc>
        <w:tc>
          <w:tcPr>
            <w:tcW w:w="1080" w:type="dxa"/>
            <w:vMerge w:val="continue"/>
            <w:vAlign w:val="center"/>
          </w:tcPr>
          <w:p>
            <w:pPr>
              <w:spacing w:line="240" w:lineRule="auto"/>
              <w:ind w:firstLine="0" w:firstLineChars="0"/>
              <w:rPr>
                <w:rFonts w:eastAsia="楷体" w:cs="Times New Roman"/>
                <w:sz w:val="21"/>
                <w:szCs w:val="21"/>
              </w:rPr>
            </w:pPr>
          </w:p>
        </w:tc>
      </w:tr>
    </w:tbl>
    <w:p>
      <w:pPr>
        <w:pStyle w:val="4"/>
      </w:pPr>
      <w:r>
        <w:rPr>
          <w:rFonts w:hint="eastAsia"/>
        </w:rPr>
        <w:t xml:space="preserve">六、社区发展  </w:t>
      </w:r>
    </w:p>
    <w:p>
      <w:pPr>
        <w:ind w:firstLine="480"/>
      </w:pPr>
      <w:r>
        <w:rPr>
          <w:rFonts w:hint="eastAsia"/>
        </w:rPr>
        <w:t>规划区毗邻兰州湾镇、广东地乡和玛纳斯县，周边办学教学设施完备，师资力量雄厚，居民文化教育程度较高。电视普及率达90%以上，已基本实现了村村通有线电视。玛纳斯县城内现有综合医院1所，中医院1所，疾控中心和妇幼保健站各1处，其他医院5所；县域各乡镇均设有卫生院。现有从医人员332个，床位数623个。由于湿地所在地区经济发展水平较高，医疗卫生，生活方面形成了较完善的社会保障体系，区内人员就业率较高。完全能够满足周边居民医疗需求，群众的身体素质在不断提高。社区建立健全了职工养老、失业、医疗保险制度和解困救助金制度。农村居民大多数以发展种植业、养殖业作为主要收入来源，少数年轻人外出务工。旅游设施齐全，可为游客提供吃、住、行、游、购、娱等全套服务以及导游、订票及组团服务。</w:t>
      </w:r>
    </w:p>
    <w:p>
      <w:pPr>
        <w:ind w:firstLine="480"/>
      </w:pPr>
      <w:r>
        <w:rPr>
          <w:rFonts w:hint="eastAsia"/>
        </w:rPr>
        <w:t>建成与玛纳斯经济社会相协调的教育体系、卫生服务体系和社会保障体系。建立和完善城乡社会保险制度，拓宽就业渠道，发展社会福利事业，建立社区服务体系，保障社会稳定。</w:t>
      </w:r>
    </w:p>
    <w:p>
      <w:pPr>
        <w:pStyle w:val="3"/>
        <w:ind w:firstLine="643"/>
      </w:pPr>
      <w:bookmarkStart w:id="7" w:name="_Toc130121635"/>
      <w:r>
        <w:rPr>
          <w:rFonts w:hint="eastAsia"/>
        </w:rPr>
        <w:t>第四节</w:t>
      </w:r>
      <w:r>
        <w:t xml:space="preserve">  </w:t>
      </w:r>
      <w:r>
        <w:rPr>
          <w:rFonts w:hint="eastAsia"/>
        </w:rPr>
        <w:t>历史沿革</w:t>
      </w:r>
      <w:bookmarkEnd w:id="7"/>
    </w:p>
    <w:p>
      <w:pPr>
        <w:ind w:firstLine="480"/>
      </w:pPr>
      <w:r>
        <w:rPr>
          <w:rFonts w:hint="eastAsia"/>
        </w:rPr>
        <w:t>玛纳斯县在西汉时，西境属乌孙国，东境为乌贪訾离国；东汉属移支国；北魏属高车国；周为突厥地；隋为西突厥铁勒部；唐属西突厥处密部胡禄屋厥部；宋、元时属回鹘地；明属卫拉特游牧地；清初属准噶尔部呼拉玛牧地。</w:t>
      </w:r>
    </w:p>
    <w:p>
      <w:pPr>
        <w:ind w:firstLine="480"/>
      </w:pPr>
      <w:r>
        <w:rPr>
          <w:rFonts w:hint="eastAsia"/>
        </w:rPr>
        <w:t>清乾隆二十八年（1763年），清廷在此建城堡，名绥来堡。乾隆三十三年（1768），设县丞管政务；四十三年（1778），改县丞为县令，正式建县，名绥来县，隶属迪化州。</w:t>
      </w:r>
    </w:p>
    <w:p>
      <w:pPr>
        <w:ind w:firstLine="480"/>
      </w:pPr>
      <w:r>
        <w:rPr>
          <w:rFonts w:hint="eastAsia"/>
        </w:rPr>
        <w:t>1949年9月25、26日，新疆和平解放。翌年12月，中国人民解放军五十一团进驻玛纳斯，于1950年3月26日建立绥来县人民政府，隶属迪化专员公署。</w:t>
      </w:r>
    </w:p>
    <w:p>
      <w:pPr>
        <w:ind w:firstLine="480"/>
      </w:pPr>
      <w:r>
        <w:rPr>
          <w:rFonts w:hint="eastAsia"/>
        </w:rPr>
        <w:t>1954年2月1日改绥来县为玛纳斯县。1958年5月，乌鲁木齐专员公署撤销，改为昌吉回族自治州所辖。1975年成立石河子区，为石河子地区管辖。1978年石河子地区撤销，划归昌吉州管辖至今。</w:t>
      </w:r>
    </w:p>
    <w:p>
      <w:pPr>
        <w:ind w:firstLine="480"/>
      </w:pPr>
      <w:r>
        <w:rPr>
          <w:rFonts w:hint="eastAsia"/>
        </w:rPr>
        <w:t>自2011年批准试点以来，玛纳斯县政府按照湿地公园总体规划要求，2011年11月成立了湿地公园管理局（副县级），负责玛纳斯国家湿地公园保护与建设管理工作。2014年3月被批准为自治区级风景名胜区，2014年6月被命名为自治区首批环境教育示范基地，2016年8月通过国家验收被确定为国家级湿地公园，在区域生态文明建设中发挥了重要引领作用，湿地公园已经成为代表玛纳斯县经济社会发展形象的“四张名片”之一。</w:t>
      </w:r>
    </w:p>
    <w:p>
      <w:pPr>
        <w:pStyle w:val="3"/>
        <w:ind w:firstLine="643"/>
      </w:pPr>
      <w:bookmarkStart w:id="8" w:name="_Toc130121636"/>
      <w:r>
        <w:rPr>
          <w:rFonts w:hint="eastAsia"/>
        </w:rPr>
        <w:t>第五节</w:t>
      </w:r>
      <w:r>
        <w:t xml:space="preserve">  </w:t>
      </w:r>
      <w:r>
        <w:rPr>
          <w:rFonts w:hint="eastAsia"/>
        </w:rPr>
        <w:t>建设现状评价</w:t>
      </w:r>
      <w:bookmarkEnd w:id="8"/>
    </w:p>
    <w:p>
      <w:pPr>
        <w:pStyle w:val="4"/>
        <w:keepNext w:val="0"/>
        <w:keepLines w:val="0"/>
        <w:rPr>
          <w:rFonts w:cs="Times New Roman"/>
          <w:szCs w:val="28"/>
        </w:rPr>
      </w:pPr>
      <w:r>
        <w:rPr>
          <w:rFonts w:cs="Times New Roman"/>
          <w:szCs w:val="28"/>
        </w:rPr>
        <w:t>一、建设现状</w:t>
      </w:r>
    </w:p>
    <w:p>
      <w:pPr>
        <w:pStyle w:val="5"/>
        <w:keepNext w:val="0"/>
        <w:keepLines w:val="0"/>
        <w:rPr>
          <w:rFonts w:cs="Times New Roman"/>
          <w:szCs w:val="24"/>
        </w:rPr>
      </w:pPr>
      <w:r>
        <w:rPr>
          <w:rFonts w:cs="Times New Roman"/>
          <w:szCs w:val="24"/>
        </w:rPr>
        <w:t>（一）机构建设</w:t>
      </w:r>
    </w:p>
    <w:p>
      <w:pPr>
        <w:spacing w:before="120"/>
        <w:ind w:firstLine="480"/>
        <w:rPr>
          <w:rFonts w:cs="Times New Roman"/>
          <w:szCs w:val="21"/>
        </w:rPr>
      </w:pPr>
      <w:r>
        <w:rPr>
          <w:rFonts w:cs="Times New Roman"/>
          <w:szCs w:val="21"/>
        </w:rPr>
        <w:t>自2011年批准试点以来，玛纳斯县政府按照湿地公园总体规划要求，2011年11月成立了湿地公园管理局（副县级），负责玛纳斯国家湿地公园保护与建设管理工作。2014年6月被命名为自治区首批环境教育示范基地，2016年8月通过国家验收被确定为国家级湿地公园，在区域生态文明建设中发挥了重要引领作用，湿地公园已经成为代表玛纳斯县经济社会发展形象的“四张名片”之一。</w:t>
      </w:r>
    </w:p>
    <w:p>
      <w:pPr>
        <w:pStyle w:val="5"/>
        <w:keepNext w:val="0"/>
        <w:keepLines w:val="0"/>
        <w:rPr>
          <w:rFonts w:cs="Times New Roman"/>
          <w:szCs w:val="24"/>
        </w:rPr>
      </w:pPr>
      <w:r>
        <w:rPr>
          <w:rFonts w:cs="Times New Roman"/>
          <w:szCs w:val="24"/>
        </w:rPr>
        <w:t>（二）制度建设</w:t>
      </w:r>
    </w:p>
    <w:p>
      <w:pPr>
        <w:spacing w:before="120"/>
        <w:ind w:firstLine="480"/>
        <w:rPr>
          <w:rFonts w:cs="Times New Roman"/>
          <w:szCs w:val="21"/>
        </w:rPr>
      </w:pPr>
      <w:r>
        <w:rPr>
          <w:rFonts w:cs="Times New Roman"/>
          <w:szCs w:val="21"/>
        </w:rPr>
        <w:t>2014年颁布实施了《新疆玛纳斯国家湿地公园保护条例》，依法开展了湿地生态保护和修复工程。湿地公园管理局依照《新疆玛纳斯国家湿地公园保护条例》加大对玛纳斯河、塔西河道的乱挖乱采砂石料及乱牧、滥捕的打击力度，有效地保护和恢复湿地公园生态资源。</w:t>
      </w:r>
    </w:p>
    <w:p>
      <w:pPr>
        <w:pStyle w:val="5"/>
        <w:keepNext w:val="0"/>
        <w:keepLines w:val="0"/>
        <w:rPr>
          <w:rFonts w:cs="Times New Roman"/>
          <w:szCs w:val="24"/>
        </w:rPr>
      </w:pPr>
      <w:r>
        <w:rPr>
          <w:rFonts w:cs="Times New Roman"/>
          <w:szCs w:val="24"/>
        </w:rPr>
        <w:t>（三）实施湿地生态修复</w:t>
      </w:r>
    </w:p>
    <w:p>
      <w:pPr>
        <w:spacing w:before="120"/>
        <w:ind w:firstLine="480"/>
        <w:rPr>
          <w:rFonts w:cs="Times New Roman"/>
          <w:szCs w:val="21"/>
        </w:rPr>
      </w:pPr>
      <w:r>
        <w:rPr>
          <w:rFonts w:cs="Times New Roman"/>
          <w:szCs w:val="21"/>
        </w:rPr>
        <w:t>根据玛纳斯湿地面临的问题，进行针对性地分析解决，通过制定水源、水质保障规划，建设野生动物救护中心、植被恢复工程、生物多样性保护与恢复工程等，积极推进湿地保护、恢复及管理工作，促进湿地生态系统结构和功能恢复，提高湿地保护效果，</w:t>
      </w:r>
      <w:r>
        <w:rPr>
          <w:rFonts w:hint="eastAsia" w:cs="Times New Roman"/>
          <w:szCs w:val="21"/>
        </w:rPr>
        <w:t>有</w:t>
      </w:r>
      <w:r>
        <w:rPr>
          <w:rFonts w:cs="Times New Roman"/>
          <w:szCs w:val="21"/>
        </w:rPr>
        <w:t>利于湿地的持续发展。</w:t>
      </w:r>
    </w:p>
    <w:p>
      <w:pPr>
        <w:spacing w:before="120"/>
        <w:ind w:firstLine="480"/>
        <w:rPr>
          <w:rFonts w:cs="Times New Roman"/>
          <w:szCs w:val="21"/>
        </w:rPr>
      </w:pPr>
      <w:r>
        <w:rPr>
          <w:rFonts w:cs="Times New Roman"/>
          <w:szCs w:val="21"/>
        </w:rPr>
        <w:t>按照湿地公园总体规划要求，从2011年开始，玛纳斯县已累计投入2.95亿元进行湿地公园保护与恢复建设，取得了以下成就：湿地保护与恢复方面，完成退耕还湿</w:t>
      </w:r>
      <w:r>
        <w:rPr>
          <w:rFonts w:hint="eastAsia" w:cs="Times New Roman"/>
          <w:szCs w:val="21"/>
        </w:rPr>
        <w:t>8000</w:t>
      </w:r>
      <w:r>
        <w:rPr>
          <w:rFonts w:cs="Times New Roman"/>
          <w:szCs w:val="21"/>
        </w:rPr>
        <w:t>亩，退牧还湿6万余亩，营造工程林4000亩，还修建了3处湿地科普宣教基地、23km巡护道路、9座湿地监测台、4个观鸟点等设施。</w:t>
      </w:r>
    </w:p>
    <w:p>
      <w:pPr>
        <w:pStyle w:val="5"/>
        <w:keepNext w:val="0"/>
        <w:keepLines w:val="0"/>
        <w:rPr>
          <w:rFonts w:cs="Times New Roman"/>
          <w:szCs w:val="24"/>
        </w:rPr>
      </w:pPr>
      <w:r>
        <w:rPr>
          <w:rFonts w:cs="Times New Roman"/>
          <w:szCs w:val="24"/>
        </w:rPr>
        <w:t>（四）开展科普宣教</w:t>
      </w:r>
    </w:p>
    <w:p>
      <w:pPr>
        <w:spacing w:before="120"/>
        <w:ind w:firstLine="480"/>
        <w:rPr>
          <w:rFonts w:cs="Times New Roman"/>
          <w:szCs w:val="21"/>
        </w:rPr>
      </w:pPr>
      <w:r>
        <w:rPr>
          <w:rFonts w:cs="Times New Roman"/>
          <w:szCs w:val="21"/>
        </w:rPr>
        <w:t>湿地公园成立以来，开展了广泛的宣传教育活动，有力提升了湿地公园知名度和影响力，通过湿地动植物展馆打造科普教育基地，展出湿地动植物标本100种183个，目前已接待参观人数1万余人，提高了</w:t>
      </w:r>
      <w:r>
        <w:rPr>
          <w:rFonts w:hint="eastAsia" w:cs="Times New Roman"/>
          <w:szCs w:val="21"/>
        </w:rPr>
        <w:t>群众</w:t>
      </w:r>
      <w:r>
        <w:rPr>
          <w:rFonts w:cs="Times New Roman"/>
          <w:szCs w:val="21"/>
        </w:rPr>
        <w:t>的湿地保护意识，推动湿地保护事业的发展。</w:t>
      </w:r>
    </w:p>
    <w:p>
      <w:pPr>
        <w:pStyle w:val="5"/>
        <w:keepNext w:val="0"/>
        <w:keepLines w:val="0"/>
        <w:rPr>
          <w:rFonts w:cs="Times New Roman"/>
          <w:szCs w:val="24"/>
        </w:rPr>
      </w:pPr>
      <w:r>
        <w:rPr>
          <w:rFonts w:cs="Times New Roman"/>
          <w:szCs w:val="24"/>
        </w:rPr>
        <w:t>（五）开展科研监测</w:t>
      </w:r>
    </w:p>
    <w:p>
      <w:pPr>
        <w:spacing w:before="120"/>
        <w:ind w:firstLine="480"/>
        <w:rPr>
          <w:rFonts w:cs="Times New Roman"/>
          <w:szCs w:val="21"/>
        </w:rPr>
      </w:pPr>
      <w:r>
        <w:rPr>
          <w:rFonts w:cs="Times New Roman"/>
          <w:szCs w:val="21"/>
        </w:rPr>
        <w:t>吸引和借助新疆高校和科研院所力量，开展了湿地监测工作，布设了7条鸟类监测样线、4条植物监测样带定期监测，并建立动植物监测数据档案。监测结果表明，玛纳斯国家湿地公园的生态环境得到有效的保护，生物多样性逐步提升。</w:t>
      </w:r>
    </w:p>
    <w:p>
      <w:pPr>
        <w:pStyle w:val="5"/>
        <w:keepNext w:val="0"/>
        <w:keepLines w:val="0"/>
        <w:rPr>
          <w:rFonts w:cs="Times New Roman"/>
          <w:szCs w:val="24"/>
        </w:rPr>
      </w:pPr>
      <w:r>
        <w:rPr>
          <w:rFonts w:cs="Times New Roman"/>
          <w:szCs w:val="24"/>
        </w:rPr>
        <w:t>（六）合理利用方面</w:t>
      </w:r>
    </w:p>
    <w:p>
      <w:pPr>
        <w:spacing w:before="120"/>
        <w:ind w:firstLine="480"/>
        <w:rPr>
          <w:rFonts w:cs="Times New Roman"/>
          <w:szCs w:val="21"/>
        </w:rPr>
      </w:pPr>
      <w:r>
        <w:rPr>
          <w:rFonts w:cs="Times New Roman"/>
          <w:szCs w:val="21"/>
        </w:rPr>
        <w:t>在前期保护建设的基础上，玛纳斯县政府通过PPP模式，在合理利用区及周边村庄新建观光木栈道12km、建设科普宣教中心、观景台、观鸟塔、停车场以及4个景区大门建设等旅游基础设施建设。湿地周边的生态环境逐渐改善，湿地公园基础设施不断完善，依托湿地公园优美自然环境，周边悄然兴起集生态采摘、旅游观光、休闲度假为主的绿色生态乡村游。</w:t>
      </w:r>
    </w:p>
    <w:p>
      <w:pPr>
        <w:ind w:firstLine="480"/>
      </w:pPr>
      <w:r>
        <w:rPr>
          <w:rFonts w:cs="Times New Roman"/>
          <w:szCs w:val="21"/>
        </w:rPr>
        <w:t>在上一轮湿地公园总体规划指导下，通过实施湿地保护条例和开展系列保护与恢复措施，玛纳斯国家湿地公园生态环境显著改善，植被覆盖增加，柽柳、胡杨次生林及芦苇等面积不断扩大，提升了野生动物栖息地质量，扭转了生物多样性下降的趋势，候鸟种群数量明显增加，特别是明星鸟种——天鹅的数量稳定增加。初步统计，园内野生动物达到3</w:t>
      </w:r>
      <w:r>
        <w:rPr>
          <w:rFonts w:hint="eastAsia" w:cs="Times New Roman"/>
          <w:szCs w:val="21"/>
        </w:rPr>
        <w:t>15</w:t>
      </w:r>
      <w:r>
        <w:rPr>
          <w:rFonts w:cs="Times New Roman"/>
          <w:szCs w:val="21"/>
        </w:rPr>
        <w:t>种，其中，国家一级保护鸟类</w:t>
      </w:r>
      <w:r>
        <w:rPr>
          <w:rFonts w:hint="eastAsia" w:cs="Times New Roman"/>
          <w:szCs w:val="21"/>
        </w:rPr>
        <w:t>10</w:t>
      </w:r>
      <w:r>
        <w:rPr>
          <w:rFonts w:cs="Times New Roman"/>
          <w:szCs w:val="21"/>
        </w:rPr>
        <w:t>种，国家二级保护鸟类</w:t>
      </w:r>
      <w:r>
        <w:rPr>
          <w:rFonts w:hint="eastAsia" w:cs="Times New Roman"/>
          <w:szCs w:val="21"/>
        </w:rPr>
        <w:t>36</w:t>
      </w:r>
      <w:r>
        <w:rPr>
          <w:rFonts w:cs="Times New Roman"/>
          <w:szCs w:val="21"/>
        </w:rPr>
        <w:t>种，湿地植物达</w:t>
      </w:r>
      <w:r>
        <w:rPr>
          <w:rFonts w:hint="eastAsia" w:cs="Times New Roman"/>
          <w:szCs w:val="21"/>
        </w:rPr>
        <w:t>211</w:t>
      </w:r>
      <w:r>
        <w:rPr>
          <w:rFonts w:cs="Times New Roman"/>
          <w:szCs w:val="21"/>
        </w:rPr>
        <w:t>种，占新疆湿地植物总数的4</w:t>
      </w:r>
      <w:r>
        <w:rPr>
          <w:rFonts w:hint="eastAsia" w:cs="Times New Roman"/>
          <w:szCs w:val="21"/>
        </w:rPr>
        <w:t>8.73</w:t>
      </w:r>
      <w:r>
        <w:rPr>
          <w:rFonts w:cs="Times New Roman"/>
          <w:szCs w:val="21"/>
        </w:rPr>
        <w:t>%。</w:t>
      </w:r>
      <w:r>
        <w:rPr>
          <w:rFonts w:hint="eastAsia"/>
        </w:rPr>
        <w:t>2</w:t>
      </w:r>
      <w:r>
        <w:t>0</w:t>
      </w:r>
      <w:r>
        <w:rPr>
          <w:rFonts w:hint="eastAsia"/>
        </w:rPr>
        <w:t>21年玛纳斯县全年共接待旅游2</w:t>
      </w:r>
      <w:r>
        <w:t>41</w:t>
      </w:r>
      <w:r>
        <w:rPr>
          <w:rFonts w:hint="eastAsia"/>
        </w:rPr>
        <w:t>.</w:t>
      </w:r>
      <w:r>
        <w:t>84</w:t>
      </w:r>
      <w:r>
        <w:rPr>
          <w:rFonts w:hint="eastAsia"/>
        </w:rPr>
        <w:t>万人次，同比增长8.</w:t>
      </w:r>
      <w:r>
        <w:t>5</w:t>
      </w:r>
      <w:r>
        <w:rPr>
          <w:rFonts w:hint="eastAsia"/>
        </w:rPr>
        <w:t>%，实现旅游收入2</w:t>
      </w:r>
      <w:r>
        <w:t>1</w:t>
      </w:r>
      <w:r>
        <w:rPr>
          <w:rFonts w:hint="eastAsia"/>
        </w:rPr>
        <w:t>.</w:t>
      </w:r>
      <w:r>
        <w:t>51</w:t>
      </w:r>
      <w:r>
        <w:rPr>
          <w:rFonts w:hint="eastAsia"/>
        </w:rPr>
        <w:t>亿元，同比增长1</w:t>
      </w:r>
      <w:r>
        <w:t>1</w:t>
      </w:r>
      <w:r>
        <w:rPr>
          <w:rFonts w:hint="eastAsia"/>
        </w:rPr>
        <w:t>%。生态旅游已经成为玛纳斯县现代服务业的战略性支柱产业。</w:t>
      </w:r>
    </w:p>
    <w:p>
      <w:pPr>
        <w:ind w:firstLine="480"/>
      </w:pPr>
      <w:r>
        <w:rPr>
          <w:rFonts w:hint="eastAsia"/>
        </w:rPr>
        <w:t>在前期生态保护建设的基础上，2016年投资1.3亿元用于湿地公园旅游开发项目建设，通过建设科普教育基地——湿地动植物展馆，展出湿地动植物标本100种、183个，其中动物标本34种、58个，植物标本66种、125个，目前已接待参观人数达1万余人，达到了向全社会宣传和介绍湿地，提高广大公众的湿地保护意识，推动湿地保护事业的发展的重要作用。新建观光木栈道、建设科普宣教中心、观景台、观鸟塔、停车场以及景区大门等旅游基础设施，为生态旅游发展提供了便利。</w:t>
      </w:r>
    </w:p>
    <w:p>
      <w:pPr>
        <w:ind w:firstLine="480"/>
      </w:pPr>
      <w:r>
        <w:rPr>
          <w:rFonts w:hint="eastAsia"/>
        </w:rPr>
        <w:t>随着湿地周边的生态环境逐渐改善，依托湿地公园优美自然环境，周边悄然兴起集生态采摘、旅游观光、休闲度假为主的绿色生态乡村游，湿地公园成为玛纳斯做大做精生态旅游产业的重要板块，在“十四五”规划中明确将其作为加快现代服务业发展和产业转型的抓手。因此，需要在资源保护和突出特色的前提下，重视其对承载生态文化功能的培育，在加大投资力度，不断完善湿地公园的基础设施的同时，对园区和周边社区的生态旅游项目进行规范化引导，挖掘多种生态系统服务功能，发挥自然资源的生产力要素功能。</w:t>
      </w:r>
    </w:p>
    <w:p>
      <w:pPr>
        <w:pStyle w:val="4"/>
        <w:keepNext w:val="0"/>
        <w:keepLines w:val="0"/>
        <w:rPr>
          <w:rFonts w:cs="Times New Roman"/>
          <w:szCs w:val="28"/>
        </w:rPr>
      </w:pPr>
      <w:r>
        <w:rPr>
          <w:rFonts w:hint="eastAsia" w:cs="Times New Roman"/>
          <w:szCs w:val="28"/>
        </w:rPr>
        <w:t>二、存在问题</w:t>
      </w:r>
    </w:p>
    <w:p>
      <w:pPr>
        <w:ind w:firstLine="480"/>
      </w:pPr>
      <w:r>
        <w:rPr>
          <w:rFonts w:hint="eastAsia"/>
        </w:rPr>
        <w:t>1、自然保护地交叉重叠</w:t>
      </w:r>
    </w:p>
    <w:p>
      <w:pPr>
        <w:ind w:firstLine="480"/>
      </w:pPr>
      <w:r>
        <w:rPr>
          <w:rFonts w:hint="eastAsia"/>
        </w:rPr>
        <w:t>玛纳斯湿地公园与兵团玛纳斯河中上游湿地省级自然保护区重叠，重叠区域为玛纳斯河西侧河道、北侧水库管理所，重叠面积548.42 hm²。玛纳斯河中上游湿地省级自然保护区成立于2005年，与2018年重新确定边界。根据《关于建立以国家公园为主体的自然保护地体系的指导意见》要求：“整合交叉重叠的自然保护地。以保持生态系统完整性为原则，遵从保护面积不减少、保护强度不降低、保护性质不改变的总体要求，整合各类自然保护地，解决自然保护地区域交叉、空间重叠的问题，各类自然保护地按照同级别保护强度优先、不同级别低级别服从高级别的原则进行整合，做到一个保护地、一套机构、一块牌子”。因此，按照保护强度优先原则，湿地公园范围需要做出相应调整。</w:t>
      </w:r>
    </w:p>
    <w:p>
      <w:pPr>
        <w:ind w:firstLine="480"/>
      </w:pPr>
      <w:r>
        <w:rPr>
          <w:rFonts w:hint="eastAsia"/>
        </w:rPr>
        <w:t xml:space="preserve">2、原范围存在权属争议，发展与保护矛盾    </w:t>
      </w:r>
    </w:p>
    <w:p>
      <w:pPr>
        <w:ind w:firstLine="480"/>
      </w:pPr>
      <w:r>
        <w:rPr>
          <w:rFonts w:hint="eastAsia"/>
        </w:rPr>
        <w:t>原规划编制时间较早，相关理念与现实管理冲突。规划编制时多规合一尚未启动实施，范围与城镇规划、土地利用规划等未有效衔接，湿地公园内部分地块在湿地公园批复建设前已出让或划拨为城镇建设用地。根据统计结果，湿地公园范围内共有玛纳斯县耕地692.44 hm²，其中基本农田179.20 hm²，工矿用地、商业服务业用地等235.50 hm²等，保护与发展存在矛盾冲突。</w:t>
      </w:r>
    </w:p>
    <w:p>
      <w:pPr>
        <w:ind w:firstLine="480"/>
      </w:pPr>
      <w:r>
        <w:rPr>
          <w:rFonts w:hint="eastAsia"/>
        </w:rPr>
        <w:t>湿地公园位于玛纳斯县西部，与兵团石河子市相邻，公园范围内六阜渠、大海子水库泄洪渠属于大海子水库输水河渠，目前大海子水库由兵团代理行使所有权，附属的人工渠也是兵团方修建、实际管理，兵团方计划将其划入玛纳斯中上游自然保护区之中，湿地公园内存在权属有争议地块。</w:t>
      </w:r>
    </w:p>
    <w:p>
      <w:pPr>
        <w:ind w:firstLine="480"/>
      </w:pPr>
      <w:r>
        <w:rPr>
          <w:rFonts w:hint="eastAsia"/>
        </w:rPr>
        <w:t>3、功能分区方面与保护管理的目标不适应</w:t>
      </w:r>
    </w:p>
    <w:p>
      <w:pPr>
        <w:ind w:firstLine="480"/>
      </w:pPr>
      <w:r>
        <w:rPr>
          <w:rFonts w:hint="eastAsia"/>
        </w:rPr>
        <w:t>原规划期到2018年，与现行的《国家湿地公园管理办法》《国家湿地公园总体规划导则》和《关于进一步加强湿地保护管理的通知》等相关办法和规定存在不相适应的方面。原规划编制早，功能分区的划分不符合新导则的要求，需按照新导则进行调整。</w:t>
      </w:r>
    </w:p>
    <w:p>
      <w:pPr>
        <w:ind w:firstLine="480"/>
      </w:pPr>
      <w:r>
        <w:rPr>
          <w:rFonts w:hint="eastAsia"/>
        </w:rPr>
        <w:t>虽然国家湿地公园处于不断建设过程中，部分工程已经完成，但是也存在少数项目未实施或者实施不到位的问题，此外乡村振兴和美丽中国建设背景下，功能分区需结合经济社会发展和有效保护目标进一步完善和适当的调整。湿地公园周边分布有居民点和道路，并紧邻主干道，虽然整体上未受现代城市化的侵扰，湿地环境保持了一定的完整性，但是由于人类活动的不断升级，生态系统完整性还是受到了不同的干扰，物种的栖息地生境受到了影响。</w:t>
      </w:r>
    </w:p>
    <w:p>
      <w:pPr>
        <w:pStyle w:val="4"/>
        <w:keepNext w:val="0"/>
        <w:keepLines w:val="0"/>
        <w:rPr>
          <w:rFonts w:cs="Times New Roman"/>
          <w:szCs w:val="28"/>
        </w:rPr>
      </w:pPr>
      <w:r>
        <w:rPr>
          <w:rFonts w:hint="eastAsia" w:cs="Times New Roman"/>
          <w:szCs w:val="28"/>
        </w:rPr>
        <w:t>三、总体评价</w:t>
      </w:r>
    </w:p>
    <w:p>
      <w:pPr>
        <w:ind w:firstLine="480"/>
      </w:pPr>
      <w:r>
        <w:rPr>
          <w:rFonts w:hint="eastAsia"/>
        </w:rPr>
        <w:t>玛纳斯国家湿地公园在2011—2018年规划期内，完成了主要保护与修复工程的建设，同时改善了生物多样性生境状况，推进了宣教及合理利用基础设施建设项目的实施，很好地维系周边社区的良好关系，保护与恢复项目完成度为85%，科普宣教及合理利用项目完成度为80%，总体建设水平良好。</w:t>
      </w:r>
    </w:p>
    <w:p>
      <w:pPr>
        <w:widowControl/>
        <w:spacing w:line="240" w:lineRule="auto"/>
        <w:ind w:firstLine="0" w:firstLineChars="0"/>
        <w:jc w:val="left"/>
        <w:rPr>
          <w:rFonts w:eastAsia="黑体"/>
          <w:b/>
          <w:bCs/>
          <w:kern w:val="44"/>
          <w:sz w:val="36"/>
          <w:szCs w:val="44"/>
        </w:rPr>
      </w:pPr>
      <w:r>
        <w:br w:type="page"/>
      </w:r>
    </w:p>
    <w:p>
      <w:pPr>
        <w:pStyle w:val="2"/>
        <w:ind w:firstLine="723"/>
      </w:pPr>
      <w:bookmarkStart w:id="9" w:name="_Toc130121637"/>
      <w:r>
        <w:rPr>
          <w:rFonts w:hint="eastAsia"/>
        </w:rPr>
        <w:t>第三章</w:t>
      </w:r>
      <w:r>
        <w:t xml:space="preserve">  </w:t>
      </w:r>
      <w:r>
        <w:rPr>
          <w:rFonts w:hint="eastAsia"/>
        </w:rPr>
        <w:t>湿地资源</w:t>
      </w:r>
      <w:bookmarkEnd w:id="9"/>
    </w:p>
    <w:p>
      <w:pPr>
        <w:pStyle w:val="3"/>
        <w:ind w:firstLine="643"/>
      </w:pPr>
      <w:bookmarkStart w:id="10" w:name="_Toc130121638"/>
      <w:r>
        <w:rPr>
          <w:rFonts w:hint="eastAsia"/>
        </w:rPr>
        <w:t>第一节</w:t>
      </w:r>
      <w:r>
        <w:t xml:space="preserve">  </w:t>
      </w:r>
      <w:r>
        <w:rPr>
          <w:rFonts w:hint="eastAsia"/>
        </w:rPr>
        <w:t>湿地类型、面积与分布</w:t>
      </w:r>
      <w:bookmarkEnd w:id="10"/>
    </w:p>
    <w:p>
      <w:pPr>
        <w:ind w:firstLine="480"/>
      </w:pPr>
      <w:r>
        <w:rPr>
          <w:rFonts w:hint="eastAsia"/>
        </w:rPr>
        <w:t>参照按《湿地分类》（GB/T 24708-2009），结合当地实际水文及植被情况，将规划范围内的湿地划分为自然湿地和人工湿地两类，包括</w:t>
      </w:r>
      <w:r>
        <w:t>6</w:t>
      </w:r>
      <w:r>
        <w:rPr>
          <w:rFonts w:hint="eastAsia"/>
        </w:rPr>
        <w:t>种湿地类型（见表 3-1），</w:t>
      </w:r>
      <w:r>
        <w:rPr>
          <w:rFonts w:hint="eastAsia" w:cs="Times New Roman"/>
          <w:szCs w:val="21"/>
        </w:rPr>
        <w:t>湿地面积</w:t>
      </w:r>
      <w:r>
        <w:rPr>
          <w:rFonts w:hint="eastAsia" w:cs="Times New Roman"/>
          <w:szCs w:val="21"/>
          <w:lang w:val="en-US" w:eastAsia="zh-CN"/>
        </w:rPr>
        <w:t>2361.57</w:t>
      </w:r>
      <w:r>
        <w:rPr>
          <w:rFonts w:cs="Times New Roman"/>
          <w:szCs w:val="21"/>
        </w:rPr>
        <w:t>hm²</w:t>
      </w:r>
      <w:r>
        <w:rPr>
          <w:rFonts w:hint="eastAsia" w:cs="Times New Roman"/>
          <w:szCs w:val="21"/>
        </w:rPr>
        <w:t>，湿地率65.4</w:t>
      </w:r>
      <w:r>
        <w:rPr>
          <w:rFonts w:cs="Times New Roman"/>
          <w:szCs w:val="21"/>
        </w:rPr>
        <w:t>%</w:t>
      </w:r>
      <w:r>
        <w:rPr>
          <w:rFonts w:hint="eastAsia"/>
        </w:rPr>
        <w:t>。</w:t>
      </w:r>
    </w:p>
    <w:p>
      <w:pPr>
        <w:pStyle w:val="45"/>
      </w:pPr>
      <w:r>
        <w:rPr>
          <w:rFonts w:hint="eastAsia"/>
        </w:rPr>
        <w:t>表3-</w:t>
      </w:r>
      <w:r>
        <w:t xml:space="preserve">1 </w:t>
      </w:r>
      <w:r>
        <w:rPr>
          <w:rFonts w:hint="eastAsia"/>
        </w:rPr>
        <w:t>湿地公园内现状湿地</w:t>
      </w:r>
    </w:p>
    <w:tbl>
      <w:tblPr>
        <w:tblStyle w:val="25"/>
        <w:tblW w:w="8522" w:type="dxa"/>
        <w:tblInd w:w="0" w:type="dxa"/>
        <w:tblLayout w:type="fixed"/>
        <w:tblCellMar>
          <w:top w:w="0" w:type="dxa"/>
          <w:left w:w="108" w:type="dxa"/>
          <w:bottom w:w="0" w:type="dxa"/>
          <w:right w:w="108" w:type="dxa"/>
        </w:tblCellMar>
      </w:tblPr>
      <w:tblGrid>
        <w:gridCol w:w="1810"/>
        <w:gridCol w:w="2763"/>
        <w:gridCol w:w="1445"/>
        <w:gridCol w:w="2504"/>
      </w:tblGrid>
      <w:tr>
        <w:tblPrEx>
          <w:tblCellMar>
            <w:top w:w="0" w:type="dxa"/>
            <w:left w:w="108" w:type="dxa"/>
            <w:bottom w:w="0" w:type="dxa"/>
            <w:right w:w="108" w:type="dxa"/>
          </w:tblCellMar>
        </w:tblPrEx>
        <w:trPr>
          <w:trHeight w:val="624" w:hRule="atLeast"/>
        </w:trPr>
        <w:tc>
          <w:tcPr>
            <w:tcW w:w="181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hint="eastAsia" w:cs="Times New Roman"/>
                <w:sz w:val="22"/>
              </w:rPr>
              <w:t>湿地类型</w:t>
            </w:r>
          </w:p>
        </w:tc>
        <w:tc>
          <w:tcPr>
            <w:tcW w:w="2763" w:type="dxa"/>
            <w:tcBorders>
              <w:top w:val="single" w:color="auto" w:sz="4" w:space="0"/>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湿地类型</w:t>
            </w:r>
          </w:p>
        </w:tc>
        <w:tc>
          <w:tcPr>
            <w:tcW w:w="1445" w:type="dxa"/>
            <w:tcBorders>
              <w:top w:val="single" w:color="auto" w:sz="4" w:space="0"/>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面积（</w:t>
            </w:r>
            <w:r>
              <w:rPr>
                <w:rFonts w:hint="eastAsia" w:cs="Times New Roman"/>
                <w:sz w:val="22"/>
              </w:rPr>
              <w:t>h</w:t>
            </w:r>
            <w:r>
              <w:rPr>
                <w:rFonts w:cs="Times New Roman"/>
                <w:sz w:val="22"/>
              </w:rPr>
              <w:t>m²）</w:t>
            </w:r>
          </w:p>
        </w:tc>
        <w:tc>
          <w:tcPr>
            <w:tcW w:w="2504" w:type="dxa"/>
            <w:tcBorders>
              <w:top w:val="single" w:color="auto" w:sz="4" w:space="0"/>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占比</w:t>
            </w:r>
            <w:r>
              <w:rPr>
                <w:rFonts w:hint="eastAsia" w:cs="Times New Roman"/>
                <w:sz w:val="22"/>
              </w:rPr>
              <w:t>（%）</w:t>
            </w:r>
          </w:p>
        </w:tc>
      </w:tr>
      <w:tr>
        <w:tblPrEx>
          <w:tblCellMar>
            <w:top w:w="0" w:type="dxa"/>
            <w:left w:w="108" w:type="dxa"/>
            <w:bottom w:w="0" w:type="dxa"/>
            <w:right w:w="108" w:type="dxa"/>
          </w:tblCellMar>
        </w:tblPrEx>
        <w:trPr>
          <w:trHeight w:val="576" w:hRule="atLeast"/>
        </w:trPr>
        <w:tc>
          <w:tcPr>
            <w:tcW w:w="1810" w:type="dxa"/>
            <w:vMerge w:val="restart"/>
            <w:tcBorders>
              <w:top w:val="nil"/>
              <w:left w:val="single" w:color="auto" w:sz="4" w:space="0"/>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自然湿地</w:t>
            </w:r>
          </w:p>
        </w:tc>
        <w:tc>
          <w:tcPr>
            <w:tcW w:w="2763"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永久性河流</w:t>
            </w:r>
          </w:p>
        </w:tc>
        <w:tc>
          <w:tcPr>
            <w:tcW w:w="1445"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eastAsia="等线" w:cs="Times New Roman"/>
                <w:color w:val="000000"/>
                <w:sz w:val="22"/>
              </w:rPr>
              <w:t>198.08</w:t>
            </w:r>
          </w:p>
        </w:tc>
        <w:tc>
          <w:tcPr>
            <w:tcW w:w="2504"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8.04</w:t>
            </w:r>
          </w:p>
        </w:tc>
      </w:tr>
      <w:tr>
        <w:tblPrEx>
          <w:tblCellMar>
            <w:top w:w="0" w:type="dxa"/>
            <w:left w:w="108" w:type="dxa"/>
            <w:bottom w:w="0" w:type="dxa"/>
            <w:right w:w="108" w:type="dxa"/>
          </w:tblCellMar>
        </w:tblPrEx>
        <w:trPr>
          <w:trHeight w:val="576" w:hRule="atLeast"/>
        </w:trPr>
        <w:tc>
          <w:tcPr>
            <w:tcW w:w="1810" w:type="dxa"/>
            <w:vMerge w:val="continue"/>
            <w:tcBorders>
              <w:top w:val="nil"/>
              <w:left w:val="single" w:color="auto" w:sz="4" w:space="0"/>
              <w:bottom w:val="single" w:color="auto" w:sz="4" w:space="0"/>
              <w:right w:val="single" w:color="auto" w:sz="4" w:space="0"/>
            </w:tcBorders>
            <w:vAlign w:val="center"/>
          </w:tcPr>
          <w:p>
            <w:pPr>
              <w:ind w:firstLine="0" w:firstLineChars="0"/>
              <w:jc w:val="center"/>
              <w:rPr>
                <w:rFonts w:cs="Times New Roman"/>
                <w:sz w:val="22"/>
              </w:rPr>
            </w:pPr>
          </w:p>
        </w:tc>
        <w:tc>
          <w:tcPr>
            <w:tcW w:w="2763"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洪泛平原湿地</w:t>
            </w:r>
          </w:p>
        </w:tc>
        <w:tc>
          <w:tcPr>
            <w:tcW w:w="1445"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eastAsia="等线" w:cs="Times New Roman"/>
                <w:color w:val="000000"/>
                <w:sz w:val="22"/>
              </w:rPr>
              <w:t>227.09</w:t>
            </w:r>
          </w:p>
        </w:tc>
        <w:tc>
          <w:tcPr>
            <w:tcW w:w="2504"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9.22</w:t>
            </w:r>
          </w:p>
        </w:tc>
      </w:tr>
      <w:tr>
        <w:tblPrEx>
          <w:tblCellMar>
            <w:top w:w="0" w:type="dxa"/>
            <w:left w:w="108" w:type="dxa"/>
            <w:bottom w:w="0" w:type="dxa"/>
            <w:right w:w="108" w:type="dxa"/>
          </w:tblCellMar>
        </w:tblPrEx>
        <w:trPr>
          <w:trHeight w:val="288" w:hRule="atLeast"/>
        </w:trPr>
        <w:tc>
          <w:tcPr>
            <w:tcW w:w="1810" w:type="dxa"/>
            <w:vMerge w:val="continue"/>
            <w:tcBorders>
              <w:top w:val="nil"/>
              <w:left w:val="single" w:color="auto" w:sz="4" w:space="0"/>
              <w:bottom w:val="single" w:color="auto" w:sz="4" w:space="0"/>
              <w:right w:val="single" w:color="auto" w:sz="4" w:space="0"/>
            </w:tcBorders>
            <w:vAlign w:val="center"/>
          </w:tcPr>
          <w:p>
            <w:pPr>
              <w:ind w:firstLine="0" w:firstLineChars="0"/>
              <w:jc w:val="center"/>
              <w:rPr>
                <w:rFonts w:cs="Times New Roman"/>
                <w:sz w:val="22"/>
              </w:rPr>
            </w:pPr>
          </w:p>
        </w:tc>
        <w:tc>
          <w:tcPr>
            <w:tcW w:w="2763"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草本沼泽</w:t>
            </w:r>
          </w:p>
        </w:tc>
        <w:tc>
          <w:tcPr>
            <w:tcW w:w="1445"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eastAsia="等线" w:cs="Times New Roman"/>
                <w:color w:val="000000"/>
                <w:sz w:val="22"/>
              </w:rPr>
              <w:t>124.69</w:t>
            </w:r>
          </w:p>
        </w:tc>
        <w:tc>
          <w:tcPr>
            <w:tcW w:w="2504"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5.06</w:t>
            </w:r>
          </w:p>
        </w:tc>
      </w:tr>
      <w:tr>
        <w:tblPrEx>
          <w:tblCellMar>
            <w:top w:w="0" w:type="dxa"/>
            <w:left w:w="108" w:type="dxa"/>
            <w:bottom w:w="0" w:type="dxa"/>
            <w:right w:w="108" w:type="dxa"/>
          </w:tblCellMar>
        </w:tblPrEx>
        <w:trPr>
          <w:trHeight w:val="288" w:hRule="atLeast"/>
        </w:trPr>
        <w:tc>
          <w:tcPr>
            <w:tcW w:w="1810" w:type="dxa"/>
            <w:vMerge w:val="restart"/>
            <w:tcBorders>
              <w:top w:val="nil"/>
              <w:left w:val="single" w:color="auto" w:sz="4" w:space="0"/>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人工湿地</w:t>
            </w:r>
          </w:p>
        </w:tc>
        <w:tc>
          <w:tcPr>
            <w:tcW w:w="2763"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水库</w:t>
            </w:r>
          </w:p>
        </w:tc>
        <w:tc>
          <w:tcPr>
            <w:tcW w:w="1445"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eastAsia="等线" w:cs="Times New Roman"/>
                <w:color w:val="000000"/>
                <w:sz w:val="22"/>
              </w:rPr>
              <w:t>1</w:t>
            </w:r>
            <w:r>
              <w:rPr>
                <w:rFonts w:hint="eastAsia" w:eastAsia="等线" w:cs="Times New Roman"/>
                <w:color w:val="000000"/>
                <w:sz w:val="22"/>
                <w:lang w:val="en-US" w:eastAsia="zh-CN"/>
              </w:rPr>
              <w:t>582</w:t>
            </w:r>
            <w:r>
              <w:rPr>
                <w:rFonts w:eastAsia="等线" w:cs="Times New Roman"/>
                <w:color w:val="000000"/>
                <w:sz w:val="22"/>
              </w:rPr>
              <w:t>.</w:t>
            </w:r>
            <w:r>
              <w:rPr>
                <w:rFonts w:hint="eastAsia" w:eastAsia="等线" w:cs="Times New Roman"/>
                <w:color w:val="000000"/>
                <w:sz w:val="22"/>
                <w:lang w:val="en-US" w:eastAsia="zh-CN"/>
              </w:rPr>
              <w:t>19</w:t>
            </w:r>
          </w:p>
        </w:tc>
        <w:tc>
          <w:tcPr>
            <w:tcW w:w="2504"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68.35</w:t>
            </w:r>
          </w:p>
        </w:tc>
      </w:tr>
      <w:tr>
        <w:tblPrEx>
          <w:tblCellMar>
            <w:top w:w="0" w:type="dxa"/>
            <w:left w:w="108" w:type="dxa"/>
            <w:bottom w:w="0" w:type="dxa"/>
            <w:right w:w="108" w:type="dxa"/>
          </w:tblCellMar>
        </w:tblPrEx>
        <w:trPr>
          <w:trHeight w:val="576" w:hRule="atLeast"/>
        </w:trPr>
        <w:tc>
          <w:tcPr>
            <w:tcW w:w="1810" w:type="dxa"/>
            <w:vMerge w:val="continue"/>
            <w:tcBorders>
              <w:top w:val="nil"/>
              <w:left w:val="single" w:color="auto" w:sz="4" w:space="0"/>
              <w:bottom w:val="single" w:color="auto" w:sz="4" w:space="0"/>
              <w:right w:val="single" w:color="auto" w:sz="4" w:space="0"/>
            </w:tcBorders>
            <w:vAlign w:val="center"/>
          </w:tcPr>
          <w:p>
            <w:pPr>
              <w:ind w:firstLine="0" w:firstLineChars="0"/>
              <w:jc w:val="center"/>
              <w:rPr>
                <w:rFonts w:cs="Times New Roman"/>
                <w:sz w:val="22"/>
              </w:rPr>
            </w:pPr>
          </w:p>
        </w:tc>
        <w:tc>
          <w:tcPr>
            <w:tcW w:w="2763"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灌溉用沟、渠</w:t>
            </w:r>
          </w:p>
        </w:tc>
        <w:tc>
          <w:tcPr>
            <w:tcW w:w="1445"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eastAsia="等线" w:cs="Times New Roman"/>
                <w:color w:val="000000"/>
                <w:sz w:val="22"/>
              </w:rPr>
              <w:t>99.67</w:t>
            </w:r>
          </w:p>
        </w:tc>
        <w:tc>
          <w:tcPr>
            <w:tcW w:w="2504"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4.05</w:t>
            </w:r>
          </w:p>
        </w:tc>
      </w:tr>
      <w:tr>
        <w:tblPrEx>
          <w:tblCellMar>
            <w:top w:w="0" w:type="dxa"/>
            <w:left w:w="108" w:type="dxa"/>
            <w:bottom w:w="0" w:type="dxa"/>
            <w:right w:w="108" w:type="dxa"/>
          </w:tblCellMar>
        </w:tblPrEx>
        <w:trPr>
          <w:trHeight w:val="288" w:hRule="atLeast"/>
        </w:trPr>
        <w:tc>
          <w:tcPr>
            <w:tcW w:w="1810" w:type="dxa"/>
            <w:vMerge w:val="continue"/>
            <w:tcBorders>
              <w:top w:val="nil"/>
              <w:left w:val="single" w:color="auto" w:sz="4" w:space="0"/>
              <w:bottom w:val="single" w:color="auto" w:sz="4" w:space="0"/>
              <w:right w:val="single" w:color="auto" w:sz="4" w:space="0"/>
            </w:tcBorders>
            <w:vAlign w:val="center"/>
          </w:tcPr>
          <w:p>
            <w:pPr>
              <w:ind w:firstLine="0" w:firstLineChars="0"/>
              <w:jc w:val="center"/>
              <w:rPr>
                <w:rFonts w:cs="Times New Roman"/>
                <w:sz w:val="22"/>
              </w:rPr>
            </w:pPr>
          </w:p>
        </w:tc>
        <w:tc>
          <w:tcPr>
            <w:tcW w:w="2763"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坑塘水面</w:t>
            </w:r>
          </w:p>
        </w:tc>
        <w:tc>
          <w:tcPr>
            <w:tcW w:w="1445"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eastAsia="等线" w:cs="Times New Roman"/>
                <w:color w:val="000000"/>
                <w:sz w:val="22"/>
              </w:rPr>
              <w:t>129.84</w:t>
            </w:r>
          </w:p>
        </w:tc>
        <w:tc>
          <w:tcPr>
            <w:tcW w:w="2504"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5.27</w:t>
            </w:r>
          </w:p>
        </w:tc>
      </w:tr>
      <w:tr>
        <w:tblPrEx>
          <w:tblCellMar>
            <w:top w:w="0" w:type="dxa"/>
            <w:left w:w="108" w:type="dxa"/>
            <w:bottom w:w="0" w:type="dxa"/>
            <w:right w:w="108" w:type="dxa"/>
          </w:tblCellMar>
        </w:tblPrEx>
        <w:trPr>
          <w:trHeight w:val="288" w:hRule="atLeast"/>
        </w:trPr>
        <w:tc>
          <w:tcPr>
            <w:tcW w:w="4573" w:type="dxa"/>
            <w:gridSpan w:val="2"/>
            <w:tcBorders>
              <w:top w:val="nil"/>
              <w:left w:val="single" w:color="auto" w:sz="4" w:space="0"/>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cs="Times New Roman"/>
                <w:sz w:val="22"/>
              </w:rPr>
              <w:t>总计</w:t>
            </w:r>
          </w:p>
        </w:tc>
        <w:tc>
          <w:tcPr>
            <w:tcW w:w="1445"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hint="eastAsia" w:eastAsia="等线" w:cs="Times New Roman"/>
                <w:color w:val="000000"/>
                <w:sz w:val="22"/>
              </w:rPr>
              <w:t>2361</w:t>
            </w:r>
            <w:r>
              <w:rPr>
                <w:rFonts w:hint="eastAsia" w:eastAsia="等线" w:cs="Times New Roman"/>
                <w:color w:val="000000"/>
                <w:sz w:val="22"/>
                <w:lang w:val="en-US" w:eastAsia="zh-CN"/>
              </w:rPr>
              <w:t>.57</w:t>
            </w:r>
          </w:p>
        </w:tc>
        <w:tc>
          <w:tcPr>
            <w:tcW w:w="2504" w:type="dxa"/>
            <w:tcBorders>
              <w:top w:val="nil"/>
              <w:left w:val="nil"/>
              <w:bottom w:val="single" w:color="auto" w:sz="4" w:space="0"/>
              <w:right w:val="single" w:color="auto" w:sz="4" w:space="0"/>
            </w:tcBorders>
            <w:shd w:val="clear" w:color="auto" w:fill="auto"/>
            <w:vAlign w:val="center"/>
          </w:tcPr>
          <w:p>
            <w:pPr>
              <w:ind w:firstLine="0" w:firstLineChars="0"/>
              <w:jc w:val="center"/>
              <w:rPr>
                <w:rFonts w:cs="Times New Roman"/>
                <w:sz w:val="22"/>
              </w:rPr>
            </w:pPr>
            <w:r>
              <w:rPr>
                <w:rFonts w:eastAsia="等线" w:cs="Times New Roman"/>
                <w:color w:val="000000"/>
                <w:sz w:val="22"/>
              </w:rPr>
              <w:t>100.00</w:t>
            </w:r>
          </w:p>
        </w:tc>
      </w:tr>
    </w:tbl>
    <w:p>
      <w:pPr>
        <w:pStyle w:val="3"/>
        <w:ind w:firstLine="643"/>
      </w:pPr>
      <w:bookmarkStart w:id="11" w:name="_Toc130121639"/>
      <w:r>
        <w:rPr>
          <w:rFonts w:hint="eastAsia"/>
        </w:rPr>
        <w:t>第二节</w:t>
      </w:r>
      <w:r>
        <w:t xml:space="preserve">  </w:t>
      </w:r>
      <w:r>
        <w:rPr>
          <w:rFonts w:hint="eastAsia"/>
        </w:rPr>
        <w:t>湿地生物多样性</w:t>
      </w:r>
      <w:bookmarkEnd w:id="11"/>
    </w:p>
    <w:p>
      <w:pPr>
        <w:pStyle w:val="4"/>
      </w:pPr>
      <w:r>
        <w:rPr>
          <w:rFonts w:hint="eastAsia" w:ascii="Arial" w:cs="Arial"/>
          <w:w w:val="115"/>
          <w:sz w:val="22"/>
        </w:rPr>
        <w:t>一、</w:t>
      </w:r>
      <w:r>
        <w:rPr>
          <w:rFonts w:hint="eastAsia"/>
          <w:w w:val="115"/>
        </w:rPr>
        <w:t>植物多样性</w:t>
      </w:r>
    </w:p>
    <w:p>
      <w:pPr>
        <w:ind w:firstLine="503"/>
      </w:pPr>
      <w:r>
        <w:rPr>
          <w:rFonts w:hint="eastAsia"/>
          <w:w w:val="105"/>
        </w:rPr>
        <w:t>湿地公园中现分布有维管植物</w:t>
      </w:r>
      <w:r>
        <w:rPr>
          <w:spacing w:val="-84"/>
          <w:w w:val="105"/>
        </w:rPr>
        <w:t xml:space="preserve"> </w:t>
      </w:r>
      <w:r>
        <w:rPr>
          <w:spacing w:val="2"/>
          <w:w w:val="105"/>
        </w:rPr>
        <w:t>2</w:t>
      </w:r>
      <w:r>
        <w:rPr>
          <w:rFonts w:hint="eastAsia"/>
          <w:spacing w:val="2"/>
          <w:w w:val="105"/>
        </w:rPr>
        <w:t>11</w:t>
      </w:r>
      <w:r>
        <w:rPr>
          <w:rFonts w:hint="eastAsia"/>
          <w:w w:val="105"/>
        </w:rPr>
        <w:t>种，占新疆湿地植物总数</w:t>
      </w:r>
      <w:r>
        <w:rPr>
          <w:spacing w:val="-109"/>
          <w:w w:val="105"/>
        </w:rPr>
        <w:t xml:space="preserve"> </w:t>
      </w:r>
      <w:r>
        <w:rPr>
          <w:rFonts w:hint="eastAsia"/>
          <w:w w:val="105"/>
        </w:rPr>
        <w:t>的</w:t>
      </w:r>
      <w:r>
        <w:rPr>
          <w:spacing w:val="-98"/>
          <w:w w:val="105"/>
        </w:rPr>
        <w:t xml:space="preserve"> </w:t>
      </w:r>
      <w:r>
        <w:rPr>
          <w:spacing w:val="2"/>
          <w:w w:val="105"/>
        </w:rPr>
        <w:t>4</w:t>
      </w:r>
      <w:r>
        <w:rPr>
          <w:rFonts w:hint="eastAsia"/>
          <w:spacing w:val="2"/>
          <w:w w:val="105"/>
        </w:rPr>
        <w:t>8.73</w:t>
      </w:r>
      <w:r>
        <w:rPr>
          <w:spacing w:val="2"/>
          <w:w w:val="105"/>
        </w:rPr>
        <w:t>%</w:t>
      </w:r>
      <w:r>
        <w:rPr>
          <w:spacing w:val="-48"/>
          <w:w w:val="105"/>
        </w:rPr>
        <w:t xml:space="preserve"> </w:t>
      </w:r>
      <w:r>
        <w:rPr>
          <w:rFonts w:hint="eastAsia"/>
          <w:spacing w:val="-7"/>
          <w:w w:val="105"/>
        </w:rPr>
        <w:t>，其中荒漠</w:t>
      </w:r>
      <w:r>
        <w:rPr>
          <w:rFonts w:hint="eastAsia"/>
          <w:w w:val="105"/>
        </w:rPr>
        <w:t>植物</w:t>
      </w:r>
      <w:r>
        <w:rPr>
          <w:spacing w:val="-60"/>
          <w:w w:val="105"/>
        </w:rPr>
        <w:t xml:space="preserve"> </w:t>
      </w:r>
      <w:r>
        <w:rPr>
          <w:w w:val="105"/>
        </w:rPr>
        <w:t>140</w:t>
      </w:r>
      <w:r>
        <w:rPr>
          <w:spacing w:val="-26"/>
          <w:w w:val="105"/>
        </w:rPr>
        <w:t xml:space="preserve"> </w:t>
      </w:r>
      <w:r>
        <w:rPr>
          <w:rFonts w:hint="eastAsia"/>
          <w:spacing w:val="-3"/>
          <w:w w:val="105"/>
        </w:rPr>
        <w:t>种，湿生与水生植物</w:t>
      </w:r>
      <w:r>
        <w:rPr>
          <w:spacing w:val="-59"/>
          <w:w w:val="105"/>
        </w:rPr>
        <w:t xml:space="preserve"> </w:t>
      </w:r>
      <w:r>
        <w:rPr>
          <w:w w:val="105"/>
        </w:rPr>
        <w:t>60</w:t>
      </w:r>
      <w:r>
        <w:rPr>
          <w:spacing w:val="-14"/>
          <w:w w:val="105"/>
        </w:rPr>
        <w:t xml:space="preserve"> </w:t>
      </w:r>
      <w:r>
        <w:rPr>
          <w:rFonts w:hint="eastAsia"/>
          <w:spacing w:val="-5"/>
          <w:w w:val="105"/>
        </w:rPr>
        <w:t>种。荒漠植物约</w:t>
      </w:r>
      <w:r>
        <w:rPr>
          <w:spacing w:val="-92"/>
          <w:w w:val="105"/>
        </w:rPr>
        <w:t xml:space="preserve"> </w:t>
      </w:r>
      <w:r>
        <w:rPr>
          <w:rFonts w:hint="eastAsia"/>
          <w:w w:val="105"/>
        </w:rPr>
        <w:t>占该县荒漠植物种类总数的</w:t>
      </w:r>
      <w:r>
        <w:rPr>
          <w:spacing w:val="-72"/>
          <w:w w:val="105"/>
        </w:rPr>
        <w:t xml:space="preserve"> </w:t>
      </w:r>
      <w:r>
        <w:rPr>
          <w:spacing w:val="6"/>
          <w:w w:val="105"/>
        </w:rPr>
        <w:t>57%</w:t>
      </w:r>
      <w:r>
        <w:rPr>
          <w:rFonts w:hint="eastAsia"/>
          <w:spacing w:val="6"/>
          <w:w w:val="105"/>
        </w:rPr>
        <w:t>，</w:t>
      </w:r>
      <w:r>
        <w:rPr>
          <w:rFonts w:hint="eastAsia"/>
          <w:w w:val="105"/>
        </w:rPr>
        <w:t>其中有早春短命植物</w:t>
      </w:r>
      <w:r>
        <w:rPr>
          <w:spacing w:val="-49"/>
          <w:w w:val="105"/>
        </w:rPr>
        <w:t xml:space="preserve"> </w:t>
      </w:r>
      <w:r>
        <w:rPr>
          <w:w w:val="105"/>
        </w:rPr>
        <w:t>33</w:t>
      </w:r>
      <w:r>
        <w:rPr>
          <w:spacing w:val="-15"/>
          <w:w w:val="105"/>
        </w:rPr>
        <w:t xml:space="preserve"> </w:t>
      </w:r>
      <w:r>
        <w:rPr>
          <w:rFonts w:hint="eastAsia"/>
          <w:spacing w:val="-3"/>
          <w:w w:val="105"/>
        </w:rPr>
        <w:t>种，约占新疆短命植物种类总数的</w:t>
      </w:r>
      <w:r>
        <w:rPr>
          <w:spacing w:val="-35"/>
          <w:w w:val="105"/>
        </w:rPr>
        <w:t xml:space="preserve"> </w:t>
      </w:r>
      <w:r>
        <w:rPr>
          <w:w w:val="105"/>
        </w:rPr>
        <w:t>30%</w:t>
      </w:r>
      <w:r>
        <w:rPr>
          <w:spacing w:val="-42"/>
          <w:w w:val="105"/>
        </w:rPr>
        <w:t xml:space="preserve"> </w:t>
      </w:r>
      <w:r>
        <w:rPr>
          <w:rFonts w:hint="eastAsia"/>
          <w:spacing w:val="-27"/>
          <w:w w:val="105"/>
        </w:rPr>
        <w:t>。在</w:t>
      </w:r>
      <w:r>
        <w:rPr>
          <w:spacing w:val="-59"/>
          <w:w w:val="105"/>
        </w:rPr>
        <w:t xml:space="preserve"> </w:t>
      </w:r>
      <w:r>
        <w:rPr>
          <w:spacing w:val="-3"/>
          <w:w w:val="105"/>
        </w:rPr>
        <w:t>196</w:t>
      </w:r>
      <w:r>
        <w:rPr>
          <w:spacing w:val="-13"/>
          <w:w w:val="105"/>
        </w:rPr>
        <w:t xml:space="preserve"> </w:t>
      </w:r>
      <w:r>
        <w:rPr>
          <w:rFonts w:hint="eastAsia"/>
          <w:w w:val="105"/>
        </w:rPr>
        <w:t>种野生植物</w:t>
      </w:r>
      <w:r>
        <w:rPr>
          <w:rFonts w:hint="eastAsia"/>
          <w:spacing w:val="-4"/>
        </w:rPr>
        <w:t>中，具有药用价值的植物为</w:t>
      </w:r>
      <w:r>
        <w:rPr>
          <w:spacing w:val="-4"/>
        </w:rPr>
        <w:t xml:space="preserve"> </w:t>
      </w:r>
      <w:r>
        <w:t xml:space="preserve">106 </w:t>
      </w:r>
      <w:r>
        <w:rPr>
          <w:rFonts w:hint="eastAsia"/>
        </w:rPr>
        <w:t>种，属于珍稀濒危或特有植物</w:t>
      </w:r>
      <w:r>
        <w:t xml:space="preserve"> 8 </w:t>
      </w:r>
      <w:r>
        <w:rPr>
          <w:rFonts w:hint="eastAsia"/>
        </w:rPr>
        <w:t>种</w:t>
      </w:r>
      <w:r>
        <w:rPr>
          <w:spacing w:val="-63"/>
        </w:rPr>
        <w:t xml:space="preserve"> </w:t>
      </w:r>
      <w:r>
        <w:rPr>
          <w:rFonts w:hint="eastAsia"/>
          <w:spacing w:val="-6"/>
        </w:rPr>
        <w:t>。湿地公园中的所</w:t>
      </w:r>
      <w:r>
        <w:rPr>
          <w:rFonts w:hint="eastAsia"/>
        </w:rPr>
        <w:t>有植物均为本地植物</w:t>
      </w:r>
      <w:r>
        <w:rPr>
          <w:spacing w:val="-52"/>
        </w:rPr>
        <w:t xml:space="preserve"> </w:t>
      </w:r>
      <w:r>
        <w:rPr>
          <w:rFonts w:hint="eastAsia"/>
          <w:spacing w:val="-8"/>
        </w:rPr>
        <w:t>，无外来入侵种</w:t>
      </w:r>
      <w:r>
        <w:rPr>
          <w:rFonts w:hint="eastAsia"/>
          <w:w w:val="80"/>
        </w:rPr>
        <w:t>（</w:t>
      </w:r>
      <w:r>
        <w:rPr>
          <w:spacing w:val="-68"/>
          <w:w w:val="80"/>
        </w:rPr>
        <w:t xml:space="preserve"> </w:t>
      </w:r>
      <w:r>
        <w:rPr>
          <w:rFonts w:hint="eastAsia"/>
        </w:rPr>
        <w:t>见图</w:t>
      </w:r>
      <w:r>
        <w:rPr>
          <w:spacing w:val="-36"/>
        </w:rPr>
        <w:t xml:space="preserve"> </w:t>
      </w:r>
      <w:r>
        <w:t>3-3</w:t>
      </w:r>
      <w:r>
        <w:rPr>
          <w:rFonts w:hint="eastAsia"/>
          <w:spacing w:val="-36"/>
        </w:rPr>
        <w:t>，表</w:t>
      </w:r>
      <w:r>
        <w:rPr>
          <w:spacing w:val="-34"/>
        </w:rPr>
        <w:t xml:space="preserve"> </w:t>
      </w:r>
      <w:r>
        <w:t>3-2</w:t>
      </w:r>
      <w:r>
        <w:rPr>
          <w:spacing w:val="-14"/>
        </w:rPr>
        <w:t xml:space="preserve"> </w:t>
      </w:r>
      <w:r>
        <w:rPr>
          <w:rFonts w:hint="eastAsia"/>
          <w:w w:val="80"/>
        </w:rPr>
        <w:t>）。</w:t>
      </w:r>
    </w:p>
    <w:p>
      <w:pPr>
        <w:autoSpaceDE w:val="0"/>
        <w:autoSpaceDN w:val="0"/>
        <w:adjustRightInd w:val="0"/>
        <w:spacing w:before="163" w:beforeLines="50" w:after="163" w:afterLines="50"/>
        <w:ind w:firstLine="400"/>
        <w:jc w:val="center"/>
        <w:rPr>
          <w:rFonts w:cs="Times New Roman"/>
          <w:kern w:val="0"/>
          <w:position w:val="10"/>
          <w:sz w:val="20"/>
          <w:szCs w:val="20"/>
        </w:rPr>
      </w:pPr>
      <w:r>
        <w:rPr>
          <w:rFonts w:cs="Times New Roman"/>
          <w:kern w:val="0"/>
          <w:position w:val="-36"/>
          <w:sz w:val="20"/>
          <w:szCs w:val="20"/>
        </w:rPr>
        <w:drawing>
          <wp:inline distT="0" distB="0" distL="0" distR="0">
            <wp:extent cx="2033270" cy="87630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55496" cy="885879"/>
                    </a:xfrm>
                    <a:prstGeom prst="rect">
                      <a:avLst/>
                    </a:prstGeom>
                    <a:noFill/>
                    <a:ln>
                      <a:noFill/>
                    </a:ln>
                  </pic:spPr>
                </pic:pic>
              </a:graphicData>
            </a:graphic>
          </wp:inline>
        </w:drawing>
      </w:r>
      <w:r>
        <w:rPr>
          <w:rFonts w:cs="Times New Roman"/>
          <w:kern w:val="0"/>
          <w:position w:val="10"/>
          <w:sz w:val="20"/>
          <w:szCs w:val="20"/>
        </w:rPr>
        <w:drawing>
          <wp:inline distT="0" distB="0" distL="0" distR="0">
            <wp:extent cx="668020" cy="58610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668020" cy="586105"/>
                    </a:xfrm>
                    <a:prstGeom prst="rect">
                      <a:avLst/>
                    </a:prstGeom>
                    <a:noFill/>
                    <a:ln>
                      <a:noFill/>
                    </a:ln>
                  </pic:spPr>
                </pic:pic>
              </a:graphicData>
            </a:graphic>
          </wp:inline>
        </w:drawing>
      </w:r>
    </w:p>
    <w:p>
      <w:pPr>
        <w:pStyle w:val="45"/>
      </w:pPr>
      <w:r>
        <w:rPr>
          <w:rFonts w:hint="eastAsia"/>
        </w:rPr>
        <w:t>图</w:t>
      </w:r>
      <w:r>
        <w:t xml:space="preserve"> 3-3 </w:t>
      </w:r>
      <w:r>
        <w:rPr>
          <w:rFonts w:hint="eastAsia"/>
        </w:rPr>
        <w:t>玛纳斯国家公园植物类型比例图</w:t>
      </w:r>
    </w:p>
    <w:p>
      <w:pPr>
        <w:ind w:firstLine="503"/>
        <w:rPr>
          <w:w w:val="105"/>
        </w:rPr>
      </w:pPr>
      <w:r>
        <w:rPr>
          <w:rFonts w:hint="eastAsia"/>
          <w:w w:val="105"/>
        </w:rPr>
        <w:t>该地区曾是新疆湿生植物与水生植物种类最为丰富的区域，根据资料显示，自1994年到2013年间，玛纳斯湿地中的湿生与水生植物数量从120种减少到 56 种。</w:t>
      </w:r>
    </w:p>
    <w:p>
      <w:pPr>
        <w:pStyle w:val="4"/>
        <w:rPr>
          <w:w w:val="110"/>
        </w:rPr>
      </w:pPr>
      <w:r>
        <w:rPr>
          <w:rFonts w:hint="eastAsia"/>
          <w:w w:val="110"/>
        </w:rPr>
        <w:t>二、动物多样性</w:t>
      </w:r>
    </w:p>
    <w:p>
      <w:pPr>
        <w:ind w:firstLine="480"/>
      </w:pPr>
      <w:r>
        <w:rPr>
          <w:rFonts w:hint="eastAsia"/>
        </w:rPr>
        <w:t>玛纳斯国家湿地公园为鸟类提供天然庇护场所。在极端气候条件下，特别是古尔班通古特沙漠极端气候（酷热、干旱、寒冷、盐尘、沙暴），为多种脊椎动物或无脊椎动物提供避难地。</w:t>
      </w:r>
    </w:p>
    <w:p>
      <w:pPr>
        <w:pStyle w:val="5"/>
      </w:pPr>
      <w:r>
        <w:rPr>
          <w:rFonts w:hint="eastAsia"/>
        </w:rPr>
        <w:t>（一）鸟类资源</w:t>
      </w:r>
    </w:p>
    <w:p>
      <w:pPr>
        <w:ind w:firstLine="480"/>
      </w:pPr>
      <w:r>
        <w:rPr>
          <w:rFonts w:hint="eastAsia"/>
        </w:rPr>
        <w:t>玛纳斯湿地公园位于山北部湖群（包括石河子、沙湾、玛纳斯），是鸟类迁徙的一个重要驿站（过渡区），3号国际迁徙路线（通道）经过这里，同时也是一些鸟类的繁殖地或越冬地。春季或秋季有数量超过</w:t>
      </w:r>
      <w:r>
        <w:t>2</w:t>
      </w:r>
      <w:r>
        <w:rPr>
          <w:rFonts w:hint="eastAsia"/>
        </w:rPr>
        <w:t>万只以上的候鸟经过或逗留，这些候鸟占总鸟种数的</w:t>
      </w:r>
      <w:r>
        <w:t>86 %</w:t>
      </w:r>
      <w:r>
        <w:rPr>
          <w:rFonts w:hint="eastAsia"/>
        </w:rPr>
        <w:t>，多数属于季节性出没的种类，鸟类迁徙主要在春季和秋季，形成了两个明显的高峰期。湿地公园定期栖息的某一水禽物种或亚种的个体数量，占该种群个体数量的 1% 以上：如大天鹅（越冬种群可达数百只）、绿头鸭（每年有上万只的越冬及迁徙集群）、红嘴鸥（每年有上万只的迁徙集群）、白鹭、灰雁、蓑羽鹤 、赤麻鸭、绿翅鸭、赤嘴潜鸭、白眼潜鸭、凤头潜鸭、凤头麦鸡、渔鸥、燕鸥、棕头鸥等。因此，玛纳斯湿地起着重要“驿站”作用（见图</w:t>
      </w:r>
      <w:r>
        <w:t>3-4</w:t>
      </w:r>
      <w:r>
        <w:rPr>
          <w:rFonts w:hint="eastAsia"/>
        </w:rPr>
        <w:t>）。</w:t>
      </w:r>
    </w:p>
    <w:p>
      <w:pPr>
        <w:autoSpaceDE w:val="0"/>
        <w:autoSpaceDN w:val="0"/>
        <w:adjustRightInd w:val="0"/>
        <w:spacing w:line="240" w:lineRule="auto"/>
        <w:ind w:firstLine="0" w:firstLineChars="0"/>
        <w:jc w:val="center"/>
        <w:rPr>
          <w:rFonts w:cs="Times New Roman"/>
          <w:kern w:val="0"/>
          <w:position w:val="-84"/>
          <w:sz w:val="20"/>
          <w:szCs w:val="20"/>
        </w:rPr>
      </w:pPr>
      <w:r>
        <w:rPr>
          <w:rFonts w:cs="Times New Roman"/>
          <w:kern w:val="0"/>
          <w:position w:val="-84"/>
          <w:sz w:val="20"/>
          <w:szCs w:val="20"/>
        </w:rPr>
        <w:drawing>
          <wp:inline distT="0" distB="0" distL="0" distR="0">
            <wp:extent cx="5011420" cy="26555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011420" cy="2655570"/>
                    </a:xfrm>
                    <a:prstGeom prst="rect">
                      <a:avLst/>
                    </a:prstGeom>
                    <a:noFill/>
                    <a:ln>
                      <a:noFill/>
                    </a:ln>
                  </pic:spPr>
                </pic:pic>
              </a:graphicData>
            </a:graphic>
          </wp:inline>
        </w:drawing>
      </w:r>
    </w:p>
    <w:p>
      <w:pPr>
        <w:pStyle w:val="45"/>
        <w:rPr>
          <w:spacing w:val="-8"/>
        </w:rPr>
      </w:pPr>
      <w:r>
        <w:rPr>
          <w:rFonts w:hint="eastAsia"/>
          <w:w w:val="105"/>
          <w:sz w:val="20"/>
          <w:szCs w:val="20"/>
        </w:rPr>
        <w:t>图</w:t>
      </w:r>
      <w:r>
        <w:rPr>
          <w:spacing w:val="-85"/>
          <w:w w:val="105"/>
          <w:sz w:val="20"/>
          <w:szCs w:val="20"/>
        </w:rPr>
        <w:t xml:space="preserve"> </w:t>
      </w:r>
      <w:r>
        <w:rPr>
          <w:rFonts w:ascii="Arial" w:cs="Arial"/>
          <w:w w:val="105"/>
          <w:sz w:val="18"/>
          <w:szCs w:val="18"/>
        </w:rPr>
        <w:t>3-4</w:t>
      </w:r>
      <w:r>
        <w:rPr>
          <w:rFonts w:ascii="Arial" w:cs="Arial"/>
          <w:spacing w:val="-11"/>
          <w:w w:val="105"/>
          <w:sz w:val="18"/>
          <w:szCs w:val="18"/>
        </w:rPr>
        <w:t xml:space="preserve"> </w:t>
      </w:r>
      <w:r>
        <w:rPr>
          <w:rFonts w:hint="eastAsia"/>
          <w:w w:val="105"/>
        </w:rPr>
        <w:t>玛纳斯湿地是欧亚大陆三条迁徙通道</w:t>
      </w:r>
      <w:r>
        <w:rPr>
          <w:spacing w:val="-51"/>
          <w:w w:val="105"/>
        </w:rPr>
        <w:t xml:space="preserve"> </w:t>
      </w:r>
      <w:r>
        <w:rPr>
          <w:rFonts w:hint="eastAsia"/>
          <w:spacing w:val="-8"/>
          <w:w w:val="105"/>
        </w:rPr>
        <w:t>的节点</w:t>
      </w:r>
    </w:p>
    <w:p>
      <w:pPr>
        <w:ind w:firstLine="503"/>
        <w:rPr>
          <w:w w:val="105"/>
        </w:rPr>
      </w:pPr>
      <w:r>
        <w:rPr>
          <w:rFonts w:hint="eastAsia"/>
          <w:w w:val="105"/>
        </w:rPr>
        <w:t>玛纳斯国家湿地公园记录到鸟类共计</w:t>
      </w:r>
      <w:r>
        <w:rPr>
          <w:w w:val="105"/>
        </w:rPr>
        <w:t xml:space="preserve"> 27</w:t>
      </w:r>
      <w:r>
        <w:rPr>
          <w:rFonts w:hint="eastAsia"/>
          <w:w w:val="105"/>
        </w:rPr>
        <w:t>8</w:t>
      </w:r>
      <w:r>
        <w:rPr>
          <w:w w:val="105"/>
        </w:rPr>
        <w:t xml:space="preserve"> </w:t>
      </w:r>
      <w:r>
        <w:rPr>
          <w:rFonts w:hint="eastAsia"/>
          <w:w w:val="105"/>
        </w:rPr>
        <w:t>种，涉及</w:t>
      </w:r>
      <w:r>
        <w:rPr>
          <w:w w:val="105"/>
        </w:rPr>
        <w:t xml:space="preserve"> 19</w:t>
      </w:r>
      <w:r>
        <w:rPr>
          <w:rFonts w:hint="eastAsia"/>
          <w:w w:val="105"/>
        </w:rPr>
        <w:t>目</w:t>
      </w:r>
      <w:r>
        <w:rPr>
          <w:w w:val="105"/>
        </w:rPr>
        <w:t>60</w:t>
      </w:r>
      <w:r>
        <w:rPr>
          <w:rFonts w:hint="eastAsia"/>
          <w:w w:val="105"/>
        </w:rPr>
        <w:t>科</w:t>
      </w:r>
      <w:r>
        <w:rPr>
          <w:w w:val="105"/>
        </w:rPr>
        <w:t>139</w:t>
      </w:r>
      <w:r>
        <w:rPr>
          <w:rFonts w:hint="eastAsia"/>
          <w:w w:val="105"/>
        </w:rPr>
        <w:t>属，约占新疆鸟种的</w:t>
      </w:r>
      <w:r>
        <w:rPr>
          <w:w w:val="105"/>
        </w:rPr>
        <w:t>60%</w:t>
      </w:r>
      <w:r>
        <w:rPr>
          <w:rFonts w:hint="eastAsia"/>
          <w:w w:val="105"/>
        </w:rPr>
        <w:t>。国家重点保护鸟种占</w:t>
      </w:r>
      <w:r>
        <w:rPr>
          <w:w w:val="105"/>
        </w:rPr>
        <w:t>17%</w:t>
      </w:r>
      <w:r>
        <w:rPr>
          <w:rFonts w:hint="eastAsia"/>
          <w:w w:val="105"/>
        </w:rPr>
        <w:t>，国家重点保护鸟类44种，其中一级重点保护4种（黑鹳、玉带海雕、白尾海雕、遗鸥等），二级保护4</w:t>
      </w:r>
      <w:r>
        <w:rPr>
          <w:w w:val="105"/>
        </w:rPr>
        <w:t>0</w:t>
      </w:r>
      <w:r>
        <w:rPr>
          <w:rFonts w:hint="eastAsia"/>
          <w:w w:val="105"/>
        </w:rPr>
        <w:t>种（角、鹈鹕、天鹅、白额雁、灰鹤、长脚秧鸡、小鸥、黑浮鸥等）；自治区重点保护鸟类1</w:t>
      </w:r>
      <w:r>
        <w:rPr>
          <w:w w:val="105"/>
        </w:rPr>
        <w:t>9</w:t>
      </w:r>
      <w:r>
        <w:rPr>
          <w:rFonts w:hint="eastAsia"/>
          <w:w w:val="105"/>
        </w:rPr>
        <w:t>种。这里珍稀物种所占的数量进一步彰显了玛纳斯湿地保护的价值。</w:t>
      </w:r>
    </w:p>
    <w:p>
      <w:pPr>
        <w:ind w:firstLine="503"/>
        <w:rPr>
          <w:w w:val="105"/>
        </w:rPr>
      </w:pPr>
      <w:r>
        <w:rPr>
          <w:rFonts w:hint="eastAsia"/>
          <w:w w:val="105"/>
        </w:rPr>
        <w:t>玛纳斯湿地支持着易危、濒危、极度濒危物种，如白眼潜鸭、白头硬尾鸭、白鹈鹕、卷羽鹈鹕、黑鹳、鸿雁、白肩雕、玉带海雕、灰鹤、长脚秧鸡、遗鸥、中亚鸽、雕鸮、白翅啄木鸟等珍稀鸟类。</w:t>
      </w:r>
      <w:r>
        <w:rPr>
          <w:rFonts w:hint="eastAsia"/>
        </w:rPr>
        <w:t>湿地公园有</w:t>
      </w:r>
      <w:r>
        <w:rPr>
          <w:rFonts w:hint="eastAsia"/>
          <w:spacing w:val="-11"/>
        </w:rPr>
        <w:t>中亚荒漠区特有的毛腿沙鸡</w:t>
      </w:r>
      <w:r>
        <w:rPr>
          <w:rFonts w:hint="eastAsia"/>
        </w:rPr>
        <w:t>、</w:t>
      </w:r>
      <w:r>
        <w:rPr>
          <w:rFonts w:hint="eastAsia"/>
          <w:spacing w:val="-11"/>
          <w:w w:val="105"/>
        </w:rPr>
        <w:t>白翅啄木鸟</w:t>
      </w:r>
      <w:r>
        <w:rPr>
          <w:spacing w:val="-93"/>
          <w:w w:val="105"/>
        </w:rPr>
        <w:t xml:space="preserve"> </w:t>
      </w:r>
      <w:r>
        <w:rPr>
          <w:rFonts w:hint="eastAsia"/>
          <w:spacing w:val="-8"/>
          <w:w w:val="105"/>
        </w:rPr>
        <w:t>、横斑林莺</w:t>
      </w:r>
      <w:r>
        <w:rPr>
          <w:spacing w:val="-82"/>
          <w:w w:val="105"/>
        </w:rPr>
        <w:t xml:space="preserve"> </w:t>
      </w:r>
      <w:r>
        <w:rPr>
          <w:rFonts w:hint="eastAsia"/>
          <w:spacing w:val="-7"/>
          <w:w w:val="105"/>
        </w:rPr>
        <w:t>、西域山雀</w:t>
      </w:r>
      <w:r>
        <w:rPr>
          <w:spacing w:val="-88"/>
          <w:w w:val="105"/>
        </w:rPr>
        <w:t xml:space="preserve"> </w:t>
      </w:r>
      <w:r>
        <w:rPr>
          <w:rFonts w:hint="eastAsia"/>
          <w:spacing w:val="-7"/>
          <w:w w:val="105"/>
        </w:rPr>
        <w:t>、黑顶麻雀</w:t>
      </w:r>
      <w:r>
        <w:rPr>
          <w:spacing w:val="-88"/>
          <w:w w:val="105"/>
        </w:rPr>
        <w:t xml:space="preserve"> </w:t>
      </w:r>
      <w:r>
        <w:rPr>
          <w:rFonts w:hint="eastAsia"/>
          <w:spacing w:val="-4"/>
          <w:w w:val="105"/>
        </w:rPr>
        <w:t>、巨嘴沙雀、蒙古沙雀等</w:t>
      </w:r>
      <w:r>
        <w:rPr>
          <w:spacing w:val="-76"/>
          <w:w w:val="105"/>
        </w:rPr>
        <w:t xml:space="preserve"> </w:t>
      </w:r>
      <w:r>
        <w:rPr>
          <w:rFonts w:hint="eastAsia"/>
          <w:w w:val="105"/>
        </w:rPr>
        <w:t>。其中大红鹳、领燕鸻、布氏苇莺、欧金翅等为中国鸟类新纪录。黑喉潜鸟、牛背莺、斑背潜鸭、自尾海雕、翻石鹬、灰林银鸥、家八哥、黄点颏等为新疆鸟类新纪录。</w:t>
      </w:r>
    </w:p>
    <w:p>
      <w:pPr>
        <w:pStyle w:val="5"/>
        <w:rPr>
          <w:spacing w:val="-5"/>
        </w:rPr>
      </w:pPr>
      <w:r>
        <w:rPr>
          <w:rFonts w:hint="eastAsia"/>
        </w:rPr>
        <w:t>（二）鱼类</w:t>
      </w:r>
      <w:r>
        <w:rPr>
          <w:spacing w:val="-42"/>
        </w:rPr>
        <w:t xml:space="preserve"> </w:t>
      </w:r>
    </w:p>
    <w:p>
      <w:pPr>
        <w:ind w:firstLine="480"/>
      </w:pPr>
      <w:r>
        <w:rPr>
          <w:rFonts w:hint="eastAsia"/>
        </w:rPr>
        <w:t>玛纳斯湿地记录有鱼类</w:t>
      </w:r>
      <w:r>
        <w:t>3</w:t>
      </w:r>
      <w:r>
        <w:rPr>
          <w:rFonts w:hint="eastAsia"/>
        </w:rPr>
        <w:t>目</w:t>
      </w:r>
      <w:r>
        <w:t xml:space="preserve">5 </w:t>
      </w:r>
      <w:r>
        <w:rPr>
          <w:rFonts w:hint="eastAsia"/>
        </w:rPr>
        <w:t>科</w:t>
      </w:r>
      <w:r>
        <w:t>15</w:t>
      </w:r>
      <w:r>
        <w:rPr>
          <w:rFonts w:hint="eastAsia"/>
        </w:rPr>
        <w:t>属</w:t>
      </w:r>
      <w:r>
        <w:t xml:space="preserve">22 </w:t>
      </w:r>
      <w:r>
        <w:rPr>
          <w:rFonts w:hint="eastAsia"/>
        </w:rPr>
        <w:t>种，是全疆鱼类种数的</w:t>
      </w:r>
      <w:r>
        <w:t>24.4%</w:t>
      </w:r>
      <w:r>
        <w:rPr>
          <w:rFonts w:hint="eastAsia"/>
        </w:rPr>
        <w:t>。</w:t>
      </w:r>
      <w:r>
        <w:t xml:space="preserve"> </w:t>
      </w:r>
      <w:r>
        <w:rPr>
          <w:rFonts w:hint="eastAsia"/>
        </w:rPr>
        <w:t>除了土著鱼类</w:t>
      </w:r>
      <w:r>
        <w:t xml:space="preserve"> 10 </w:t>
      </w:r>
      <w:r>
        <w:rPr>
          <w:rFonts w:hint="eastAsia"/>
        </w:rPr>
        <w:t>种外，外来引进或入侵物种占占</w:t>
      </w:r>
      <w:r>
        <w:t>54.5%</w:t>
      </w:r>
      <w:r>
        <w:rPr>
          <w:rFonts w:hint="eastAsia"/>
        </w:rPr>
        <w:t>。准噶尔雅罗鱼、小眼须鳅和小体高原鳅为中国特有种。在物种保护方面，目前只有准噶尔雅罗鱼被列</w:t>
      </w:r>
      <w:r>
        <w:t xml:space="preserve"> </w:t>
      </w:r>
      <w:r>
        <w:rPr>
          <w:rFonts w:hint="eastAsia"/>
        </w:rPr>
        <w:t>为易危物种，进入保护名录，其它种类尚未评估。</w:t>
      </w:r>
    </w:p>
    <w:p>
      <w:pPr>
        <w:pStyle w:val="5"/>
        <w:rPr>
          <w:rFonts w:hAnsi="Arial"/>
        </w:rPr>
      </w:pPr>
      <w:r>
        <w:rPr>
          <w:rFonts w:hint="eastAsia"/>
        </w:rPr>
        <w:t>（三）两栖爬行类</w:t>
      </w:r>
    </w:p>
    <w:p>
      <w:pPr>
        <w:ind w:firstLine="480"/>
      </w:pPr>
      <w:r>
        <w:rPr>
          <w:rFonts w:hint="eastAsia"/>
        </w:rPr>
        <w:t>玛纳斯湿地共记录到两栖动物</w:t>
      </w:r>
      <w:r>
        <w:t>1</w:t>
      </w:r>
      <w:r>
        <w:rPr>
          <w:rFonts w:hint="eastAsia"/>
        </w:rPr>
        <w:t>目</w:t>
      </w:r>
      <w:r>
        <w:t>2</w:t>
      </w:r>
      <w:r>
        <w:rPr>
          <w:rFonts w:hint="eastAsia"/>
        </w:rPr>
        <w:t>科</w:t>
      </w:r>
      <w:r>
        <w:t>3</w:t>
      </w:r>
      <w:r>
        <w:rPr>
          <w:rFonts w:hint="eastAsia"/>
        </w:rPr>
        <w:t>种，占新疆两栖类总数的</w:t>
      </w:r>
      <w:r>
        <w:t>33.3%</w:t>
      </w:r>
      <w:r>
        <w:rPr>
          <w:rFonts w:hint="eastAsia"/>
        </w:rPr>
        <w:t>；爬行动物</w:t>
      </w:r>
      <w:r>
        <w:t xml:space="preserve"> l</w:t>
      </w:r>
      <w:r>
        <w:rPr>
          <w:rFonts w:hint="eastAsia"/>
        </w:rPr>
        <w:t>目</w:t>
      </w:r>
      <w:r>
        <w:t>5</w:t>
      </w:r>
      <w:r>
        <w:rPr>
          <w:rFonts w:hint="eastAsia"/>
        </w:rPr>
        <w:t>科</w:t>
      </w:r>
      <w:r>
        <w:t>8</w:t>
      </w:r>
      <w:r>
        <w:rPr>
          <w:rFonts w:hint="eastAsia"/>
        </w:rPr>
        <w:t>种，占新疆爬行类总数</w:t>
      </w:r>
      <w:r>
        <w:t>16%</w:t>
      </w:r>
      <w:r>
        <w:rPr>
          <w:rFonts w:hint="eastAsia"/>
        </w:rPr>
        <w:t>。其中国家二级保护物种</w:t>
      </w:r>
      <w:r>
        <w:t>3</w:t>
      </w:r>
      <w:r>
        <w:rPr>
          <w:rFonts w:hint="eastAsia"/>
        </w:rPr>
        <w:t>种，三有保护物种</w:t>
      </w:r>
      <w:r>
        <w:t>6</w:t>
      </w:r>
      <w:r>
        <w:rPr>
          <w:rFonts w:hint="eastAsia"/>
        </w:rPr>
        <w:t>种，受国家保护兽类占到本地兽类总数的</w:t>
      </w:r>
      <w:r>
        <w:t>42.9%</w:t>
      </w:r>
      <w:r>
        <w:rPr>
          <w:rFonts w:hint="eastAsia"/>
        </w:rPr>
        <w:t>；两栖类</w:t>
      </w:r>
      <w:r>
        <w:t>3</w:t>
      </w:r>
      <w:r>
        <w:rPr>
          <w:rFonts w:hint="eastAsia"/>
        </w:rPr>
        <w:t>种，均为国家三有保护物种；爬行类</w:t>
      </w:r>
      <w:r>
        <w:t>8</w:t>
      </w:r>
      <w:r>
        <w:rPr>
          <w:rFonts w:hint="eastAsia"/>
        </w:rPr>
        <w:t>种，其中</w:t>
      </w:r>
      <w:r>
        <w:t>7</w:t>
      </w:r>
      <w:r>
        <w:rPr>
          <w:rFonts w:hint="eastAsia"/>
        </w:rPr>
        <w:t>种为国家三级保护物种。</w:t>
      </w:r>
    </w:p>
    <w:p>
      <w:pPr>
        <w:pStyle w:val="5"/>
      </w:pPr>
      <w:r>
        <w:rPr>
          <w:rFonts w:hint="eastAsia"/>
        </w:rPr>
        <w:t>（四）兽类</w:t>
      </w:r>
    </w:p>
    <w:p>
      <w:pPr>
        <w:ind w:firstLine="480"/>
      </w:pPr>
      <w:r>
        <w:rPr>
          <w:rFonts w:hint="eastAsia"/>
        </w:rPr>
        <w:t>玛纳斯地区记录兽类</w:t>
      </w:r>
      <w:r>
        <w:t xml:space="preserve"> 5 </w:t>
      </w:r>
      <w:r>
        <w:rPr>
          <w:rFonts w:hint="eastAsia"/>
        </w:rPr>
        <w:t>目</w:t>
      </w:r>
      <w:r>
        <w:t xml:space="preserve">11 </w:t>
      </w:r>
      <w:r>
        <w:rPr>
          <w:rFonts w:hint="eastAsia"/>
        </w:rPr>
        <w:t>科</w:t>
      </w:r>
      <w:r>
        <w:t xml:space="preserve">21 </w:t>
      </w:r>
      <w:r>
        <w:rPr>
          <w:rFonts w:hint="eastAsia"/>
        </w:rPr>
        <w:t>种，占新疆兽类总数的</w:t>
      </w:r>
      <w:r>
        <w:t xml:space="preserve"> 14.6%</w:t>
      </w:r>
      <w:r>
        <w:rPr>
          <w:rFonts w:hint="eastAsia"/>
        </w:rPr>
        <w:t>。</w:t>
      </w:r>
    </w:p>
    <w:p>
      <w:pPr>
        <w:pStyle w:val="3"/>
        <w:ind w:firstLine="643"/>
      </w:pPr>
      <w:bookmarkStart w:id="12" w:name="_Toc130121640"/>
      <w:r>
        <w:rPr>
          <w:rFonts w:hint="eastAsia"/>
        </w:rPr>
        <w:t>第三节</w:t>
      </w:r>
      <w:r>
        <w:t xml:space="preserve">  </w:t>
      </w:r>
      <w:r>
        <w:rPr>
          <w:rFonts w:hint="eastAsia"/>
        </w:rPr>
        <w:t>湿地景观与文化资源</w:t>
      </w:r>
      <w:bookmarkEnd w:id="12"/>
    </w:p>
    <w:p>
      <w:pPr>
        <w:pStyle w:val="4"/>
      </w:pPr>
      <w:r>
        <w:rPr>
          <w:rFonts w:hint="eastAsia"/>
        </w:rPr>
        <w:t xml:space="preserve">一、历史文化遗存                              </w:t>
      </w:r>
    </w:p>
    <w:p>
      <w:pPr>
        <w:pStyle w:val="5"/>
      </w:pPr>
      <w:r>
        <w:rPr>
          <w:rFonts w:hint="eastAsia"/>
        </w:rPr>
        <w:t>（一）小李庄军垦农场</w:t>
      </w:r>
    </w:p>
    <w:p>
      <w:pPr>
        <w:ind w:firstLine="480"/>
      </w:pPr>
      <w:r>
        <w:rPr>
          <w:rFonts w:hint="eastAsia"/>
        </w:rPr>
        <w:t>被称为“军垦第一庄”。是玛纳斯河东岸开发时间最早，开发时所属领导级别高，是新疆军区后勤部运输部的直接垦荒点一运输部生产总队。查阅兵团师团级所属单位最早开发点的地名，以“庄”为名字的最早当属小李庄。</w:t>
      </w:r>
    </w:p>
    <w:p>
      <w:pPr>
        <w:pStyle w:val="5"/>
      </w:pPr>
      <w:r>
        <w:rPr>
          <w:rFonts w:hint="eastAsia"/>
        </w:rPr>
        <w:t>（二）烽火传奇“十里墩”</w:t>
      </w:r>
    </w:p>
    <w:p>
      <w:pPr>
        <w:ind w:firstLine="480"/>
      </w:pPr>
      <w:r>
        <w:rPr>
          <w:rFonts w:hint="eastAsia"/>
        </w:rPr>
        <w:t>清代在广西村北旧河岸建造一座烽燧，人称“十里墩”。十里墩的建造在当时起到了举足轻重的作用，有书中这样记载：“以薪草置其中，有寇即燃之，举之以相告，曰烽；又多积薪，寇至即燔之，望其烟，曰燧。昼则燔燧，夜乃举烽。”</w:t>
      </w:r>
    </w:p>
    <w:p>
      <w:pPr>
        <w:pStyle w:val="5"/>
      </w:pPr>
      <w:r>
        <w:rPr>
          <w:rFonts w:hint="eastAsia"/>
        </w:rPr>
        <w:t>（三）浑然天成“苏式拱桥”</w:t>
      </w:r>
    </w:p>
    <w:p>
      <w:pPr>
        <w:ind w:firstLine="480"/>
      </w:pPr>
      <w:r>
        <w:rPr>
          <w:rFonts w:hint="eastAsia"/>
        </w:rPr>
        <w:t>兰州湾的苏式拱桥宽 8-10m，属于无钢建筑，全部用青砖砌成。如今苏式拱桥已踪影难觅，却永远的存活在兰州湾人的记忆中。</w:t>
      </w:r>
    </w:p>
    <w:p>
      <w:pPr>
        <w:pStyle w:val="4"/>
      </w:pPr>
      <w:r>
        <w:rPr>
          <w:rFonts w:hint="eastAsia"/>
        </w:rPr>
        <w:t>二、乡土文化景观</w:t>
      </w:r>
    </w:p>
    <w:p>
      <w:pPr>
        <w:ind w:firstLine="480"/>
      </w:pPr>
      <w:r>
        <w:rPr>
          <w:rFonts w:hint="eastAsia"/>
        </w:rPr>
        <w:t>玛纳斯地区民族迁徙历史悠久，自西汉时期乌孙人游牧于此，不同时期不同 民族相聚于玛纳斯。规划区周边的村庄以汉族村落为主，有少量回族和哈萨克族村落。上下拱拜村以回族文化为主，小海子附近有部分哈萨克族聚居。</w:t>
      </w:r>
    </w:p>
    <w:p>
      <w:pPr>
        <w:ind w:firstLine="480"/>
      </w:pPr>
      <w:r>
        <w:rPr>
          <w:rFonts w:hint="eastAsia"/>
        </w:rPr>
        <w:t>玛纳斯的绿洲文化经过长期沉淀，形成了自己独特的文化内容和特征，表现形式多种多样，都是与农业生产有关，如纳孜库姆、乡土风格——社火、民间小调——小曲子、民族文艺——阿肯弹唱、独树一帜——回族花儿等。</w:t>
      </w:r>
    </w:p>
    <w:p>
      <w:pPr>
        <w:ind w:firstLine="480"/>
      </w:pPr>
      <w:r>
        <w:rPr>
          <w:rFonts w:hint="eastAsia"/>
        </w:rPr>
        <w:t>规划区周边的农业生产景观独具地域特色，如连片的向日葵田、棉花田、银月季等都独具景观特色，体现独特的农耕文化特征。</w:t>
      </w:r>
    </w:p>
    <w:p>
      <w:pPr>
        <w:pStyle w:val="3"/>
        <w:ind w:firstLine="643"/>
      </w:pPr>
      <w:bookmarkStart w:id="13" w:name="_Toc130121641"/>
      <w:r>
        <w:rPr>
          <w:rFonts w:hint="eastAsia"/>
        </w:rPr>
        <w:t>第四节</w:t>
      </w:r>
      <w:r>
        <w:t xml:space="preserve">  </w:t>
      </w:r>
      <w:r>
        <w:rPr>
          <w:rFonts w:hint="eastAsia"/>
        </w:rPr>
        <w:t>湿地生态系统评价</w:t>
      </w:r>
      <w:bookmarkEnd w:id="13"/>
    </w:p>
    <w:p>
      <w:pPr>
        <w:pStyle w:val="4"/>
      </w:pPr>
      <w:r>
        <w:t>一、湿地生态系统</w:t>
      </w:r>
      <w:r>
        <w:rPr>
          <w:rFonts w:hint="eastAsia"/>
        </w:rPr>
        <w:t>结构评价</w:t>
      </w:r>
    </w:p>
    <w:p>
      <w:pPr>
        <w:pStyle w:val="5"/>
      </w:pPr>
      <w:r>
        <w:t>（一）生态系统典型性</w:t>
      </w:r>
    </w:p>
    <w:p>
      <w:pPr>
        <w:ind w:firstLine="482" w:firstLineChars="0"/>
        <w:rPr>
          <w:rFonts w:eastAsia="宋体" w:cs="Times New Roman"/>
          <w:szCs w:val="24"/>
        </w:rPr>
      </w:pPr>
      <w:r>
        <w:rPr>
          <w:rFonts w:hint="eastAsia" w:eastAsia="宋体" w:cs="Times New Roman"/>
          <w:szCs w:val="24"/>
        </w:rPr>
        <w:t>玛纳斯河</w:t>
      </w:r>
      <w:r>
        <w:rPr>
          <w:rFonts w:eastAsia="宋体" w:cs="Times New Roman"/>
          <w:szCs w:val="24"/>
        </w:rPr>
        <w:t>是</w:t>
      </w:r>
      <w:r>
        <w:rPr>
          <w:rFonts w:hint="eastAsia" w:eastAsia="宋体" w:cs="Times New Roman"/>
          <w:szCs w:val="24"/>
        </w:rPr>
        <w:t>西北内陆内流河，是天山北坡重要的河流生态系统，是玛纳斯绿洲稳定和生态安全的环境本底</w:t>
      </w:r>
      <w:r>
        <w:rPr>
          <w:rFonts w:eastAsia="宋体" w:cs="Times New Roman"/>
          <w:szCs w:val="24"/>
        </w:rPr>
        <w:t>，</w:t>
      </w:r>
      <w:r>
        <w:rPr>
          <w:rFonts w:hint="eastAsia" w:eastAsia="宋体" w:cs="Times New Roman"/>
          <w:szCs w:val="24"/>
        </w:rPr>
        <w:t>玛纳斯</w:t>
      </w:r>
      <w:r>
        <w:rPr>
          <w:rFonts w:eastAsia="宋体" w:cs="Times New Roman"/>
          <w:szCs w:val="24"/>
        </w:rPr>
        <w:t>湿地对于</w:t>
      </w:r>
      <w:r>
        <w:rPr>
          <w:rFonts w:hint="eastAsia" w:eastAsia="宋体" w:cs="Times New Roman"/>
          <w:szCs w:val="24"/>
        </w:rPr>
        <w:t>玛纳斯河</w:t>
      </w:r>
      <w:r>
        <w:rPr>
          <w:rFonts w:eastAsia="宋体" w:cs="Times New Roman"/>
          <w:szCs w:val="24"/>
        </w:rPr>
        <w:t>流域的生态系统健康状况至关重要。</w:t>
      </w:r>
      <w:r>
        <w:rPr>
          <w:rFonts w:hint="eastAsia" w:eastAsia="宋体" w:cs="Times New Roman"/>
          <w:szCs w:val="24"/>
        </w:rPr>
        <w:t>玛纳斯河</w:t>
      </w:r>
      <w:r>
        <w:rPr>
          <w:rFonts w:eastAsia="宋体" w:cs="Times New Roman"/>
          <w:szCs w:val="24"/>
        </w:rPr>
        <w:t>源自天山深处，自</w:t>
      </w:r>
      <w:r>
        <w:rPr>
          <w:rFonts w:hint="eastAsia" w:eastAsia="宋体" w:cs="Times New Roman"/>
          <w:szCs w:val="24"/>
        </w:rPr>
        <w:t>南</w:t>
      </w:r>
      <w:r>
        <w:rPr>
          <w:rFonts w:eastAsia="宋体" w:cs="Times New Roman"/>
          <w:szCs w:val="24"/>
        </w:rPr>
        <w:t>向</w:t>
      </w:r>
      <w:r>
        <w:rPr>
          <w:rFonts w:hint="eastAsia" w:eastAsia="宋体" w:cs="Times New Roman"/>
          <w:szCs w:val="24"/>
        </w:rPr>
        <w:t>北</w:t>
      </w:r>
      <w:r>
        <w:rPr>
          <w:rFonts w:eastAsia="宋体" w:cs="Times New Roman"/>
          <w:szCs w:val="24"/>
        </w:rPr>
        <w:t>贯穿</w:t>
      </w:r>
      <w:r>
        <w:rPr>
          <w:rFonts w:hint="eastAsia" w:eastAsia="宋体" w:cs="Times New Roman"/>
          <w:szCs w:val="24"/>
        </w:rPr>
        <w:t>玛纳斯县</w:t>
      </w:r>
      <w:r>
        <w:rPr>
          <w:rFonts w:eastAsia="宋体" w:cs="Times New Roman"/>
          <w:szCs w:val="24"/>
        </w:rPr>
        <w:t>全境，</w:t>
      </w:r>
      <w:r>
        <w:rPr>
          <w:rFonts w:hint="eastAsia" w:eastAsia="宋体" w:cs="Times New Roman"/>
          <w:szCs w:val="24"/>
        </w:rPr>
        <w:t>在人为作用下，形成了河流、库塘联动的水</w:t>
      </w:r>
      <w:r>
        <w:rPr>
          <w:rFonts w:eastAsia="宋体" w:cs="Times New Roman"/>
          <w:szCs w:val="24"/>
        </w:rPr>
        <w:t>生态</w:t>
      </w:r>
      <w:r>
        <w:rPr>
          <w:rFonts w:hint="eastAsia" w:eastAsia="宋体" w:cs="Times New Roman"/>
          <w:szCs w:val="24"/>
        </w:rPr>
        <w:t>环境，在西北内陆地区具有典型性</w:t>
      </w:r>
      <w:r>
        <w:rPr>
          <w:rFonts w:eastAsia="宋体" w:cs="Times New Roman"/>
          <w:szCs w:val="24"/>
        </w:rPr>
        <w:t>。</w:t>
      </w:r>
      <w:r>
        <w:rPr>
          <w:rFonts w:hint="eastAsia" w:eastAsia="宋体" w:cs="Times New Roman"/>
          <w:szCs w:val="24"/>
        </w:rPr>
        <w:t>2</w:t>
      </w:r>
      <w:r>
        <w:rPr>
          <w:rFonts w:eastAsia="宋体" w:cs="Times New Roman"/>
          <w:szCs w:val="24"/>
        </w:rPr>
        <w:t>011</w:t>
      </w:r>
      <w:r>
        <w:rPr>
          <w:rFonts w:hint="eastAsia" w:eastAsia="宋体" w:cs="Times New Roman"/>
          <w:szCs w:val="24"/>
        </w:rPr>
        <w:t>年试点建设国家湿地公园，2</w:t>
      </w:r>
      <w:r>
        <w:rPr>
          <w:rFonts w:eastAsia="宋体" w:cs="Times New Roman"/>
          <w:szCs w:val="24"/>
        </w:rPr>
        <w:t>016</w:t>
      </w:r>
      <w:r>
        <w:rPr>
          <w:rFonts w:hint="eastAsia" w:eastAsia="宋体" w:cs="Times New Roman"/>
          <w:szCs w:val="24"/>
        </w:rPr>
        <w:t>年通过了国家林业局的试点验收，成为国家湿地公园。</w:t>
      </w:r>
    </w:p>
    <w:p>
      <w:pPr>
        <w:pStyle w:val="5"/>
      </w:pPr>
      <w:r>
        <w:t>（二）生态系统多样性</w:t>
      </w:r>
    </w:p>
    <w:p>
      <w:pPr>
        <w:ind w:firstLine="482" w:firstLineChars="0"/>
        <w:rPr>
          <w:rFonts w:eastAsia="宋体" w:cs="Times New Roman"/>
          <w:szCs w:val="24"/>
        </w:rPr>
      </w:pPr>
      <w:r>
        <w:rPr>
          <w:rFonts w:hint="eastAsia" w:eastAsia="宋体" w:cs="Times New Roman"/>
          <w:szCs w:val="24"/>
        </w:rPr>
        <w:t>玛纳斯河</w:t>
      </w:r>
      <w:r>
        <w:rPr>
          <w:rFonts w:eastAsia="宋体" w:cs="Times New Roman"/>
          <w:szCs w:val="24"/>
        </w:rPr>
        <w:t>流域面积大，湿地中有河流、河漫滩、河岸带、次生林、草场、浅滩、深潭、急流等多种生态系统类型</w:t>
      </w:r>
      <w:r>
        <w:rPr>
          <w:rFonts w:hint="eastAsia" w:eastAsia="宋体" w:cs="Times New Roman"/>
          <w:szCs w:val="24"/>
        </w:rPr>
        <w:t>，与周边的山、林、田、草构成完整的生命共同体</w:t>
      </w:r>
      <w:r>
        <w:rPr>
          <w:rFonts w:eastAsia="宋体" w:cs="Times New Roman"/>
          <w:szCs w:val="24"/>
        </w:rPr>
        <w:t>系统，</w:t>
      </w:r>
      <w:r>
        <w:rPr>
          <w:rFonts w:hint="eastAsia" w:eastAsia="宋体" w:cs="Times New Roman"/>
          <w:szCs w:val="24"/>
        </w:rPr>
        <w:t>景观</w:t>
      </w:r>
      <w:r>
        <w:rPr>
          <w:rFonts w:eastAsia="宋体" w:cs="Times New Roman"/>
          <w:szCs w:val="24"/>
        </w:rPr>
        <w:t>类型多样，</w:t>
      </w:r>
      <w:r>
        <w:rPr>
          <w:rFonts w:hint="eastAsia" w:eastAsia="宋体" w:cs="Times New Roman"/>
          <w:szCs w:val="24"/>
        </w:rPr>
        <w:t>生物多样性</w:t>
      </w:r>
      <w:r>
        <w:rPr>
          <w:rFonts w:eastAsia="宋体" w:cs="Times New Roman"/>
          <w:szCs w:val="24"/>
        </w:rPr>
        <w:t>丰富，是</w:t>
      </w:r>
      <w:r>
        <w:rPr>
          <w:rFonts w:hint="eastAsia" w:eastAsia="宋体" w:cs="Times New Roman"/>
          <w:szCs w:val="24"/>
        </w:rPr>
        <w:t>天山北坡</w:t>
      </w:r>
      <w:r>
        <w:rPr>
          <w:rFonts w:eastAsia="宋体" w:cs="Times New Roman"/>
          <w:szCs w:val="24"/>
        </w:rPr>
        <w:t>乃至我国西北</w:t>
      </w:r>
      <w:r>
        <w:rPr>
          <w:rFonts w:hint="eastAsia" w:eastAsia="宋体" w:cs="Times New Roman"/>
          <w:szCs w:val="24"/>
        </w:rPr>
        <w:t>干旱</w:t>
      </w:r>
      <w:r>
        <w:rPr>
          <w:rFonts w:eastAsia="宋体" w:cs="Times New Roman"/>
          <w:szCs w:val="24"/>
        </w:rPr>
        <w:t>地区景观多样性、生物多样性最为丰富的地带，是野生动物的重要栖息地，是</w:t>
      </w:r>
      <w:r>
        <w:rPr>
          <w:rFonts w:hint="eastAsia" w:eastAsia="宋体" w:cs="Times New Roman"/>
          <w:szCs w:val="24"/>
        </w:rPr>
        <w:t>世界知名的</w:t>
      </w:r>
      <w:r>
        <w:rPr>
          <w:rFonts w:eastAsia="宋体" w:cs="Times New Roman"/>
          <w:szCs w:val="24"/>
        </w:rPr>
        <w:t>鸟类迁徙中转站和途径地，对于区域生态平衡意义重大。</w:t>
      </w:r>
    </w:p>
    <w:p>
      <w:pPr>
        <w:pStyle w:val="5"/>
      </w:pPr>
      <w:r>
        <w:t>（三）生态系统脆弱性</w:t>
      </w:r>
    </w:p>
    <w:p>
      <w:pPr>
        <w:ind w:firstLine="482" w:firstLineChars="0"/>
        <w:rPr>
          <w:rFonts w:eastAsia="宋体" w:cs="Times New Roman"/>
          <w:szCs w:val="24"/>
        </w:rPr>
      </w:pPr>
      <w:r>
        <w:rPr>
          <w:rFonts w:hint="eastAsia" w:eastAsia="宋体" w:cs="Times New Roman"/>
          <w:szCs w:val="24"/>
        </w:rPr>
        <w:t>玛纳斯湿地受水资源变化直接影响，</w:t>
      </w:r>
      <w:r>
        <w:rPr>
          <w:rFonts w:eastAsia="宋体" w:cs="Times New Roman"/>
          <w:szCs w:val="24"/>
        </w:rPr>
        <w:t>是</w:t>
      </w:r>
      <w:r>
        <w:rPr>
          <w:rFonts w:hint="eastAsia" w:eastAsia="宋体" w:cs="Times New Roman"/>
          <w:szCs w:val="24"/>
        </w:rPr>
        <w:t>天山北坡</w:t>
      </w:r>
      <w:r>
        <w:rPr>
          <w:rFonts w:eastAsia="宋体" w:cs="Times New Roman"/>
          <w:szCs w:val="24"/>
        </w:rPr>
        <w:t>的生态敏感区。气候变化，伴随着水电开发、城市化进程加快，农业面源污染等带来的湿地生态的诸多问题。</w:t>
      </w:r>
      <w:r>
        <w:rPr>
          <w:rFonts w:hint="eastAsia" w:eastAsia="宋体" w:cs="Times New Roman"/>
          <w:szCs w:val="24"/>
        </w:rPr>
        <w:t>玛纳斯河上游对</w:t>
      </w:r>
      <w:r>
        <w:rPr>
          <w:rFonts w:eastAsia="宋体" w:cs="Times New Roman"/>
          <w:szCs w:val="24"/>
        </w:rPr>
        <w:t>水资源的</w:t>
      </w:r>
      <w:r>
        <w:rPr>
          <w:rFonts w:hint="eastAsia" w:eastAsia="宋体" w:cs="Times New Roman"/>
          <w:szCs w:val="24"/>
        </w:rPr>
        <w:t>开发和</w:t>
      </w:r>
      <w:r>
        <w:rPr>
          <w:rFonts w:eastAsia="宋体" w:cs="Times New Roman"/>
          <w:szCs w:val="24"/>
        </w:rPr>
        <w:t>利用可直接影响到</w:t>
      </w:r>
      <w:r>
        <w:rPr>
          <w:rFonts w:hint="eastAsia" w:eastAsia="宋体" w:cs="Times New Roman"/>
          <w:szCs w:val="24"/>
        </w:rPr>
        <w:t>玛纳斯湿地</w:t>
      </w:r>
      <w:r>
        <w:rPr>
          <w:rFonts w:eastAsia="宋体" w:cs="Times New Roman"/>
          <w:szCs w:val="24"/>
        </w:rPr>
        <w:t>的自然水文，进而影响</w:t>
      </w:r>
      <w:r>
        <w:rPr>
          <w:rFonts w:hint="eastAsia" w:eastAsia="宋体" w:cs="Times New Roman"/>
          <w:szCs w:val="24"/>
        </w:rPr>
        <w:t>柽柳、胡杨、芦苇等原生植被</w:t>
      </w:r>
      <w:r>
        <w:rPr>
          <w:rFonts w:eastAsia="宋体" w:cs="Times New Roman"/>
          <w:szCs w:val="24"/>
        </w:rPr>
        <w:t>的生态需水</w:t>
      </w:r>
      <w:r>
        <w:rPr>
          <w:rFonts w:hint="eastAsia" w:eastAsia="宋体" w:cs="Times New Roman"/>
          <w:szCs w:val="24"/>
        </w:rPr>
        <w:t>；玛纳斯河是内流河，是山水林田湖草生命共同体的典型代表，流域内的</w:t>
      </w:r>
      <w:r>
        <w:rPr>
          <w:rFonts w:eastAsia="宋体" w:cs="Times New Roman"/>
          <w:szCs w:val="24"/>
        </w:rPr>
        <w:t>水污染可直接影响鸟类、鱼类、两栖类等生物栖息地质量，导致生物多样性下降，进而影响到整个</w:t>
      </w:r>
      <w:r>
        <w:rPr>
          <w:rFonts w:hint="eastAsia" w:eastAsia="宋体" w:cs="Times New Roman"/>
          <w:szCs w:val="24"/>
        </w:rPr>
        <w:t>流域</w:t>
      </w:r>
      <w:r>
        <w:rPr>
          <w:rFonts w:eastAsia="宋体" w:cs="Times New Roman"/>
          <w:szCs w:val="24"/>
        </w:rPr>
        <w:t>生态系统的稳定性。</w:t>
      </w:r>
    </w:p>
    <w:p>
      <w:pPr>
        <w:pStyle w:val="4"/>
      </w:pPr>
      <w:r>
        <w:rPr>
          <w:rFonts w:hint="eastAsia"/>
        </w:rPr>
        <w:t>二、湿地生态服务功能评价</w:t>
      </w:r>
    </w:p>
    <w:p>
      <w:pPr>
        <w:pStyle w:val="5"/>
      </w:pPr>
      <w:r>
        <w:rPr>
          <w:rFonts w:hint="eastAsia"/>
        </w:rPr>
        <w:t>（一）总体评价</w:t>
      </w:r>
    </w:p>
    <w:p>
      <w:pPr>
        <w:ind w:firstLine="480"/>
      </w:pPr>
      <w:r>
        <w:rPr>
          <w:rFonts w:hint="eastAsia"/>
        </w:rPr>
        <w:t>湿地的生态系统服务功能可以体现为资源（水、食物、原材料等）供给、调节服务（涵养水源、调蓄洪水和水质净化）、支持服务（水力发电、保育土壤、保护生物多样性和栖息地）、文化服务（科研价值和生态旅游）等多个方面。</w:t>
      </w:r>
    </w:p>
    <w:p>
      <w:pPr>
        <w:pStyle w:val="5"/>
      </w:pPr>
      <w:r>
        <w:rPr>
          <w:rFonts w:hint="eastAsia"/>
        </w:rPr>
        <w:t>（二）生态服务功能</w:t>
      </w:r>
    </w:p>
    <w:p>
      <w:pPr>
        <w:pStyle w:val="6"/>
        <w:ind w:firstLine="482"/>
        <w:rPr>
          <w:rFonts w:cs="宋体"/>
        </w:rPr>
      </w:pPr>
      <w:r>
        <w:rPr>
          <w:rFonts w:hint="eastAsia" w:cs="宋体"/>
        </w:rPr>
        <w:t>1.</w:t>
      </w:r>
      <w:r>
        <w:rPr>
          <w:rFonts w:cs="宋体"/>
        </w:rPr>
        <w:t xml:space="preserve"> </w:t>
      </w:r>
      <w:r>
        <w:rPr>
          <w:rFonts w:hint="eastAsia" w:cs="宋体"/>
        </w:rPr>
        <w:t>供给</w:t>
      </w:r>
    </w:p>
    <w:p>
      <w:pPr>
        <w:ind w:firstLine="480"/>
      </w:pPr>
      <w:r>
        <w:rPr>
          <w:rFonts w:hint="eastAsia"/>
        </w:rPr>
        <w:t>玛纳斯湿地是天然蓄水系统，是现有水电能源开发的持续性基础，同时也作为周边农牧业生产用水、居民生活用水、工业用水、城市用水的重要水源，玛纳斯湿地可以为地下蓄水层补水，对于玛纳斯县经济社会的发展意义重大。</w:t>
      </w:r>
    </w:p>
    <w:p>
      <w:pPr>
        <w:pStyle w:val="6"/>
        <w:ind w:firstLine="482"/>
      </w:pPr>
      <w:r>
        <w:rPr>
          <w:rFonts w:hint="eastAsia"/>
        </w:rPr>
        <w:t>2.</w:t>
      </w:r>
      <w:r>
        <w:t xml:space="preserve"> </w:t>
      </w:r>
      <w:r>
        <w:rPr>
          <w:rFonts w:hint="eastAsia"/>
        </w:rPr>
        <w:t>调节</w:t>
      </w:r>
    </w:p>
    <w:p>
      <w:pPr>
        <w:ind w:right="366" w:firstLine="480"/>
        <w:rPr>
          <w:rFonts w:ascii="宋体" w:hAnsi="宋体"/>
        </w:rPr>
      </w:pPr>
      <w:r>
        <w:rPr>
          <w:rFonts w:ascii="宋体" w:hAnsi="宋体"/>
        </w:rPr>
        <w:t>（</w:t>
      </w:r>
      <w:r>
        <w:t>1</w:t>
      </w:r>
      <w:r>
        <w:rPr>
          <w:rFonts w:ascii="宋体" w:hAnsi="宋体"/>
        </w:rPr>
        <w:t>）调节流量，涵养水源。</w:t>
      </w:r>
      <w:r>
        <w:rPr>
          <w:rFonts w:hint="eastAsia" w:ascii="宋体" w:hAnsi="宋体"/>
        </w:rPr>
        <w:t>玛纳斯湿地</w:t>
      </w:r>
      <w:r>
        <w:rPr>
          <w:rFonts w:ascii="宋体" w:hAnsi="宋体"/>
        </w:rPr>
        <w:t>公园处于</w:t>
      </w:r>
      <w:r>
        <w:rPr>
          <w:rFonts w:hint="eastAsia" w:ascii="宋体" w:hAnsi="宋体"/>
        </w:rPr>
        <w:t>西北干旱区</w:t>
      </w:r>
      <w:r>
        <w:rPr>
          <w:rFonts w:ascii="宋体" w:hAnsi="宋体"/>
        </w:rPr>
        <w:t>，</w:t>
      </w:r>
      <w:r>
        <w:rPr>
          <w:rFonts w:hint="eastAsia" w:ascii="宋体" w:hAnsi="宋体"/>
        </w:rPr>
        <w:t>是玛纳斯绿洲稳定性的重要环境本底</w:t>
      </w:r>
      <w:r>
        <w:rPr>
          <w:rFonts w:ascii="宋体" w:hAnsi="宋体"/>
        </w:rPr>
        <w:t>。规划区湿地是</w:t>
      </w:r>
      <w:r>
        <w:rPr>
          <w:rFonts w:hint="eastAsia" w:ascii="宋体" w:hAnsi="宋体"/>
        </w:rPr>
        <w:t>以雪山融水补给为主</w:t>
      </w:r>
      <w:r>
        <w:rPr>
          <w:rFonts w:ascii="宋体" w:hAnsi="宋体"/>
        </w:rPr>
        <w:t>的湿地，有涵养水源、调节径流等生态功能</w:t>
      </w:r>
      <w:r>
        <w:rPr>
          <w:rFonts w:hint="eastAsia" w:ascii="宋体" w:hAnsi="宋体"/>
        </w:rPr>
        <w:t>，</w:t>
      </w:r>
      <w:r>
        <w:rPr>
          <w:rFonts w:ascii="宋体" w:hAnsi="宋体"/>
        </w:rPr>
        <w:t>具有极高的</w:t>
      </w:r>
      <w:r>
        <w:rPr>
          <w:rFonts w:hint="eastAsia" w:ascii="宋体" w:hAnsi="宋体"/>
        </w:rPr>
        <w:t>生态意义</w:t>
      </w:r>
      <w:r>
        <w:rPr>
          <w:rFonts w:ascii="宋体" w:hAnsi="宋体"/>
        </w:rPr>
        <w:t>。</w:t>
      </w:r>
    </w:p>
    <w:p>
      <w:pPr>
        <w:ind w:right="366" w:firstLine="480"/>
        <w:rPr>
          <w:rFonts w:ascii="宋体" w:hAnsi="宋体"/>
        </w:rPr>
      </w:pPr>
      <w:r>
        <w:rPr>
          <w:rFonts w:ascii="宋体" w:hAnsi="宋体"/>
        </w:rPr>
        <w:t>（</w:t>
      </w:r>
      <w:r>
        <w:t>2</w:t>
      </w:r>
      <w:r>
        <w:rPr>
          <w:rFonts w:ascii="宋体" w:hAnsi="宋体"/>
        </w:rPr>
        <w:t>）调节区域小气候。</w:t>
      </w:r>
      <w:r>
        <w:rPr>
          <w:rFonts w:hint="eastAsia" w:ascii="宋体" w:hAnsi="宋体"/>
        </w:rPr>
        <w:t>玛纳斯湿地</w:t>
      </w:r>
      <w:r>
        <w:rPr>
          <w:rFonts w:ascii="宋体" w:hAnsi="宋体"/>
        </w:rPr>
        <w:t>可以影响区域热岛效应，湿地的蒸发作用可保持当地湿度和降水量，使区域气候条件稳定。湿地水分通过蒸发成为水蒸气，然后又以降水的形式降到周围地区，保持当地的湿度和降雨量。</w:t>
      </w:r>
    </w:p>
    <w:p>
      <w:pPr>
        <w:ind w:right="366" w:firstLine="480"/>
      </w:pPr>
      <w:r>
        <w:rPr>
          <w:rFonts w:ascii="宋体" w:hAnsi="宋体"/>
        </w:rPr>
        <w:t>（</w:t>
      </w:r>
      <w:r>
        <w:t>3</w:t>
      </w:r>
      <w:r>
        <w:rPr>
          <w:rFonts w:ascii="宋体" w:hAnsi="宋体"/>
        </w:rPr>
        <w:t>）降解污染物。当生活污水和农业废水等含有受污染的流水经过湿地时，流速减慢，有利于毒物和杂质的沉淀和排除。此外，一些湿地植物像芦苇、</w:t>
      </w:r>
      <w:r>
        <w:rPr>
          <w:rFonts w:hint="eastAsia" w:ascii="宋体" w:hAnsi="宋体"/>
        </w:rPr>
        <w:t>香蒲</w:t>
      </w:r>
      <w:r>
        <w:rPr>
          <w:rFonts w:ascii="宋体" w:hAnsi="宋体"/>
        </w:rPr>
        <w:t>能有效地吸收有毒物质。</w:t>
      </w:r>
    </w:p>
    <w:p>
      <w:pPr>
        <w:pStyle w:val="6"/>
        <w:ind w:firstLine="482"/>
      </w:pPr>
      <w:r>
        <w:rPr>
          <w:rFonts w:hint="eastAsia"/>
        </w:rPr>
        <w:t>3.</w:t>
      </w:r>
      <w:r>
        <w:t xml:space="preserve"> </w:t>
      </w:r>
      <w:r>
        <w:rPr>
          <w:rFonts w:hint="eastAsia"/>
        </w:rPr>
        <w:t>支持</w:t>
      </w:r>
    </w:p>
    <w:p>
      <w:pPr>
        <w:ind w:right="366" w:firstLine="480"/>
      </w:pPr>
      <w:r>
        <w:rPr>
          <w:rFonts w:ascii="宋体" w:hAnsi="宋体"/>
        </w:rPr>
        <w:t>生物多样性保护。湿地是</w:t>
      </w:r>
      <w:r>
        <w:rPr>
          <w:rFonts w:hint="eastAsia" w:ascii="宋体" w:hAnsi="宋体"/>
        </w:rPr>
        <w:t>野生</w:t>
      </w:r>
      <w:r>
        <w:rPr>
          <w:rFonts w:ascii="宋体" w:hAnsi="宋体"/>
        </w:rPr>
        <w:t>动物的繁殖、栖息、迁徙、越冬的场所。</w:t>
      </w:r>
      <w:r>
        <w:rPr>
          <w:rFonts w:hint="eastAsia" w:ascii="宋体" w:hAnsi="宋体"/>
        </w:rPr>
        <w:t>玛纳斯湿地地处国际水鸟迁徙重要通道，</w:t>
      </w:r>
      <w:r>
        <w:rPr>
          <w:rFonts w:ascii="宋体" w:hAnsi="宋体"/>
        </w:rPr>
        <w:t>依赖</w:t>
      </w:r>
      <w:r>
        <w:rPr>
          <w:rFonts w:hint="eastAsia" w:ascii="宋体" w:hAnsi="宋体"/>
        </w:rPr>
        <w:t>玛纳斯湿地</w:t>
      </w:r>
      <w:r>
        <w:rPr>
          <w:rFonts w:ascii="宋体" w:hAnsi="宋体"/>
        </w:rPr>
        <w:t>生态的</w:t>
      </w:r>
      <w:r>
        <w:rPr>
          <w:rFonts w:hint="eastAsia" w:ascii="宋体" w:hAnsi="宋体"/>
        </w:rPr>
        <w:t>鸟类</w:t>
      </w:r>
      <w:r>
        <w:rPr>
          <w:rFonts w:ascii="宋体" w:hAnsi="宋体"/>
        </w:rPr>
        <w:t>极为丰富，</w:t>
      </w:r>
      <w:r>
        <w:rPr>
          <w:rFonts w:hint="eastAsia" w:ascii="宋体" w:hAnsi="宋体"/>
        </w:rPr>
        <w:t>是其重要的落脚点和栖息地，</w:t>
      </w:r>
      <w:r>
        <w:rPr>
          <w:rFonts w:ascii="宋体" w:hAnsi="宋体"/>
        </w:rPr>
        <w:t>其中有许多是珍稀、濒危物种。</w:t>
      </w:r>
    </w:p>
    <w:p>
      <w:pPr>
        <w:pStyle w:val="6"/>
        <w:ind w:firstLine="482"/>
      </w:pPr>
      <w:r>
        <w:rPr>
          <w:rFonts w:hint="eastAsia"/>
        </w:rPr>
        <w:t>4.</w:t>
      </w:r>
      <w:r>
        <w:t xml:space="preserve"> </w:t>
      </w:r>
      <w:r>
        <w:rPr>
          <w:rFonts w:hint="eastAsia"/>
        </w:rPr>
        <w:t>文化</w:t>
      </w:r>
    </w:p>
    <w:p>
      <w:pPr>
        <w:ind w:firstLine="480"/>
        <w:rPr>
          <w:rFonts w:ascii="宋体" w:hAnsi="宋体"/>
        </w:rPr>
      </w:pPr>
      <w:r>
        <w:rPr>
          <w:rFonts w:ascii="宋体" w:hAnsi="宋体"/>
        </w:rPr>
        <w:t>（</w:t>
      </w:r>
      <w:r>
        <w:t>1</w:t>
      </w:r>
      <w:r>
        <w:rPr>
          <w:rFonts w:ascii="宋体" w:hAnsi="宋体"/>
        </w:rPr>
        <w:t>）文化与旅游休闲：</w:t>
      </w:r>
      <w:r>
        <w:rPr>
          <w:rFonts w:hint="eastAsia" w:ascii="宋体" w:hAnsi="宋体"/>
        </w:rPr>
        <w:t>玛纳斯湿地</w:t>
      </w:r>
      <w:r>
        <w:rPr>
          <w:rFonts w:ascii="宋体" w:hAnsi="宋体"/>
        </w:rPr>
        <w:t>具有展现浓郁的</w:t>
      </w:r>
      <w:r>
        <w:rPr>
          <w:rFonts w:hint="eastAsia" w:ascii="宋体" w:hAnsi="宋体"/>
        </w:rPr>
        <w:t>西北干旱区绿洲</w:t>
      </w:r>
      <w:r>
        <w:rPr>
          <w:rFonts w:ascii="宋体" w:hAnsi="宋体"/>
        </w:rPr>
        <w:t>生态旅游等方面的功能，湿地丰富秀丽的自然风光和湿地特色文化，成为人们观光旅游的好地方，这也是湿地建设成湿地公园的重要前提功能条件之一。</w:t>
      </w:r>
    </w:p>
    <w:p>
      <w:pPr>
        <w:ind w:firstLine="480"/>
        <w:rPr>
          <w:rFonts w:ascii="宋体" w:hAnsi="宋体"/>
        </w:rPr>
      </w:pPr>
      <w:r>
        <w:rPr>
          <w:rFonts w:ascii="宋体" w:hAnsi="宋体"/>
        </w:rPr>
        <w:t>（</w:t>
      </w:r>
      <w:r>
        <w:t>2</w:t>
      </w:r>
      <w:r>
        <w:rPr>
          <w:rFonts w:ascii="宋体" w:hAnsi="宋体"/>
        </w:rPr>
        <w:t>）教育和科研价值：</w:t>
      </w:r>
      <w:r>
        <w:rPr>
          <w:rFonts w:hint="eastAsia" w:ascii="宋体" w:hAnsi="宋体"/>
        </w:rPr>
        <w:t>玛纳斯湿地</w:t>
      </w:r>
      <w:r>
        <w:rPr>
          <w:rFonts w:ascii="宋体" w:hAnsi="宋体"/>
        </w:rPr>
        <w:t>可以被用来开展环境监测、全球环境变化趋势等科学研究，另外湿地丰富的动植物群落、珍贵的濒危物种等，在自然科学教育和研究中都也具有十分重要的作用。</w:t>
      </w:r>
    </w:p>
    <w:p>
      <w:pPr>
        <w:pStyle w:val="4"/>
      </w:pPr>
      <w:r>
        <w:rPr>
          <w:rFonts w:hint="eastAsia"/>
        </w:rPr>
        <w:t>三、湿地生态系统等级评估</w:t>
      </w:r>
    </w:p>
    <w:p>
      <w:pPr>
        <w:pStyle w:val="5"/>
      </w:pPr>
      <w:r>
        <w:t>（一）评价指标体系</w:t>
      </w:r>
    </w:p>
    <w:p>
      <w:pPr>
        <w:ind w:firstLine="480"/>
        <w:rPr>
          <w:szCs w:val="24"/>
        </w:rPr>
      </w:pPr>
      <w:r>
        <w:rPr>
          <w:szCs w:val="24"/>
        </w:rPr>
        <w:t>依据《国家湿地公园评估</w:t>
      </w:r>
      <w:r>
        <w:rPr>
          <w:rFonts w:hint="eastAsia"/>
          <w:szCs w:val="24"/>
        </w:rPr>
        <w:t>评分</w:t>
      </w:r>
      <w:r>
        <w:rPr>
          <w:szCs w:val="24"/>
        </w:rPr>
        <w:t>标准》（2018），湿地公园等级评估指标体系由</w:t>
      </w:r>
      <w:r>
        <w:rPr>
          <w:rFonts w:hint="eastAsia"/>
          <w:szCs w:val="24"/>
        </w:rPr>
        <w:t>资源本底条件</w:t>
      </w:r>
      <w:r>
        <w:rPr>
          <w:szCs w:val="24"/>
        </w:rPr>
        <w:t>、湿地</w:t>
      </w:r>
      <w:r>
        <w:rPr>
          <w:rFonts w:hint="eastAsia"/>
          <w:szCs w:val="24"/>
        </w:rPr>
        <w:t>健康状况</w:t>
      </w:r>
      <w:r>
        <w:rPr>
          <w:szCs w:val="24"/>
        </w:rPr>
        <w:t>、</w:t>
      </w:r>
      <w:r>
        <w:rPr>
          <w:rFonts w:hint="eastAsia"/>
          <w:szCs w:val="24"/>
        </w:rPr>
        <w:t>总体规划、管理状况、科普宣教、科研监测、合理利用、建设水平与示范作用</w:t>
      </w:r>
      <w:r>
        <w:rPr>
          <w:szCs w:val="24"/>
        </w:rPr>
        <w:t>等6类项目的38</w:t>
      </w:r>
      <w:r>
        <w:rPr>
          <w:rFonts w:hint="eastAsia"/>
          <w:szCs w:val="24"/>
        </w:rPr>
        <w:t>个分项</w:t>
      </w:r>
      <w:r>
        <w:rPr>
          <w:szCs w:val="24"/>
        </w:rPr>
        <w:t>组成，总分为100分。</w:t>
      </w:r>
    </w:p>
    <w:p>
      <w:pPr>
        <w:pStyle w:val="5"/>
      </w:pPr>
      <w:r>
        <w:t>（二）评价方法与标准</w:t>
      </w:r>
    </w:p>
    <w:p>
      <w:pPr>
        <w:ind w:firstLine="480"/>
        <w:jc w:val="left"/>
        <w:rPr>
          <w:szCs w:val="24"/>
        </w:rPr>
      </w:pPr>
      <w:r>
        <w:rPr>
          <w:szCs w:val="24"/>
        </w:rPr>
        <w:t>依据《国家湿地公园评估</w:t>
      </w:r>
      <w:r>
        <w:rPr>
          <w:rFonts w:hint="eastAsia"/>
          <w:szCs w:val="24"/>
        </w:rPr>
        <w:t>评分</w:t>
      </w:r>
      <w:r>
        <w:rPr>
          <w:szCs w:val="24"/>
        </w:rPr>
        <w:t>标准》，</w:t>
      </w:r>
      <w:r>
        <w:rPr>
          <w:rFonts w:hint="eastAsia"/>
          <w:szCs w:val="24"/>
        </w:rPr>
        <w:t>各指标分值之和为1</w:t>
      </w:r>
      <w:r>
        <w:rPr>
          <w:szCs w:val="24"/>
        </w:rPr>
        <w:t>00</w:t>
      </w:r>
      <w:r>
        <w:rPr>
          <w:rFonts w:hint="eastAsia"/>
          <w:szCs w:val="24"/>
        </w:rPr>
        <w:t>分，分三级：≥</w:t>
      </w:r>
      <w:r>
        <w:rPr>
          <w:szCs w:val="24"/>
        </w:rPr>
        <w:t>80</w:t>
      </w:r>
      <w:r>
        <w:rPr>
          <w:rFonts w:hint="eastAsia"/>
          <w:szCs w:val="24"/>
        </w:rPr>
        <w:t>分；＜8</w:t>
      </w:r>
      <w:r>
        <w:rPr>
          <w:szCs w:val="24"/>
        </w:rPr>
        <w:t>0</w:t>
      </w:r>
      <w:r>
        <w:rPr>
          <w:rFonts w:hint="eastAsia"/>
          <w:szCs w:val="24"/>
        </w:rPr>
        <w:t>分，≥6</w:t>
      </w:r>
      <w:r>
        <w:rPr>
          <w:szCs w:val="24"/>
        </w:rPr>
        <w:t>0</w:t>
      </w:r>
      <w:r>
        <w:rPr>
          <w:rFonts w:hint="eastAsia"/>
          <w:szCs w:val="24"/>
        </w:rPr>
        <w:t>分；＜6</w:t>
      </w:r>
      <w:r>
        <w:rPr>
          <w:szCs w:val="24"/>
        </w:rPr>
        <w:t>0</w:t>
      </w:r>
      <w:r>
        <w:rPr>
          <w:rFonts w:hint="eastAsia"/>
          <w:szCs w:val="24"/>
        </w:rPr>
        <w:t>分。</w:t>
      </w:r>
    </w:p>
    <w:p>
      <w:pPr>
        <w:ind w:firstLine="480"/>
        <w:jc w:val="left"/>
        <w:rPr>
          <w:szCs w:val="24"/>
        </w:rPr>
      </w:pPr>
      <w:r>
        <w:rPr>
          <w:rFonts w:hint="eastAsia"/>
          <w:szCs w:val="24"/>
        </w:rPr>
        <w:t>分项指标评分分为三等：较好满足指标要求的分值≥</w:t>
      </w:r>
      <w:r>
        <w:rPr>
          <w:szCs w:val="24"/>
        </w:rPr>
        <w:t>80</w:t>
      </w:r>
      <w:r>
        <w:rPr>
          <w:rFonts w:hint="eastAsia"/>
          <w:szCs w:val="24"/>
        </w:rPr>
        <w:t>分；基本满足指标要求的分值＜8</w:t>
      </w:r>
      <w:r>
        <w:rPr>
          <w:szCs w:val="24"/>
        </w:rPr>
        <w:t>0</w:t>
      </w:r>
      <w:r>
        <w:rPr>
          <w:rFonts w:hint="eastAsia"/>
          <w:szCs w:val="24"/>
        </w:rPr>
        <w:t>分，≥6</w:t>
      </w:r>
      <w:r>
        <w:rPr>
          <w:szCs w:val="24"/>
        </w:rPr>
        <w:t>0</w:t>
      </w:r>
      <w:r>
        <w:rPr>
          <w:rFonts w:hint="eastAsia"/>
          <w:szCs w:val="24"/>
        </w:rPr>
        <w:t>分；不满足指标要求的分值＜6</w:t>
      </w:r>
      <w:r>
        <w:rPr>
          <w:szCs w:val="24"/>
        </w:rPr>
        <w:t>0</w:t>
      </w:r>
      <w:r>
        <w:rPr>
          <w:rFonts w:hint="eastAsia"/>
          <w:szCs w:val="24"/>
        </w:rPr>
        <w:t>分。</w:t>
      </w:r>
    </w:p>
    <w:p>
      <w:pPr>
        <w:ind w:firstLine="480"/>
        <w:jc w:val="left"/>
        <w:rPr>
          <w:szCs w:val="24"/>
        </w:rPr>
      </w:pPr>
      <w:r>
        <w:rPr>
          <w:rFonts w:hint="eastAsia"/>
          <w:szCs w:val="24"/>
        </w:rPr>
        <w:t>资源本底条件（第一大项）满足分项指标之一即可，取最高分。</w:t>
      </w:r>
    </w:p>
    <w:p>
      <w:pPr>
        <w:pStyle w:val="5"/>
      </w:pPr>
      <w:r>
        <w:t>（三）评估</w:t>
      </w:r>
      <w:r>
        <w:rPr>
          <w:rFonts w:hint="eastAsia"/>
        </w:rPr>
        <w:t>结果</w:t>
      </w:r>
    </w:p>
    <w:p>
      <w:pPr>
        <w:ind w:firstLine="480"/>
        <w:jc w:val="left"/>
        <w:rPr>
          <w:szCs w:val="24"/>
        </w:rPr>
      </w:pPr>
      <w:r>
        <w:rPr>
          <w:rFonts w:hint="eastAsia"/>
          <w:szCs w:val="24"/>
        </w:rPr>
        <w:t>玛纳斯国家湿地公园综合评分为86.85分。湿地公园验收评估总分大于等于80分，且加权计算前子项指标平均评分均不小于60分，综合评分等级为优秀。</w:t>
      </w:r>
    </w:p>
    <w:p>
      <w:pPr>
        <w:pStyle w:val="2"/>
        <w:ind w:firstLine="723"/>
        <w:sectPr>
          <w:pgSz w:w="11906" w:h="16838"/>
          <w:pgMar w:top="1440" w:right="1800" w:bottom="1440" w:left="1800" w:header="567" w:footer="567" w:gutter="0"/>
          <w:pgNumType w:start="1"/>
          <w:cols w:space="425" w:num="1"/>
          <w:docGrid w:type="lines" w:linePitch="326" w:charSpace="0"/>
        </w:sectPr>
      </w:pPr>
    </w:p>
    <w:p>
      <w:pPr>
        <w:pStyle w:val="2"/>
        <w:ind w:firstLine="723"/>
      </w:pPr>
      <w:bookmarkStart w:id="14" w:name="_Toc130121642"/>
      <w:r>
        <w:rPr>
          <w:rFonts w:hint="eastAsia"/>
        </w:rPr>
        <w:t>第四章</w:t>
      </w:r>
      <w:r>
        <w:t xml:space="preserve">  </w:t>
      </w:r>
      <w:r>
        <w:rPr>
          <w:rFonts w:hint="eastAsia"/>
        </w:rPr>
        <w:t>湿地公园建设的必要性和可行性</w:t>
      </w:r>
      <w:bookmarkEnd w:id="14"/>
    </w:p>
    <w:p>
      <w:pPr>
        <w:pStyle w:val="3"/>
        <w:ind w:firstLine="643"/>
      </w:pPr>
      <w:bookmarkStart w:id="15" w:name="_Toc130121643"/>
      <w:r>
        <w:rPr>
          <w:rFonts w:hint="eastAsia"/>
        </w:rPr>
        <w:t>第一节</w:t>
      </w:r>
      <w:r>
        <w:t xml:space="preserve">  </w:t>
      </w:r>
      <w:r>
        <w:rPr>
          <w:rFonts w:hint="eastAsia"/>
        </w:rPr>
        <w:t>湿地公园建设的必要性</w:t>
      </w:r>
      <w:bookmarkEnd w:id="15"/>
    </w:p>
    <w:p>
      <w:pPr>
        <w:pStyle w:val="4"/>
      </w:pPr>
      <w:r>
        <w:rPr>
          <w:rFonts w:hint="eastAsia"/>
        </w:rPr>
        <w:t>一、落实联合国可持续发展目标的需要</w:t>
      </w:r>
    </w:p>
    <w:p>
      <w:pPr>
        <w:ind w:firstLine="480"/>
      </w:pPr>
      <w:r>
        <w:rPr>
          <w:rFonts w:hint="eastAsia"/>
        </w:rPr>
        <w:t>2015年9月25日，联合国193个成员国在纽约总部的联合国可持续发展峰会上正式通过17个可持续发展目标，旨在从2015年到2030年间以综合方式彻底解决社会进步、经济发展和环境保护三个维度的发展问题，转向可持续发展道路。项目立足于区域的可持续发展，从实现玛纳斯湿地生态修复和当地社会经济和谐发展，以改善玛纳斯县及周边的生态环境和基础设施为目标，对于从区域层面上落实和兑现联合国2030年可持续发展目标承诺是必要的。</w:t>
      </w:r>
    </w:p>
    <w:p>
      <w:pPr>
        <w:pStyle w:val="4"/>
      </w:pPr>
      <w:r>
        <w:rPr>
          <w:rFonts w:hint="eastAsia"/>
        </w:rPr>
        <w:t>二、推进区域生态文明建设的需要</w:t>
      </w:r>
    </w:p>
    <w:p>
      <w:pPr>
        <w:ind w:firstLine="480"/>
      </w:pPr>
      <w:r>
        <w:rPr>
          <w:rFonts w:hint="eastAsia"/>
        </w:rPr>
        <w:t>玛纳斯湿地是玛纳斯河流域的重要组成部分，是国际3号候鸟迁徙线的节点，也是当地雁鸭类水禽的越冬池，已被纳入亚洲重要湿地和重点鸟区名单（2</w:t>
      </w:r>
      <w:r>
        <w:t>004</w:t>
      </w:r>
      <w:r>
        <w:rPr>
          <w:rFonts w:hint="eastAsia"/>
        </w:rPr>
        <w:t>）。因此，保护和改善玛纳斯湿地生态，对于鸟类等生物多样性保护和生态平衡具有重要的生态意义。项目旨在贯彻人与自然是生命共同体、践行绿水青山就是金山银山的发展理念，从山水林田湖草统筹治理的具体实践，为西北干旱区的生态文明建设提供“玛纳斯经验”是必要的。</w:t>
      </w:r>
    </w:p>
    <w:p>
      <w:pPr>
        <w:pStyle w:val="4"/>
      </w:pPr>
      <w:r>
        <w:rPr>
          <w:rFonts w:hint="eastAsia"/>
        </w:rPr>
        <w:t>三、推动经济社会绿色发展，发挥自然资源生产力要素功能的需要</w:t>
      </w:r>
    </w:p>
    <w:p>
      <w:pPr>
        <w:ind w:firstLine="480"/>
      </w:pPr>
      <w:r>
        <w:rPr>
          <w:rFonts w:hint="eastAsia"/>
        </w:rPr>
        <w:t>新时代背景下，玛纳斯县全面实施创新驱动战略，加快新型工业、现代农业和现代服务业结构优化和转型升级。提出了做大做精生态旅游产业，立足全域旅游景区构建，将旅游业打造成为现代服务业战略性支柱产业。其中，湿地公园作为重要的板块，自然湿地景观和丰富的文化资源的合理开发可增加玛纳斯县旅游吸引力，可为联动的经济发展提供更有力支撑。新兴产业发展对玛纳斯湿地保护提出了更高要求，在修复玛纳斯湿地生态环境、重构区域良好生态本底基础上，构建可持续的人文景观。基于尊重自然、顺应自然、保护自然的需要，发挥生态环境的生产力要素功能，提供更多优质生态产品以满足人民日益增长的对优美生态环境的需要。</w:t>
      </w:r>
    </w:p>
    <w:p>
      <w:pPr>
        <w:pStyle w:val="3"/>
        <w:ind w:firstLine="643"/>
      </w:pPr>
      <w:bookmarkStart w:id="16" w:name="_Toc130121644"/>
      <w:r>
        <w:rPr>
          <w:rFonts w:hint="eastAsia"/>
        </w:rPr>
        <w:t>第二节</w:t>
      </w:r>
      <w:r>
        <w:t xml:space="preserve">  </w:t>
      </w:r>
      <w:r>
        <w:rPr>
          <w:rFonts w:hint="eastAsia"/>
        </w:rPr>
        <w:t>湿地公园建设的可行性</w:t>
      </w:r>
      <w:bookmarkEnd w:id="16"/>
    </w:p>
    <w:p>
      <w:pPr>
        <w:pStyle w:val="4"/>
      </w:pPr>
      <w:r>
        <w:rPr>
          <w:rFonts w:hint="eastAsia"/>
        </w:rPr>
        <w:t>一</w:t>
      </w:r>
      <w:r>
        <w:t>、</w:t>
      </w:r>
      <w:r>
        <w:rPr>
          <w:rFonts w:hint="eastAsia"/>
        </w:rPr>
        <w:t>公园</w:t>
      </w:r>
      <w:r>
        <w:t>内土地权属清晰</w:t>
      </w:r>
    </w:p>
    <w:p>
      <w:pPr>
        <w:ind w:firstLine="480"/>
        <w:rPr>
          <w:rFonts w:ascii="宋体" w:hAnsi="宋体"/>
        </w:rPr>
      </w:pPr>
      <w:r>
        <w:rPr>
          <w:rFonts w:hint="eastAsia"/>
        </w:rPr>
        <w:t>玛纳斯国家湿地公园界限明确，</w:t>
      </w:r>
      <w:r>
        <w:t>规划区内土地权属清晰，相关利益主体无争议。</w:t>
      </w:r>
      <w:r>
        <w:rPr>
          <w:rFonts w:hint="eastAsia" w:ascii="宋体" w:hAnsi="宋体"/>
        </w:rPr>
        <w:t>新增的土地为周边乡村的退耕还湿土地，每年将提供</w:t>
      </w:r>
      <w:r>
        <w:rPr>
          <w:rFonts w:ascii="宋体" w:hAnsi="宋体"/>
        </w:rPr>
        <w:t>相关补偿，公园建设将会为当地居民提供更多的就业机会，最大程度上保障其持续的经济收入来源。</w:t>
      </w:r>
    </w:p>
    <w:p>
      <w:pPr>
        <w:pStyle w:val="4"/>
      </w:pPr>
      <w:r>
        <w:rPr>
          <w:rFonts w:hint="eastAsia"/>
        </w:rPr>
        <w:t>二</w:t>
      </w:r>
      <w:r>
        <w:t>、管理机构明确、技术力量有</w:t>
      </w:r>
      <w:r>
        <w:rPr>
          <w:rFonts w:hint="eastAsia"/>
        </w:rPr>
        <w:t>提升</w:t>
      </w:r>
    </w:p>
    <w:p>
      <w:pPr>
        <w:ind w:firstLine="480"/>
        <w:rPr>
          <w:rFonts w:ascii="宋体" w:hAnsi="宋体"/>
        </w:rPr>
      </w:pPr>
      <w:r>
        <w:rPr>
          <w:rFonts w:hint="eastAsia" w:ascii="宋体" w:hAnsi="宋体"/>
        </w:rPr>
        <w:t>玛纳斯国家湿地公园管理局</w:t>
      </w:r>
      <w:r>
        <w:rPr>
          <w:rFonts w:ascii="宋体" w:hAnsi="宋体"/>
        </w:rPr>
        <w:t>作为湿地公园的管理主体，随着湿地公园的</w:t>
      </w:r>
      <w:r>
        <w:rPr>
          <w:rFonts w:hint="eastAsia" w:ascii="宋体" w:hAnsi="宋体"/>
        </w:rPr>
        <w:t>逐步</w:t>
      </w:r>
      <w:r>
        <w:rPr>
          <w:rFonts w:ascii="宋体" w:hAnsi="宋体"/>
        </w:rPr>
        <w:t>建设，</w:t>
      </w:r>
      <w:r>
        <w:rPr>
          <w:rFonts w:hint="eastAsia" w:ascii="宋体" w:hAnsi="宋体"/>
        </w:rPr>
        <w:t>需不断提升和加强</w:t>
      </w:r>
      <w:r>
        <w:rPr>
          <w:rFonts w:ascii="宋体" w:hAnsi="宋体"/>
        </w:rPr>
        <w:t>管理人员</w:t>
      </w:r>
      <w:r>
        <w:rPr>
          <w:rFonts w:hint="eastAsia" w:ascii="宋体" w:hAnsi="宋体"/>
        </w:rPr>
        <w:t>的素质</w:t>
      </w:r>
      <w:r>
        <w:rPr>
          <w:rFonts w:ascii="宋体" w:hAnsi="宋体"/>
        </w:rPr>
        <w:t>，以保证湿地公园的</w:t>
      </w:r>
      <w:r>
        <w:rPr>
          <w:rFonts w:hint="eastAsia" w:ascii="宋体" w:hAnsi="宋体"/>
        </w:rPr>
        <w:t>科学</w:t>
      </w:r>
      <w:r>
        <w:rPr>
          <w:rFonts w:ascii="宋体" w:hAnsi="宋体"/>
        </w:rPr>
        <w:t>发展。湿地</w:t>
      </w:r>
      <w:bookmarkStart w:id="17" w:name="page41"/>
      <w:bookmarkEnd w:id="17"/>
      <w:r>
        <w:rPr>
          <w:rFonts w:ascii="宋体" w:hAnsi="宋体"/>
        </w:rPr>
        <w:t>公园建设</w:t>
      </w:r>
      <w:r>
        <w:rPr>
          <w:rFonts w:hint="eastAsia" w:ascii="宋体" w:hAnsi="宋体"/>
        </w:rPr>
        <w:t>需</w:t>
      </w:r>
      <w:r>
        <w:rPr>
          <w:rFonts w:ascii="宋体" w:hAnsi="宋体"/>
        </w:rPr>
        <w:t>充分考虑</w:t>
      </w:r>
      <w:r>
        <w:rPr>
          <w:rFonts w:hint="eastAsia" w:ascii="宋体" w:hAnsi="宋体"/>
        </w:rPr>
        <w:t>与</w:t>
      </w:r>
      <w:r>
        <w:rPr>
          <w:rFonts w:ascii="宋体" w:hAnsi="宋体"/>
        </w:rPr>
        <w:t>环境保护、</w:t>
      </w:r>
      <w:r>
        <w:rPr>
          <w:rFonts w:hint="eastAsia" w:ascii="宋体" w:hAnsi="宋体"/>
        </w:rPr>
        <w:t>绿色发展、乡村振兴</w:t>
      </w:r>
      <w:r>
        <w:rPr>
          <w:rFonts w:ascii="宋体" w:hAnsi="宋体"/>
        </w:rPr>
        <w:t>等方面的要求，与当地的规划政策相协调。</w:t>
      </w:r>
      <w:r>
        <w:rPr>
          <w:rFonts w:hint="eastAsia" w:ascii="宋体" w:hAnsi="宋体"/>
        </w:rPr>
        <w:t>与此同时，玛纳斯国家湿地公园与大专院校、科研院所建立了长期的合作关系，开展了广泛的科技合作，为湿地保护管理工作奠定坚实的基础。</w:t>
      </w:r>
    </w:p>
    <w:p>
      <w:pPr>
        <w:pStyle w:val="4"/>
      </w:pPr>
      <w:r>
        <w:rPr>
          <w:rFonts w:hint="eastAsia"/>
        </w:rPr>
        <w:t>三</w:t>
      </w:r>
      <w:r>
        <w:t>、</w:t>
      </w:r>
      <w:r>
        <w:rPr>
          <w:rFonts w:hint="eastAsia"/>
        </w:rPr>
        <w:t>积累了湿地保护与</w:t>
      </w:r>
      <w:r>
        <w:t>恢复工作</w:t>
      </w:r>
      <w:r>
        <w:rPr>
          <w:rFonts w:hint="eastAsia"/>
        </w:rPr>
        <w:t>的经验</w:t>
      </w:r>
    </w:p>
    <w:p>
      <w:pPr>
        <w:ind w:firstLine="480"/>
        <w:rPr>
          <w:rFonts w:ascii="宋体" w:hAnsi="宋体"/>
        </w:rPr>
      </w:pPr>
      <w:r>
        <w:rPr>
          <w:rFonts w:hint="eastAsia" w:ascii="宋体" w:hAnsi="宋体"/>
        </w:rPr>
        <w:t>基于上期规划，开展了湿地保护与恢复工程，积累了干旱区湿地保护经验。为</w:t>
      </w:r>
      <w:r>
        <w:rPr>
          <w:rFonts w:ascii="宋体" w:hAnsi="宋体"/>
        </w:rPr>
        <w:t>湿地全面</w:t>
      </w:r>
      <w:r>
        <w:rPr>
          <w:rFonts w:hint="eastAsia" w:ascii="宋体" w:hAnsi="宋体"/>
        </w:rPr>
        <w:t>保护工作的开展</w:t>
      </w:r>
      <w:r>
        <w:rPr>
          <w:rFonts w:ascii="宋体" w:hAnsi="宋体"/>
        </w:rPr>
        <w:t>湿地生态系统恢复重建工作提供了有力保障。</w:t>
      </w:r>
    </w:p>
    <w:p>
      <w:pPr>
        <w:pStyle w:val="4"/>
      </w:pPr>
      <w:r>
        <w:rPr>
          <w:rFonts w:hint="eastAsia"/>
        </w:rPr>
        <w:t>四</w:t>
      </w:r>
      <w:r>
        <w:t>、具备良好开展保护、科普宣教活动的条件</w:t>
      </w:r>
    </w:p>
    <w:p>
      <w:pPr>
        <w:ind w:firstLine="480"/>
        <w:rPr>
          <w:rFonts w:ascii="宋体" w:hAnsi="宋体"/>
        </w:rPr>
      </w:pPr>
      <w:r>
        <w:rPr>
          <w:rFonts w:hint="eastAsia" w:ascii="宋体" w:hAnsi="宋体"/>
        </w:rPr>
        <w:t>玛纳斯国家湿地公园</w:t>
      </w:r>
      <w:r>
        <w:rPr>
          <w:rFonts w:ascii="宋体" w:hAnsi="宋体"/>
        </w:rPr>
        <w:t>拥有</w:t>
      </w:r>
      <w:r>
        <w:rPr>
          <w:rFonts w:hint="eastAsia" w:ascii="宋体" w:hAnsi="宋体"/>
        </w:rPr>
        <w:t>独特</w:t>
      </w:r>
      <w:r>
        <w:rPr>
          <w:rFonts w:ascii="宋体" w:hAnsi="宋体"/>
        </w:rPr>
        <w:t>的湿地自然景观、</w:t>
      </w:r>
      <w:r>
        <w:rPr>
          <w:rFonts w:hint="eastAsia" w:ascii="宋体" w:hAnsi="宋体"/>
        </w:rPr>
        <w:t>丰富的</w:t>
      </w:r>
      <w:r>
        <w:rPr>
          <w:rFonts w:ascii="宋体" w:hAnsi="宋体"/>
        </w:rPr>
        <w:t>生物多样性资源。其</w:t>
      </w:r>
      <w:r>
        <w:rPr>
          <w:rFonts w:hint="eastAsia" w:ascii="宋体" w:hAnsi="宋体"/>
        </w:rPr>
        <w:t>区位</w:t>
      </w:r>
      <w:r>
        <w:rPr>
          <w:rFonts w:ascii="宋体" w:hAnsi="宋体"/>
        </w:rPr>
        <w:t>优势明显，</w:t>
      </w:r>
      <w:r>
        <w:rPr>
          <w:rFonts w:hint="eastAsia" w:ascii="宋体" w:hAnsi="宋体"/>
        </w:rPr>
        <w:t>随着“一带一路”倡议的实施，</w:t>
      </w:r>
      <w:r>
        <w:rPr>
          <w:rFonts w:ascii="宋体" w:hAnsi="宋体"/>
        </w:rPr>
        <w:t>通过建立湿地科普宣教中心及其配套设施，</w:t>
      </w:r>
      <w:r>
        <w:rPr>
          <w:rFonts w:hint="eastAsia" w:ascii="宋体" w:hAnsi="宋体"/>
        </w:rPr>
        <w:t>可为</w:t>
      </w:r>
      <w:r>
        <w:rPr>
          <w:rFonts w:ascii="宋体" w:hAnsi="宋体"/>
        </w:rPr>
        <w:t>湿地公园</w:t>
      </w:r>
      <w:r>
        <w:rPr>
          <w:rFonts w:hint="eastAsia" w:ascii="宋体" w:hAnsi="宋体"/>
        </w:rPr>
        <w:t>的生态</w:t>
      </w:r>
      <w:r>
        <w:rPr>
          <w:rFonts w:ascii="宋体" w:hAnsi="宋体"/>
        </w:rPr>
        <w:t>保护、宣教展示活动</w:t>
      </w:r>
      <w:r>
        <w:rPr>
          <w:rFonts w:hint="eastAsia" w:ascii="宋体" w:hAnsi="宋体"/>
        </w:rPr>
        <w:t>提供优越的基础条件，发挥其多种生态系统服务功能</w:t>
      </w:r>
      <w:r>
        <w:rPr>
          <w:rFonts w:ascii="宋体" w:hAnsi="宋体"/>
        </w:rPr>
        <w:t>。</w:t>
      </w:r>
    </w:p>
    <w:p>
      <w:pPr>
        <w:ind w:firstLine="480"/>
        <w:rPr>
          <w:rFonts w:ascii="宋体" w:hAnsi="宋体"/>
        </w:rPr>
      </w:pPr>
    </w:p>
    <w:p>
      <w:pPr>
        <w:pStyle w:val="2"/>
        <w:ind w:firstLine="723"/>
      </w:pPr>
      <w:bookmarkStart w:id="18" w:name="_Toc130121645"/>
      <w:r>
        <w:rPr>
          <w:rFonts w:hint="eastAsia"/>
        </w:rPr>
        <w:t>第五章 总体布局</w:t>
      </w:r>
      <w:bookmarkEnd w:id="18"/>
    </w:p>
    <w:p>
      <w:pPr>
        <w:pStyle w:val="3"/>
        <w:ind w:firstLine="643"/>
      </w:pPr>
      <w:bookmarkStart w:id="19" w:name="_Toc130121646"/>
      <w:r>
        <w:rPr>
          <w:rFonts w:hint="eastAsia"/>
        </w:rPr>
        <w:t>第一节</w:t>
      </w:r>
      <w:r>
        <w:t xml:space="preserve">  </w:t>
      </w:r>
      <w:r>
        <w:rPr>
          <w:rFonts w:hint="eastAsia"/>
        </w:rPr>
        <w:t>湿地公园范围</w:t>
      </w:r>
      <w:bookmarkEnd w:id="19"/>
    </w:p>
    <w:p>
      <w:pPr>
        <w:ind w:firstLine="480"/>
      </w:pPr>
      <w:r>
        <w:rPr>
          <w:rFonts w:hint="eastAsia"/>
        </w:rPr>
        <w:t>玛纳斯国家湿地公园规划范围包括玛纳斯河河道（玛纳斯县管辖范围）、白土坑水库、新户坪水库、苇坝水库、大冶水库、塔西河上、中、下水库及连接河道、夹河子水库南岸沼泽、以及六阜渠、莫合渠等引水灌渠。规划总面积</w:t>
      </w:r>
      <w:r>
        <w:rPr>
          <w:rFonts w:hint="eastAsia" w:cs="Times New Roman"/>
          <w:szCs w:val="21"/>
        </w:rPr>
        <w:t>3611.76</w:t>
      </w:r>
      <w:r>
        <w:rPr>
          <w:rFonts w:cs="Times New Roman"/>
          <w:szCs w:val="21"/>
        </w:rPr>
        <w:t>hm²</w:t>
      </w:r>
      <w:r>
        <w:rPr>
          <w:rFonts w:hint="eastAsia"/>
        </w:rPr>
        <w:t>，其中湿地面积</w:t>
      </w:r>
      <w:r>
        <w:rPr>
          <w:rFonts w:hint="eastAsia" w:cs="Times New Roman"/>
          <w:szCs w:val="21"/>
        </w:rPr>
        <w:t>湿地面积2361.57</w:t>
      </w:r>
      <w:r>
        <w:rPr>
          <w:rFonts w:cs="Times New Roman"/>
          <w:szCs w:val="21"/>
        </w:rPr>
        <w:t xml:space="preserve"> hm²</w:t>
      </w:r>
      <w:r>
        <w:rPr>
          <w:rFonts w:hint="eastAsia"/>
        </w:rPr>
        <w:t>，湿地率</w:t>
      </w:r>
      <w:r>
        <w:rPr>
          <w:rFonts w:hint="eastAsia" w:cs="Times New Roman"/>
          <w:szCs w:val="21"/>
        </w:rPr>
        <w:t>65</w:t>
      </w:r>
      <w:r>
        <w:rPr>
          <w:rFonts w:cs="Times New Roman"/>
          <w:szCs w:val="21"/>
        </w:rPr>
        <w:t>.</w:t>
      </w:r>
      <w:r>
        <w:rPr>
          <w:rFonts w:hint="eastAsia" w:cs="Times New Roman"/>
          <w:szCs w:val="21"/>
        </w:rPr>
        <w:t>4</w:t>
      </w:r>
      <w:r>
        <w:rPr>
          <w:rFonts w:hint="eastAsia"/>
        </w:rPr>
        <w:t>%。</w:t>
      </w:r>
    </w:p>
    <w:p>
      <w:pPr>
        <w:ind w:firstLine="480"/>
      </w:pPr>
      <w:r>
        <w:rPr>
          <w:rFonts w:hint="eastAsia"/>
        </w:rPr>
        <w:t>规划区北至玛纳斯河河谷与大海子水库泄洪通道交汇处大湾子村，东北至白土坑水库北岸，西南至玛纳斯河</w:t>
      </w:r>
      <w:r>
        <w:t>G30</w:t>
      </w:r>
      <w:r>
        <w:rPr>
          <w:rFonts w:hint="eastAsia"/>
        </w:rPr>
        <w:t>跨河桥，西至玛纳斯县与石河子市边界，东到大冶水库，东南至塔西河上水库南岸。坐标东经</w:t>
      </w:r>
      <w:r>
        <w:rPr>
          <w:rFonts w:cs="Times New Roman"/>
        </w:rPr>
        <w:t>86°04'10.46"～86°18'32.00"，北纬44°22'26.58"～44°31'10.65"，</w:t>
      </w:r>
      <w:r>
        <w:rPr>
          <w:rFonts w:hint="eastAsia"/>
        </w:rPr>
        <w:t>南北跨度2</w:t>
      </w:r>
      <w:r>
        <w:t>7</w:t>
      </w:r>
      <w:r>
        <w:rPr>
          <w:rFonts w:hint="eastAsia"/>
        </w:rPr>
        <w:t>.</w:t>
      </w:r>
      <w:r>
        <w:t>3</w:t>
      </w:r>
      <w:r>
        <w:rPr>
          <w:rFonts w:hint="eastAsia"/>
        </w:rPr>
        <w:t>km，东西2</w:t>
      </w:r>
      <w:r>
        <w:t>2</w:t>
      </w:r>
      <w:r>
        <w:rPr>
          <w:rFonts w:hint="eastAsia"/>
        </w:rPr>
        <w:t>.</w:t>
      </w:r>
      <w:r>
        <w:t>9</w:t>
      </w:r>
      <w:r>
        <w:rPr>
          <w:rFonts w:hint="eastAsia"/>
        </w:rPr>
        <w:t>km。</w:t>
      </w:r>
    </w:p>
    <w:p>
      <w:pPr>
        <w:pStyle w:val="3"/>
        <w:ind w:firstLine="643"/>
      </w:pPr>
      <w:bookmarkStart w:id="20" w:name="_Toc130121647"/>
      <w:r>
        <w:rPr>
          <w:rFonts w:hint="eastAsia"/>
        </w:rPr>
        <w:t xml:space="preserve">第二节 </w:t>
      </w:r>
      <w:r>
        <w:t xml:space="preserve"> 湿地</w:t>
      </w:r>
      <w:r>
        <w:rPr>
          <w:rFonts w:hint="eastAsia"/>
        </w:rPr>
        <w:t>公园定位</w:t>
      </w:r>
      <w:bookmarkEnd w:id="20"/>
    </w:p>
    <w:p>
      <w:pPr>
        <w:ind w:firstLine="480"/>
      </w:pPr>
      <w:r>
        <w:rPr>
          <w:rFonts w:hint="eastAsia"/>
        </w:rPr>
        <w:t>玛纳斯湿地是玛纳斯县经济社会发展的重要环境本底，对于维护玛纳斯河流域生态安全的地位突出，对于天山北坡中部绿洲稳定性具有天然屏障功能，在我国西北内陆干旱半干旱地区具有典型性和代表性，其对生物多样性维持在新疆乃至西北内陆、中亚地区具有重要作用，是一个集湿地生态系统保育、科普宣教、生态旅游、生物多样性维持及生态文化传承等功能于一体的国家湿地公园。</w:t>
      </w:r>
    </w:p>
    <w:p>
      <w:pPr>
        <w:pStyle w:val="3"/>
        <w:ind w:firstLine="643"/>
      </w:pPr>
      <w:bookmarkStart w:id="21" w:name="_Toc130121648"/>
      <w:r>
        <w:rPr>
          <w:rFonts w:hint="eastAsia"/>
        </w:rPr>
        <w:t>第三节</w:t>
      </w:r>
      <w:r>
        <w:t xml:space="preserve">  </w:t>
      </w:r>
      <w:r>
        <w:rPr>
          <w:rFonts w:hint="eastAsia"/>
        </w:rPr>
        <w:t>指导思想</w:t>
      </w:r>
      <w:bookmarkEnd w:id="21"/>
    </w:p>
    <w:p>
      <w:pPr>
        <w:ind w:firstLine="480"/>
      </w:pPr>
      <w:r>
        <w:rPr>
          <w:rFonts w:hint="eastAsia"/>
        </w:rPr>
        <w:t>在习近平新时代中国特色社会主义思想指导下，贯彻生态文明发展理念，深化生态文明体制改革，大力推进生态文明建设，落实国家湿地生态修复制度。总体规划在全面保护基础上，突出生态保护和恢复为重点，发挥湿地的多种生态系统服务功能。合理统筹功能片区，突出湿地生态系统完整性和生物多样性保护，同时注重湿地生态文化的传承，人与自然和谐，通过开展湿地科研监测、宣教展示、智慧利用等，达到生态效益、社会效益与经济效益的最大化。</w:t>
      </w:r>
    </w:p>
    <w:p>
      <w:pPr>
        <w:pStyle w:val="3"/>
        <w:ind w:firstLine="643"/>
      </w:pPr>
      <w:bookmarkStart w:id="22" w:name="_Toc130121649"/>
      <w:r>
        <w:rPr>
          <w:rFonts w:hint="eastAsia"/>
        </w:rPr>
        <w:t>第四节</w:t>
      </w:r>
      <w:r>
        <w:t xml:space="preserve">  </w:t>
      </w:r>
      <w:r>
        <w:rPr>
          <w:rFonts w:hint="eastAsia"/>
        </w:rPr>
        <w:t>规划原则</w:t>
      </w:r>
      <w:bookmarkEnd w:id="22"/>
    </w:p>
    <w:p>
      <w:pPr>
        <w:pStyle w:val="4"/>
      </w:pPr>
      <w:r>
        <w:t>一、</w:t>
      </w:r>
      <w:r>
        <w:rPr>
          <w:rFonts w:hint="eastAsia"/>
        </w:rPr>
        <w:t>全面保护</w:t>
      </w:r>
      <w:r>
        <w:t>，科学修复</w:t>
      </w:r>
    </w:p>
    <w:p>
      <w:pPr>
        <w:ind w:firstLine="480"/>
      </w:pPr>
      <w:r>
        <w:t>遵循</w:t>
      </w:r>
      <w:r>
        <w:rPr>
          <w:rFonts w:hint="eastAsia"/>
        </w:rPr>
        <w:t>全面保护</w:t>
      </w:r>
      <w:r>
        <w:t>的原则，保护湿地生态系统</w:t>
      </w:r>
      <w:r>
        <w:rPr>
          <w:rFonts w:hint="eastAsia"/>
        </w:rPr>
        <w:t>结构</w:t>
      </w:r>
      <w:r>
        <w:t>完整性</w:t>
      </w:r>
      <w:r>
        <w:rPr>
          <w:rFonts w:hint="eastAsia"/>
        </w:rPr>
        <w:t>和功能多样性。</w:t>
      </w:r>
      <w:r>
        <w:t>在科学修复的基础上，为各种湿地生物的提供最大的</w:t>
      </w:r>
      <w:r>
        <w:rPr>
          <w:rFonts w:hint="eastAsia"/>
        </w:rPr>
        <w:t>栖息</w:t>
      </w:r>
      <w:r>
        <w:t>空间，营造适宜生物多样性发展的</w:t>
      </w:r>
      <w:r>
        <w:rPr>
          <w:rFonts w:hint="eastAsia"/>
        </w:rPr>
        <w:t>生境</w:t>
      </w:r>
      <w:r>
        <w:t>以维护湿地生态系统稳定，以保护湿地生物多样性为前提，通过适度人工干预，保护、重建或恢复湿地的生态功能。</w:t>
      </w:r>
    </w:p>
    <w:p>
      <w:pPr>
        <w:pStyle w:val="4"/>
      </w:pPr>
      <w:r>
        <w:t>二、适度开发，合理利用</w:t>
      </w:r>
    </w:p>
    <w:p>
      <w:pPr>
        <w:ind w:firstLine="480"/>
        <w:rPr>
          <w:rFonts w:ascii="宋体" w:hAnsi="宋体"/>
        </w:rPr>
      </w:pPr>
      <w:r>
        <w:rPr>
          <w:rFonts w:ascii="宋体" w:hAnsi="宋体"/>
        </w:rPr>
        <w:t>在不影响湿地生态系统环境的前提下，适度、合理开发利用湿地生物资源、景观资源。通过构筑适量的人工设施，展示湿地的自然和历史人文景观，实现湿地的可持续发展，充分发挥其生态、经济与社会效益。</w:t>
      </w:r>
    </w:p>
    <w:p>
      <w:pPr>
        <w:pStyle w:val="4"/>
      </w:pPr>
      <w:r>
        <w:t>三、立足现状，科学布局</w:t>
      </w:r>
    </w:p>
    <w:p>
      <w:pPr>
        <w:ind w:firstLine="480"/>
      </w:pPr>
      <w:r>
        <w:rPr>
          <w:rFonts w:hint="eastAsia"/>
        </w:rPr>
        <w:t>贯彻“山水林田湖草沙”生命共同体思想，</w:t>
      </w:r>
      <w:r>
        <w:t>根据湿地现状及周边</w:t>
      </w:r>
      <w:r>
        <w:rPr>
          <w:rFonts w:hint="eastAsia"/>
        </w:rPr>
        <w:t>社区</w:t>
      </w:r>
      <w:r>
        <w:t>的人口、资源、环境和经济发展情况，考虑区域均衡性</w:t>
      </w:r>
      <w:r>
        <w:rPr>
          <w:rFonts w:hint="eastAsia"/>
        </w:rPr>
        <w:t>和经济社会发展</w:t>
      </w:r>
      <w:r>
        <w:t>，科学规划</w:t>
      </w:r>
      <w:r>
        <w:rPr>
          <w:rFonts w:hint="eastAsia"/>
        </w:rPr>
        <w:t>调整功能分区</w:t>
      </w:r>
      <w:r>
        <w:t>，</w:t>
      </w:r>
      <w:r>
        <w:rPr>
          <w:rFonts w:hint="eastAsia"/>
        </w:rPr>
        <w:t>发挥自然资源的生产力要素功能</w:t>
      </w:r>
      <w:r>
        <w:t>。</w:t>
      </w:r>
      <w:r>
        <w:rPr>
          <w:rFonts w:hint="eastAsia"/>
        </w:rPr>
        <w:t>按照自然生态系统完整、物种栖息地连通、保护管理统一的原则进行分区管理，合理确定功能定位，优化边界范围和功能分区。</w:t>
      </w:r>
    </w:p>
    <w:p>
      <w:pPr>
        <w:pStyle w:val="4"/>
      </w:pPr>
      <w:r>
        <w:t>四、 统筹发展，有序推进</w:t>
      </w:r>
    </w:p>
    <w:p>
      <w:pPr>
        <w:ind w:firstLine="480"/>
      </w:pPr>
      <w:r>
        <w:t>在充分考虑到湿地公园合理布局的前提下，将湿地公园现有条件比较成熟的区域优先考虑，并将需要恢复的湿地片区分批实施建设。</w:t>
      </w:r>
    </w:p>
    <w:p>
      <w:pPr>
        <w:pStyle w:val="4"/>
      </w:pPr>
      <w:r>
        <w:t>五、 因地制宜，体现特色</w:t>
      </w:r>
    </w:p>
    <w:p>
      <w:pPr>
        <w:ind w:firstLine="480"/>
      </w:pPr>
      <w:r>
        <w:rPr>
          <w:rFonts w:hint="eastAsia"/>
        </w:rPr>
        <w:t>玛纳斯湿地</w:t>
      </w:r>
      <w:r>
        <w:t>公园的规划以自然资源保护为</w:t>
      </w:r>
      <w:r>
        <w:rPr>
          <w:rFonts w:hint="eastAsia"/>
        </w:rPr>
        <w:t>核心</w:t>
      </w:r>
      <w:r>
        <w:t>。以原有地域条件为基础，结合水土、植被等自然要素，综合运用各种生态技术，激发湿地自我更新、恢复的能力，从而保护生物赖以生存的空间，促进湿地生态系统的可持续发展。突出地域景观特色，注重挖掘、展示、利用</w:t>
      </w:r>
      <w:r>
        <w:rPr>
          <w:rFonts w:hint="eastAsia"/>
        </w:rPr>
        <w:t>文化</w:t>
      </w:r>
      <w:r>
        <w:t>资源，</w:t>
      </w:r>
      <w:r>
        <w:rPr>
          <w:rFonts w:hint="eastAsia"/>
        </w:rPr>
        <w:t>凸显</w:t>
      </w:r>
      <w:r>
        <w:t>湿地</w:t>
      </w:r>
      <w:r>
        <w:rPr>
          <w:rFonts w:hint="eastAsia"/>
        </w:rPr>
        <w:t>生态</w:t>
      </w:r>
      <w:r>
        <w:t>文化、民俗及其在生态文明进程中的作用。</w:t>
      </w:r>
    </w:p>
    <w:p>
      <w:pPr>
        <w:pStyle w:val="3"/>
        <w:ind w:firstLine="643"/>
      </w:pPr>
      <w:bookmarkStart w:id="23" w:name="_Toc130121650"/>
      <w:r>
        <w:rPr>
          <w:rFonts w:hint="eastAsia"/>
        </w:rPr>
        <w:t>第五节</w:t>
      </w:r>
      <w:r>
        <w:t xml:space="preserve">  </w:t>
      </w:r>
      <w:r>
        <w:rPr>
          <w:rFonts w:hint="eastAsia"/>
        </w:rPr>
        <w:t>规划依据</w:t>
      </w:r>
      <w:bookmarkEnd w:id="23"/>
    </w:p>
    <w:p>
      <w:pPr>
        <w:pStyle w:val="4"/>
        <w:rPr>
          <w:rFonts w:cs="Times New Roman"/>
        </w:rPr>
      </w:pPr>
      <w:r>
        <w:rPr>
          <w:rFonts w:cs="Times New Roman"/>
        </w:rPr>
        <w:t>一、相关法律法规与标准规范</w:t>
      </w:r>
    </w:p>
    <w:p>
      <w:pPr>
        <w:spacing w:before="120"/>
        <w:ind w:firstLine="480"/>
        <w:rPr>
          <w:rFonts w:cs="Times New Roman"/>
          <w:szCs w:val="21"/>
        </w:rPr>
      </w:pPr>
      <w:r>
        <w:rPr>
          <w:rFonts w:cs="Times New Roman"/>
          <w:szCs w:val="21"/>
        </w:rPr>
        <w:t>《中华人民共和国湿地保护法》；</w:t>
      </w:r>
    </w:p>
    <w:p>
      <w:pPr>
        <w:ind w:firstLine="480"/>
        <w:rPr>
          <w:rFonts w:cs="Times New Roman"/>
        </w:rPr>
      </w:pPr>
      <w:r>
        <w:rPr>
          <w:rFonts w:cs="Times New Roman"/>
          <w:szCs w:val="21"/>
        </w:rPr>
        <w:t>《中华人民共和国森林法》；</w:t>
      </w:r>
    </w:p>
    <w:p>
      <w:pPr>
        <w:ind w:firstLine="480"/>
        <w:rPr>
          <w:rFonts w:hint="eastAsia" w:cs="Times New Roman" w:eastAsiaTheme="minorEastAsia"/>
          <w:lang w:eastAsia="zh-CN"/>
        </w:rPr>
      </w:pPr>
      <w:r>
        <w:rPr>
          <w:rFonts w:cs="Times New Roman"/>
        </w:rPr>
        <w:t>《中华人民共和国环境保护法》</w:t>
      </w:r>
      <w:r>
        <w:rPr>
          <w:rFonts w:hint="eastAsia" w:cs="Times New Roman"/>
          <w:szCs w:val="21"/>
          <w:lang w:eastAsia="zh-CN"/>
        </w:rPr>
        <w:t>；</w:t>
      </w:r>
    </w:p>
    <w:p>
      <w:pPr>
        <w:ind w:firstLine="480"/>
        <w:rPr>
          <w:rFonts w:hint="eastAsia" w:cs="Times New Roman" w:eastAsiaTheme="minorEastAsia"/>
          <w:lang w:eastAsia="zh-CN"/>
        </w:rPr>
      </w:pPr>
      <w:r>
        <w:rPr>
          <w:rFonts w:cs="Times New Roman"/>
        </w:rPr>
        <w:t>《中华人民共和国野生动物保护法》</w:t>
      </w:r>
      <w:r>
        <w:rPr>
          <w:rFonts w:hint="eastAsia" w:cs="Times New Roman"/>
          <w:lang w:eastAsia="zh-CN"/>
        </w:rPr>
        <w:t>；</w:t>
      </w:r>
    </w:p>
    <w:p>
      <w:pPr>
        <w:ind w:firstLine="480"/>
        <w:rPr>
          <w:rFonts w:hint="eastAsia" w:cs="Times New Roman"/>
          <w:szCs w:val="21"/>
          <w:lang w:eastAsia="zh-CN"/>
        </w:rPr>
      </w:pPr>
      <w:r>
        <w:rPr>
          <w:rFonts w:cs="Times New Roman"/>
          <w:szCs w:val="21"/>
        </w:rPr>
        <w:t>《中华人民共和国水法》</w:t>
      </w:r>
      <w:r>
        <w:rPr>
          <w:rFonts w:hint="eastAsia" w:cs="Times New Roman"/>
          <w:szCs w:val="21"/>
          <w:lang w:eastAsia="zh-CN"/>
        </w:rPr>
        <w:t>；</w:t>
      </w:r>
    </w:p>
    <w:p>
      <w:pPr>
        <w:ind w:firstLine="480"/>
        <w:rPr>
          <w:rFonts w:hint="eastAsia" w:cs="Times New Roman"/>
          <w:szCs w:val="21"/>
          <w:lang w:eastAsia="zh-CN"/>
        </w:rPr>
      </w:pPr>
      <w:r>
        <w:rPr>
          <w:rFonts w:cs="Times New Roman"/>
        </w:rPr>
        <w:t>《中华人民共和国城乡规划法》</w:t>
      </w:r>
      <w:r>
        <w:rPr>
          <w:rFonts w:hint="eastAsia" w:cs="Times New Roman"/>
          <w:szCs w:val="21"/>
          <w:lang w:eastAsia="zh-CN"/>
        </w:rPr>
        <w:t>；</w:t>
      </w:r>
    </w:p>
    <w:p>
      <w:pPr>
        <w:ind w:firstLine="480"/>
        <w:rPr>
          <w:rFonts w:hint="eastAsia" w:cs="Times New Roman" w:eastAsiaTheme="minorEastAsia"/>
          <w:lang w:eastAsia="zh-CN"/>
        </w:rPr>
      </w:pPr>
      <w:r>
        <w:rPr>
          <w:rFonts w:cs="Times New Roman"/>
        </w:rPr>
        <w:t>《中华人民共和国环境影响评价法》</w:t>
      </w:r>
      <w:r>
        <w:rPr>
          <w:rFonts w:hint="eastAsia" w:cs="Times New Roman"/>
          <w:szCs w:val="21"/>
          <w:lang w:eastAsia="zh-CN"/>
        </w:rPr>
        <w:t>；</w:t>
      </w:r>
    </w:p>
    <w:p>
      <w:pPr>
        <w:ind w:firstLine="480"/>
        <w:rPr>
          <w:rFonts w:hint="eastAsia" w:cs="Times New Roman" w:eastAsiaTheme="minorEastAsia"/>
          <w:lang w:eastAsia="zh-CN"/>
        </w:rPr>
      </w:pPr>
      <w:r>
        <w:rPr>
          <w:rFonts w:cs="Times New Roman"/>
        </w:rPr>
        <w:t>《湿地保护管理规定》</w:t>
      </w:r>
      <w:r>
        <w:rPr>
          <w:rFonts w:hint="eastAsia" w:cs="Times New Roman"/>
          <w:lang w:eastAsia="zh-CN"/>
        </w:rPr>
        <w:t>；</w:t>
      </w:r>
    </w:p>
    <w:p>
      <w:pPr>
        <w:ind w:firstLine="480"/>
        <w:rPr>
          <w:rFonts w:hint="eastAsia" w:cs="Times New Roman" w:eastAsiaTheme="minorEastAsia"/>
          <w:lang w:eastAsia="zh-CN"/>
        </w:rPr>
      </w:pPr>
      <w:r>
        <w:rPr>
          <w:rFonts w:hint="eastAsia" w:cs="Times New Roman"/>
        </w:rPr>
        <w:t>《湿地保护修复制度方案》</w:t>
      </w:r>
      <w:r>
        <w:rPr>
          <w:rFonts w:hint="eastAsia" w:cs="Times New Roman"/>
          <w:lang w:eastAsia="zh-CN"/>
        </w:rPr>
        <w:t>；</w:t>
      </w:r>
    </w:p>
    <w:p>
      <w:pPr>
        <w:ind w:firstLine="480"/>
        <w:rPr>
          <w:rFonts w:hint="eastAsia" w:cs="Times New Roman" w:eastAsiaTheme="minorEastAsia"/>
          <w:lang w:eastAsia="zh-CN"/>
        </w:rPr>
      </w:pPr>
      <w:r>
        <w:rPr>
          <w:rFonts w:cs="Times New Roman"/>
        </w:rPr>
        <w:t>《新疆维吾尔自治区湿地保护条例》</w:t>
      </w:r>
      <w:r>
        <w:rPr>
          <w:rFonts w:hint="eastAsia" w:cs="Times New Roman"/>
          <w:lang w:eastAsia="zh-CN"/>
        </w:rPr>
        <w:t>；</w:t>
      </w:r>
    </w:p>
    <w:p>
      <w:pPr>
        <w:ind w:firstLine="480"/>
        <w:rPr>
          <w:rFonts w:hint="eastAsia" w:cs="Times New Roman" w:eastAsiaTheme="minorEastAsia"/>
          <w:lang w:eastAsia="zh-CN"/>
        </w:rPr>
      </w:pPr>
      <w:r>
        <w:rPr>
          <w:rFonts w:cs="Times New Roman"/>
        </w:rPr>
        <w:t>《地表水环境质量标准》</w:t>
      </w:r>
      <w:r>
        <w:rPr>
          <w:rFonts w:hint="eastAsia" w:cs="Times New Roman"/>
          <w:lang w:eastAsia="zh-CN"/>
        </w:rPr>
        <w:t>；</w:t>
      </w:r>
    </w:p>
    <w:p>
      <w:pPr>
        <w:ind w:firstLine="480"/>
        <w:rPr>
          <w:rFonts w:hint="eastAsia" w:cs="Times New Roman" w:eastAsiaTheme="minorEastAsia"/>
          <w:lang w:eastAsia="zh-CN"/>
        </w:rPr>
      </w:pPr>
      <w:r>
        <w:rPr>
          <w:rFonts w:hint="eastAsia" w:cs="Times New Roman"/>
        </w:rPr>
        <w:t>《湿地保护工程项目建设标准》</w:t>
      </w:r>
      <w:r>
        <w:rPr>
          <w:rFonts w:hint="eastAsia" w:cs="Times New Roman"/>
          <w:lang w:eastAsia="zh-CN"/>
        </w:rPr>
        <w:t>；</w:t>
      </w:r>
    </w:p>
    <w:p>
      <w:pPr>
        <w:ind w:firstLine="480"/>
        <w:rPr>
          <w:rFonts w:hint="eastAsia" w:cs="Times New Roman" w:eastAsiaTheme="minorEastAsia"/>
          <w:lang w:eastAsia="zh-CN"/>
        </w:rPr>
      </w:pPr>
      <w:r>
        <w:rPr>
          <w:rFonts w:cs="Times New Roman"/>
        </w:rPr>
        <w:t>《国家湿地公园建设规范》</w:t>
      </w:r>
      <w:r>
        <w:rPr>
          <w:rFonts w:hint="eastAsia" w:cs="Times New Roman"/>
          <w:lang w:eastAsia="zh-CN"/>
        </w:rPr>
        <w:t>；</w:t>
      </w:r>
    </w:p>
    <w:p>
      <w:pPr>
        <w:ind w:firstLine="480"/>
        <w:rPr>
          <w:rFonts w:hint="eastAsia" w:cs="Times New Roman" w:eastAsiaTheme="minorEastAsia"/>
          <w:lang w:eastAsia="zh-CN"/>
        </w:rPr>
      </w:pPr>
      <w:r>
        <w:rPr>
          <w:rFonts w:cs="Times New Roman"/>
        </w:rPr>
        <w:t>《国家湿地公园评估标准》</w:t>
      </w:r>
      <w:r>
        <w:rPr>
          <w:rFonts w:hint="eastAsia" w:cs="Times New Roman"/>
          <w:lang w:eastAsia="zh-CN"/>
        </w:rPr>
        <w:t>；</w:t>
      </w:r>
    </w:p>
    <w:p>
      <w:pPr>
        <w:ind w:firstLine="480"/>
        <w:rPr>
          <w:rFonts w:hint="eastAsia" w:cs="Times New Roman" w:eastAsiaTheme="minorEastAsia"/>
          <w:lang w:eastAsia="zh-CN"/>
        </w:rPr>
      </w:pPr>
      <w:r>
        <w:rPr>
          <w:rFonts w:cs="Times New Roman"/>
        </w:rPr>
        <w:t>《国家湿地公园评估</w:t>
      </w:r>
      <w:r>
        <w:rPr>
          <w:rFonts w:hint="eastAsia" w:cs="Times New Roman"/>
        </w:rPr>
        <w:t>评分</w:t>
      </w:r>
      <w:r>
        <w:rPr>
          <w:rFonts w:cs="Times New Roman"/>
        </w:rPr>
        <w:t>标准》</w:t>
      </w:r>
      <w:r>
        <w:rPr>
          <w:rFonts w:hint="eastAsia" w:cs="Times New Roman"/>
          <w:lang w:eastAsia="zh-CN"/>
        </w:rPr>
        <w:t>。</w:t>
      </w:r>
    </w:p>
    <w:p>
      <w:pPr>
        <w:pStyle w:val="4"/>
        <w:rPr>
          <w:rFonts w:cs="Times New Roman"/>
        </w:rPr>
      </w:pPr>
      <w:r>
        <w:rPr>
          <w:rFonts w:cs="Times New Roman"/>
        </w:rPr>
        <w:t>二、相关政府文件及规划</w:t>
      </w:r>
    </w:p>
    <w:p>
      <w:pPr>
        <w:ind w:left="480" w:leftChars="200" w:firstLine="0" w:firstLineChars="0"/>
        <w:rPr>
          <w:rFonts w:hint="eastAsia" w:cs="Times New Roman" w:eastAsiaTheme="minorEastAsia"/>
          <w:lang w:eastAsia="zh-CN"/>
        </w:rPr>
      </w:pPr>
      <w:r>
        <w:rPr>
          <w:rFonts w:cs="Times New Roman"/>
        </w:rPr>
        <w:t>《国家林业局办公室关于进一步加强国家湿地公园建设管理的通知》</w:t>
      </w:r>
      <w:r>
        <w:rPr>
          <w:rFonts w:hint="eastAsia" w:cs="Times New Roman"/>
          <w:lang w:eastAsia="zh-CN"/>
        </w:rPr>
        <w:t>；</w:t>
      </w:r>
    </w:p>
    <w:p>
      <w:pPr>
        <w:ind w:left="480" w:leftChars="200" w:firstLine="0" w:firstLineChars="0"/>
        <w:rPr>
          <w:rFonts w:hint="eastAsia" w:cs="Times New Roman" w:eastAsiaTheme="minorEastAsia"/>
          <w:lang w:eastAsia="zh-CN"/>
        </w:rPr>
      </w:pPr>
      <w:r>
        <w:rPr>
          <w:rFonts w:cs="Times New Roman"/>
        </w:rPr>
        <w:t>《国务院办公厅关于加强湿地保护管理的通知》</w:t>
      </w:r>
      <w:r>
        <w:rPr>
          <w:rFonts w:hint="eastAsia" w:cs="Times New Roman"/>
          <w:lang w:eastAsia="zh-CN"/>
        </w:rPr>
        <w:t>；</w:t>
      </w:r>
    </w:p>
    <w:p>
      <w:pPr>
        <w:ind w:firstLine="480"/>
        <w:rPr>
          <w:rFonts w:hint="eastAsia" w:cs="Times New Roman" w:eastAsiaTheme="minorEastAsia"/>
          <w:lang w:eastAsia="zh-CN"/>
        </w:rPr>
      </w:pPr>
      <w:bookmarkStart w:id="24" w:name="page46"/>
      <w:bookmarkEnd w:id="24"/>
      <w:r>
        <w:rPr>
          <w:rFonts w:cs="Times New Roman"/>
        </w:rPr>
        <w:t>《国家湿地公园管理办法》</w:t>
      </w:r>
      <w:r>
        <w:rPr>
          <w:rFonts w:hint="eastAsia" w:cs="Times New Roman"/>
          <w:lang w:eastAsia="zh-CN"/>
        </w:rPr>
        <w:t>；</w:t>
      </w:r>
    </w:p>
    <w:p>
      <w:pPr>
        <w:ind w:firstLine="480"/>
        <w:rPr>
          <w:rFonts w:hint="eastAsia" w:cs="Times New Roman" w:eastAsiaTheme="minorEastAsia"/>
          <w:lang w:eastAsia="zh-CN"/>
        </w:rPr>
      </w:pPr>
      <w:r>
        <w:rPr>
          <w:rFonts w:cs="Times New Roman"/>
        </w:rPr>
        <w:t>《湿地公园总体规划导则》</w:t>
      </w:r>
      <w:r>
        <w:rPr>
          <w:rFonts w:hint="eastAsia" w:cs="Times New Roman"/>
          <w:lang w:eastAsia="zh-CN"/>
        </w:rPr>
        <w:t>；</w:t>
      </w:r>
    </w:p>
    <w:p>
      <w:pPr>
        <w:ind w:firstLine="480"/>
        <w:rPr>
          <w:rFonts w:hint="eastAsia" w:cs="Times New Roman" w:eastAsiaTheme="minorEastAsia"/>
          <w:lang w:eastAsia="zh-CN"/>
        </w:rPr>
      </w:pPr>
      <w:r>
        <w:rPr>
          <w:rFonts w:cs="Times New Roman"/>
        </w:rPr>
        <w:t>《全国湿地保护工程规划(2004-2030)》</w:t>
      </w:r>
      <w:r>
        <w:rPr>
          <w:rFonts w:hint="eastAsia" w:cs="Times New Roman"/>
          <w:lang w:eastAsia="zh-CN"/>
        </w:rPr>
        <w:t>；</w:t>
      </w:r>
    </w:p>
    <w:p>
      <w:pPr>
        <w:ind w:firstLine="480"/>
        <w:rPr>
          <w:rFonts w:hint="eastAsia" w:cs="Times New Roman" w:eastAsiaTheme="minorEastAsia"/>
          <w:lang w:eastAsia="zh-CN"/>
        </w:rPr>
      </w:pPr>
      <w:r>
        <w:rPr>
          <w:rFonts w:hint="eastAsia" w:cs="Times New Roman"/>
        </w:rPr>
        <w:t>《新疆维吾尔自治区湿地保护与修复工作实施方案》</w:t>
      </w:r>
      <w:r>
        <w:rPr>
          <w:rFonts w:hint="eastAsia" w:cs="Times New Roman"/>
          <w:lang w:eastAsia="zh-CN"/>
        </w:rPr>
        <w:t>；</w:t>
      </w:r>
    </w:p>
    <w:p>
      <w:pPr>
        <w:ind w:firstLine="480"/>
        <w:rPr>
          <w:rFonts w:hint="eastAsia" w:cs="Times New Roman" w:eastAsiaTheme="minorEastAsia"/>
          <w:lang w:eastAsia="zh-CN"/>
        </w:rPr>
      </w:pPr>
      <w:r>
        <w:rPr>
          <w:rFonts w:cs="Times New Roman"/>
        </w:rPr>
        <w:t>《玛纳斯县城总体规划（2013-2030）》</w:t>
      </w:r>
      <w:r>
        <w:rPr>
          <w:rFonts w:hint="eastAsia" w:cs="Times New Roman"/>
          <w:lang w:eastAsia="zh-CN"/>
        </w:rPr>
        <w:t>；</w:t>
      </w:r>
    </w:p>
    <w:p>
      <w:pPr>
        <w:ind w:firstLine="480"/>
        <w:rPr>
          <w:rFonts w:hint="eastAsia" w:cs="Times New Roman" w:eastAsiaTheme="minorEastAsia"/>
          <w:lang w:eastAsia="zh-CN"/>
        </w:rPr>
      </w:pPr>
      <w:r>
        <w:rPr>
          <w:rFonts w:cs="Times New Roman"/>
          <w:szCs w:val="21"/>
        </w:rPr>
        <w:t>《玛纳斯县国民经济和社会发展第十四个五年规划和2035年远景目标纲要》</w:t>
      </w:r>
      <w:r>
        <w:rPr>
          <w:rFonts w:hint="eastAsia" w:cs="Times New Roman"/>
          <w:lang w:eastAsia="zh-CN"/>
        </w:rPr>
        <w:t>；</w:t>
      </w:r>
    </w:p>
    <w:p>
      <w:pPr>
        <w:ind w:firstLine="480"/>
        <w:rPr>
          <w:rFonts w:ascii="宋体" w:hAnsi="宋体"/>
        </w:rPr>
      </w:pPr>
      <w:r>
        <w:rPr>
          <w:rFonts w:cs="Times New Roman"/>
        </w:rPr>
        <w:t>《新疆玛纳斯国家湿地公园总体规划（2011-2018）》</w:t>
      </w:r>
    </w:p>
    <w:p>
      <w:pPr>
        <w:pStyle w:val="3"/>
        <w:ind w:firstLine="643"/>
      </w:pPr>
      <w:bookmarkStart w:id="25" w:name="_Toc130121651"/>
      <w:r>
        <w:rPr>
          <w:rFonts w:hint="eastAsia"/>
        </w:rPr>
        <w:t>第六节</w:t>
      </w:r>
      <w:r>
        <w:t xml:space="preserve">  </w:t>
      </w:r>
      <w:r>
        <w:rPr>
          <w:rFonts w:hint="eastAsia"/>
        </w:rPr>
        <w:t>规划总目标与分期目标</w:t>
      </w:r>
      <w:bookmarkEnd w:id="25"/>
    </w:p>
    <w:p>
      <w:pPr>
        <w:pStyle w:val="4"/>
      </w:pPr>
      <w:r>
        <w:rPr>
          <w:rFonts w:hint="eastAsia"/>
          <w:w w:val="110"/>
        </w:rPr>
        <w:t>一、总体目标</w:t>
      </w:r>
    </w:p>
    <w:p>
      <w:pPr>
        <w:ind w:firstLine="480"/>
        <w:rPr>
          <w:rFonts w:ascii="宋体" w:hAnsi="宋体"/>
        </w:rPr>
      </w:pPr>
      <w:r>
        <w:rPr>
          <w:rFonts w:hint="eastAsia" w:ascii="宋体" w:hAnsi="宋体"/>
        </w:rPr>
        <w:t>全面加强玛纳斯国家湿地的保护，维护其生态系统的生态特性和基本功能，最大限度地发挥玛纳斯国家湿地公园在改善城市生态环境、科学研究、科普教育、休闲游乐和乡土文化展示等方面所具有的生态服务功能，保证湿地资源的可持续利用，实现人与自然的和谐发展，将玛纳斯湿地建设成为具有地域特色、自然环境优美、乡土景观质朴的国家湿地公园</w:t>
      </w:r>
      <w:r>
        <w:rPr>
          <w:rFonts w:ascii="宋体" w:hAnsi="宋体"/>
        </w:rPr>
        <w:t xml:space="preserve"> </w:t>
      </w:r>
      <w:r>
        <w:rPr>
          <w:rFonts w:hint="eastAsia" w:ascii="宋体" w:hAnsi="宋体"/>
        </w:rPr>
        <w:t>。</w:t>
      </w:r>
    </w:p>
    <w:p>
      <w:pPr>
        <w:ind w:firstLine="480"/>
        <w:rPr>
          <w:rFonts w:ascii="宋体" w:hAnsi="宋体"/>
        </w:rPr>
      </w:pPr>
      <w:r>
        <w:rPr>
          <w:rFonts w:hint="eastAsia" w:ascii="宋体" w:hAnsi="宋体"/>
        </w:rPr>
        <w:t>贯彻生态文明发展理念，发挥玛纳斯国家湿地公园等自然保护地在区域生态文明建设中的引领作用，挖掘自然资源的生产力要素功能，凸显其在区域协调发展、产业转型、旅游兴城、文化荣城战略中的地位，服务于玛纳斯县“绿洲生态宜居城市、风景旅游城市和生态低碳示范城市”的发展目标。</w:t>
      </w:r>
    </w:p>
    <w:p>
      <w:pPr>
        <w:pStyle w:val="4"/>
      </w:pPr>
      <w:r>
        <w:rPr>
          <w:rFonts w:hint="eastAsia"/>
          <w:w w:val="110"/>
        </w:rPr>
        <w:t>二、规划期限</w:t>
      </w:r>
    </w:p>
    <w:p>
      <w:pPr>
        <w:ind w:firstLine="503"/>
        <w:rPr>
          <w:w w:val="105"/>
        </w:rPr>
      </w:pPr>
      <w:r>
        <w:rPr>
          <w:rFonts w:hint="eastAsia"/>
          <w:w w:val="105"/>
        </w:rPr>
        <w:t>规划期限为</w:t>
      </w:r>
      <w:r>
        <w:rPr>
          <w:w w:val="105"/>
        </w:rPr>
        <w:t xml:space="preserve"> 20</w:t>
      </w:r>
      <w:r>
        <w:rPr>
          <w:rFonts w:hint="eastAsia"/>
          <w:w w:val="105"/>
        </w:rPr>
        <w:t>23</w:t>
      </w:r>
      <w:r>
        <w:rPr>
          <w:w w:val="105"/>
        </w:rPr>
        <w:t>-20</w:t>
      </w:r>
      <w:r>
        <w:rPr>
          <w:rFonts w:hint="eastAsia"/>
          <w:w w:val="105"/>
        </w:rPr>
        <w:t>30年，共</w:t>
      </w:r>
      <w:r>
        <w:rPr>
          <w:w w:val="105"/>
        </w:rPr>
        <w:t xml:space="preserve"> </w:t>
      </w:r>
      <w:r>
        <w:rPr>
          <w:rFonts w:hint="eastAsia"/>
          <w:w w:val="105"/>
        </w:rPr>
        <w:t>8年。2</w:t>
      </w:r>
      <w:r>
        <w:rPr>
          <w:w w:val="105"/>
        </w:rPr>
        <w:t>0</w:t>
      </w:r>
      <w:r>
        <w:rPr>
          <w:rFonts w:hint="eastAsia"/>
          <w:w w:val="105"/>
        </w:rPr>
        <w:t>22年为基准年。</w:t>
      </w:r>
    </w:p>
    <w:p>
      <w:pPr>
        <w:ind w:firstLine="503"/>
        <w:rPr>
          <w:w w:val="105"/>
        </w:rPr>
      </w:pPr>
      <w:r>
        <w:rPr>
          <w:rFonts w:hint="eastAsia"/>
          <w:w w:val="105"/>
        </w:rPr>
        <w:t>近期阶段为</w:t>
      </w:r>
      <w:r>
        <w:rPr>
          <w:w w:val="105"/>
        </w:rPr>
        <w:t xml:space="preserve"> 20</w:t>
      </w:r>
      <w:r>
        <w:rPr>
          <w:rFonts w:hint="eastAsia"/>
          <w:w w:val="105"/>
        </w:rPr>
        <w:t>23</w:t>
      </w:r>
      <w:r>
        <w:rPr>
          <w:w w:val="105"/>
        </w:rPr>
        <w:t>-20</w:t>
      </w:r>
      <w:r>
        <w:rPr>
          <w:rFonts w:hint="eastAsia"/>
          <w:w w:val="105"/>
        </w:rPr>
        <w:t>25年，远期规划阶段为</w:t>
      </w:r>
      <w:r>
        <w:rPr>
          <w:w w:val="105"/>
        </w:rPr>
        <w:t>202</w:t>
      </w:r>
      <w:r>
        <w:rPr>
          <w:rFonts w:hint="eastAsia"/>
          <w:w w:val="105"/>
        </w:rPr>
        <w:t>6</w:t>
      </w:r>
      <w:r>
        <w:rPr>
          <w:w w:val="105"/>
        </w:rPr>
        <w:t>-20</w:t>
      </w:r>
      <w:r>
        <w:rPr>
          <w:rFonts w:hint="eastAsia"/>
          <w:w w:val="105"/>
        </w:rPr>
        <w:t>30年。</w:t>
      </w:r>
    </w:p>
    <w:p>
      <w:pPr>
        <w:pStyle w:val="4"/>
      </w:pPr>
      <w:r>
        <w:rPr>
          <w:rFonts w:hint="eastAsia"/>
          <w:w w:val="105"/>
        </w:rPr>
        <w:t>三、分期目标</w:t>
      </w:r>
    </w:p>
    <w:p>
      <w:pPr>
        <w:pStyle w:val="5"/>
        <w:rPr>
          <w:w w:val="105"/>
        </w:rPr>
      </w:pPr>
      <w:r>
        <w:rPr>
          <w:rFonts w:hint="eastAsia"/>
          <w:w w:val="105"/>
        </w:rPr>
        <w:t>（一）近期目标</w:t>
      </w:r>
    </w:p>
    <w:p>
      <w:pPr>
        <w:ind w:firstLine="480"/>
        <w:rPr>
          <w:rFonts w:ascii="宋体" w:hAnsi="宋体"/>
        </w:rPr>
      </w:pPr>
      <w:r>
        <w:rPr>
          <w:rFonts w:hint="eastAsia" w:ascii="宋体" w:hAnsi="宋体"/>
        </w:rPr>
        <w:t>加强湿地生态环境的保护，完善保护基础设施，开展退化区生态恢复，加强对湿地生态的科研与监测，形成整体保护框架。开展科普宣教、合理利用基础条件建设，启动夹河子生态地扰动湿地科普教育亚区、新户坪干旱半干旱湿地博览园片区和小海子湿地农业片区建设，创立湿地公园品牌，引导周边社区绿色发展。</w:t>
      </w:r>
    </w:p>
    <w:p>
      <w:pPr>
        <w:pStyle w:val="5"/>
        <w:rPr>
          <w:w w:val="105"/>
        </w:rPr>
      </w:pPr>
      <w:r>
        <w:rPr>
          <w:rFonts w:hint="eastAsia"/>
          <w:w w:val="105"/>
        </w:rPr>
        <w:t>（二）远期目标</w:t>
      </w:r>
    </w:p>
    <w:p>
      <w:pPr>
        <w:ind w:firstLine="480"/>
        <w:rPr>
          <w:rFonts w:ascii="宋体" w:hAnsi="宋体"/>
        </w:rPr>
      </w:pPr>
      <w:r>
        <w:rPr>
          <w:rFonts w:hint="eastAsia" w:ascii="宋体" w:hAnsi="宋体"/>
        </w:rPr>
        <w:t>湿地生境得到有效保护；受损生态系统的恢复工作初见成效；湿地科普宣教活动形成品牌；生态旅游设施得到进一步完善，具有区域影响力。建立起能够自我维持的湿地系统，建立生态、社会、经济协调发展的动态平衡体系。规划期末，湿地公园的湿地率达到</w:t>
      </w:r>
      <w:r>
        <w:rPr>
          <w:rFonts w:ascii="宋体" w:hAnsi="宋体"/>
        </w:rPr>
        <w:t>77</w:t>
      </w:r>
      <w:r>
        <w:rPr>
          <w:rFonts w:hint="eastAsia" w:ascii="宋体" w:hAnsi="宋体"/>
        </w:rPr>
        <w:t>.</w:t>
      </w:r>
      <w:r>
        <w:rPr>
          <w:rFonts w:ascii="宋体" w:hAnsi="宋体"/>
        </w:rPr>
        <w:t>1%</w:t>
      </w:r>
      <w:r>
        <w:rPr>
          <w:rFonts w:hint="eastAsia" w:ascii="宋体" w:hAnsi="宋体"/>
        </w:rPr>
        <w:t>。</w:t>
      </w:r>
    </w:p>
    <w:p>
      <w:pPr>
        <w:pStyle w:val="3"/>
        <w:ind w:firstLine="643"/>
      </w:pPr>
      <w:bookmarkStart w:id="26" w:name="_Toc130121652"/>
      <w:r>
        <w:rPr>
          <w:rFonts w:hint="eastAsia"/>
        </w:rPr>
        <w:t>第七节</w:t>
      </w:r>
      <w:r>
        <w:t xml:space="preserve">  </w:t>
      </w:r>
      <w:r>
        <w:rPr>
          <w:rFonts w:hint="eastAsia"/>
        </w:rPr>
        <w:t>空间管控与功能分区</w:t>
      </w:r>
      <w:bookmarkEnd w:id="26"/>
    </w:p>
    <w:p>
      <w:pPr>
        <w:pStyle w:val="4"/>
      </w:pPr>
      <w:r>
        <w:rPr>
          <w:rFonts w:hint="eastAsia"/>
        </w:rPr>
        <w:t>一、空间管控</w:t>
      </w:r>
    </w:p>
    <w:p>
      <w:pPr>
        <w:pStyle w:val="5"/>
      </w:pPr>
      <w:r>
        <w:rPr>
          <w:rFonts w:hint="eastAsia"/>
        </w:rPr>
        <w:t>（一）建设管控</w:t>
      </w:r>
    </w:p>
    <w:p>
      <w:pPr>
        <w:ind w:firstLine="480"/>
      </w:pPr>
      <w:r>
        <w:rPr>
          <w:rFonts w:hint="eastAsia"/>
        </w:rPr>
        <w:t>《玛纳斯县城总体规划（2</w:t>
      </w:r>
      <w:r>
        <w:t>013</w:t>
      </w:r>
      <w:r>
        <w:rPr>
          <w:rFonts w:hint="eastAsia"/>
        </w:rPr>
        <w:t>-</w:t>
      </w:r>
      <w:r>
        <w:t>2030</w:t>
      </w:r>
      <w:r>
        <w:rPr>
          <w:rFonts w:hint="eastAsia"/>
        </w:rPr>
        <w:t>）》将玛纳斯国家湿地公园作为“一主三副一园、乡村居民点统筹发展”总体格局中“一园”，强调其在区域协调发展中的特殊地位。</w:t>
      </w:r>
    </w:p>
    <w:p>
      <w:pPr>
        <w:numPr>
          <w:ilvl w:val="0"/>
          <w:numId w:val="3"/>
        </w:numPr>
        <w:ind w:firstLine="480"/>
      </w:pPr>
      <w:r>
        <w:rPr>
          <w:rFonts w:hint="eastAsia"/>
        </w:rPr>
        <w:t>统筹石—玛—沙区域的绿洲生态安全格局和水资源利用，重点加强玛纳斯河、塔西河流域的生态环境保护，保障玛纳斯国家湿地公园的建设，促进该区域的可持续发展。</w:t>
      </w:r>
    </w:p>
    <w:p>
      <w:pPr>
        <w:ind w:firstLine="480"/>
      </w:pPr>
      <w:r>
        <w:t>2</w:t>
      </w:r>
      <w:r>
        <w:rPr>
          <w:rFonts w:hint="eastAsia"/>
        </w:rPr>
        <w:t>．</w:t>
      </w:r>
      <w:r>
        <w:t>控制石河子市北工业园工业用地规模，远景应考虑逐步将该工业园用地向北迁址，置换用地作为</w:t>
      </w:r>
      <w:r>
        <w:rPr>
          <w:rFonts w:hint="eastAsia"/>
        </w:rPr>
        <w:t>玛纳斯国家湿地公园的生态、交通和基础设施廊道。</w:t>
      </w:r>
    </w:p>
    <w:p>
      <w:pPr>
        <w:ind w:firstLine="480"/>
      </w:pPr>
      <w:r>
        <w:t>3</w:t>
      </w:r>
      <w:r>
        <w:rPr>
          <w:rFonts w:hint="eastAsia"/>
        </w:rPr>
        <w:t>．按照《玛纳斯湿地公园总体规划》确定的建设控制区和管控要求，推进玛纳斯河沿线地区的污染治理和环境整治，逐步搬迁玛纳斯湿地周边的污染企业，加强规划管理和建设控制。</w:t>
      </w:r>
    </w:p>
    <w:p>
      <w:pPr>
        <w:pStyle w:val="5"/>
      </w:pPr>
      <w:r>
        <w:rPr>
          <w:rFonts w:hint="eastAsia"/>
        </w:rPr>
        <w:t>（二）分级管控</w:t>
      </w:r>
    </w:p>
    <w:p>
      <w:pPr>
        <w:ind w:firstLine="480"/>
      </w:pPr>
      <w:r>
        <w:rPr>
          <w:rFonts w:hint="eastAsia"/>
        </w:rPr>
        <w:t>国家湿地公园保护应符合《玛纳斯国家湿地公园总体规划》相应保护区域的管控和设施建设要求，包括公园范围、一级管控区和二级管控区。</w:t>
      </w:r>
    </w:p>
    <w:p>
      <w:pPr>
        <w:ind w:firstLine="480"/>
      </w:pPr>
      <w:r>
        <w:rPr>
          <w:rFonts w:hint="eastAsia"/>
        </w:rPr>
        <w:t>严格保护玛纳斯国家湿地公园生态保育区，控制玛纳斯河和塔西河两条区域性生态廊道，加强抚育东沙河、六阜渠和莫合渠三条生态连廊。加强湿地水资源的供给和调配，转型疏解湿地上游的污染工业。</w:t>
      </w:r>
    </w:p>
    <w:p>
      <w:pPr>
        <w:ind w:firstLine="480"/>
      </w:pPr>
      <w:r>
        <w:rPr>
          <w:rFonts w:hint="eastAsia"/>
        </w:rPr>
        <w:t>玛纳斯河、塔西河两侧各100</w:t>
      </w:r>
      <w:r>
        <w:t xml:space="preserve"> </w:t>
      </w:r>
      <w:r>
        <w:rPr>
          <w:rFonts w:hint="eastAsia"/>
        </w:rPr>
        <w:t>m。管控措施：</w:t>
      </w: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rPr>
          <w:rFonts w:hint="eastAsia"/>
        </w:rPr>
        <w:t>保护培育现状植被，维持其自然生态环境，为动物提供栖息迁徙区域，加强对水土流失区域植被的培育；</w:t>
      </w: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r>
        <w:rPr>
          <w:rFonts w:hint="eastAsia"/>
        </w:rPr>
        <w:t>逐步搬迁现有范围内工业建筑及设施，严格禁止污水及生活用水直接排放，严格控制周边城镇建设活动，控制农田非点源污染，保护水源水质；</w:t>
      </w: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rPr>
          <w:rFonts w:hint="eastAsia"/>
        </w:rPr>
        <w:t>加强林地建设、湿地恢复，注重与沿线风景资源利用结合，营造特色游憩空间。</w:t>
      </w:r>
    </w:p>
    <w:p>
      <w:pPr>
        <w:ind w:firstLine="480"/>
      </w:pPr>
      <w:r>
        <w:rPr>
          <w:rFonts w:hint="eastAsia"/>
        </w:rPr>
        <w:t>国家湿地公园保护范围，河流水系及其保护区，玛纳斯河、塔西河两侧各100</w:t>
      </w:r>
      <w:r>
        <w:t xml:space="preserve"> </w:t>
      </w:r>
      <w:r>
        <w:rPr>
          <w:rFonts w:hint="eastAsia"/>
        </w:rPr>
        <w:t>m保护区，其他河流、干渠两侧各50</w:t>
      </w:r>
      <w:r>
        <w:t xml:space="preserve"> </w:t>
      </w:r>
      <w:r>
        <w:rPr>
          <w:rFonts w:hint="eastAsia"/>
        </w:rPr>
        <w:t>m保护区内禁止一切非法开发建设活动，严格遵守国家相关法规、条例的规定。</w:t>
      </w:r>
    </w:p>
    <w:p>
      <w:pPr>
        <w:pStyle w:val="4"/>
      </w:pPr>
      <w:r>
        <w:rPr>
          <w:rFonts w:hint="eastAsia"/>
        </w:rPr>
        <w:t>二、功能分区</w:t>
      </w:r>
    </w:p>
    <w:p>
      <w:pPr>
        <w:spacing w:before="120"/>
        <w:ind w:firstLine="480"/>
        <w:rPr>
          <w:rFonts w:cs="Times New Roman"/>
          <w:szCs w:val="21"/>
        </w:rPr>
      </w:pPr>
      <w:r>
        <w:rPr>
          <w:rFonts w:cs="Times New Roman"/>
          <w:szCs w:val="21"/>
        </w:rPr>
        <w:t>原规划编制时间为2011年，有关湿地公园的相关政策尚不完善，湿地公园的功能分区为五个包括生态保育区、恢复重建区、宣教展示区、合理利用区和管理服务区五大分区。2018年实施的《国家湿地公园管理办法》（林湿发〔2017〕150号）以及2022年新颁布《国家湿地公园管理办法》（林湿规〔2022〕3号）的中规定“国家湿地公园应划定保育区。根据自然条件和管理需要，可划分恢复重建区、合理利用区，实行分区管理”、“保育区、恢复重建区的面积之和及其湿地面积之和应分别大于湿地公园总面积、湿地公园湿地总面积的60%”，湿地公园范围及功能区调整应严格按照相关规定执行。</w:t>
      </w:r>
    </w:p>
    <w:p>
      <w:pPr>
        <w:ind w:firstLine="480"/>
      </w:pPr>
      <w:r>
        <w:rPr>
          <w:rFonts w:cs="Times New Roman"/>
          <w:szCs w:val="21"/>
        </w:rPr>
        <w:t>因此，根据调整后范围，对湿地公园功能分区做相应调整，将河道、水库水面</w:t>
      </w:r>
      <w:r>
        <w:rPr>
          <w:rFonts w:hint="eastAsia" w:cs="Times New Roman"/>
          <w:szCs w:val="21"/>
        </w:rPr>
        <w:t>、内陆滩涂</w:t>
      </w:r>
      <w:r>
        <w:rPr>
          <w:rFonts w:cs="Times New Roman"/>
          <w:szCs w:val="21"/>
        </w:rPr>
        <w:t>划定为生态保育区，将人工渠道、城市公园划定为合理利用区，实现湿地公园内生态环境保护和高质量发展。</w:t>
      </w:r>
    </w:p>
    <w:p>
      <w:pPr>
        <w:ind w:firstLine="0" w:firstLineChars="0"/>
        <w:jc w:val="center"/>
        <w:rPr>
          <w:rFonts w:cs="Times New Roman"/>
          <w:sz w:val="22"/>
        </w:rPr>
      </w:pPr>
      <w:r>
        <w:rPr>
          <w:rFonts w:cs="Times New Roman"/>
          <w:sz w:val="22"/>
        </w:rPr>
        <w:t>玛纳斯国家湿地公园功能分区调整对比</w:t>
      </w:r>
    </w:p>
    <w:tbl>
      <w:tblPr>
        <w:tblStyle w:val="25"/>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1204"/>
        <w:gridCol w:w="1597"/>
        <w:gridCol w:w="1681"/>
        <w:gridCol w:w="1307"/>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82" w:type="dxa"/>
            <w:tcBorders>
              <w:bottom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原功能分区</w:t>
            </w:r>
          </w:p>
        </w:tc>
        <w:tc>
          <w:tcPr>
            <w:tcW w:w="1204" w:type="dxa"/>
            <w:tcBorders>
              <w:bottom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原面积（hm²）</w:t>
            </w:r>
          </w:p>
        </w:tc>
        <w:tc>
          <w:tcPr>
            <w:tcW w:w="1597" w:type="dxa"/>
            <w:tcBorders>
              <w:bottom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原占总面积比例（%）</w:t>
            </w:r>
          </w:p>
        </w:tc>
        <w:tc>
          <w:tcPr>
            <w:tcW w:w="1681" w:type="dxa"/>
            <w:tcBorders>
              <w:bottom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调整后功能分区</w:t>
            </w:r>
          </w:p>
        </w:tc>
        <w:tc>
          <w:tcPr>
            <w:tcW w:w="1307" w:type="dxa"/>
            <w:tcBorders>
              <w:bottom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调整后面积（hm²）</w:t>
            </w:r>
          </w:p>
        </w:tc>
        <w:tc>
          <w:tcPr>
            <w:tcW w:w="1491" w:type="dxa"/>
            <w:tcBorders>
              <w:bottom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调整后占总面积比例（%）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生态保育区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1091.55</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23.20%</w:t>
            </w:r>
          </w:p>
        </w:tc>
        <w:tc>
          <w:tcPr>
            <w:tcW w:w="1681" w:type="dxa"/>
            <w:tcBorders>
              <w:top w:val="single" w:color="auto" w:sz="4" w:space="0"/>
              <w:left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生态保育区</w:t>
            </w:r>
          </w:p>
        </w:tc>
        <w:tc>
          <w:tcPr>
            <w:tcW w:w="1307" w:type="dxa"/>
            <w:tcBorders>
              <w:top w:val="single" w:color="auto" w:sz="4" w:space="0"/>
              <w:left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165</w:t>
            </w:r>
            <w:r>
              <w:rPr>
                <w:rFonts w:hint="eastAsia" w:cs="Times New Roman"/>
                <w:sz w:val="20"/>
                <w:szCs w:val="20"/>
                <w:lang w:val="en-US" w:eastAsia="zh-CN"/>
              </w:rPr>
              <w:t>0</w:t>
            </w:r>
            <w:r>
              <w:rPr>
                <w:rFonts w:cs="Times New Roman"/>
                <w:sz w:val="20"/>
                <w:szCs w:val="20"/>
              </w:rPr>
              <w:t>.76</w:t>
            </w:r>
          </w:p>
        </w:tc>
        <w:tc>
          <w:tcPr>
            <w:tcW w:w="1491" w:type="dxa"/>
            <w:tcBorders>
              <w:top w:val="single" w:color="auto" w:sz="4" w:space="0"/>
              <w:left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hint="eastAsia" w:cs="Times New Roman"/>
                <w:sz w:val="20"/>
                <w:szCs w:val="20"/>
              </w:rPr>
              <w:t>45.71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682" w:type="dxa"/>
            <w:tcBorders>
              <w:top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恢复重建区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2411.06</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51.28%</w:t>
            </w:r>
          </w:p>
        </w:tc>
        <w:tc>
          <w:tcPr>
            <w:tcW w:w="1681" w:type="dxa"/>
            <w:tcBorders>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hint="eastAsia" w:cs="Times New Roman"/>
                <w:sz w:val="20"/>
                <w:szCs w:val="20"/>
              </w:rPr>
              <w:t>恢复重建区</w:t>
            </w:r>
          </w:p>
        </w:tc>
        <w:tc>
          <w:tcPr>
            <w:tcW w:w="1307" w:type="dxa"/>
            <w:tcBorders>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705.39</w:t>
            </w:r>
          </w:p>
        </w:tc>
        <w:tc>
          <w:tcPr>
            <w:tcW w:w="1491" w:type="dxa"/>
            <w:tcBorders>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hint="eastAsia" w:cs="Times New Roman"/>
                <w:sz w:val="20"/>
                <w:szCs w:val="20"/>
              </w:rPr>
              <w:t>19.53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宣教展示区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35.12</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2.63%</w:t>
            </w: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合理利用区</w:t>
            </w:r>
          </w:p>
        </w:tc>
        <w:tc>
          <w:tcPr>
            <w:tcW w:w="13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hint="eastAsia" w:cs="Times New Roman"/>
                <w:sz w:val="20"/>
                <w:szCs w:val="20"/>
              </w:rPr>
              <w:t>1255.61</w:t>
            </w:r>
          </w:p>
        </w:tc>
        <w:tc>
          <w:tcPr>
            <w:tcW w:w="14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hint="eastAsia" w:cs="Times New Roman"/>
                <w:sz w:val="20"/>
                <w:szCs w:val="20"/>
              </w:rPr>
              <w:t>34.76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合理利用区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1041.32</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22.14%</w:t>
            </w: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p>
        </w:tc>
        <w:tc>
          <w:tcPr>
            <w:tcW w:w="13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p>
        </w:tc>
        <w:tc>
          <w:tcPr>
            <w:tcW w:w="14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管理服务区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124.65</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spacing w:before="120" w:line="240" w:lineRule="auto"/>
              <w:ind w:firstLine="0" w:firstLineChars="0"/>
              <w:jc w:val="center"/>
              <w:rPr>
                <w:rFonts w:cs="Times New Roman"/>
                <w:sz w:val="20"/>
                <w:szCs w:val="20"/>
              </w:rPr>
            </w:pPr>
            <w:r>
              <w:rPr>
                <w:rFonts w:cs="Times New Roman"/>
                <w:sz w:val="20"/>
                <w:szCs w:val="20"/>
              </w:rPr>
              <w:t>0.75%</w:t>
            </w: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p>
        </w:tc>
        <w:tc>
          <w:tcPr>
            <w:tcW w:w="13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p>
        </w:tc>
        <w:tc>
          <w:tcPr>
            <w:tcW w:w="14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总计</w:t>
            </w:r>
          </w:p>
        </w:tc>
        <w:tc>
          <w:tcPr>
            <w:tcW w:w="1204" w:type="dxa"/>
            <w:tcBorders>
              <w:top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4701.08</w:t>
            </w:r>
          </w:p>
        </w:tc>
        <w:tc>
          <w:tcPr>
            <w:tcW w:w="1597" w:type="dxa"/>
            <w:tcBorders>
              <w:top w:val="single" w:color="auto" w:sz="4" w:space="0"/>
            </w:tcBorders>
            <w:vAlign w:val="center"/>
          </w:tcPr>
          <w:p>
            <w:pPr>
              <w:spacing w:before="120" w:line="240" w:lineRule="auto"/>
              <w:ind w:firstLine="0" w:firstLineChars="0"/>
              <w:jc w:val="center"/>
              <w:rPr>
                <w:rFonts w:cs="Times New Roman"/>
                <w:sz w:val="20"/>
                <w:szCs w:val="20"/>
              </w:rPr>
            </w:pPr>
            <w:r>
              <w:rPr>
                <w:rFonts w:cs="Times New Roman"/>
                <w:sz w:val="20"/>
                <w:szCs w:val="20"/>
              </w:rPr>
              <w:t>100%</w:t>
            </w:r>
          </w:p>
        </w:tc>
        <w:tc>
          <w:tcPr>
            <w:tcW w:w="1681" w:type="dxa"/>
            <w:tcBorders>
              <w:top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合计</w:t>
            </w:r>
          </w:p>
        </w:tc>
        <w:tc>
          <w:tcPr>
            <w:tcW w:w="1307"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hint="eastAsia" w:cs="Times New Roman"/>
                <w:sz w:val="20"/>
                <w:szCs w:val="20"/>
              </w:rPr>
              <w:t>3611.76</w:t>
            </w:r>
          </w:p>
        </w:tc>
        <w:tc>
          <w:tcPr>
            <w:tcW w:w="1491"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120" w:line="240" w:lineRule="auto"/>
              <w:ind w:firstLine="0" w:firstLineChars="0"/>
              <w:jc w:val="center"/>
              <w:rPr>
                <w:rFonts w:cs="Times New Roman"/>
                <w:sz w:val="20"/>
                <w:szCs w:val="20"/>
              </w:rPr>
            </w:pPr>
            <w:r>
              <w:rPr>
                <w:rFonts w:cs="Times New Roman"/>
                <w:sz w:val="20"/>
                <w:szCs w:val="20"/>
              </w:rPr>
              <w:t>100%</w:t>
            </w:r>
          </w:p>
        </w:tc>
      </w:tr>
    </w:tbl>
    <w:p>
      <w:pPr>
        <w:spacing w:line="240" w:lineRule="auto"/>
        <w:ind w:firstLine="0" w:firstLineChars="0"/>
        <w:jc w:val="left"/>
        <w:rPr>
          <w:rFonts w:cs="Times New Roman"/>
          <w:szCs w:val="21"/>
        </w:rPr>
      </w:pPr>
    </w:p>
    <w:p>
      <w:pPr>
        <w:ind w:firstLine="480"/>
      </w:pPr>
      <w:r>
        <w:rPr>
          <w:rFonts w:hint="eastAsia"/>
        </w:rPr>
        <w:t>根据玛纳斯国家湿地公园现状条件及资源特征，为保护湿地生物多样性及打造湿地公园多元体验，依照《国家湿地公园管理办法》，玛纳斯国家湿地公园将分为保育区、恢复重建区和合理利用区三个功能分区。</w:t>
      </w:r>
    </w:p>
    <w:p>
      <w:pPr>
        <w:pStyle w:val="45"/>
      </w:pPr>
      <w:r>
        <w:t>表</w:t>
      </w:r>
      <w:r>
        <w:rPr>
          <w:rFonts w:hAnsi="Arial" w:eastAsia="Arial"/>
        </w:rPr>
        <w:t xml:space="preserve"> </w:t>
      </w:r>
      <w:r>
        <w:rPr>
          <w:rFonts w:hint="eastAsia" w:hAnsi="Arial"/>
        </w:rPr>
        <w:t>5-</w:t>
      </w:r>
      <w:r>
        <w:rPr>
          <w:rFonts w:hAnsi="Arial" w:eastAsia="Arial"/>
        </w:rPr>
        <w:t xml:space="preserve">1 </w:t>
      </w:r>
      <w:r>
        <w:rPr>
          <w:rFonts w:hint="eastAsia"/>
        </w:rPr>
        <w:t>新疆玛纳斯国家湿地公园</w:t>
      </w:r>
      <w:r>
        <w:t>功能分区表</w:t>
      </w:r>
    </w:p>
    <w:tbl>
      <w:tblPr>
        <w:tblStyle w:val="25"/>
        <w:tblW w:w="8962" w:type="dxa"/>
        <w:jc w:val="center"/>
        <w:tblLayout w:type="fixed"/>
        <w:tblCellMar>
          <w:top w:w="0" w:type="dxa"/>
          <w:left w:w="108" w:type="dxa"/>
          <w:bottom w:w="0" w:type="dxa"/>
          <w:right w:w="108" w:type="dxa"/>
        </w:tblCellMar>
      </w:tblPr>
      <w:tblGrid>
        <w:gridCol w:w="1993"/>
        <w:gridCol w:w="1590"/>
        <w:gridCol w:w="1613"/>
        <w:gridCol w:w="1678"/>
        <w:gridCol w:w="2088"/>
      </w:tblGrid>
      <w:tr>
        <w:tblPrEx>
          <w:tblCellMar>
            <w:top w:w="0" w:type="dxa"/>
            <w:left w:w="108" w:type="dxa"/>
            <w:bottom w:w="0" w:type="dxa"/>
            <w:right w:w="108" w:type="dxa"/>
          </w:tblCellMar>
        </w:tblPrEx>
        <w:trPr>
          <w:trHeight w:val="588" w:hRule="atLeast"/>
          <w:jc w:val="center"/>
        </w:trPr>
        <w:tc>
          <w:tcPr>
            <w:tcW w:w="199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cs="Times New Roman"/>
                <w:sz w:val="21"/>
                <w:szCs w:val="21"/>
              </w:rPr>
            </w:pPr>
          </w:p>
        </w:tc>
        <w:tc>
          <w:tcPr>
            <w:tcW w:w="1590" w:type="dxa"/>
            <w:tcBorders>
              <w:top w:val="single" w:color="auto" w:sz="4" w:space="0"/>
              <w:left w:val="nil"/>
              <w:bottom w:val="single" w:color="auto" w:sz="4" w:space="0"/>
              <w:right w:val="single" w:color="auto" w:sz="4" w:space="0"/>
            </w:tcBorders>
            <w:shd w:val="clear" w:color="auto" w:fill="auto"/>
            <w:vAlign w:val="center"/>
          </w:tcPr>
          <w:p>
            <w:pPr>
              <w:ind w:firstLine="0" w:firstLineChars="0"/>
              <w:jc w:val="center"/>
              <w:rPr>
                <w:rFonts w:cs="Times New Roman"/>
                <w:sz w:val="21"/>
                <w:szCs w:val="21"/>
              </w:rPr>
            </w:pPr>
            <w:r>
              <w:rPr>
                <w:rFonts w:cs="Times New Roman"/>
                <w:sz w:val="21"/>
                <w:szCs w:val="21"/>
              </w:rPr>
              <w:t>面积（</w:t>
            </w:r>
            <w:r>
              <w:rPr>
                <w:rFonts w:hint="eastAsia" w:cs="Times New Roman"/>
                <w:sz w:val="21"/>
                <w:szCs w:val="21"/>
              </w:rPr>
              <w:t>k</w:t>
            </w:r>
            <w:r>
              <w:rPr>
                <w:rFonts w:cs="Times New Roman"/>
                <w:sz w:val="21"/>
                <w:szCs w:val="21"/>
              </w:rPr>
              <w:t>m²）</w:t>
            </w:r>
          </w:p>
        </w:tc>
        <w:tc>
          <w:tcPr>
            <w:tcW w:w="1613" w:type="dxa"/>
            <w:tcBorders>
              <w:top w:val="single" w:color="auto" w:sz="4" w:space="0"/>
              <w:left w:val="nil"/>
              <w:bottom w:val="single" w:color="auto" w:sz="4" w:space="0"/>
              <w:right w:val="single" w:color="auto" w:sz="4" w:space="0"/>
            </w:tcBorders>
            <w:shd w:val="clear" w:color="auto" w:fill="auto"/>
            <w:vAlign w:val="center"/>
          </w:tcPr>
          <w:p>
            <w:pPr>
              <w:ind w:firstLine="0" w:firstLineChars="0"/>
              <w:jc w:val="center"/>
              <w:rPr>
                <w:rFonts w:cs="Times New Roman"/>
                <w:sz w:val="21"/>
                <w:szCs w:val="21"/>
              </w:rPr>
            </w:pPr>
            <w:r>
              <w:rPr>
                <w:rFonts w:cs="Times New Roman"/>
                <w:sz w:val="21"/>
                <w:szCs w:val="21"/>
              </w:rPr>
              <w:t>比例（%）</w:t>
            </w:r>
          </w:p>
        </w:tc>
        <w:tc>
          <w:tcPr>
            <w:tcW w:w="1678" w:type="dxa"/>
            <w:tcBorders>
              <w:top w:val="single" w:color="auto" w:sz="4" w:space="0"/>
              <w:left w:val="nil"/>
              <w:bottom w:val="single" w:color="auto" w:sz="4" w:space="0"/>
              <w:right w:val="single" w:color="auto" w:sz="4" w:space="0"/>
            </w:tcBorders>
            <w:shd w:val="clear" w:color="auto" w:fill="auto"/>
            <w:vAlign w:val="center"/>
          </w:tcPr>
          <w:p>
            <w:pPr>
              <w:ind w:firstLine="0" w:firstLineChars="0"/>
              <w:jc w:val="center"/>
              <w:rPr>
                <w:rFonts w:cs="Times New Roman"/>
                <w:sz w:val="21"/>
                <w:szCs w:val="21"/>
              </w:rPr>
            </w:pPr>
            <w:r>
              <w:rPr>
                <w:rFonts w:cs="Times New Roman"/>
                <w:sz w:val="21"/>
                <w:szCs w:val="21"/>
              </w:rPr>
              <w:t>湿地面积（</w:t>
            </w:r>
            <w:r>
              <w:rPr>
                <w:rFonts w:hint="eastAsia" w:cs="Times New Roman"/>
                <w:sz w:val="21"/>
                <w:szCs w:val="21"/>
              </w:rPr>
              <w:t>k</w:t>
            </w:r>
            <w:r>
              <w:rPr>
                <w:rFonts w:cs="Times New Roman"/>
                <w:sz w:val="21"/>
                <w:szCs w:val="21"/>
              </w:rPr>
              <w:t>m²）</w:t>
            </w:r>
          </w:p>
        </w:tc>
        <w:tc>
          <w:tcPr>
            <w:tcW w:w="2088" w:type="dxa"/>
            <w:tcBorders>
              <w:top w:val="single" w:color="auto" w:sz="4" w:space="0"/>
              <w:left w:val="nil"/>
              <w:bottom w:val="single" w:color="auto" w:sz="4" w:space="0"/>
              <w:right w:val="single" w:color="auto" w:sz="4" w:space="0"/>
            </w:tcBorders>
            <w:shd w:val="clear" w:color="auto" w:fill="auto"/>
            <w:vAlign w:val="center"/>
          </w:tcPr>
          <w:p>
            <w:pPr>
              <w:ind w:firstLine="0" w:firstLineChars="0"/>
              <w:jc w:val="center"/>
              <w:rPr>
                <w:rFonts w:cs="Times New Roman"/>
                <w:sz w:val="21"/>
                <w:szCs w:val="21"/>
              </w:rPr>
            </w:pPr>
            <w:r>
              <w:rPr>
                <w:rFonts w:cs="Times New Roman"/>
                <w:sz w:val="21"/>
                <w:szCs w:val="21"/>
              </w:rPr>
              <w:t>比例（%）</w:t>
            </w:r>
          </w:p>
        </w:tc>
      </w:tr>
      <w:tr>
        <w:tblPrEx>
          <w:tblCellMar>
            <w:top w:w="0" w:type="dxa"/>
            <w:left w:w="108" w:type="dxa"/>
            <w:bottom w:w="0" w:type="dxa"/>
            <w:right w:w="108" w:type="dxa"/>
          </w:tblCellMar>
        </w:tblPrEx>
        <w:trPr>
          <w:trHeight w:val="300" w:hRule="atLeast"/>
          <w:jc w:val="center"/>
        </w:trPr>
        <w:tc>
          <w:tcPr>
            <w:tcW w:w="1993" w:type="dxa"/>
            <w:tcBorders>
              <w:top w:val="nil"/>
              <w:left w:val="single" w:color="auto" w:sz="4" w:space="0"/>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生态保育区</w:t>
            </w:r>
          </w:p>
        </w:tc>
        <w:tc>
          <w:tcPr>
            <w:tcW w:w="1590"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16</w:t>
            </w:r>
            <w:r>
              <w:rPr>
                <w:rFonts w:hint="eastAsia" w:cs="Times New Roman"/>
                <w:sz w:val="21"/>
                <w:szCs w:val="21"/>
              </w:rPr>
              <w:t>.</w:t>
            </w:r>
            <w:r>
              <w:rPr>
                <w:rFonts w:cs="Times New Roman"/>
                <w:sz w:val="21"/>
                <w:szCs w:val="21"/>
              </w:rPr>
              <w:t>5</w:t>
            </w:r>
            <w:r>
              <w:rPr>
                <w:rFonts w:hint="eastAsia" w:cs="Times New Roman"/>
                <w:sz w:val="21"/>
                <w:szCs w:val="21"/>
                <w:lang w:val="en-US" w:eastAsia="zh-CN"/>
              </w:rPr>
              <w:t>076</w:t>
            </w:r>
          </w:p>
        </w:tc>
        <w:tc>
          <w:tcPr>
            <w:tcW w:w="1613"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hint="eastAsia" w:cs="Times New Roman"/>
                <w:sz w:val="21"/>
                <w:szCs w:val="21"/>
              </w:rPr>
              <w:t>45.71</w:t>
            </w:r>
          </w:p>
        </w:tc>
        <w:tc>
          <w:tcPr>
            <w:tcW w:w="1678" w:type="dxa"/>
            <w:tcBorders>
              <w:top w:val="nil"/>
              <w:left w:val="nil"/>
              <w:bottom w:val="single" w:color="auto" w:sz="4" w:space="0"/>
              <w:right w:val="single" w:color="auto" w:sz="4" w:space="0"/>
            </w:tcBorders>
            <w:shd w:val="clear" w:color="auto" w:fill="auto"/>
          </w:tcPr>
          <w:p>
            <w:pPr>
              <w:ind w:firstLine="0" w:firstLineChars="0"/>
              <w:jc w:val="center"/>
              <w:rPr>
                <w:rFonts w:cs="Times New Roman"/>
                <w:sz w:val="21"/>
                <w:szCs w:val="21"/>
              </w:rPr>
            </w:pPr>
            <w:r>
              <w:rPr>
                <w:rFonts w:hint="eastAsia" w:cs="Times New Roman"/>
                <w:sz w:val="21"/>
                <w:szCs w:val="21"/>
              </w:rPr>
              <w:t>16.3</w:t>
            </w:r>
            <w:r>
              <w:rPr>
                <w:rFonts w:hint="eastAsia" w:cs="Times New Roman"/>
                <w:sz w:val="21"/>
                <w:szCs w:val="21"/>
                <w:lang w:val="en-US" w:eastAsia="zh-CN"/>
              </w:rPr>
              <w:t>292</w:t>
            </w:r>
          </w:p>
        </w:tc>
        <w:tc>
          <w:tcPr>
            <w:tcW w:w="2088" w:type="dxa"/>
            <w:tcBorders>
              <w:top w:val="nil"/>
              <w:left w:val="nil"/>
              <w:bottom w:val="single" w:color="auto" w:sz="4" w:space="0"/>
              <w:right w:val="single" w:color="auto" w:sz="4" w:space="0"/>
            </w:tcBorders>
            <w:shd w:val="clear" w:color="auto" w:fill="auto"/>
          </w:tcPr>
          <w:p>
            <w:pPr>
              <w:ind w:firstLine="0" w:firstLineChars="0"/>
              <w:jc w:val="center"/>
              <w:rPr>
                <w:rFonts w:cs="Times New Roman"/>
                <w:sz w:val="21"/>
                <w:szCs w:val="21"/>
              </w:rPr>
            </w:pPr>
            <w:r>
              <w:rPr>
                <w:rFonts w:hint="eastAsia" w:cs="Times New Roman"/>
                <w:sz w:val="21"/>
                <w:szCs w:val="21"/>
              </w:rPr>
              <w:t>69.15</w:t>
            </w:r>
          </w:p>
        </w:tc>
      </w:tr>
      <w:tr>
        <w:tblPrEx>
          <w:tblCellMar>
            <w:top w:w="0" w:type="dxa"/>
            <w:left w:w="108" w:type="dxa"/>
            <w:bottom w:w="0" w:type="dxa"/>
            <w:right w:w="108" w:type="dxa"/>
          </w:tblCellMar>
        </w:tblPrEx>
        <w:trPr>
          <w:trHeight w:val="300" w:hRule="atLeast"/>
          <w:jc w:val="center"/>
        </w:trPr>
        <w:tc>
          <w:tcPr>
            <w:tcW w:w="1993" w:type="dxa"/>
            <w:tcBorders>
              <w:top w:val="nil"/>
              <w:left w:val="single" w:color="auto" w:sz="4" w:space="0"/>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恢复重建区</w:t>
            </w:r>
          </w:p>
        </w:tc>
        <w:tc>
          <w:tcPr>
            <w:tcW w:w="1590"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7</w:t>
            </w:r>
            <w:r>
              <w:rPr>
                <w:rFonts w:hint="eastAsia" w:cs="Times New Roman"/>
                <w:sz w:val="21"/>
                <w:szCs w:val="21"/>
              </w:rPr>
              <w:t>.</w:t>
            </w:r>
            <w:r>
              <w:rPr>
                <w:rFonts w:cs="Times New Roman"/>
                <w:sz w:val="21"/>
                <w:szCs w:val="21"/>
              </w:rPr>
              <w:t>05</w:t>
            </w:r>
            <w:r>
              <w:rPr>
                <w:rFonts w:hint="eastAsia" w:cs="Times New Roman"/>
                <w:sz w:val="21"/>
                <w:szCs w:val="21"/>
                <w:lang w:val="en-US" w:eastAsia="zh-CN"/>
              </w:rPr>
              <w:t>39</w:t>
            </w:r>
          </w:p>
        </w:tc>
        <w:tc>
          <w:tcPr>
            <w:tcW w:w="1613"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hint="eastAsia" w:cs="Times New Roman"/>
                <w:sz w:val="21"/>
                <w:szCs w:val="21"/>
              </w:rPr>
              <w:t>19.83</w:t>
            </w:r>
          </w:p>
        </w:tc>
        <w:tc>
          <w:tcPr>
            <w:tcW w:w="1678" w:type="dxa"/>
            <w:tcBorders>
              <w:top w:val="nil"/>
              <w:left w:val="nil"/>
              <w:bottom w:val="single" w:color="auto" w:sz="4" w:space="0"/>
              <w:right w:val="single" w:color="auto" w:sz="4" w:space="0"/>
            </w:tcBorders>
            <w:shd w:val="clear" w:color="auto" w:fill="auto"/>
          </w:tcPr>
          <w:p>
            <w:pPr>
              <w:ind w:firstLine="0" w:firstLineChars="0"/>
              <w:jc w:val="center"/>
              <w:rPr>
                <w:rFonts w:cs="Times New Roman"/>
                <w:sz w:val="21"/>
                <w:szCs w:val="21"/>
              </w:rPr>
            </w:pPr>
            <w:r>
              <w:rPr>
                <w:rFonts w:cs="Times New Roman"/>
                <w:sz w:val="21"/>
                <w:szCs w:val="21"/>
              </w:rPr>
              <w:t>2</w:t>
            </w:r>
            <w:r>
              <w:rPr>
                <w:rFonts w:hint="eastAsia" w:cs="Times New Roman"/>
                <w:sz w:val="21"/>
                <w:szCs w:val="21"/>
              </w:rPr>
              <w:t>.</w:t>
            </w:r>
            <w:r>
              <w:rPr>
                <w:rFonts w:cs="Times New Roman"/>
                <w:sz w:val="21"/>
                <w:szCs w:val="21"/>
              </w:rPr>
              <w:t>47</w:t>
            </w:r>
            <w:r>
              <w:rPr>
                <w:rFonts w:hint="eastAsia" w:cs="Times New Roman"/>
                <w:sz w:val="21"/>
                <w:szCs w:val="21"/>
                <w:lang w:val="en-US" w:eastAsia="zh-CN"/>
              </w:rPr>
              <w:t>13</w:t>
            </w:r>
          </w:p>
        </w:tc>
        <w:tc>
          <w:tcPr>
            <w:tcW w:w="2088" w:type="dxa"/>
            <w:tcBorders>
              <w:top w:val="nil"/>
              <w:left w:val="nil"/>
              <w:bottom w:val="single" w:color="auto" w:sz="4" w:space="0"/>
              <w:right w:val="single" w:color="auto" w:sz="4" w:space="0"/>
            </w:tcBorders>
            <w:shd w:val="clear" w:color="auto" w:fill="auto"/>
          </w:tcPr>
          <w:p>
            <w:pPr>
              <w:ind w:firstLine="0" w:firstLineChars="0"/>
              <w:jc w:val="center"/>
              <w:rPr>
                <w:rFonts w:cs="Times New Roman"/>
                <w:sz w:val="21"/>
                <w:szCs w:val="21"/>
              </w:rPr>
            </w:pPr>
            <w:r>
              <w:rPr>
                <w:rFonts w:hint="eastAsia" w:cs="Times New Roman"/>
                <w:sz w:val="21"/>
                <w:szCs w:val="21"/>
              </w:rPr>
              <w:t>10.46</w:t>
            </w:r>
          </w:p>
        </w:tc>
      </w:tr>
      <w:tr>
        <w:tblPrEx>
          <w:tblCellMar>
            <w:top w:w="0" w:type="dxa"/>
            <w:left w:w="108" w:type="dxa"/>
            <w:bottom w:w="0" w:type="dxa"/>
            <w:right w:w="108" w:type="dxa"/>
          </w:tblCellMar>
        </w:tblPrEx>
        <w:trPr>
          <w:trHeight w:val="300" w:hRule="atLeast"/>
          <w:jc w:val="center"/>
        </w:trPr>
        <w:tc>
          <w:tcPr>
            <w:tcW w:w="1993" w:type="dxa"/>
            <w:tcBorders>
              <w:top w:val="nil"/>
              <w:left w:val="single" w:color="auto" w:sz="4" w:space="0"/>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合理利用区</w:t>
            </w:r>
          </w:p>
        </w:tc>
        <w:tc>
          <w:tcPr>
            <w:tcW w:w="1590"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1</w:t>
            </w:r>
            <w:r>
              <w:rPr>
                <w:rFonts w:hint="eastAsia" w:cs="Times New Roman"/>
                <w:sz w:val="21"/>
                <w:szCs w:val="21"/>
              </w:rPr>
              <w:t>2.55</w:t>
            </w:r>
            <w:r>
              <w:rPr>
                <w:rFonts w:hint="eastAsia" w:cs="Times New Roman"/>
                <w:sz w:val="21"/>
                <w:szCs w:val="21"/>
                <w:lang w:val="en-US" w:eastAsia="zh-CN"/>
              </w:rPr>
              <w:t>61</w:t>
            </w:r>
          </w:p>
        </w:tc>
        <w:tc>
          <w:tcPr>
            <w:tcW w:w="1613"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hint="eastAsia" w:cs="Times New Roman"/>
                <w:sz w:val="21"/>
                <w:szCs w:val="21"/>
              </w:rPr>
              <w:t>34.76</w:t>
            </w:r>
          </w:p>
        </w:tc>
        <w:tc>
          <w:tcPr>
            <w:tcW w:w="1678" w:type="dxa"/>
            <w:tcBorders>
              <w:top w:val="nil"/>
              <w:left w:val="nil"/>
              <w:bottom w:val="single" w:color="auto" w:sz="4" w:space="0"/>
              <w:right w:val="single" w:color="auto" w:sz="4" w:space="0"/>
            </w:tcBorders>
            <w:shd w:val="clear" w:color="auto" w:fill="auto"/>
          </w:tcPr>
          <w:p>
            <w:pPr>
              <w:ind w:firstLine="0" w:firstLineChars="0"/>
              <w:jc w:val="center"/>
              <w:rPr>
                <w:rFonts w:cs="Times New Roman"/>
                <w:sz w:val="21"/>
                <w:szCs w:val="21"/>
              </w:rPr>
            </w:pPr>
            <w:r>
              <w:rPr>
                <w:rFonts w:hint="eastAsia" w:cs="Times New Roman"/>
                <w:sz w:val="21"/>
                <w:szCs w:val="21"/>
              </w:rPr>
              <w:t>4.81</w:t>
            </w:r>
            <w:r>
              <w:rPr>
                <w:rFonts w:hint="eastAsia" w:cs="Times New Roman"/>
                <w:sz w:val="21"/>
                <w:szCs w:val="21"/>
                <w:lang w:val="en-US" w:eastAsia="zh-CN"/>
              </w:rPr>
              <w:t>52</w:t>
            </w:r>
          </w:p>
        </w:tc>
        <w:tc>
          <w:tcPr>
            <w:tcW w:w="2088" w:type="dxa"/>
            <w:tcBorders>
              <w:top w:val="nil"/>
              <w:left w:val="nil"/>
              <w:bottom w:val="single" w:color="auto" w:sz="4" w:space="0"/>
              <w:right w:val="single" w:color="auto" w:sz="4" w:space="0"/>
            </w:tcBorders>
            <w:shd w:val="clear" w:color="auto" w:fill="auto"/>
          </w:tcPr>
          <w:p>
            <w:pPr>
              <w:ind w:firstLine="0" w:firstLineChars="0"/>
              <w:jc w:val="center"/>
              <w:rPr>
                <w:rFonts w:cs="Times New Roman"/>
                <w:sz w:val="21"/>
                <w:szCs w:val="21"/>
              </w:rPr>
            </w:pPr>
            <w:r>
              <w:rPr>
                <w:rFonts w:cs="Times New Roman"/>
                <w:sz w:val="21"/>
                <w:szCs w:val="21"/>
              </w:rPr>
              <w:t>2</w:t>
            </w:r>
            <w:r>
              <w:rPr>
                <w:rFonts w:hint="eastAsia" w:cs="Times New Roman"/>
                <w:sz w:val="21"/>
                <w:szCs w:val="21"/>
              </w:rPr>
              <w:t>0.39</w:t>
            </w:r>
          </w:p>
        </w:tc>
      </w:tr>
      <w:tr>
        <w:tblPrEx>
          <w:tblCellMar>
            <w:top w:w="0" w:type="dxa"/>
            <w:left w:w="108" w:type="dxa"/>
            <w:bottom w:w="0" w:type="dxa"/>
            <w:right w:w="108" w:type="dxa"/>
          </w:tblCellMar>
        </w:tblPrEx>
        <w:trPr>
          <w:trHeight w:val="312" w:hRule="atLeast"/>
          <w:jc w:val="center"/>
        </w:trPr>
        <w:tc>
          <w:tcPr>
            <w:tcW w:w="1993" w:type="dxa"/>
            <w:tcBorders>
              <w:top w:val="nil"/>
              <w:left w:val="single" w:color="auto" w:sz="4" w:space="0"/>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合计</w:t>
            </w:r>
          </w:p>
        </w:tc>
        <w:tc>
          <w:tcPr>
            <w:tcW w:w="1590"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hint="eastAsia" w:cs="Times New Roman"/>
                <w:sz w:val="21"/>
                <w:szCs w:val="21"/>
              </w:rPr>
              <w:t>36.11</w:t>
            </w:r>
            <w:r>
              <w:rPr>
                <w:rFonts w:hint="eastAsia" w:cs="Times New Roman"/>
                <w:sz w:val="21"/>
                <w:szCs w:val="21"/>
                <w:lang w:val="en-US" w:eastAsia="zh-CN"/>
              </w:rPr>
              <w:t>76</w:t>
            </w:r>
          </w:p>
        </w:tc>
        <w:tc>
          <w:tcPr>
            <w:tcW w:w="1613"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100.00</w:t>
            </w:r>
          </w:p>
        </w:tc>
        <w:tc>
          <w:tcPr>
            <w:tcW w:w="1678"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hint="eastAsia" w:cs="Times New Roman"/>
                <w:sz w:val="21"/>
                <w:szCs w:val="21"/>
              </w:rPr>
              <w:t>23.61</w:t>
            </w:r>
            <w:r>
              <w:rPr>
                <w:rFonts w:hint="eastAsia" w:cs="Times New Roman"/>
                <w:sz w:val="21"/>
                <w:szCs w:val="21"/>
                <w:lang w:val="en-US" w:eastAsia="zh-CN"/>
              </w:rPr>
              <w:t>57</w:t>
            </w:r>
          </w:p>
        </w:tc>
        <w:tc>
          <w:tcPr>
            <w:tcW w:w="2088" w:type="dxa"/>
            <w:tcBorders>
              <w:top w:val="nil"/>
              <w:left w:val="nil"/>
              <w:bottom w:val="single" w:color="auto" w:sz="4" w:space="0"/>
              <w:right w:val="single" w:color="auto" w:sz="4" w:space="0"/>
            </w:tcBorders>
            <w:shd w:val="clear" w:color="auto" w:fill="auto"/>
            <w:vAlign w:val="bottom"/>
          </w:tcPr>
          <w:p>
            <w:pPr>
              <w:ind w:firstLine="0" w:firstLineChars="0"/>
              <w:jc w:val="center"/>
              <w:rPr>
                <w:rFonts w:cs="Times New Roman"/>
                <w:sz w:val="21"/>
                <w:szCs w:val="21"/>
              </w:rPr>
            </w:pPr>
            <w:r>
              <w:rPr>
                <w:rFonts w:cs="Times New Roman"/>
                <w:sz w:val="21"/>
                <w:szCs w:val="21"/>
              </w:rPr>
              <w:t>100.00</w:t>
            </w:r>
          </w:p>
        </w:tc>
      </w:tr>
    </w:tbl>
    <w:p>
      <w:pPr>
        <w:pStyle w:val="45"/>
      </w:pPr>
    </w:p>
    <w:p>
      <w:pPr>
        <w:pStyle w:val="5"/>
      </w:pPr>
      <w:r>
        <w:rPr>
          <w:rFonts w:hint="eastAsia"/>
        </w:rPr>
        <w:t>（一）生态保育区</w:t>
      </w:r>
    </w:p>
    <w:p>
      <w:pPr>
        <w:ind w:firstLine="480"/>
      </w:pPr>
      <w:r>
        <w:rPr>
          <w:rFonts w:cs="Times New Roman"/>
          <w:szCs w:val="21"/>
        </w:rPr>
        <w:t>生态保育区</w:t>
      </w:r>
      <w:r>
        <w:rPr>
          <w:rFonts w:hint="eastAsia" w:cs="Times New Roman"/>
          <w:szCs w:val="21"/>
        </w:rPr>
        <w:t>是开展保护、监测等必需的保护管理活动的区域，不进行任何与湿地生态系统保护和管理无关的其他活动，主要保护对象是完整的湿地资源和鸟类栖息地。</w:t>
      </w:r>
      <w:r>
        <w:rPr>
          <w:rFonts w:cs="Times New Roman"/>
          <w:szCs w:val="21"/>
        </w:rPr>
        <w:t>包括属于新户坪水库水面及内陆滩涂、白土坑水库水面及内陆滩涂、塔西河水库水面，规划面积16</w:t>
      </w:r>
      <w:r>
        <w:rPr>
          <w:rFonts w:hint="eastAsia" w:cs="Times New Roman"/>
          <w:szCs w:val="21"/>
        </w:rPr>
        <w:t>.</w:t>
      </w:r>
      <w:r>
        <w:rPr>
          <w:rFonts w:cs="Times New Roman"/>
          <w:szCs w:val="21"/>
        </w:rPr>
        <w:t>5</w:t>
      </w:r>
      <w:r>
        <w:rPr>
          <w:rFonts w:hint="eastAsia" w:cs="Times New Roman"/>
          <w:szCs w:val="21"/>
        </w:rPr>
        <w:t>1k</w:t>
      </w:r>
      <w:r>
        <w:rPr>
          <w:rFonts w:cs="Times New Roman"/>
          <w:szCs w:val="21"/>
        </w:rPr>
        <w:t>m²，占</w:t>
      </w:r>
      <w:r>
        <w:rPr>
          <w:rFonts w:hint="eastAsia" w:cs="Times New Roman"/>
          <w:szCs w:val="21"/>
        </w:rPr>
        <w:t>调整后</w:t>
      </w:r>
      <w:r>
        <w:rPr>
          <w:rFonts w:cs="Times New Roman"/>
          <w:szCs w:val="21"/>
        </w:rPr>
        <w:t>总面积的</w:t>
      </w:r>
      <w:r>
        <w:rPr>
          <w:rFonts w:hint="eastAsia" w:cs="Times New Roman"/>
          <w:sz w:val="21"/>
          <w:szCs w:val="21"/>
        </w:rPr>
        <w:t>45.71</w:t>
      </w:r>
      <w:r>
        <w:rPr>
          <w:rFonts w:cs="Times New Roman"/>
          <w:szCs w:val="21"/>
        </w:rPr>
        <w:t>%。</w:t>
      </w:r>
    </w:p>
    <w:p>
      <w:pPr>
        <w:pStyle w:val="5"/>
      </w:pPr>
      <w:r>
        <w:rPr>
          <w:rFonts w:hint="eastAsia"/>
        </w:rPr>
        <w:t>（二）恢复重建区</w:t>
      </w:r>
    </w:p>
    <w:p>
      <w:pPr>
        <w:ind w:firstLine="480"/>
      </w:pPr>
      <w:r>
        <w:rPr>
          <w:rFonts w:hint="eastAsia" w:cs="Times New Roman"/>
          <w:szCs w:val="21"/>
        </w:rPr>
        <w:t>恢复重建</w:t>
      </w:r>
      <w:r>
        <w:rPr>
          <w:rFonts w:cs="Times New Roman"/>
          <w:szCs w:val="21"/>
        </w:rPr>
        <w:t>区</w:t>
      </w:r>
      <w:r>
        <w:rPr>
          <w:rFonts w:hint="eastAsia" w:cs="Times New Roman"/>
          <w:szCs w:val="21"/>
        </w:rPr>
        <w:t>是指湿地公园内曾经生态系统良好但遭到了一定程度的破坏，并具有恢复潜力的区域。</w:t>
      </w:r>
      <w:r>
        <w:rPr>
          <w:rFonts w:cs="Times New Roman"/>
          <w:szCs w:val="21"/>
        </w:rPr>
        <w:t>包括</w:t>
      </w:r>
      <w:r>
        <w:rPr>
          <w:rFonts w:hint="eastAsia" w:cs="Times New Roman"/>
          <w:szCs w:val="21"/>
        </w:rPr>
        <w:t>夹河子水库北侧胡杨林岛区域、玛纳斯河道中间部分、新户坪水库南侧退耕还湿区域，未来开展退化湿地修复工程，</w:t>
      </w:r>
      <w:r>
        <w:rPr>
          <w:rFonts w:cs="Times New Roman"/>
          <w:szCs w:val="21"/>
        </w:rPr>
        <w:t>规划面积</w:t>
      </w:r>
      <w:r>
        <w:rPr>
          <w:rFonts w:hint="eastAsia" w:cs="Times New Roman"/>
          <w:szCs w:val="21"/>
        </w:rPr>
        <w:t>7.05k</w:t>
      </w:r>
      <w:r>
        <w:rPr>
          <w:rFonts w:cs="Times New Roman"/>
          <w:szCs w:val="21"/>
        </w:rPr>
        <w:t>m²，占规划总面积的</w:t>
      </w:r>
      <w:r>
        <w:rPr>
          <w:rFonts w:hint="eastAsia" w:cs="Times New Roman"/>
          <w:sz w:val="21"/>
          <w:szCs w:val="21"/>
        </w:rPr>
        <w:t>19.83</w:t>
      </w:r>
      <w:r>
        <w:rPr>
          <w:rFonts w:cs="Times New Roman"/>
          <w:szCs w:val="21"/>
        </w:rPr>
        <w:t>%。</w:t>
      </w:r>
    </w:p>
    <w:p>
      <w:pPr>
        <w:pStyle w:val="5"/>
      </w:pPr>
      <w:r>
        <w:rPr>
          <w:rFonts w:hint="eastAsia"/>
        </w:rPr>
        <w:t>（三）合理利用区</w:t>
      </w:r>
    </w:p>
    <w:p>
      <w:pPr>
        <w:ind w:firstLine="480"/>
      </w:pPr>
      <w:r>
        <w:rPr>
          <w:rFonts w:cs="Times New Roman"/>
          <w:szCs w:val="21"/>
        </w:rPr>
        <w:t>合理利用区</w:t>
      </w:r>
      <w:r>
        <w:rPr>
          <w:rFonts w:hint="eastAsia" w:cs="Times New Roman"/>
          <w:szCs w:val="21"/>
        </w:rPr>
        <w:t>指为游客提供认识和体验湿地生态系统的区域，可供开展生态旅游，以及其他不损害湿地生态系统的可利用的区域。</w:t>
      </w:r>
      <w:r>
        <w:rPr>
          <w:rFonts w:cs="Times New Roman"/>
          <w:szCs w:val="21"/>
        </w:rPr>
        <w:t>规划范围包括红柳公园、夹河子水库南侧沼泽草地、夹河子水库南侧鱼塘、莫合渠、老海子</w:t>
      </w:r>
      <w:r>
        <w:rPr>
          <w:rFonts w:hint="eastAsia" w:cs="Times New Roman"/>
          <w:szCs w:val="21"/>
        </w:rPr>
        <w:t>库塘</w:t>
      </w:r>
      <w:r>
        <w:rPr>
          <w:rFonts w:cs="Times New Roman"/>
          <w:szCs w:val="21"/>
        </w:rPr>
        <w:t>、苇坝村</w:t>
      </w:r>
      <w:r>
        <w:rPr>
          <w:rFonts w:hint="eastAsia" w:cs="Times New Roman"/>
          <w:szCs w:val="21"/>
        </w:rPr>
        <w:t>库塘</w:t>
      </w:r>
      <w:r>
        <w:rPr>
          <w:rFonts w:cs="Times New Roman"/>
          <w:szCs w:val="21"/>
        </w:rPr>
        <w:t>及引水渠道、塔西河水库中北部，规划面积</w:t>
      </w:r>
      <w:r>
        <w:rPr>
          <w:rFonts w:cs="Times New Roman"/>
          <w:sz w:val="21"/>
          <w:szCs w:val="21"/>
        </w:rPr>
        <w:t>1</w:t>
      </w:r>
      <w:r>
        <w:rPr>
          <w:rFonts w:hint="eastAsia" w:cs="Times New Roman"/>
          <w:sz w:val="21"/>
          <w:szCs w:val="21"/>
        </w:rPr>
        <w:t>2.55</w:t>
      </w:r>
      <w:r>
        <w:rPr>
          <w:rFonts w:hint="eastAsia" w:cs="Times New Roman"/>
          <w:szCs w:val="21"/>
        </w:rPr>
        <w:t>k</w:t>
      </w:r>
      <w:r>
        <w:rPr>
          <w:rFonts w:cs="Times New Roman"/>
          <w:szCs w:val="21"/>
        </w:rPr>
        <w:t>m²，占规划总面积的</w:t>
      </w:r>
      <w:r>
        <w:rPr>
          <w:rFonts w:hint="eastAsia" w:cs="Times New Roman"/>
          <w:sz w:val="21"/>
          <w:szCs w:val="21"/>
        </w:rPr>
        <w:t>34.76</w:t>
      </w:r>
      <w:r>
        <w:rPr>
          <w:rFonts w:cs="Times New Roman"/>
          <w:szCs w:val="21"/>
        </w:rPr>
        <w:t>%。合理利用区开展以生态展示、科普教育为主，可开展不损害湿地生态系统功能的生态体验及管理服务等活动</w:t>
      </w:r>
      <w:r>
        <w:rPr>
          <w:rFonts w:hint="eastAsia"/>
        </w:rPr>
        <w:t>。</w:t>
      </w:r>
    </w:p>
    <w:p>
      <w:pPr>
        <w:ind w:firstLine="723"/>
        <w:rPr>
          <w:rFonts w:eastAsia="黑体"/>
          <w:b/>
          <w:bCs/>
          <w:kern w:val="44"/>
          <w:sz w:val="36"/>
          <w:szCs w:val="44"/>
        </w:rPr>
      </w:pPr>
    </w:p>
    <w:p>
      <w:pPr>
        <w:pStyle w:val="4"/>
      </w:pPr>
      <w:r>
        <w:rPr>
          <w:rFonts w:hint="eastAsia"/>
        </w:rPr>
        <w:t>三</w:t>
      </w:r>
      <w:r>
        <w:t>、各功能区生态保护</w:t>
      </w:r>
      <w:r>
        <w:rPr>
          <w:rFonts w:hint="eastAsia"/>
        </w:rPr>
        <w:t>目标</w:t>
      </w:r>
    </w:p>
    <w:p>
      <w:pPr>
        <w:pStyle w:val="5"/>
      </w:pPr>
      <w:r>
        <w:rPr>
          <w:rFonts w:hint="eastAsia"/>
        </w:rPr>
        <w:t>（一）</w:t>
      </w:r>
      <w:r>
        <w:t>生态保育区</w:t>
      </w:r>
    </w:p>
    <w:p>
      <w:pPr>
        <w:ind w:firstLine="424" w:firstLineChars="177"/>
      </w:pPr>
      <w:r>
        <w:t>生态保育区域自然生态环境较好，河流湿地特征明显，宜保持原有风貌。本区以</w:t>
      </w:r>
      <w:r>
        <w:rPr>
          <w:rFonts w:hint="eastAsia"/>
        </w:rPr>
        <w:t>西北内陆干旱区</w:t>
      </w:r>
      <w:r>
        <w:t>典型的河流湿地生态系统为主要</w:t>
      </w:r>
      <w:r>
        <w:rPr>
          <w:rFonts w:hint="eastAsia"/>
        </w:rPr>
        <w:t>保护对象</w:t>
      </w:r>
      <w:r>
        <w:t>，保护其原生态特征，由湿地生态系统在纯自然的条件下演替、发育，为湿地动植物物种提供天然的生存繁衍场所。根据需要设置一些小型设施，为各种生物提供栖息场所和迁徙通道。</w:t>
      </w:r>
      <w:r>
        <w:rPr>
          <w:rFonts w:hint="eastAsia"/>
        </w:rPr>
        <w:t>基于保护目的的巡护道路和设施建设采用环保材料，</w:t>
      </w:r>
      <w:r>
        <w:t>应以确保原有生态系统的完整性和最小干扰为前提</w:t>
      </w:r>
      <w:r>
        <w:rPr>
          <w:rFonts w:hint="eastAsia"/>
        </w:rPr>
        <w:t>，</w:t>
      </w:r>
      <w:r>
        <w:t>减少人为活动对生态保</w:t>
      </w:r>
      <w:r>
        <w:rPr>
          <w:rFonts w:hint="eastAsia"/>
        </w:rPr>
        <w:t>育</w:t>
      </w:r>
      <w:r>
        <w:t>区的声、光、气等污染，为野生动植物生存和繁衍创造有利环境</w:t>
      </w:r>
      <w:r>
        <w:rPr>
          <w:rFonts w:hint="eastAsia"/>
        </w:rPr>
        <w:t>，落实草原禁牧和草畜平衡管理相关规定，保障牧民合法权益，科学合理利用草原，做好牧民转移安置工作，细化工作措施，制定专项方案</w:t>
      </w:r>
      <w:r>
        <w:t>。</w:t>
      </w:r>
    </w:p>
    <w:p>
      <w:pPr>
        <w:pStyle w:val="5"/>
      </w:pPr>
      <w:r>
        <w:rPr>
          <w:rFonts w:hint="eastAsia"/>
        </w:rPr>
        <w:t>（二）恢复重建区</w:t>
      </w:r>
    </w:p>
    <w:p>
      <w:pPr>
        <w:ind w:firstLine="480"/>
      </w:pPr>
      <w:r>
        <w:rPr>
          <w:rFonts w:hint="eastAsia"/>
        </w:rPr>
        <w:t>以恢复湿地多种生态系统服务功能为目标，从健康湿地生态系统结构恢复入手，恢复规划区的退化河流、库塘湿地组分，同时为生物多样性营造适宜生境。在具备湿地恢复重建条件的土地，通过水文连通、近自然型驳岸修复、植被恢复、生境营造等生态工程，在水土环境修复基础上，恢复生物多样性，通过建设浅滩、生态鸟岛吸引鸟类来此地繁衍生息。恢复重建区内不设置车辆道路，只进行恢复项目和设置少量保护、监测等设施。</w:t>
      </w:r>
    </w:p>
    <w:p>
      <w:pPr>
        <w:pStyle w:val="5"/>
      </w:pPr>
      <w:r>
        <w:rPr>
          <w:rFonts w:hint="eastAsia"/>
        </w:rPr>
        <w:t>（三）</w:t>
      </w:r>
      <w:r>
        <w:t>合理利用区</w:t>
      </w:r>
    </w:p>
    <w:p>
      <w:pPr>
        <w:ind w:firstLine="424" w:firstLineChars="177"/>
      </w:pPr>
      <w:r>
        <w:t>合理利用区的生态游览项目设置中，游人主要通过游船、木栈道和下切通道进行湿地生境的体验。设施建造遵循自然生态特色，因地制宜，设计一些亲水设施，使人们在这里亲近湿地。文化</w:t>
      </w:r>
      <w:r>
        <w:rPr>
          <w:rFonts w:hint="eastAsia"/>
        </w:rPr>
        <w:t>宣教</w:t>
      </w:r>
      <w:r>
        <w:t>展示项目建设时，利用环保材料和先进的声光技术，尽可能用合成材料制作各种标本，以减少对野外种群的不利影响。通过生境改良、水系沟通等方式，营造自然的水塘和河流湿地景观</w:t>
      </w:r>
      <w:r>
        <w:rPr>
          <w:rFonts w:hint="eastAsia"/>
        </w:rPr>
        <w:t>，构建室外科普宣教基地，</w:t>
      </w:r>
      <w:r>
        <w:t>优先选用本土湿地植物，适当引入本区自然分布、对本地湿地植物不会产生危害的植物种类，突出湿地生物多样性丰富的特点，丰富生态景观。</w:t>
      </w:r>
    </w:p>
    <w:p>
      <w:pPr>
        <w:ind w:firstLine="424" w:firstLineChars="177"/>
        <w:rPr>
          <w:rFonts w:eastAsia="黑体"/>
          <w:b/>
          <w:bCs/>
          <w:kern w:val="44"/>
          <w:sz w:val="36"/>
          <w:szCs w:val="44"/>
        </w:rPr>
      </w:pPr>
      <w:r>
        <w:t>合理利用区</w:t>
      </w:r>
      <w:r>
        <w:rPr>
          <w:rFonts w:hint="eastAsia"/>
        </w:rPr>
        <w:t>中具有科普展示和管理服务功能的</w:t>
      </w:r>
      <w:r>
        <w:t>人工建筑和基础设施的数量与规模应严格控制，密度宜疏不宜密，体量宜小不宜大。注重</w:t>
      </w:r>
      <w:r>
        <w:rPr>
          <w:rFonts w:hint="eastAsia"/>
        </w:rPr>
        <w:t>玛纳斯湿地</w:t>
      </w:r>
      <w:r>
        <w:t>公园内建筑和设施风格与湿地自然景观风貌的协调，兼顾当地传统建筑特点，建筑物的高度</w:t>
      </w:r>
      <w:r>
        <w:rPr>
          <w:rFonts w:hint="eastAsia"/>
        </w:rPr>
        <w:t>和</w:t>
      </w:r>
      <w:r>
        <w:t>造型要与景观相协调。</w:t>
      </w:r>
      <w:r>
        <w:br w:type="page"/>
      </w:r>
    </w:p>
    <w:p>
      <w:pPr>
        <w:pStyle w:val="2"/>
        <w:ind w:firstLine="723"/>
      </w:pPr>
      <w:bookmarkStart w:id="27" w:name="_Toc130121653"/>
      <w:r>
        <w:rPr>
          <w:rFonts w:hint="eastAsia"/>
        </w:rPr>
        <w:t xml:space="preserve">第六章 </w:t>
      </w:r>
      <w:r>
        <w:t xml:space="preserve"> </w:t>
      </w:r>
      <w:r>
        <w:rPr>
          <w:rFonts w:hint="eastAsia"/>
        </w:rPr>
        <w:t>保护与恢复规划</w:t>
      </w:r>
      <w:bookmarkEnd w:id="27"/>
    </w:p>
    <w:p>
      <w:pPr>
        <w:ind w:firstLine="480"/>
      </w:pPr>
      <w:r>
        <w:rPr>
          <w:rFonts w:hint="eastAsia"/>
        </w:rPr>
        <w:t>从保护玛纳斯国家湿地公园复合生态系统的完整性出发，最大限度地保护和恢复湿地公园内优质水源、良好生境、湿地野生动物及其赖以生存的生态系统，以及区域内深厚的文化资源。从政策和技术两个层面，确保水生态和栖息地安全；保证自然资源永续利用；探索自然资源的合理利用途径，发挥生态系统服务功能，使生态保护、经济建设和社区发展进入良性循环，达到人与自然和谐共处目标。</w:t>
      </w:r>
    </w:p>
    <w:p>
      <w:pPr>
        <w:pStyle w:val="3"/>
        <w:ind w:firstLine="643"/>
      </w:pPr>
      <w:bookmarkStart w:id="28" w:name="_Toc130121654"/>
      <w:r>
        <w:rPr>
          <w:rFonts w:hint="eastAsia"/>
        </w:rPr>
        <w:t xml:space="preserve">第一节 </w:t>
      </w:r>
      <w:r>
        <w:t xml:space="preserve"> </w:t>
      </w:r>
      <w:r>
        <w:rPr>
          <w:rFonts w:hint="eastAsia"/>
        </w:rPr>
        <w:t>规划原则</w:t>
      </w:r>
      <w:bookmarkEnd w:id="28"/>
    </w:p>
    <w:p>
      <w:pPr>
        <w:pStyle w:val="4"/>
      </w:pPr>
      <w:r>
        <w:rPr>
          <w:rFonts w:hint="eastAsia"/>
        </w:rPr>
        <w:t>一、生态系统完整性保护</w:t>
      </w:r>
    </w:p>
    <w:p>
      <w:pPr>
        <w:ind w:firstLine="480"/>
      </w:pPr>
      <w:r>
        <w:rPr>
          <w:rFonts w:hint="eastAsia"/>
        </w:rPr>
        <w:t>根据《国家湿地公园管理办法》，玛纳斯湿地保护应坚持生态优先、全面保护原则，保护生态系统完整性。严格禁止不合理地放牧、养殖、捕鱼、采伐、排污等干扰活动，保护湿地原生境。在资源保护基础上，开展科研、宣教和生态旅游，宣传生态文明理念，让全社会都认识到生态环境保护的必要性和意义，发挥更大的经济与社会效益，实现资源、环境保护、湿地公园可持续发展的结合。</w:t>
      </w:r>
    </w:p>
    <w:p>
      <w:pPr>
        <w:pStyle w:val="4"/>
      </w:pPr>
      <w:r>
        <w:rPr>
          <w:rFonts w:hint="eastAsia"/>
        </w:rPr>
        <w:t>二、整体保护与突出重点相结合</w:t>
      </w:r>
    </w:p>
    <w:p>
      <w:pPr>
        <w:ind w:firstLine="480"/>
      </w:pPr>
      <w:r>
        <w:rPr>
          <w:rFonts w:hint="eastAsia"/>
        </w:rPr>
        <w:t>按照“山水林田湖草沙生命共同体”的思想，将玛纳斯国家湿地公园及其周边的湿地、林地和草地生态系统以及人文资源作为整体进行统筹保护，并在结构层次上，采取统一规划下的相对独立保护，突出重点保护的湿地公园区域、地段、目标、对象等，建立起完善协同的流域管理机制，在流域层面实施同步综合保护。</w:t>
      </w:r>
    </w:p>
    <w:p>
      <w:pPr>
        <w:pStyle w:val="4"/>
      </w:pPr>
      <w:r>
        <w:rPr>
          <w:rFonts w:hint="eastAsia"/>
        </w:rPr>
        <w:t>三、综合管理与公众参与相结合</w:t>
      </w:r>
    </w:p>
    <w:p>
      <w:pPr>
        <w:ind w:firstLine="480"/>
      </w:pPr>
      <w:r>
        <w:rPr>
          <w:rFonts w:hint="eastAsia"/>
        </w:rPr>
        <w:t>运用综合生态系统管理的理论与方法来管理玛纳斯国家湿地公园，综合考虑社会、经济、自然的需要和价值，采用多学科知识和方法，运用行政、市场和社会调整机制，来解决资源利用、生态保育和生态退化问题。吸引湿地生态保护区域的居民、牧民共同参与管理，以湿地生态保护为重点，尽量减少人为的景观和人为的干扰，实现人与湿地和谐共处、可持续发展的目标。</w:t>
      </w:r>
    </w:p>
    <w:p>
      <w:pPr>
        <w:pStyle w:val="3"/>
        <w:ind w:firstLine="643"/>
      </w:pPr>
      <w:bookmarkStart w:id="29" w:name="_Toc130121655"/>
      <w:r>
        <w:rPr>
          <w:rFonts w:hint="eastAsia"/>
        </w:rPr>
        <w:t xml:space="preserve">第二节 </w:t>
      </w:r>
      <w:r>
        <w:t xml:space="preserve"> </w:t>
      </w:r>
      <w:r>
        <w:rPr>
          <w:rFonts w:hint="eastAsia"/>
        </w:rPr>
        <w:t>保护对象与保护策略</w:t>
      </w:r>
      <w:bookmarkEnd w:id="29"/>
    </w:p>
    <w:p>
      <w:pPr>
        <w:pStyle w:val="4"/>
        <w:numPr>
          <w:ilvl w:val="0"/>
          <w:numId w:val="4"/>
        </w:numPr>
      </w:pPr>
      <w:r>
        <w:rPr>
          <w:rFonts w:hint="eastAsia"/>
        </w:rPr>
        <w:t>保护对象</w:t>
      </w:r>
    </w:p>
    <w:p>
      <w:pPr>
        <w:ind w:firstLine="480"/>
      </w:pPr>
      <w:r>
        <w:rPr>
          <w:rFonts w:hint="eastAsia"/>
        </w:rPr>
        <w:t>玛纳斯国家湿地公园是一个以保护湿地生态系统及其生存的各种珍稀鸟类 为主的综合性湿地公园，主要保护对象是区内的各类湿地资源和野生动植物，重点是栖息、繁殖和迁徙过境的众多水禽。公园内具有广阔的水域、滩涂和湿生植被， 是众多鸟类栖息、繁殖的理想场所，是许多国际性迁徙水禽的重要停歇地，是从事鸟类生态学研究和进行湖泊生态系统演变规律研究的理想场所。鸟类资源主要分布在夹子河水库、大海子水库以及白土坑水库南部潜流滩涂区域。</w:t>
      </w:r>
    </w:p>
    <w:p>
      <w:pPr>
        <w:pStyle w:val="4"/>
      </w:pPr>
      <w:r>
        <w:rPr>
          <w:rFonts w:hint="eastAsia"/>
        </w:rPr>
        <w:t>二</w:t>
      </w:r>
      <w:r>
        <w:t>、规范湿地公园管理</w:t>
      </w:r>
    </w:p>
    <w:p>
      <w:pPr>
        <w:ind w:firstLine="424" w:firstLineChars="177"/>
      </w:pPr>
      <w:r>
        <w:t>为加强湿地公园的科学规范有效管理，需要成立</w:t>
      </w:r>
      <w:r>
        <w:rPr>
          <w:rFonts w:hint="eastAsia"/>
        </w:rPr>
        <w:t>玛纳斯国家湿地公园保护管理</w:t>
      </w:r>
      <w:r>
        <w:t>站</w:t>
      </w:r>
      <w:r>
        <w:rPr>
          <w:rFonts w:hint="eastAsia"/>
        </w:rPr>
        <w:t>点，实行分区保护</w:t>
      </w:r>
      <w:r>
        <w:t>。采用</w:t>
      </w:r>
      <w:r>
        <w:rPr>
          <w:rFonts w:hint="eastAsia"/>
        </w:rPr>
        <w:t>以湿地公园</w:t>
      </w:r>
      <w:r>
        <w:t>保护管理</w:t>
      </w:r>
      <w:r>
        <w:rPr>
          <w:rFonts w:hint="eastAsia"/>
        </w:rPr>
        <w:t>局</w:t>
      </w:r>
      <w:r>
        <w:t>统管</w:t>
      </w:r>
      <w:r>
        <w:rPr>
          <w:rFonts w:hint="eastAsia"/>
        </w:rPr>
        <w:t>、</w:t>
      </w:r>
      <w:r>
        <w:t>各保护</w:t>
      </w:r>
      <w:r>
        <w:rPr>
          <w:rFonts w:hint="eastAsia"/>
        </w:rPr>
        <w:t>站</w:t>
      </w:r>
      <w:r>
        <w:t>点分区管理的组织方式进行，根据分区内的资源情况明确保护管理范围、管理内容和重点保护目标。在公园的界限外围采用水沟、绿篱，设立界碑、界桩</w:t>
      </w:r>
      <w:r>
        <w:rPr>
          <w:rFonts w:hint="eastAsia"/>
        </w:rPr>
        <w:t>，</w:t>
      </w:r>
      <w:r>
        <w:t>明确界限</w:t>
      </w:r>
      <w:r>
        <w:rPr>
          <w:rFonts w:hint="eastAsia"/>
        </w:rPr>
        <w:t>，</w:t>
      </w:r>
      <w:r>
        <w:t>便于管理。</w:t>
      </w:r>
    </w:p>
    <w:p>
      <w:pPr>
        <w:pStyle w:val="4"/>
      </w:pPr>
      <w:r>
        <w:rPr>
          <w:rFonts w:hint="eastAsia"/>
        </w:rPr>
        <w:t>三</w:t>
      </w:r>
      <w:r>
        <w:t>、建立健全湿地公园保护管理制度</w:t>
      </w:r>
    </w:p>
    <w:p>
      <w:pPr>
        <w:pStyle w:val="5"/>
      </w:pPr>
      <w:r>
        <w:rPr>
          <w:rFonts w:hint="eastAsia"/>
        </w:rPr>
        <w:t>（一）</w:t>
      </w:r>
      <w:r>
        <w:t>严格执行国家湿地公园管理办法</w:t>
      </w:r>
    </w:p>
    <w:p>
      <w:pPr>
        <w:ind w:firstLine="424" w:firstLineChars="177"/>
      </w:pPr>
      <w:r>
        <w:rPr>
          <w:rFonts w:hint="eastAsia"/>
        </w:rPr>
        <w:t>严格按照</w:t>
      </w:r>
      <w:r>
        <w:t>《</w:t>
      </w:r>
      <w:r>
        <w:rPr>
          <w:rFonts w:hint="eastAsia"/>
        </w:rPr>
        <w:t>新疆玛纳斯国家湿地公园保护条例</w:t>
      </w:r>
      <w:r>
        <w:t>》，保护湿地公园内生物资源，严禁在湿地公园内砍伐林木、毁坏植被，保护水域内的鱼虾、飞禽等</w:t>
      </w:r>
      <w:r>
        <w:rPr>
          <w:rFonts w:hint="eastAsia"/>
        </w:rPr>
        <w:t>野生</w:t>
      </w:r>
      <w:r>
        <w:t>动物，禁止擅自捕钓。在湿地公园内禁止放牧、狩猎、捕鸟等活动。在湿地公园内不得新建、扩建与湿地保护无关的建筑物。</w:t>
      </w:r>
    </w:p>
    <w:p>
      <w:pPr>
        <w:pStyle w:val="5"/>
      </w:pPr>
      <w:r>
        <w:rPr>
          <w:rFonts w:hint="eastAsia"/>
        </w:rPr>
        <w:t>（二）</w:t>
      </w:r>
      <w:r>
        <w:t>建立完善的巡护、防火制度</w:t>
      </w:r>
    </w:p>
    <w:p>
      <w:pPr>
        <w:ind w:firstLine="424" w:firstLineChars="177"/>
      </w:pPr>
      <w:r>
        <w:t>树立以预防为主，积极扑灭的指导思想，建立健全严格用火防火制度。加强保护管理站、监测站等岗位值班管理，按规定线路</w:t>
      </w:r>
      <w:r>
        <w:rPr>
          <w:rFonts w:hint="eastAsia"/>
        </w:rPr>
        <w:t>巡护</w:t>
      </w:r>
      <w:r>
        <w:t>，加强职业道德教育，强化相关人员的巡护、防火责任意识，实行巡护和防火责任制。组建应对突发事件的突击队伍，制止偷猎、盗伐事件；认真做好巡护日志和防火日志。</w:t>
      </w:r>
    </w:p>
    <w:p>
      <w:pPr>
        <w:pStyle w:val="5"/>
      </w:pPr>
      <w:r>
        <w:rPr>
          <w:rFonts w:hint="eastAsia"/>
        </w:rPr>
        <w:t>（三）</w:t>
      </w:r>
      <w:r>
        <w:t>建立</w:t>
      </w:r>
      <w:r>
        <w:rPr>
          <w:rFonts w:hint="eastAsia"/>
        </w:rPr>
        <w:t>玛纳斯国家湿地公园</w:t>
      </w:r>
      <w:r>
        <w:t>档案制度</w:t>
      </w:r>
    </w:p>
    <w:p>
      <w:pPr>
        <w:ind w:firstLine="424" w:firstLineChars="177"/>
      </w:pPr>
      <w:r>
        <w:t>档案是一切管理、经营、决策、科研、交流等活动的重要凭证与依据，湿地公园应着重对建设规划、湿地保护、防火、有害生物防治、保护古树名木、珍稀动植物种群活动情况、科研工作及成果进行建档管理，逐年检查复核；做好气候、水文、地质、生境观察记录并归档。</w:t>
      </w:r>
    </w:p>
    <w:p>
      <w:pPr>
        <w:pStyle w:val="5"/>
      </w:pPr>
      <w:r>
        <w:rPr>
          <w:rFonts w:hint="eastAsia"/>
        </w:rPr>
        <w:t>（四）</w:t>
      </w:r>
      <w:r>
        <w:t>建立社区共建联防保护制度</w:t>
      </w:r>
    </w:p>
    <w:p>
      <w:pPr>
        <w:ind w:firstLine="424" w:firstLineChars="177"/>
      </w:pPr>
      <w:r>
        <w:t>在广泛宣传发动基础上，与周边</w:t>
      </w:r>
      <w:r>
        <w:rPr>
          <w:rFonts w:hint="eastAsia"/>
        </w:rPr>
        <w:t>社区</w:t>
      </w:r>
      <w:r>
        <w:t>基层组织、旅游社团及学校建立联防保护组织，广泛发动群众，动员社区职工及周边民众自觉加入到保护工作中来，形成全社区共同保护自然环境的良好社会风尚。建立以湿地公园管理人员为骨干，广大群众积极参与的自然保护联防网络，使各项保护内容均得到有效的保护。</w:t>
      </w:r>
    </w:p>
    <w:p>
      <w:pPr>
        <w:pStyle w:val="4"/>
      </w:pPr>
      <w:r>
        <w:rPr>
          <w:rFonts w:hint="eastAsia"/>
        </w:rPr>
        <w:t>四</w:t>
      </w:r>
      <w:r>
        <w:t>、加强湿地公园保护的宣传教育</w:t>
      </w:r>
    </w:p>
    <w:p>
      <w:pPr>
        <w:pStyle w:val="5"/>
      </w:pPr>
      <w:r>
        <w:rPr>
          <w:rFonts w:hint="eastAsia"/>
        </w:rPr>
        <w:t>（一）</w:t>
      </w:r>
      <w:r>
        <w:t>建立宣传教育制度</w:t>
      </w:r>
    </w:p>
    <w:p>
      <w:pPr>
        <w:ind w:firstLine="480"/>
      </w:pPr>
      <w:r>
        <w:t>通过设置宣传、广告牌，印制、分发宣传手册，举办保护讲座和法律培训，开展科普教育，每年定期开展电视、广播、演讲等宣传活动，增强广大群众爱护自然、保护自然的意识。</w:t>
      </w:r>
    </w:p>
    <w:p>
      <w:pPr>
        <w:pStyle w:val="5"/>
      </w:pPr>
      <w:r>
        <w:rPr>
          <w:rFonts w:hint="eastAsia"/>
        </w:rPr>
        <w:t>（二）</w:t>
      </w:r>
      <w:r>
        <w:t>广泛开展宣教工作</w:t>
      </w:r>
    </w:p>
    <w:p>
      <w:pPr>
        <w:ind w:firstLine="480"/>
      </w:pPr>
      <w:r>
        <w:t>宣传教育工作是提高保护工作效率的重要手段，在宣传教育过程中提高专业管理人员的素质，增加周边社区公众的保护意识。在湿地公园外围人为活动比较频繁的地方和旅游路线上，设立宣传界牌，向公众宣传湿地公园及其管理规定，加强对游客的宣传教育工作。</w:t>
      </w:r>
    </w:p>
    <w:p>
      <w:pPr>
        <w:pStyle w:val="4"/>
      </w:pPr>
      <w:r>
        <w:rPr>
          <w:rFonts w:hint="eastAsia"/>
        </w:rPr>
        <w:t>五</w:t>
      </w:r>
      <w:r>
        <w:t>、加强湿地公园外围环境管理</w:t>
      </w:r>
    </w:p>
    <w:p>
      <w:pPr>
        <w:ind w:firstLine="422" w:firstLineChars="176"/>
      </w:pPr>
      <w:r>
        <w:t>湿地是开放的自然生态系统，对于</w:t>
      </w:r>
      <w:r>
        <w:rPr>
          <w:rFonts w:hint="eastAsia"/>
        </w:rPr>
        <w:t>玛纳斯国家湿地公园</w:t>
      </w:r>
      <w:r>
        <w:t>的保护，不仅局限于对湿地公园区内进行保护，需要对</w:t>
      </w:r>
      <w:r>
        <w:rPr>
          <w:rFonts w:hint="eastAsia"/>
        </w:rPr>
        <w:t>玛纳斯国家湿地公园</w:t>
      </w:r>
      <w:r>
        <w:t>范围内、外进行统一保护，主要针对</w:t>
      </w:r>
      <w:r>
        <w:rPr>
          <w:rFonts w:hint="eastAsia"/>
        </w:rPr>
        <w:t>玛纳斯河</w:t>
      </w:r>
      <w:r>
        <w:t>上游地段及周边环境，主要保护措施包括：</w:t>
      </w:r>
    </w:p>
    <w:p>
      <w:pPr>
        <w:pStyle w:val="5"/>
      </w:pPr>
      <w:r>
        <w:rPr>
          <w:rFonts w:hint="eastAsia"/>
        </w:rPr>
        <w:t>（一）</w:t>
      </w:r>
      <w:r>
        <w:t>严控污染源</w:t>
      </w:r>
    </w:p>
    <w:p>
      <w:pPr>
        <w:ind w:firstLine="422" w:firstLineChars="176"/>
      </w:pPr>
      <w:r>
        <w:rPr>
          <w:rFonts w:hint="eastAsia"/>
        </w:rPr>
        <w:t>玛纳斯河、塔西河</w:t>
      </w:r>
      <w:r>
        <w:t>及水系上游地段内不能新建严重污染环境的工厂企业。保护生态环境，</w:t>
      </w:r>
      <w:r>
        <w:rPr>
          <w:rFonts w:hint="eastAsia"/>
        </w:rPr>
        <w:t>玛纳斯湿地</w:t>
      </w:r>
      <w:r>
        <w:t>公园周边居民点的污水、烟尘和有害气体排放，不得超过环保部门规定的排放标准。游人进入湿地公园需乘环保交通工具。</w:t>
      </w:r>
    </w:p>
    <w:p>
      <w:pPr>
        <w:pStyle w:val="5"/>
      </w:pPr>
      <w:r>
        <w:rPr>
          <w:rFonts w:hint="eastAsia"/>
        </w:rPr>
        <w:t>（二）</w:t>
      </w:r>
      <w:r>
        <w:t>保护野生动植物资源</w:t>
      </w:r>
    </w:p>
    <w:p>
      <w:pPr>
        <w:ind w:firstLine="422" w:firstLineChars="176"/>
      </w:pPr>
      <w:r>
        <w:t>保护</w:t>
      </w:r>
      <w:r>
        <w:rPr>
          <w:rFonts w:hint="eastAsia"/>
        </w:rPr>
        <w:t>玛纳斯河</w:t>
      </w:r>
      <w:r>
        <w:t>流域内动植物，不得毁林垦荒，破坏</w:t>
      </w:r>
      <w:r>
        <w:rPr>
          <w:rFonts w:hint="eastAsia"/>
        </w:rPr>
        <w:t>原生</w:t>
      </w:r>
      <w:r>
        <w:t>植被，不准狩猎、捕鸟、过牧。</w:t>
      </w:r>
    </w:p>
    <w:p>
      <w:pPr>
        <w:pStyle w:val="5"/>
      </w:pPr>
      <w:r>
        <w:rPr>
          <w:rFonts w:hint="eastAsia"/>
        </w:rPr>
        <w:t>（三）</w:t>
      </w:r>
      <w:r>
        <w:t>合理土地利用</w:t>
      </w:r>
    </w:p>
    <w:p>
      <w:pPr>
        <w:ind w:firstLine="480"/>
      </w:pPr>
      <w:r>
        <w:rPr>
          <w:rFonts w:hint="eastAsia"/>
        </w:rPr>
        <w:t>通过兵地联动机制，</w:t>
      </w:r>
      <w:r>
        <w:t>尽量压缩</w:t>
      </w:r>
      <w:r>
        <w:rPr>
          <w:rFonts w:hint="eastAsia"/>
        </w:rPr>
        <w:t>玛纳斯湿地</w:t>
      </w:r>
      <w:r>
        <w:t>公园周边工厂企业、居住建筑以及其它单位的开发用地，周边建筑物必须满足国家湿地公园景观控制的要求。</w:t>
      </w:r>
    </w:p>
    <w:p>
      <w:pPr>
        <w:pStyle w:val="4"/>
      </w:pPr>
      <w:r>
        <w:rPr>
          <w:rFonts w:hint="eastAsia"/>
        </w:rPr>
        <w:t>六</w:t>
      </w:r>
      <w:r>
        <w:t>、发展生态经济，发动社区参与式管理</w:t>
      </w:r>
    </w:p>
    <w:p>
      <w:pPr>
        <w:ind w:firstLine="480"/>
      </w:pPr>
      <w:r>
        <w:t>受经济发展模式的制约，</w:t>
      </w:r>
      <w:r>
        <w:rPr>
          <w:rFonts w:hint="eastAsia"/>
        </w:rPr>
        <w:t>玛纳斯国家湿地公园</w:t>
      </w:r>
      <w:r>
        <w:t>周边的社区居民、牧民对湿地的资源有很大程度上的依赖，因此应积极探索社区发展模式，</w:t>
      </w:r>
      <w:r>
        <w:rPr>
          <w:rFonts w:hint="eastAsia"/>
        </w:rPr>
        <w:t>挖掘自然资源的生产力要素功能，积极</w:t>
      </w:r>
      <w:r>
        <w:t>探索合理利用资源的有效途径，积极发展生态经济，优化产业结构，使自然资源的保护与周边经济协调发展。</w:t>
      </w:r>
    </w:p>
    <w:p>
      <w:pPr>
        <w:pStyle w:val="3"/>
        <w:ind w:firstLine="643"/>
      </w:pPr>
      <w:bookmarkStart w:id="30" w:name="_Toc130121656"/>
      <w:r>
        <w:rPr>
          <w:rFonts w:hint="eastAsia"/>
        </w:rPr>
        <w:t>第三节  水资源保障规划</w:t>
      </w:r>
      <w:bookmarkEnd w:id="30"/>
    </w:p>
    <w:p>
      <w:pPr>
        <w:pStyle w:val="4"/>
      </w:pPr>
      <w:bookmarkStart w:id="31" w:name="_Toc126695550"/>
      <w:r>
        <w:rPr>
          <w:rFonts w:hint="eastAsia"/>
        </w:rPr>
        <w:t>一、</w:t>
      </w:r>
      <w:bookmarkStart w:id="32" w:name="_Toc126695534"/>
      <w:r>
        <w:rPr>
          <w:rFonts w:hint="eastAsia"/>
        </w:rPr>
        <w:t>水资源开发利用现状</w:t>
      </w:r>
      <w:bookmarkEnd w:id="32"/>
    </w:p>
    <w:p>
      <w:pPr>
        <w:pStyle w:val="91"/>
        <w:ind w:firstLine="480"/>
      </w:pPr>
      <w:r>
        <w:rPr>
          <w:rFonts w:hint="eastAsia"/>
        </w:rPr>
        <w:t>1、地表水</w:t>
      </w:r>
    </w:p>
    <w:p>
      <w:pPr>
        <w:pStyle w:val="91"/>
        <w:ind w:firstLine="480"/>
      </w:pPr>
      <w:r>
        <w:rPr>
          <w:rFonts w:hint="eastAsia"/>
        </w:rPr>
        <w:t>玛纳斯河干流山区</w:t>
      </w:r>
      <w:r>
        <w:t>(红山嘴水文站以上)集水面积5156km²。玛纳斯河多年平均径流量13.41亿m³（红山嘴站）（1956～2013年），红山嘴断面春季（3月～5月）径流量占全年9.5%，夏季（6月～8月）径流量占67.2%，秋季（9月～11</w:t>
      </w:r>
      <w:r>
        <w:rPr>
          <w:rFonts w:hint="eastAsia"/>
        </w:rPr>
        <w:t>月）占</w:t>
      </w:r>
      <w:r>
        <w:t>16.9%，冬季（12月～2月）只占全年径流量的6.4%；连续最大四个月径流（6月～9月），占全年径流量的76.6%，连续最小三个月（1月～3月）径流量占全年径流量的6.1%。</w:t>
      </w:r>
    </w:p>
    <w:p>
      <w:pPr>
        <w:pStyle w:val="91"/>
        <w:ind w:firstLine="480"/>
      </w:pPr>
      <w:r>
        <w:rPr>
          <w:rFonts w:hint="eastAsia"/>
        </w:rPr>
        <w:t>玛纳斯河为山溪性河流，洪水的成因以高温期的冰川及永久性积雪融化为主，以降水补给为辅，洪水特征主要为峰不高但量大，持续时间长，时间和水量集中和峰型多变。洪水主要集中于</w:t>
      </w:r>
      <w:r>
        <w:t>7、8月份的汛期内，历年最大洪峰流量发生于7、8月份的占到绝大多数。</w:t>
      </w:r>
    </w:p>
    <w:p>
      <w:pPr>
        <w:pStyle w:val="91"/>
        <w:ind w:firstLine="480"/>
      </w:pPr>
      <w:r>
        <w:rPr>
          <w:rFonts w:hint="eastAsia"/>
        </w:rPr>
        <w:t>根据玛纳斯县</w:t>
      </w:r>
      <w:r>
        <w:t>2020年“三条红线”用水指标，玛纳斯县玛河灌区地表水总用水控制指标为21719×10</w:t>
      </w:r>
      <w:r>
        <w:rPr>
          <w:vertAlign w:val="superscript"/>
        </w:rPr>
        <w:t>4</w:t>
      </w:r>
      <w:r>
        <w:t>m³；根据</w:t>
      </w:r>
      <w:r>
        <w:rPr>
          <w:rFonts w:hint="eastAsia"/>
        </w:rPr>
        <w:t>《</w:t>
      </w:r>
      <w:r>
        <w:t>新疆玛纳斯河地表水水量分配方案</w:t>
      </w:r>
      <w:r>
        <w:rPr>
          <w:rFonts w:hint="eastAsia"/>
        </w:rPr>
        <w:t>》</w:t>
      </w:r>
      <w:r>
        <w:t>，2020年玛纳斯县玛河灌区地表水总用水控制指标为23200×10</w:t>
      </w:r>
      <w:r>
        <w:rPr>
          <w:vertAlign w:val="superscript"/>
        </w:rPr>
        <w:t>4</w:t>
      </w:r>
      <w:r>
        <w:t>m³；其中工业用水指标为1200万m³，占比5.17%；玛纳斯河莫合渠引水闸融通公司取水口取值指标为800万m³，占比3.45%；玛纳斯县工业园区管理委员会玛纳斯河玛纳斯县灌区二道树渠取水口取水指标为347万m³，占比1.50%；</w:t>
      </w:r>
      <w:r>
        <w:rPr>
          <w:rFonts w:hint="eastAsia"/>
        </w:rPr>
        <w:t>玛纳斯县灌溉用地表水取水指标为</w:t>
      </w:r>
      <w:r>
        <w:t>20578万m³，占比89.88%（其中农业灌溉用水指标为19753万m³，占比94.72%；生态用水指标1100万m³，占比5.28%）</w:t>
      </w:r>
      <w:r>
        <w:rPr>
          <w:rFonts w:hint="eastAsia"/>
        </w:rPr>
        <w:t>；</w:t>
      </w:r>
      <w:r>
        <w:t>2025年玛纳斯县玛河灌区地表水总用水控制指标为22925×104m³；。</w:t>
      </w:r>
    </w:p>
    <w:p>
      <w:pPr>
        <w:pStyle w:val="91"/>
        <w:ind w:firstLine="480"/>
      </w:pPr>
      <w:r>
        <w:rPr>
          <w:rFonts w:hint="eastAsia"/>
        </w:rPr>
        <w:t xml:space="preserve">2、地下水 </w:t>
      </w:r>
    </w:p>
    <w:p>
      <w:pPr>
        <w:pStyle w:val="91"/>
        <w:ind w:firstLine="480"/>
      </w:pPr>
      <w:r>
        <w:rPr>
          <w:rFonts w:hint="eastAsia"/>
        </w:rPr>
        <w:t>根据玛纳斯县地下水“三条红线”用水指标，玛纳斯国家湿地公园管理局的3眼机井取水指标为8</w:t>
      </w:r>
      <w:r>
        <w:t>7.5</w:t>
      </w:r>
      <w:r>
        <w:rPr>
          <w:rFonts w:hint="eastAsia"/>
        </w:rPr>
        <w:t>万m³，其他机井权属不属于玛纳斯国家湿地公园管理局，可从机井调配部分水量指标，可调配总指标1</w:t>
      </w:r>
      <w:r>
        <w:t>8.94</w:t>
      </w:r>
      <w:r>
        <w:rPr>
          <w:rFonts w:hint="eastAsia"/>
        </w:rPr>
        <w:t>万m³。即玛纳斯国家湿地公园管理局地下水取水总指标为1</w:t>
      </w:r>
      <w:r>
        <w:t>06.44</w:t>
      </w:r>
      <w:r>
        <w:rPr>
          <w:rFonts w:hint="eastAsia"/>
        </w:rPr>
        <w:t>万m³。</w:t>
      </w:r>
    </w:p>
    <w:p>
      <w:pPr>
        <w:pStyle w:val="4"/>
      </w:pPr>
      <w:r>
        <w:rPr>
          <w:rFonts w:hint="eastAsia"/>
        </w:rPr>
        <w:t>二、生态水量保障分析</w:t>
      </w:r>
    </w:p>
    <w:p>
      <w:pPr>
        <w:pStyle w:val="91"/>
        <w:ind w:firstLine="480"/>
      </w:pPr>
      <w:r>
        <w:rPr>
          <w:rFonts w:hint="eastAsia"/>
        </w:rPr>
        <w:t>除本次评价的湿地公园的核心供水区域以外，湿地公园的其他区域大部分水库水面及河流渠道，涉及生态敏感区域植被需水量为 100 万 m³，由玛纳斯县生态用水予以解决；水库正常需水的回水区域、水库和渠道的渗漏、塔西河生态基流水量、玛纳斯河生态基流水量可保障湿地公园的其他区域的生态用水。</w:t>
      </w:r>
    </w:p>
    <w:p>
      <w:pPr>
        <w:pStyle w:val="91"/>
        <w:ind w:firstLine="480"/>
      </w:pPr>
      <w:r>
        <w:rPr>
          <w:rFonts w:hint="eastAsia"/>
        </w:rPr>
        <w:t>根据玛纳斯湿地管理局提供资料，本次评价范围内的红柳生态园生态用水可由玛纳斯河玛纳斯县灌区玛县兰引渠取水口通过兰引渠-夹河子渠引水灌溉，生态供水指标为 40 万 m³；胡杨林的生态用水可由玛纳斯河玛纳斯县灌区四阜渠取水口通过四阜渠-拟建引水渠进行灌溉，生态供水指标量为 55 万 m³；</w:t>
      </w:r>
    </w:p>
    <w:p>
      <w:pPr>
        <w:pStyle w:val="91"/>
        <w:ind w:firstLine="480"/>
      </w:pPr>
      <w:r>
        <w:rPr>
          <w:rFonts w:hint="eastAsia"/>
        </w:rPr>
        <w:t>植物园和天鹅园内的陆地植被在地表水不足时可通过 3 眼机井进行补充灌溉，3 眼机井可取水总指标为 87.5 万 m³。</w:t>
      </w:r>
    </w:p>
    <w:p>
      <w:pPr>
        <w:pStyle w:val="91"/>
        <w:ind w:firstLine="480"/>
      </w:pPr>
      <w:r>
        <w:rPr>
          <w:rFonts w:hint="eastAsia"/>
        </w:rPr>
        <w:t>玛纳斯县兰引渠取水口的 40 万 m³生态取水指标、玛纳斯县四阜渠取水口的55 万 m³生态取水指标及地下水取水指标均为玛纳斯县内水量指标。</w:t>
      </w:r>
    </w:p>
    <w:p>
      <w:pPr>
        <w:pStyle w:val="91"/>
        <w:ind w:firstLine="480"/>
      </w:pPr>
      <w:r>
        <w:rPr>
          <w:rFonts w:hint="eastAsia"/>
        </w:rPr>
        <w:t>玛纳斯国家湿地公园的植物园、天鹅园地表水取水口为生态取水口，通过模型分析，玛纳斯河生态基流方案中红山嘴引水枢纽下泄水量总量为 1.7903 亿 m³， 湿地公园生态取水口可引水总量为 967 万 m³；玛纳斯县国家湿地公园内的泉水溢出带全年溢出水量为 393 万 m³；夹河子水库回水可引水量为 98.6 万 m³。</w:t>
      </w:r>
    </w:p>
    <w:p>
      <w:pPr>
        <w:pStyle w:val="91"/>
        <w:ind w:firstLine="480"/>
      </w:pPr>
      <w:r>
        <w:rPr>
          <w:rFonts w:hint="eastAsia"/>
        </w:rPr>
        <w:t>通过湿地公园生态水量供需平衡表可知，本方案评价区域总需水量为1627.50 万 m³，供水量为 1640.99 万元，其中地表水供水量为 1160.37 万 m³（含</w:t>
      </w:r>
    </w:p>
    <w:p>
      <w:pPr>
        <w:pStyle w:val="91"/>
        <w:ind w:firstLine="480"/>
      </w:pPr>
      <w:r>
        <w:rPr>
          <w:rFonts w:hint="eastAsia"/>
        </w:rPr>
        <w:t>兰引渠取水口、四阜渠取水口供水量 95 万 m³，玛纳斯县生态基流水量 966.76 万 m³，夹河子水库回水水量 98.60 万 m³）；泉水溢出带供水量 393.12 万 m³；地下水供水量 87.5 万m³。本项目供水量大于需水量，湿地公园水量可以得到保障。</w:t>
      </w:r>
    </w:p>
    <w:p>
      <w:pPr>
        <w:pStyle w:val="91"/>
        <w:ind w:firstLine="480"/>
      </w:pPr>
      <w:r>
        <w:rPr>
          <w:rFonts w:hint="eastAsia"/>
        </w:rPr>
        <w:t>本项目生态水量供需平衡表如下：</w:t>
      </w:r>
    </w:p>
    <w:p>
      <w:pPr>
        <w:tabs>
          <w:tab w:val="left" w:pos="0"/>
          <w:tab w:val="left" w:pos="3247"/>
        </w:tabs>
        <w:kinsoku w:val="0"/>
        <w:overflowPunct w:val="0"/>
        <w:autoSpaceDE w:val="0"/>
        <w:autoSpaceDN w:val="0"/>
        <w:adjustRightInd w:val="0"/>
        <w:spacing w:before="160" w:line="240" w:lineRule="auto"/>
        <w:ind w:firstLine="0" w:firstLineChars="0"/>
        <w:jc w:val="center"/>
        <w:rPr>
          <w:rFonts w:ascii="黑体" w:eastAsia="黑体" w:cs="黑体"/>
          <w:b/>
          <w:bCs/>
          <w:kern w:val="0"/>
          <w:szCs w:val="24"/>
        </w:rPr>
      </w:pPr>
      <w:r>
        <w:rPr>
          <w:rFonts w:hint="eastAsia" w:ascii="黑体" w:eastAsia="黑体" w:cs="黑体"/>
          <w:b/>
          <w:bCs/>
          <w:kern w:val="0"/>
          <w:szCs w:val="24"/>
        </w:rPr>
        <w:t>湿地公园生态水量供需平衡表</w:t>
      </w:r>
    </w:p>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6"/>
          <w:szCs w:val="6"/>
        </w:rPr>
      </w:pPr>
    </w:p>
    <w:tbl>
      <w:tblPr>
        <w:tblStyle w:val="25"/>
        <w:tblW w:w="8301" w:type="dxa"/>
        <w:tblInd w:w="290" w:type="dxa"/>
        <w:tblLayout w:type="fixed"/>
        <w:tblCellMar>
          <w:top w:w="0" w:type="dxa"/>
          <w:left w:w="0" w:type="dxa"/>
          <w:bottom w:w="0" w:type="dxa"/>
          <w:right w:w="0" w:type="dxa"/>
        </w:tblCellMar>
      </w:tblPr>
      <w:tblGrid>
        <w:gridCol w:w="982"/>
        <w:gridCol w:w="2639"/>
        <w:gridCol w:w="1621"/>
        <w:gridCol w:w="3059"/>
      </w:tblGrid>
      <w:tr>
        <w:tblPrEx>
          <w:tblCellMar>
            <w:top w:w="0" w:type="dxa"/>
            <w:left w:w="0" w:type="dxa"/>
            <w:bottom w:w="0" w:type="dxa"/>
            <w:right w:w="0" w:type="dxa"/>
          </w:tblCellMar>
        </w:tblPrEx>
        <w:trPr>
          <w:trHeight w:val="273" w:hRule="atLeast"/>
        </w:trPr>
        <w:tc>
          <w:tcPr>
            <w:tcW w:w="982"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left"/>
              <w:rPr>
                <w:rFonts w:ascii="宋体" w:eastAsia="宋体" w:cs="宋体"/>
                <w:kern w:val="0"/>
                <w:sz w:val="21"/>
                <w:szCs w:val="21"/>
              </w:rPr>
            </w:pPr>
            <w:r>
              <w:rPr>
                <w:rFonts w:hint="eastAsia" w:ascii="宋体" w:eastAsia="宋体" w:cs="宋体"/>
                <w:kern w:val="0"/>
                <w:sz w:val="21"/>
                <w:szCs w:val="21"/>
              </w:rPr>
              <w:t>项目</w:t>
            </w: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center"/>
              <w:rPr>
                <w:rFonts w:ascii="宋体" w:eastAsia="宋体" w:cs="宋体"/>
                <w:kern w:val="0"/>
                <w:sz w:val="21"/>
                <w:szCs w:val="21"/>
              </w:rPr>
            </w:pPr>
            <w:r>
              <w:rPr>
                <w:rFonts w:hint="eastAsia" w:ascii="宋体" w:eastAsia="宋体" w:cs="宋体"/>
                <w:kern w:val="0"/>
                <w:sz w:val="21"/>
                <w:szCs w:val="21"/>
              </w:rPr>
              <w:t>需水类型</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center"/>
              <w:rPr>
                <w:rFonts w:ascii="宋体" w:eastAsia="宋体" w:cs="宋体"/>
                <w:kern w:val="0"/>
                <w:sz w:val="21"/>
                <w:szCs w:val="21"/>
              </w:rPr>
            </w:pPr>
            <w:r>
              <w:rPr>
                <w:rFonts w:hint="eastAsia" w:ascii="宋体" w:eastAsia="宋体" w:cs="宋体"/>
                <w:kern w:val="0"/>
                <w:sz w:val="21"/>
                <w:szCs w:val="21"/>
              </w:rPr>
              <w:t>水量（</w:t>
            </w:r>
            <w:r>
              <w:rPr>
                <w:rFonts w:hint="eastAsia" w:ascii="宋体" w:eastAsia="宋体" w:cs="宋体"/>
                <w:spacing w:val="-26"/>
                <w:kern w:val="0"/>
                <w:sz w:val="21"/>
                <w:szCs w:val="21"/>
              </w:rPr>
              <w:t>万</w:t>
            </w:r>
            <w:r>
              <w:rPr>
                <w:rFonts w:ascii="宋体" w:eastAsia="宋体" w:cs="宋体"/>
                <w:spacing w:val="-26"/>
                <w:kern w:val="0"/>
                <w:sz w:val="21"/>
                <w:szCs w:val="21"/>
              </w:rPr>
              <w:t xml:space="preserve"> </w:t>
            </w:r>
            <w:r>
              <w:rPr>
                <w:rFonts w:eastAsia="宋体" w:cs="Times New Roman"/>
                <w:kern w:val="0"/>
                <w:sz w:val="21"/>
                <w:szCs w:val="21"/>
              </w:rPr>
              <w:t>m³</w:t>
            </w:r>
            <w:r>
              <w:rPr>
                <w:rFonts w:hint="eastAsia" w:ascii="宋体" w:eastAsia="宋体" w:cs="宋体"/>
                <w:kern w:val="0"/>
                <w:sz w:val="21"/>
                <w:szCs w:val="21"/>
              </w:rPr>
              <w:t>）</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center"/>
              <w:rPr>
                <w:rFonts w:ascii="宋体" w:eastAsia="宋体" w:cs="宋体"/>
                <w:kern w:val="0"/>
                <w:sz w:val="21"/>
                <w:szCs w:val="21"/>
              </w:rPr>
            </w:pPr>
            <w:r>
              <w:rPr>
                <w:rFonts w:hint="eastAsia" w:ascii="宋体" w:eastAsia="宋体" w:cs="宋体"/>
                <w:kern w:val="0"/>
                <w:sz w:val="21"/>
                <w:szCs w:val="21"/>
              </w:rPr>
              <w:t>备注</w:t>
            </w:r>
          </w:p>
        </w:tc>
      </w:tr>
      <w:tr>
        <w:tblPrEx>
          <w:tblCellMar>
            <w:top w:w="0" w:type="dxa"/>
            <w:left w:w="0" w:type="dxa"/>
            <w:bottom w:w="0" w:type="dxa"/>
            <w:right w:w="0" w:type="dxa"/>
          </w:tblCellMar>
        </w:tblPrEx>
        <w:trPr>
          <w:trHeight w:val="659" w:hRule="atLeast"/>
        </w:trPr>
        <w:tc>
          <w:tcPr>
            <w:tcW w:w="982" w:type="dxa"/>
            <w:vMerge w:val="restart"/>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0"/>
                <w:szCs w:val="20"/>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0"/>
                <w:szCs w:val="20"/>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0"/>
                <w:szCs w:val="20"/>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0"/>
                <w:szCs w:val="20"/>
              </w:rPr>
            </w:pPr>
          </w:p>
          <w:p>
            <w:pPr>
              <w:tabs>
                <w:tab w:val="left" w:pos="0"/>
              </w:tabs>
              <w:kinsoku w:val="0"/>
              <w:overflowPunct w:val="0"/>
              <w:autoSpaceDE w:val="0"/>
              <w:autoSpaceDN w:val="0"/>
              <w:adjustRightInd w:val="0"/>
              <w:spacing w:before="8" w:line="240" w:lineRule="auto"/>
              <w:ind w:firstLine="0" w:firstLineChars="0"/>
              <w:jc w:val="left"/>
              <w:rPr>
                <w:rFonts w:ascii="黑体" w:eastAsia="黑体" w:cs="黑体"/>
                <w:b/>
                <w:bCs/>
                <w:kern w:val="0"/>
                <w:sz w:val="29"/>
                <w:szCs w:val="29"/>
              </w:rPr>
            </w:pPr>
          </w:p>
          <w:p>
            <w:pPr>
              <w:tabs>
                <w:tab w:val="left" w:pos="0"/>
              </w:tabs>
              <w:kinsoku w:val="0"/>
              <w:overflowPunct w:val="0"/>
              <w:autoSpaceDE w:val="0"/>
              <w:autoSpaceDN w:val="0"/>
              <w:adjustRightInd w:val="0"/>
              <w:spacing w:before="1"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需水量</w:t>
            </w: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312" w:lineRule="exact"/>
              <w:ind w:firstLine="0" w:firstLineChars="0"/>
              <w:jc w:val="left"/>
              <w:rPr>
                <w:rFonts w:ascii="宋体" w:eastAsia="宋体" w:cs="宋体"/>
                <w:kern w:val="0"/>
                <w:sz w:val="21"/>
                <w:szCs w:val="21"/>
              </w:rPr>
            </w:pPr>
            <w:r>
              <w:rPr>
                <w:rFonts w:hint="eastAsia" w:ascii="宋体" w:eastAsia="宋体" w:cs="宋体"/>
                <w:spacing w:val="-1"/>
                <w:kern w:val="0"/>
                <w:sz w:val="21"/>
                <w:szCs w:val="21"/>
              </w:rPr>
              <w:t>植物园</w:t>
            </w:r>
            <w:r>
              <w:rPr>
                <w:rFonts w:eastAsia="宋体" w:cs="Times New Roman"/>
                <w:kern w:val="0"/>
                <w:sz w:val="21"/>
                <w:szCs w:val="21"/>
              </w:rPr>
              <w:t>+</w:t>
            </w:r>
            <w:r>
              <w:rPr>
                <w:rFonts w:hint="eastAsia" w:ascii="宋体" w:eastAsia="宋体" w:cs="宋体"/>
                <w:kern w:val="0"/>
                <w:sz w:val="21"/>
                <w:szCs w:val="21"/>
              </w:rPr>
              <w:t>天鹅园湿地植物需水量</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6" w:line="240" w:lineRule="auto"/>
              <w:ind w:firstLine="0" w:firstLineChars="0"/>
              <w:jc w:val="left"/>
              <w:rPr>
                <w:rFonts w:ascii="黑体" w:eastAsia="黑体" w:cs="黑体"/>
                <w:b/>
                <w:bCs/>
                <w:kern w:val="0"/>
                <w:sz w:val="16"/>
                <w:szCs w:val="16"/>
              </w:rPr>
            </w:pPr>
          </w:p>
          <w:p>
            <w:pPr>
              <w:tabs>
                <w:tab w:val="left" w:pos="0"/>
              </w:tabs>
              <w:kinsoku w:val="0"/>
              <w:overflowPunct w:val="0"/>
              <w:autoSpaceDE w:val="0"/>
              <w:autoSpaceDN w:val="0"/>
              <w:adjustRightInd w:val="0"/>
              <w:spacing w:line="240" w:lineRule="auto"/>
              <w:ind w:firstLine="0" w:firstLineChars="0"/>
              <w:jc w:val="center"/>
              <w:rPr>
                <w:rFonts w:cs="Times New Roman"/>
                <w:kern w:val="0"/>
                <w:sz w:val="21"/>
                <w:szCs w:val="21"/>
              </w:rPr>
            </w:pPr>
            <w:r>
              <w:rPr>
                <w:rFonts w:cs="Times New Roman"/>
                <w:kern w:val="0"/>
                <w:sz w:val="21"/>
                <w:szCs w:val="21"/>
              </w:rPr>
              <w:t>570.60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2"/>
              </w:rPr>
            </w:pPr>
          </w:p>
        </w:tc>
      </w:tr>
      <w:tr>
        <w:tblPrEx>
          <w:tblCellMar>
            <w:top w:w="0" w:type="dxa"/>
            <w:left w:w="0" w:type="dxa"/>
            <w:bottom w:w="0" w:type="dxa"/>
            <w:right w:w="0" w:type="dxa"/>
          </w:tblCellMar>
        </w:tblPrEx>
        <w:trPr>
          <w:trHeight w:val="710"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65" w:line="278" w:lineRule="auto"/>
              <w:ind w:firstLine="0" w:firstLineChars="0"/>
              <w:jc w:val="left"/>
              <w:rPr>
                <w:rFonts w:ascii="宋体" w:eastAsia="宋体" w:cs="宋体"/>
                <w:kern w:val="0"/>
                <w:sz w:val="21"/>
                <w:szCs w:val="21"/>
              </w:rPr>
            </w:pPr>
            <w:r>
              <w:rPr>
                <w:rFonts w:hint="eastAsia" w:ascii="宋体" w:eastAsia="宋体" w:cs="宋体"/>
                <w:spacing w:val="-1"/>
                <w:kern w:val="0"/>
                <w:sz w:val="21"/>
                <w:szCs w:val="21"/>
              </w:rPr>
              <w:t>植物园</w:t>
            </w:r>
            <w:r>
              <w:rPr>
                <w:rFonts w:eastAsia="宋体" w:cs="Times New Roman"/>
                <w:kern w:val="0"/>
                <w:sz w:val="21"/>
                <w:szCs w:val="21"/>
              </w:rPr>
              <w:t>+</w:t>
            </w:r>
            <w:r>
              <w:rPr>
                <w:rFonts w:hint="eastAsia" w:ascii="宋体" w:eastAsia="宋体" w:cs="宋体"/>
                <w:kern w:val="0"/>
                <w:sz w:val="21"/>
                <w:szCs w:val="21"/>
              </w:rPr>
              <w:t>天鹅园湿地土壤需水量</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5" w:line="240" w:lineRule="auto"/>
              <w:ind w:firstLine="0" w:firstLineChars="0"/>
              <w:jc w:val="left"/>
              <w:rPr>
                <w:rFonts w:ascii="黑体" w:eastAsia="黑体" w:cs="黑体"/>
                <w:b/>
                <w:bCs/>
                <w:kern w:val="0"/>
                <w:sz w:val="18"/>
                <w:szCs w:val="18"/>
              </w:rPr>
            </w:pPr>
          </w:p>
          <w:p>
            <w:pPr>
              <w:tabs>
                <w:tab w:val="left" w:pos="0"/>
              </w:tabs>
              <w:kinsoku w:val="0"/>
              <w:overflowPunct w:val="0"/>
              <w:autoSpaceDE w:val="0"/>
              <w:autoSpaceDN w:val="0"/>
              <w:adjustRightInd w:val="0"/>
              <w:spacing w:line="240" w:lineRule="auto"/>
              <w:ind w:firstLine="0" w:firstLineChars="0"/>
              <w:jc w:val="center"/>
              <w:rPr>
                <w:rFonts w:cs="Times New Roman"/>
                <w:kern w:val="0"/>
                <w:sz w:val="21"/>
                <w:szCs w:val="21"/>
              </w:rPr>
            </w:pPr>
            <w:r>
              <w:rPr>
                <w:rFonts w:cs="Times New Roman"/>
                <w:kern w:val="0"/>
                <w:sz w:val="21"/>
                <w:szCs w:val="21"/>
              </w:rPr>
              <w:t>338.50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2"/>
              </w:rPr>
            </w:pPr>
          </w:p>
        </w:tc>
      </w:tr>
      <w:tr>
        <w:tblPrEx>
          <w:tblCellMar>
            <w:top w:w="0" w:type="dxa"/>
            <w:left w:w="0" w:type="dxa"/>
            <w:bottom w:w="0" w:type="dxa"/>
            <w:right w:w="0" w:type="dxa"/>
          </w:tblCellMar>
        </w:tblPrEx>
        <w:trPr>
          <w:trHeight w:val="551"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5" w:line="240" w:lineRule="auto"/>
              <w:ind w:firstLine="0" w:firstLineChars="0"/>
              <w:jc w:val="center"/>
              <w:rPr>
                <w:rFonts w:ascii="宋体" w:eastAsia="宋体" w:cs="宋体"/>
                <w:kern w:val="0"/>
                <w:sz w:val="21"/>
                <w:szCs w:val="21"/>
              </w:rPr>
            </w:pPr>
            <w:r>
              <w:rPr>
                <w:rFonts w:hint="eastAsia" w:ascii="宋体" w:eastAsia="宋体" w:cs="宋体"/>
                <w:spacing w:val="-1"/>
                <w:kern w:val="0"/>
                <w:sz w:val="21"/>
                <w:szCs w:val="21"/>
              </w:rPr>
              <w:t>植物园</w:t>
            </w:r>
            <w:r>
              <w:rPr>
                <w:rFonts w:eastAsia="宋体" w:cs="Times New Roman"/>
                <w:kern w:val="0"/>
                <w:sz w:val="21"/>
                <w:szCs w:val="21"/>
              </w:rPr>
              <w:t>+</w:t>
            </w:r>
            <w:r>
              <w:rPr>
                <w:rFonts w:hint="eastAsia" w:ascii="宋体" w:eastAsia="宋体" w:cs="宋体"/>
                <w:kern w:val="0"/>
                <w:sz w:val="21"/>
                <w:szCs w:val="21"/>
              </w:rPr>
              <w:t>天鹅园野生生物</w:t>
            </w:r>
          </w:p>
          <w:p>
            <w:pPr>
              <w:tabs>
                <w:tab w:val="left" w:pos="0"/>
              </w:tabs>
              <w:kinsoku w:val="0"/>
              <w:overflowPunct w:val="0"/>
              <w:autoSpaceDE w:val="0"/>
              <w:autoSpaceDN w:val="0"/>
              <w:adjustRightInd w:val="0"/>
              <w:spacing w:before="43" w:line="195" w:lineRule="exact"/>
              <w:ind w:firstLine="0" w:firstLineChars="0"/>
              <w:jc w:val="center"/>
              <w:rPr>
                <w:rFonts w:ascii="宋体" w:eastAsia="宋体" w:cs="宋体"/>
                <w:kern w:val="0"/>
                <w:sz w:val="21"/>
                <w:szCs w:val="21"/>
              </w:rPr>
            </w:pPr>
            <w:r>
              <w:rPr>
                <w:rFonts w:hint="eastAsia" w:ascii="宋体" w:eastAsia="宋体" w:cs="宋体"/>
                <w:kern w:val="0"/>
                <w:sz w:val="21"/>
                <w:szCs w:val="21"/>
              </w:rPr>
              <w:t>栖息地需水量</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156" w:line="240" w:lineRule="auto"/>
              <w:ind w:firstLine="0" w:firstLineChars="0"/>
              <w:jc w:val="center"/>
              <w:rPr>
                <w:rFonts w:cs="Times New Roman"/>
                <w:kern w:val="0"/>
                <w:sz w:val="21"/>
                <w:szCs w:val="21"/>
              </w:rPr>
            </w:pPr>
            <w:r>
              <w:rPr>
                <w:rFonts w:cs="Times New Roman"/>
                <w:kern w:val="0"/>
                <w:sz w:val="21"/>
                <w:szCs w:val="21"/>
              </w:rPr>
              <w:t>235.53</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2"/>
              </w:rPr>
            </w:pPr>
          </w:p>
        </w:tc>
      </w:tr>
      <w:tr>
        <w:tblPrEx>
          <w:tblCellMar>
            <w:top w:w="0" w:type="dxa"/>
            <w:left w:w="0" w:type="dxa"/>
            <w:bottom w:w="0" w:type="dxa"/>
            <w:right w:w="0" w:type="dxa"/>
          </w:tblCellMar>
        </w:tblPrEx>
        <w:trPr>
          <w:trHeight w:val="556"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40" w:lineRule="auto"/>
              <w:ind w:firstLine="0" w:firstLineChars="0"/>
              <w:jc w:val="center"/>
              <w:rPr>
                <w:rFonts w:ascii="宋体" w:eastAsia="宋体" w:cs="宋体"/>
                <w:kern w:val="0"/>
                <w:sz w:val="21"/>
                <w:szCs w:val="21"/>
              </w:rPr>
            </w:pPr>
            <w:r>
              <w:rPr>
                <w:rFonts w:hint="eastAsia" w:ascii="宋体" w:eastAsia="宋体" w:cs="宋体"/>
                <w:spacing w:val="-1"/>
                <w:kern w:val="0"/>
                <w:sz w:val="21"/>
                <w:szCs w:val="21"/>
              </w:rPr>
              <w:t>植物园</w:t>
            </w:r>
            <w:r>
              <w:rPr>
                <w:rFonts w:eastAsia="宋体" w:cs="Times New Roman"/>
                <w:kern w:val="0"/>
                <w:sz w:val="21"/>
                <w:szCs w:val="21"/>
              </w:rPr>
              <w:t>+</w:t>
            </w:r>
            <w:r>
              <w:rPr>
                <w:rFonts w:hint="eastAsia" w:ascii="宋体" w:eastAsia="宋体" w:cs="宋体"/>
                <w:kern w:val="0"/>
                <w:sz w:val="21"/>
                <w:szCs w:val="21"/>
              </w:rPr>
              <w:t>天鹅园水面蒸发</w:t>
            </w:r>
          </w:p>
          <w:p>
            <w:pPr>
              <w:tabs>
                <w:tab w:val="left" w:pos="0"/>
              </w:tabs>
              <w:kinsoku w:val="0"/>
              <w:overflowPunct w:val="0"/>
              <w:autoSpaceDE w:val="0"/>
              <w:autoSpaceDN w:val="0"/>
              <w:adjustRightInd w:val="0"/>
              <w:spacing w:before="43" w:line="202" w:lineRule="exact"/>
              <w:ind w:firstLine="0" w:firstLineChars="0"/>
              <w:jc w:val="center"/>
              <w:rPr>
                <w:rFonts w:ascii="宋体" w:eastAsia="宋体" w:cs="宋体"/>
                <w:kern w:val="0"/>
                <w:sz w:val="21"/>
                <w:szCs w:val="21"/>
              </w:rPr>
            </w:pPr>
            <w:r>
              <w:rPr>
                <w:rFonts w:hint="eastAsia" w:ascii="宋体" w:eastAsia="宋体" w:cs="宋体"/>
                <w:kern w:val="0"/>
                <w:sz w:val="21"/>
                <w:szCs w:val="21"/>
              </w:rPr>
              <w:t>消耗需水量</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159" w:line="240" w:lineRule="auto"/>
              <w:ind w:firstLine="0" w:firstLineChars="0"/>
              <w:jc w:val="center"/>
              <w:rPr>
                <w:rFonts w:cs="Times New Roman"/>
                <w:kern w:val="0"/>
                <w:sz w:val="21"/>
                <w:szCs w:val="21"/>
              </w:rPr>
            </w:pPr>
            <w:r>
              <w:rPr>
                <w:rFonts w:cs="Times New Roman"/>
                <w:kern w:val="0"/>
                <w:sz w:val="21"/>
                <w:szCs w:val="21"/>
              </w:rPr>
              <w:t>397.48</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2"/>
              </w:rPr>
            </w:pPr>
          </w:p>
        </w:tc>
      </w:tr>
      <w:tr>
        <w:tblPrEx>
          <w:tblCellMar>
            <w:top w:w="0" w:type="dxa"/>
            <w:left w:w="0" w:type="dxa"/>
            <w:bottom w:w="0" w:type="dxa"/>
            <w:right w:w="0" w:type="dxa"/>
          </w:tblCellMar>
        </w:tblPrEx>
        <w:trPr>
          <w:trHeight w:val="275"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5" w:line="231" w:lineRule="exact"/>
              <w:ind w:firstLine="0" w:firstLineChars="0"/>
              <w:jc w:val="center"/>
              <w:rPr>
                <w:rFonts w:ascii="宋体" w:eastAsia="宋体" w:cs="宋体"/>
                <w:kern w:val="0"/>
                <w:sz w:val="21"/>
                <w:szCs w:val="21"/>
              </w:rPr>
            </w:pPr>
            <w:r>
              <w:rPr>
                <w:rFonts w:hint="eastAsia" w:ascii="宋体" w:eastAsia="宋体" w:cs="宋体"/>
                <w:kern w:val="0"/>
                <w:sz w:val="21"/>
                <w:szCs w:val="21"/>
              </w:rPr>
              <w:t>红柳生态园植被需水量</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9" w:line="217" w:lineRule="exact"/>
              <w:ind w:firstLine="0" w:firstLineChars="0"/>
              <w:jc w:val="center"/>
              <w:rPr>
                <w:rFonts w:cs="Times New Roman"/>
                <w:kern w:val="0"/>
                <w:sz w:val="21"/>
                <w:szCs w:val="21"/>
              </w:rPr>
            </w:pPr>
            <w:r>
              <w:rPr>
                <w:rFonts w:cs="Times New Roman"/>
                <w:kern w:val="0"/>
                <w:sz w:val="21"/>
                <w:szCs w:val="21"/>
              </w:rPr>
              <w:t>36.98</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273"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center"/>
              <w:rPr>
                <w:rFonts w:ascii="宋体" w:eastAsia="宋体" w:cs="宋体"/>
                <w:kern w:val="0"/>
                <w:sz w:val="21"/>
                <w:szCs w:val="21"/>
              </w:rPr>
            </w:pPr>
            <w:r>
              <w:rPr>
                <w:rFonts w:hint="eastAsia" w:ascii="宋体" w:eastAsia="宋体" w:cs="宋体"/>
                <w:kern w:val="0"/>
                <w:sz w:val="21"/>
                <w:szCs w:val="21"/>
              </w:rPr>
              <w:t>胡杨林植被需水量</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6" w:line="217" w:lineRule="exact"/>
              <w:ind w:firstLine="0" w:firstLineChars="0"/>
              <w:jc w:val="center"/>
              <w:rPr>
                <w:rFonts w:cs="Times New Roman"/>
                <w:kern w:val="0"/>
                <w:sz w:val="21"/>
                <w:szCs w:val="21"/>
              </w:rPr>
            </w:pPr>
            <w:r>
              <w:rPr>
                <w:rFonts w:cs="Times New Roman"/>
                <w:kern w:val="0"/>
                <w:sz w:val="21"/>
                <w:szCs w:val="21"/>
              </w:rPr>
              <w:t>48.41</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273" w:hRule="atLeast"/>
        </w:trPr>
        <w:tc>
          <w:tcPr>
            <w:tcW w:w="3621" w:type="dxa"/>
            <w:gridSpan w:val="2"/>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合计</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6" w:line="217" w:lineRule="exact"/>
              <w:ind w:firstLine="0" w:firstLineChars="0"/>
              <w:jc w:val="center"/>
              <w:rPr>
                <w:rFonts w:cs="Times New Roman"/>
                <w:b/>
                <w:bCs/>
                <w:kern w:val="0"/>
                <w:sz w:val="21"/>
                <w:szCs w:val="21"/>
              </w:rPr>
            </w:pPr>
            <w:r>
              <w:rPr>
                <w:rFonts w:cs="Times New Roman"/>
                <w:b/>
                <w:bCs/>
                <w:kern w:val="0"/>
                <w:sz w:val="21"/>
                <w:szCs w:val="21"/>
              </w:rPr>
              <w:t>1627.50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693" w:hRule="atLeast"/>
        </w:trPr>
        <w:tc>
          <w:tcPr>
            <w:tcW w:w="982" w:type="dxa"/>
            <w:vMerge w:val="restart"/>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2"/>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2"/>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2"/>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2"/>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22"/>
              </w:rPr>
            </w:pPr>
          </w:p>
          <w:p>
            <w:pPr>
              <w:tabs>
                <w:tab w:val="left" w:pos="0"/>
              </w:tabs>
              <w:kinsoku w:val="0"/>
              <w:overflowPunct w:val="0"/>
              <w:autoSpaceDE w:val="0"/>
              <w:autoSpaceDN w:val="0"/>
              <w:adjustRightInd w:val="0"/>
              <w:spacing w:before="6" w:line="240" w:lineRule="auto"/>
              <w:ind w:firstLine="0" w:firstLineChars="0"/>
              <w:jc w:val="left"/>
              <w:rPr>
                <w:rFonts w:ascii="黑体" w:eastAsia="黑体" w:cs="黑体"/>
                <w:b/>
                <w:bCs/>
                <w:kern w:val="0"/>
                <w:sz w:val="21"/>
                <w:szCs w:val="21"/>
              </w:rPr>
            </w:pPr>
          </w:p>
          <w:p>
            <w:pPr>
              <w:tabs>
                <w:tab w:val="left" w:pos="0"/>
              </w:tabs>
              <w:kinsoku w:val="0"/>
              <w:overflowPunct w:val="0"/>
              <w:autoSpaceDE w:val="0"/>
              <w:autoSpaceDN w:val="0"/>
              <w:adjustRightInd w:val="0"/>
              <w:spacing w:line="240" w:lineRule="auto"/>
              <w:ind w:firstLine="0" w:firstLineChars="0"/>
              <w:jc w:val="left"/>
              <w:rPr>
                <w:rFonts w:ascii="等线" w:eastAsia="等线" w:cs="等线"/>
                <w:b/>
                <w:bCs/>
                <w:kern w:val="0"/>
                <w:sz w:val="21"/>
                <w:szCs w:val="21"/>
              </w:rPr>
            </w:pPr>
            <w:r>
              <w:rPr>
                <w:rFonts w:hint="eastAsia" w:ascii="等线" w:eastAsia="等线" w:cs="等线"/>
                <w:b/>
                <w:bCs/>
                <w:kern w:val="0"/>
                <w:sz w:val="21"/>
                <w:szCs w:val="21"/>
              </w:rPr>
              <w:t>供水量</w:t>
            </w:r>
          </w:p>
        </w:tc>
        <w:tc>
          <w:tcPr>
            <w:tcW w:w="2639" w:type="dxa"/>
            <w:vMerge w:val="restart"/>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18"/>
                <w:szCs w:val="18"/>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18"/>
                <w:szCs w:val="18"/>
              </w:rPr>
            </w:pPr>
          </w:p>
          <w:p>
            <w:pPr>
              <w:tabs>
                <w:tab w:val="left" w:pos="0"/>
              </w:tabs>
              <w:kinsoku w:val="0"/>
              <w:overflowPunct w:val="0"/>
              <w:autoSpaceDE w:val="0"/>
              <w:autoSpaceDN w:val="0"/>
              <w:adjustRightInd w:val="0"/>
              <w:spacing w:line="240" w:lineRule="auto"/>
              <w:ind w:firstLine="0" w:firstLineChars="0"/>
              <w:jc w:val="left"/>
              <w:rPr>
                <w:rFonts w:ascii="黑体" w:eastAsia="黑体" w:cs="黑体"/>
                <w:b/>
                <w:bCs/>
                <w:kern w:val="0"/>
                <w:sz w:val="18"/>
                <w:szCs w:val="18"/>
              </w:rPr>
            </w:pPr>
          </w:p>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14"/>
                <w:szCs w:val="14"/>
              </w:rPr>
            </w:pPr>
          </w:p>
          <w:p>
            <w:pPr>
              <w:tabs>
                <w:tab w:val="left" w:pos="0"/>
              </w:tabs>
              <w:kinsoku w:val="0"/>
              <w:overflowPunct w:val="0"/>
              <w:autoSpaceDE w:val="0"/>
              <w:autoSpaceDN w:val="0"/>
              <w:adjustRightInd w:val="0"/>
              <w:spacing w:line="240" w:lineRule="auto"/>
              <w:ind w:firstLine="0" w:firstLineChars="0"/>
              <w:jc w:val="center"/>
              <w:rPr>
                <w:rFonts w:ascii="宋体" w:eastAsia="宋体" w:cs="宋体"/>
                <w:kern w:val="0"/>
                <w:sz w:val="18"/>
                <w:szCs w:val="18"/>
              </w:rPr>
            </w:pPr>
            <w:r>
              <w:rPr>
                <w:rFonts w:hint="eastAsia" w:ascii="宋体" w:eastAsia="宋体" w:cs="宋体"/>
                <w:kern w:val="0"/>
                <w:sz w:val="18"/>
                <w:szCs w:val="18"/>
              </w:rPr>
              <w:t>地表水</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10" w:line="240" w:lineRule="auto"/>
              <w:ind w:firstLine="0" w:firstLineChars="0"/>
              <w:jc w:val="left"/>
              <w:rPr>
                <w:rFonts w:ascii="黑体" w:eastAsia="黑体" w:cs="黑体"/>
                <w:b/>
                <w:bCs/>
                <w:kern w:val="0"/>
                <w:sz w:val="17"/>
                <w:szCs w:val="17"/>
              </w:rPr>
            </w:pPr>
          </w:p>
          <w:p>
            <w:pPr>
              <w:tabs>
                <w:tab w:val="left" w:pos="0"/>
              </w:tabs>
              <w:kinsoku w:val="0"/>
              <w:overflowPunct w:val="0"/>
              <w:autoSpaceDE w:val="0"/>
              <w:autoSpaceDN w:val="0"/>
              <w:adjustRightInd w:val="0"/>
              <w:spacing w:line="240" w:lineRule="auto"/>
              <w:ind w:firstLine="0" w:firstLineChars="0"/>
              <w:jc w:val="center"/>
              <w:rPr>
                <w:rFonts w:cs="Times New Roman"/>
                <w:kern w:val="0"/>
                <w:sz w:val="21"/>
                <w:szCs w:val="21"/>
              </w:rPr>
            </w:pPr>
            <w:r>
              <w:rPr>
                <w:rFonts w:cs="Times New Roman"/>
                <w:kern w:val="0"/>
                <w:sz w:val="21"/>
                <w:szCs w:val="21"/>
              </w:rPr>
              <w:t>40.00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17" w:line="310" w:lineRule="atLeast"/>
              <w:ind w:firstLine="0" w:firstLineChars="0"/>
              <w:jc w:val="left"/>
              <w:rPr>
                <w:rFonts w:ascii="宋体" w:eastAsia="宋体" w:cs="宋体"/>
                <w:kern w:val="0"/>
                <w:sz w:val="21"/>
                <w:szCs w:val="21"/>
              </w:rPr>
            </w:pPr>
            <w:r>
              <w:rPr>
                <w:rFonts w:hint="eastAsia" w:ascii="宋体" w:eastAsia="宋体" w:cs="宋体"/>
                <w:kern w:val="0"/>
                <w:sz w:val="21"/>
                <w:szCs w:val="21"/>
              </w:rPr>
              <w:t>玛纳斯河玛纳斯县灌区玛县兰引渠</w:t>
            </w:r>
            <w:r>
              <w:rPr>
                <w:rFonts w:eastAsia="宋体" w:cs="Times New Roman"/>
                <w:kern w:val="0"/>
                <w:sz w:val="21"/>
                <w:szCs w:val="21"/>
              </w:rPr>
              <w:t>-</w:t>
            </w:r>
            <w:r>
              <w:rPr>
                <w:rFonts w:hint="eastAsia" w:ascii="宋体" w:eastAsia="宋体" w:cs="宋体"/>
                <w:kern w:val="0"/>
                <w:sz w:val="21"/>
                <w:szCs w:val="21"/>
              </w:rPr>
              <w:t>夹河子渠供水</w:t>
            </w:r>
          </w:p>
        </w:tc>
      </w:tr>
      <w:tr>
        <w:tblPrEx>
          <w:tblCellMar>
            <w:top w:w="0" w:type="dxa"/>
            <w:left w:w="0" w:type="dxa"/>
            <w:bottom w:w="0" w:type="dxa"/>
            <w:right w:w="0" w:type="dxa"/>
          </w:tblCellMar>
        </w:tblPrEx>
        <w:trPr>
          <w:trHeight w:val="702"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18"/>
                <w:szCs w:val="18"/>
              </w:rPr>
            </w:pPr>
          </w:p>
          <w:p>
            <w:pPr>
              <w:tabs>
                <w:tab w:val="left" w:pos="0"/>
              </w:tabs>
              <w:kinsoku w:val="0"/>
              <w:overflowPunct w:val="0"/>
              <w:autoSpaceDE w:val="0"/>
              <w:autoSpaceDN w:val="0"/>
              <w:adjustRightInd w:val="0"/>
              <w:spacing w:line="240" w:lineRule="auto"/>
              <w:ind w:firstLine="0" w:firstLineChars="0"/>
              <w:jc w:val="center"/>
              <w:rPr>
                <w:rFonts w:cs="Times New Roman"/>
                <w:kern w:val="0"/>
                <w:sz w:val="21"/>
                <w:szCs w:val="21"/>
              </w:rPr>
            </w:pPr>
            <w:r>
              <w:rPr>
                <w:rFonts w:cs="Times New Roman"/>
                <w:kern w:val="0"/>
                <w:sz w:val="21"/>
                <w:szCs w:val="21"/>
              </w:rPr>
              <w:t>55.00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310" w:lineRule="atLeast"/>
              <w:ind w:firstLine="0" w:firstLineChars="0"/>
              <w:jc w:val="left"/>
              <w:rPr>
                <w:rFonts w:ascii="宋体" w:eastAsia="宋体" w:cs="宋体"/>
                <w:kern w:val="0"/>
                <w:sz w:val="21"/>
                <w:szCs w:val="21"/>
              </w:rPr>
            </w:pPr>
            <w:r>
              <w:rPr>
                <w:rFonts w:hint="eastAsia" w:ascii="宋体" w:eastAsia="宋体" w:cs="宋体"/>
                <w:kern w:val="0"/>
                <w:sz w:val="21"/>
                <w:szCs w:val="21"/>
              </w:rPr>
              <w:t>玛纳斯河玛纳斯县灌区玛县四阜渠</w:t>
            </w:r>
            <w:r>
              <w:rPr>
                <w:rFonts w:eastAsia="宋体" w:cs="Times New Roman"/>
                <w:kern w:val="0"/>
                <w:sz w:val="21"/>
                <w:szCs w:val="21"/>
              </w:rPr>
              <w:t>-</w:t>
            </w:r>
            <w:r>
              <w:rPr>
                <w:rFonts w:hint="eastAsia" w:ascii="宋体" w:eastAsia="宋体" w:cs="宋体"/>
                <w:kern w:val="0"/>
                <w:sz w:val="21"/>
                <w:szCs w:val="21"/>
              </w:rPr>
              <w:t>拟建渠道灌溉</w:t>
            </w:r>
          </w:p>
        </w:tc>
      </w:tr>
      <w:tr>
        <w:tblPrEx>
          <w:tblCellMar>
            <w:top w:w="0" w:type="dxa"/>
            <w:left w:w="0" w:type="dxa"/>
            <w:bottom w:w="0" w:type="dxa"/>
            <w:right w:w="0" w:type="dxa"/>
          </w:tblCellMar>
        </w:tblPrEx>
        <w:trPr>
          <w:trHeight w:val="273"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7" w:line="217" w:lineRule="exact"/>
              <w:ind w:firstLine="0" w:firstLineChars="0"/>
              <w:jc w:val="center"/>
              <w:rPr>
                <w:rFonts w:cs="Times New Roman"/>
                <w:kern w:val="0"/>
                <w:sz w:val="21"/>
                <w:szCs w:val="21"/>
              </w:rPr>
            </w:pPr>
            <w:r>
              <w:rPr>
                <w:rFonts w:cs="Times New Roman"/>
                <w:kern w:val="0"/>
                <w:sz w:val="21"/>
                <w:szCs w:val="21"/>
              </w:rPr>
              <w:t>966.76</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3" w:line="231" w:lineRule="exact"/>
              <w:ind w:firstLine="0" w:firstLineChars="0"/>
              <w:jc w:val="center"/>
              <w:rPr>
                <w:rFonts w:ascii="宋体" w:eastAsia="宋体" w:cs="宋体"/>
                <w:kern w:val="0"/>
                <w:sz w:val="21"/>
                <w:szCs w:val="21"/>
              </w:rPr>
            </w:pPr>
            <w:r>
              <w:rPr>
                <w:rFonts w:hint="eastAsia" w:ascii="宋体" w:eastAsia="宋体" w:cs="宋体"/>
                <w:kern w:val="0"/>
                <w:sz w:val="21"/>
                <w:szCs w:val="21"/>
              </w:rPr>
              <w:t>玛纳斯河生态基流水量</w:t>
            </w:r>
          </w:p>
        </w:tc>
      </w:tr>
      <w:tr>
        <w:tblPrEx>
          <w:tblCellMar>
            <w:top w:w="0" w:type="dxa"/>
            <w:left w:w="0" w:type="dxa"/>
            <w:bottom w:w="0" w:type="dxa"/>
            <w:right w:w="0" w:type="dxa"/>
          </w:tblCellMar>
        </w:tblPrEx>
        <w:trPr>
          <w:trHeight w:val="275"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9" w:line="217" w:lineRule="exact"/>
              <w:ind w:firstLine="0" w:firstLineChars="0"/>
              <w:jc w:val="center"/>
              <w:rPr>
                <w:rFonts w:cs="Times New Roman"/>
                <w:kern w:val="0"/>
                <w:sz w:val="21"/>
                <w:szCs w:val="21"/>
              </w:rPr>
            </w:pPr>
            <w:r>
              <w:rPr>
                <w:rFonts w:cs="Times New Roman"/>
                <w:kern w:val="0"/>
                <w:sz w:val="21"/>
                <w:szCs w:val="21"/>
              </w:rPr>
              <w:t>98.60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5" w:line="231" w:lineRule="exact"/>
              <w:ind w:firstLine="0" w:firstLineChars="0"/>
              <w:jc w:val="center"/>
              <w:rPr>
                <w:rFonts w:ascii="宋体" w:eastAsia="宋体" w:cs="宋体"/>
                <w:kern w:val="0"/>
                <w:sz w:val="21"/>
                <w:szCs w:val="21"/>
              </w:rPr>
            </w:pPr>
            <w:r>
              <w:rPr>
                <w:rFonts w:hint="eastAsia" w:ascii="宋体" w:eastAsia="宋体" w:cs="宋体"/>
                <w:kern w:val="0"/>
                <w:sz w:val="21"/>
                <w:szCs w:val="21"/>
              </w:rPr>
              <w:t>夹河子水库回水水量</w:t>
            </w:r>
          </w:p>
        </w:tc>
      </w:tr>
      <w:tr>
        <w:tblPrEx>
          <w:tblCellMar>
            <w:top w:w="0" w:type="dxa"/>
            <w:left w:w="0" w:type="dxa"/>
            <w:bottom w:w="0" w:type="dxa"/>
            <w:right w:w="0" w:type="dxa"/>
          </w:tblCellMar>
        </w:tblPrEx>
        <w:trPr>
          <w:trHeight w:val="273"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40" w:line="213" w:lineRule="exact"/>
              <w:ind w:firstLine="0" w:firstLineChars="0"/>
              <w:jc w:val="center"/>
              <w:rPr>
                <w:rFonts w:ascii="宋体" w:eastAsia="宋体" w:cs="宋体"/>
                <w:kern w:val="0"/>
                <w:sz w:val="18"/>
                <w:szCs w:val="18"/>
              </w:rPr>
            </w:pPr>
            <w:r>
              <w:rPr>
                <w:rFonts w:hint="eastAsia" w:ascii="宋体" w:eastAsia="宋体" w:cs="宋体"/>
                <w:kern w:val="0"/>
                <w:sz w:val="18"/>
                <w:szCs w:val="18"/>
              </w:rPr>
              <w:t>小计</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6" w:line="217" w:lineRule="exact"/>
              <w:ind w:firstLine="0" w:firstLineChars="0"/>
              <w:jc w:val="center"/>
              <w:rPr>
                <w:rFonts w:cs="Times New Roman"/>
                <w:kern w:val="0"/>
                <w:sz w:val="21"/>
                <w:szCs w:val="21"/>
              </w:rPr>
            </w:pPr>
            <w:r>
              <w:rPr>
                <w:rFonts w:cs="Times New Roman"/>
                <w:kern w:val="0"/>
                <w:sz w:val="21"/>
                <w:szCs w:val="21"/>
              </w:rPr>
              <w:t>1160.37</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273"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40" w:line="213" w:lineRule="exact"/>
              <w:ind w:firstLine="0" w:firstLineChars="0"/>
              <w:jc w:val="center"/>
              <w:rPr>
                <w:rFonts w:ascii="宋体" w:eastAsia="宋体" w:cs="宋体"/>
                <w:kern w:val="0"/>
                <w:sz w:val="18"/>
                <w:szCs w:val="18"/>
              </w:rPr>
            </w:pPr>
            <w:r>
              <w:rPr>
                <w:rFonts w:hint="eastAsia" w:ascii="宋体" w:eastAsia="宋体" w:cs="宋体"/>
                <w:kern w:val="0"/>
                <w:sz w:val="18"/>
                <w:szCs w:val="18"/>
              </w:rPr>
              <w:t>泉水</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6" w:line="217" w:lineRule="exact"/>
              <w:ind w:firstLine="0" w:firstLineChars="0"/>
              <w:jc w:val="center"/>
              <w:rPr>
                <w:rFonts w:cs="Times New Roman"/>
                <w:kern w:val="0"/>
                <w:sz w:val="21"/>
                <w:szCs w:val="21"/>
              </w:rPr>
            </w:pPr>
            <w:r>
              <w:rPr>
                <w:rFonts w:cs="Times New Roman"/>
                <w:kern w:val="0"/>
                <w:sz w:val="21"/>
                <w:szCs w:val="21"/>
              </w:rPr>
              <w:t>393.12</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center"/>
              <w:rPr>
                <w:rFonts w:ascii="宋体" w:eastAsia="宋体" w:cs="宋体"/>
                <w:kern w:val="0"/>
                <w:sz w:val="21"/>
                <w:szCs w:val="21"/>
              </w:rPr>
            </w:pPr>
            <w:r>
              <w:rPr>
                <w:rFonts w:hint="eastAsia" w:ascii="宋体" w:eastAsia="宋体" w:cs="宋体"/>
                <w:kern w:val="0"/>
                <w:sz w:val="21"/>
                <w:szCs w:val="21"/>
              </w:rPr>
              <w:t>泉水溢出带水量</w:t>
            </w:r>
          </w:p>
        </w:tc>
      </w:tr>
      <w:tr>
        <w:tblPrEx>
          <w:tblCellMar>
            <w:top w:w="0" w:type="dxa"/>
            <w:left w:w="0" w:type="dxa"/>
            <w:bottom w:w="0" w:type="dxa"/>
            <w:right w:w="0" w:type="dxa"/>
          </w:tblCellMar>
        </w:tblPrEx>
        <w:trPr>
          <w:trHeight w:val="275"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vMerge w:val="restart"/>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12" w:line="240" w:lineRule="auto"/>
              <w:ind w:firstLine="0" w:firstLineChars="0"/>
              <w:jc w:val="left"/>
              <w:rPr>
                <w:rFonts w:ascii="黑体" w:eastAsia="黑体" w:cs="黑体"/>
                <w:b/>
                <w:bCs/>
                <w:kern w:val="0"/>
                <w:sz w:val="23"/>
                <w:szCs w:val="23"/>
              </w:rPr>
            </w:pPr>
          </w:p>
          <w:p>
            <w:pPr>
              <w:tabs>
                <w:tab w:val="left" w:pos="0"/>
              </w:tabs>
              <w:kinsoku w:val="0"/>
              <w:overflowPunct w:val="0"/>
              <w:autoSpaceDE w:val="0"/>
              <w:autoSpaceDN w:val="0"/>
              <w:adjustRightInd w:val="0"/>
              <w:spacing w:line="240" w:lineRule="auto"/>
              <w:ind w:firstLine="0" w:firstLineChars="0"/>
              <w:jc w:val="center"/>
              <w:rPr>
                <w:rFonts w:ascii="宋体" w:eastAsia="宋体" w:cs="宋体"/>
                <w:kern w:val="0"/>
                <w:sz w:val="18"/>
                <w:szCs w:val="18"/>
              </w:rPr>
            </w:pPr>
            <w:r>
              <w:rPr>
                <w:rFonts w:hint="eastAsia" w:ascii="宋体" w:eastAsia="宋体" w:cs="宋体"/>
                <w:kern w:val="0"/>
                <w:sz w:val="18"/>
                <w:szCs w:val="18"/>
              </w:rPr>
              <w:t>地下水</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9" w:line="217" w:lineRule="exact"/>
              <w:ind w:firstLine="0" w:firstLineChars="0"/>
              <w:jc w:val="center"/>
              <w:rPr>
                <w:rFonts w:cs="Times New Roman"/>
                <w:kern w:val="0"/>
                <w:sz w:val="21"/>
                <w:szCs w:val="21"/>
              </w:rPr>
            </w:pPr>
            <w:r>
              <w:rPr>
                <w:rFonts w:cs="Times New Roman"/>
                <w:kern w:val="0"/>
                <w:sz w:val="21"/>
                <w:szCs w:val="21"/>
              </w:rPr>
              <w:t>49.00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5" w:line="231" w:lineRule="exact"/>
              <w:ind w:firstLine="0" w:firstLineChars="0"/>
              <w:jc w:val="center"/>
              <w:rPr>
                <w:rFonts w:ascii="宋体" w:eastAsia="宋体" w:cs="宋体"/>
                <w:kern w:val="0"/>
                <w:sz w:val="21"/>
                <w:szCs w:val="21"/>
              </w:rPr>
            </w:pPr>
            <w:r>
              <w:rPr>
                <w:rFonts w:cs="Times New Roman"/>
                <w:kern w:val="0"/>
                <w:sz w:val="21"/>
                <w:szCs w:val="21"/>
              </w:rPr>
              <w:t>0236</w:t>
            </w:r>
            <w:r>
              <w:rPr>
                <w:rFonts w:cs="Times New Roman"/>
                <w:spacing w:val="-3"/>
                <w:kern w:val="0"/>
                <w:sz w:val="21"/>
                <w:szCs w:val="21"/>
              </w:rPr>
              <w:t xml:space="preserve"> </w:t>
            </w:r>
            <w:r>
              <w:rPr>
                <w:rFonts w:hint="eastAsia" w:ascii="宋体" w:eastAsia="宋体" w:cs="宋体"/>
                <w:kern w:val="0"/>
                <w:sz w:val="21"/>
                <w:szCs w:val="21"/>
              </w:rPr>
              <w:t>号机井（天鹅园内）</w:t>
            </w:r>
          </w:p>
        </w:tc>
      </w:tr>
      <w:tr>
        <w:tblPrEx>
          <w:tblCellMar>
            <w:top w:w="0" w:type="dxa"/>
            <w:left w:w="0" w:type="dxa"/>
            <w:bottom w:w="0" w:type="dxa"/>
            <w:right w:w="0" w:type="dxa"/>
          </w:tblCellMar>
        </w:tblPrEx>
        <w:trPr>
          <w:trHeight w:val="273"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6" w:line="217" w:lineRule="exact"/>
              <w:ind w:firstLine="0" w:firstLineChars="0"/>
              <w:jc w:val="center"/>
              <w:rPr>
                <w:rFonts w:cs="Times New Roman"/>
                <w:kern w:val="0"/>
                <w:sz w:val="21"/>
                <w:szCs w:val="21"/>
              </w:rPr>
            </w:pPr>
            <w:r>
              <w:rPr>
                <w:rFonts w:cs="Times New Roman"/>
                <w:kern w:val="0"/>
                <w:sz w:val="21"/>
                <w:szCs w:val="21"/>
              </w:rPr>
              <w:t>18.50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center"/>
              <w:rPr>
                <w:rFonts w:ascii="宋体" w:eastAsia="宋体" w:cs="宋体"/>
                <w:kern w:val="0"/>
                <w:sz w:val="21"/>
                <w:szCs w:val="21"/>
              </w:rPr>
            </w:pPr>
            <w:r>
              <w:rPr>
                <w:rFonts w:cs="Times New Roman"/>
                <w:kern w:val="0"/>
                <w:sz w:val="21"/>
                <w:szCs w:val="21"/>
              </w:rPr>
              <w:t>0744</w:t>
            </w:r>
            <w:r>
              <w:rPr>
                <w:rFonts w:cs="Times New Roman"/>
                <w:spacing w:val="-3"/>
                <w:kern w:val="0"/>
                <w:sz w:val="21"/>
                <w:szCs w:val="21"/>
              </w:rPr>
              <w:t xml:space="preserve"> </w:t>
            </w:r>
            <w:r>
              <w:rPr>
                <w:rFonts w:hint="eastAsia" w:ascii="宋体" w:eastAsia="宋体" w:cs="宋体"/>
                <w:kern w:val="0"/>
                <w:sz w:val="21"/>
                <w:szCs w:val="21"/>
              </w:rPr>
              <w:t>号机井（天鹅园内）</w:t>
            </w:r>
          </w:p>
        </w:tc>
      </w:tr>
      <w:tr>
        <w:tblPrEx>
          <w:tblCellMar>
            <w:top w:w="0" w:type="dxa"/>
            <w:left w:w="0" w:type="dxa"/>
            <w:bottom w:w="0" w:type="dxa"/>
            <w:right w:w="0" w:type="dxa"/>
          </w:tblCellMar>
        </w:tblPrEx>
        <w:trPr>
          <w:trHeight w:val="273"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6" w:line="217" w:lineRule="exact"/>
              <w:ind w:firstLine="0" w:firstLineChars="0"/>
              <w:jc w:val="center"/>
              <w:rPr>
                <w:rFonts w:cs="Times New Roman"/>
                <w:kern w:val="0"/>
                <w:sz w:val="21"/>
                <w:szCs w:val="21"/>
              </w:rPr>
            </w:pPr>
            <w:r>
              <w:rPr>
                <w:rFonts w:cs="Times New Roman"/>
                <w:kern w:val="0"/>
                <w:sz w:val="21"/>
                <w:szCs w:val="21"/>
              </w:rPr>
              <w:t>20.00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2" w:line="231" w:lineRule="exact"/>
              <w:ind w:firstLine="0" w:firstLineChars="0"/>
              <w:jc w:val="center"/>
              <w:rPr>
                <w:rFonts w:ascii="宋体" w:eastAsia="宋体" w:cs="宋体"/>
                <w:kern w:val="0"/>
                <w:sz w:val="21"/>
                <w:szCs w:val="21"/>
              </w:rPr>
            </w:pPr>
            <w:r>
              <w:rPr>
                <w:rFonts w:cs="Times New Roman"/>
                <w:kern w:val="0"/>
                <w:sz w:val="21"/>
                <w:szCs w:val="21"/>
              </w:rPr>
              <w:t>0745</w:t>
            </w:r>
            <w:r>
              <w:rPr>
                <w:rFonts w:cs="Times New Roman"/>
                <w:spacing w:val="-3"/>
                <w:kern w:val="0"/>
                <w:sz w:val="21"/>
                <w:szCs w:val="21"/>
              </w:rPr>
              <w:t xml:space="preserve"> </w:t>
            </w:r>
            <w:r>
              <w:rPr>
                <w:rFonts w:hint="eastAsia" w:ascii="宋体" w:eastAsia="宋体" w:cs="宋体"/>
                <w:kern w:val="0"/>
                <w:sz w:val="21"/>
                <w:szCs w:val="21"/>
              </w:rPr>
              <w:t>号机井（植物园内）</w:t>
            </w:r>
          </w:p>
        </w:tc>
      </w:tr>
      <w:tr>
        <w:tblPrEx>
          <w:tblCellMar>
            <w:top w:w="0" w:type="dxa"/>
            <w:left w:w="0" w:type="dxa"/>
            <w:bottom w:w="0" w:type="dxa"/>
            <w:right w:w="0" w:type="dxa"/>
          </w:tblCellMar>
        </w:tblPrEx>
        <w:trPr>
          <w:trHeight w:val="275" w:hRule="atLeast"/>
        </w:trPr>
        <w:tc>
          <w:tcPr>
            <w:tcW w:w="982" w:type="dxa"/>
            <w:vMerge w:val="continue"/>
            <w:tcBorders>
              <w:top w:val="nil"/>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2" w:line="240" w:lineRule="auto"/>
              <w:ind w:firstLine="0" w:firstLineChars="0"/>
              <w:jc w:val="left"/>
              <w:rPr>
                <w:rFonts w:ascii="黑体" w:eastAsia="黑体" w:cs="黑体"/>
                <w:b/>
                <w:bCs/>
                <w:kern w:val="0"/>
                <w:sz w:val="2"/>
                <w:szCs w:val="2"/>
              </w:rPr>
            </w:pP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43" w:line="213" w:lineRule="exact"/>
              <w:ind w:firstLine="0" w:firstLineChars="0"/>
              <w:jc w:val="center"/>
              <w:rPr>
                <w:rFonts w:ascii="宋体" w:eastAsia="宋体" w:cs="宋体"/>
                <w:kern w:val="0"/>
                <w:sz w:val="18"/>
                <w:szCs w:val="18"/>
              </w:rPr>
            </w:pPr>
            <w:r>
              <w:rPr>
                <w:rFonts w:hint="eastAsia" w:ascii="宋体" w:eastAsia="宋体" w:cs="宋体"/>
                <w:kern w:val="0"/>
                <w:sz w:val="18"/>
                <w:szCs w:val="18"/>
              </w:rPr>
              <w:t>小计</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before="39" w:line="217" w:lineRule="exact"/>
              <w:ind w:firstLine="0" w:firstLineChars="0"/>
              <w:jc w:val="center"/>
              <w:rPr>
                <w:rFonts w:cs="Times New Roman"/>
                <w:kern w:val="0"/>
                <w:sz w:val="21"/>
                <w:szCs w:val="21"/>
              </w:rPr>
            </w:pPr>
            <w:r>
              <w:rPr>
                <w:rFonts w:cs="Times New Roman"/>
                <w:kern w:val="0"/>
                <w:sz w:val="21"/>
                <w:szCs w:val="21"/>
              </w:rPr>
              <w:t>87.50</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273" w:hRule="atLeast"/>
        </w:trPr>
        <w:tc>
          <w:tcPr>
            <w:tcW w:w="982"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spacing w:before="22" w:line="231" w:lineRule="exact"/>
              <w:ind w:firstLine="420"/>
              <w:rPr>
                <w:sz w:val="21"/>
                <w:szCs w:val="21"/>
              </w:rPr>
            </w:pPr>
            <w:r>
              <w:rPr>
                <w:rFonts w:hint="eastAsia"/>
                <w:sz w:val="21"/>
                <w:szCs w:val="21"/>
              </w:rPr>
              <w:t>项目</w:t>
            </w:r>
          </w:p>
        </w:tc>
        <w:tc>
          <w:tcPr>
            <w:tcW w:w="263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spacing w:before="22" w:line="231" w:lineRule="exact"/>
              <w:ind w:firstLine="420"/>
              <w:jc w:val="center"/>
              <w:rPr>
                <w:sz w:val="21"/>
                <w:szCs w:val="21"/>
              </w:rPr>
            </w:pPr>
            <w:r>
              <w:rPr>
                <w:rFonts w:hint="eastAsia"/>
                <w:sz w:val="21"/>
                <w:szCs w:val="21"/>
              </w:rPr>
              <w:t>需水类型</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spacing w:before="22" w:line="231" w:lineRule="exact"/>
              <w:ind w:firstLine="420"/>
              <w:jc w:val="center"/>
              <w:rPr>
                <w:sz w:val="21"/>
                <w:szCs w:val="21"/>
              </w:rPr>
            </w:pPr>
            <w:r>
              <w:rPr>
                <w:rFonts w:hint="eastAsia"/>
                <w:sz w:val="21"/>
                <w:szCs w:val="21"/>
              </w:rPr>
              <w:t>水量（</w:t>
            </w:r>
            <w:r>
              <w:rPr>
                <w:rFonts w:hint="eastAsia"/>
                <w:spacing w:val="-26"/>
                <w:sz w:val="21"/>
                <w:szCs w:val="21"/>
              </w:rPr>
              <w:t>万</w:t>
            </w:r>
            <w:r>
              <w:rPr>
                <w:spacing w:val="-26"/>
                <w:sz w:val="21"/>
                <w:szCs w:val="21"/>
              </w:rPr>
              <w:t xml:space="preserve"> </w:t>
            </w:r>
            <w:r>
              <w:rPr>
                <w:rFonts w:cs="Times New Roman"/>
                <w:sz w:val="21"/>
                <w:szCs w:val="21"/>
              </w:rPr>
              <w:t>m³</w:t>
            </w:r>
            <w:r>
              <w:rPr>
                <w:rFonts w:hint="eastAsia"/>
                <w:sz w:val="21"/>
                <w:szCs w:val="21"/>
              </w:rPr>
              <w:t>）</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spacing w:before="22" w:line="231" w:lineRule="exact"/>
              <w:ind w:firstLine="420"/>
              <w:jc w:val="center"/>
              <w:rPr>
                <w:sz w:val="21"/>
                <w:szCs w:val="21"/>
              </w:rPr>
            </w:pPr>
            <w:r>
              <w:rPr>
                <w:rFonts w:hint="eastAsia"/>
                <w:sz w:val="21"/>
                <w:szCs w:val="21"/>
              </w:rPr>
              <w:t>备注</w:t>
            </w:r>
          </w:p>
        </w:tc>
      </w:tr>
      <w:tr>
        <w:tblPrEx>
          <w:tblCellMar>
            <w:top w:w="0" w:type="dxa"/>
            <w:left w:w="0" w:type="dxa"/>
            <w:bottom w:w="0" w:type="dxa"/>
            <w:right w:w="0" w:type="dxa"/>
          </w:tblCellMar>
        </w:tblPrEx>
        <w:trPr>
          <w:trHeight w:val="275" w:hRule="atLeast"/>
        </w:trPr>
        <w:tc>
          <w:tcPr>
            <w:tcW w:w="3621" w:type="dxa"/>
            <w:gridSpan w:val="2"/>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spacing w:before="23" w:line="233" w:lineRule="exact"/>
              <w:ind w:firstLine="422"/>
              <w:jc w:val="center"/>
              <w:rPr>
                <w:b/>
                <w:bCs/>
                <w:sz w:val="21"/>
                <w:szCs w:val="21"/>
              </w:rPr>
            </w:pPr>
            <w:r>
              <w:rPr>
                <w:rFonts w:hint="eastAsia"/>
                <w:b/>
                <w:bCs/>
                <w:sz w:val="21"/>
                <w:szCs w:val="21"/>
              </w:rPr>
              <w:t>合计</w:t>
            </w:r>
          </w:p>
        </w:tc>
        <w:tc>
          <w:tcPr>
            <w:tcW w:w="1621"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spacing w:before="37" w:line="219" w:lineRule="exact"/>
              <w:ind w:firstLine="422"/>
              <w:jc w:val="center"/>
              <w:rPr>
                <w:rFonts w:cs="Times New Roman"/>
                <w:b/>
                <w:bCs/>
                <w:sz w:val="21"/>
                <w:szCs w:val="21"/>
              </w:rPr>
            </w:pPr>
            <w:r>
              <w:rPr>
                <w:rFonts w:cs="Times New Roman"/>
                <w:b/>
                <w:bCs/>
                <w:sz w:val="21"/>
                <w:szCs w:val="21"/>
              </w:rPr>
              <w:t>1640.99</w:t>
            </w:r>
          </w:p>
        </w:tc>
        <w:tc>
          <w:tcPr>
            <w:tcW w:w="3059" w:type="dxa"/>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ind w:firstLine="400"/>
              <w:rPr>
                <w:rFonts w:cs="Times New Roman"/>
                <w:sz w:val="20"/>
                <w:szCs w:val="20"/>
              </w:rPr>
            </w:pPr>
          </w:p>
        </w:tc>
      </w:tr>
      <w:tr>
        <w:tblPrEx>
          <w:tblCellMar>
            <w:top w:w="0" w:type="dxa"/>
            <w:left w:w="0" w:type="dxa"/>
            <w:bottom w:w="0" w:type="dxa"/>
            <w:right w:w="0" w:type="dxa"/>
          </w:tblCellMar>
        </w:tblPrEx>
        <w:trPr>
          <w:trHeight w:val="273" w:hRule="atLeast"/>
        </w:trPr>
        <w:tc>
          <w:tcPr>
            <w:tcW w:w="8301" w:type="dxa"/>
            <w:gridSpan w:val="4"/>
            <w:tcBorders>
              <w:top w:val="single" w:color="000000" w:sz="4" w:space="0"/>
              <w:left w:val="single" w:color="000000" w:sz="4" w:space="0"/>
              <w:bottom w:val="single" w:color="000000" w:sz="4" w:space="0"/>
              <w:right w:val="single" w:color="000000" w:sz="4" w:space="0"/>
            </w:tcBorders>
          </w:tcPr>
          <w:p>
            <w:pPr>
              <w:tabs>
                <w:tab w:val="left" w:pos="0"/>
              </w:tabs>
              <w:kinsoku w:val="0"/>
              <w:overflowPunct w:val="0"/>
              <w:spacing w:before="22" w:line="231" w:lineRule="exact"/>
              <w:ind w:firstLine="418"/>
              <w:jc w:val="center"/>
              <w:rPr>
                <w:b/>
                <w:bCs/>
                <w:spacing w:val="-1"/>
                <w:sz w:val="21"/>
                <w:szCs w:val="21"/>
              </w:rPr>
            </w:pPr>
            <w:r>
              <w:rPr>
                <w:rFonts w:hint="eastAsia"/>
                <w:b/>
                <w:bCs/>
                <w:spacing w:val="-1"/>
                <w:sz w:val="21"/>
                <w:szCs w:val="21"/>
              </w:rPr>
              <w:t>供水量大于需水量，湿地公园水量可以得到保障。</w:t>
            </w:r>
          </w:p>
        </w:tc>
      </w:tr>
    </w:tbl>
    <w:p>
      <w:pPr>
        <w:tabs>
          <w:tab w:val="left" w:pos="658"/>
        </w:tabs>
        <w:kinsoku w:val="0"/>
        <w:overflowPunct w:val="0"/>
        <w:autoSpaceDE w:val="0"/>
        <w:autoSpaceDN w:val="0"/>
        <w:adjustRightInd w:val="0"/>
        <w:spacing w:before="67" w:line="240" w:lineRule="auto"/>
        <w:ind w:left="279" w:firstLine="0" w:firstLineChars="0"/>
        <w:jc w:val="left"/>
        <w:outlineLvl w:val="1"/>
        <w:rPr>
          <w:rFonts w:eastAsia="黑体"/>
          <w:bCs/>
          <w:sz w:val="28"/>
          <w:szCs w:val="32"/>
        </w:rPr>
      </w:pPr>
    </w:p>
    <w:p>
      <w:pPr>
        <w:pStyle w:val="4"/>
      </w:pPr>
      <w:r>
        <w:rPr>
          <w:rFonts w:hint="eastAsia"/>
        </w:rPr>
        <w:t>三、取水水源可靠性分析</w:t>
      </w:r>
    </w:p>
    <w:p>
      <w:pPr>
        <w:kinsoku w:val="0"/>
        <w:overflowPunct w:val="0"/>
        <w:autoSpaceDE w:val="0"/>
        <w:autoSpaceDN w:val="0"/>
        <w:adjustRightInd w:val="0"/>
        <w:spacing w:before="201" w:line="240" w:lineRule="auto"/>
        <w:ind w:left="760" w:firstLine="0" w:firstLineChars="0"/>
        <w:jc w:val="left"/>
        <w:rPr>
          <w:rFonts w:ascii="宋体" w:eastAsia="宋体" w:cs="宋体"/>
          <w:kern w:val="0"/>
          <w:szCs w:val="24"/>
        </w:rPr>
      </w:pPr>
      <w:r>
        <w:rPr>
          <w:rFonts w:hint="eastAsia" w:ascii="宋体" w:eastAsia="宋体" w:cs="宋体"/>
          <w:kern w:val="0"/>
          <w:szCs w:val="24"/>
        </w:rPr>
        <w:t>本方案涉及取水水源包含地表水、泉水和地下水。</w:t>
      </w:r>
    </w:p>
    <w:p>
      <w:pPr>
        <w:tabs>
          <w:tab w:val="left" w:pos="912"/>
        </w:tabs>
        <w:kinsoku w:val="0"/>
        <w:overflowPunct w:val="0"/>
        <w:autoSpaceDE w:val="0"/>
        <w:autoSpaceDN w:val="0"/>
        <w:adjustRightInd w:val="0"/>
        <w:spacing w:before="212" w:line="240" w:lineRule="auto"/>
        <w:ind w:left="0" w:leftChars="-116" w:hanging="278" w:hangingChars="104"/>
        <w:outlineLvl w:val="2"/>
        <w:rPr>
          <w:rFonts w:ascii="宋体" w:eastAsia="宋体" w:cs="宋体"/>
          <w:b/>
          <w:bCs/>
          <w:w w:val="95"/>
          <w:kern w:val="0"/>
          <w:sz w:val="28"/>
          <w:szCs w:val="28"/>
        </w:rPr>
      </w:pPr>
      <w:r>
        <w:rPr>
          <w:rFonts w:hint="eastAsia" w:ascii="宋体" w:eastAsia="宋体" w:cs="宋体"/>
          <w:b/>
          <w:bCs/>
          <w:w w:val="95"/>
          <w:kern w:val="0"/>
          <w:sz w:val="28"/>
          <w:szCs w:val="28"/>
        </w:rPr>
        <w:t>（一）地表水</w:t>
      </w:r>
    </w:p>
    <w:p>
      <w:pPr>
        <w:numPr>
          <w:ilvl w:val="0"/>
          <w:numId w:val="5"/>
        </w:numPr>
        <w:tabs>
          <w:tab w:val="left" w:pos="944"/>
        </w:tabs>
        <w:kinsoku w:val="0"/>
        <w:overflowPunct w:val="0"/>
        <w:autoSpaceDE w:val="0"/>
        <w:autoSpaceDN w:val="0"/>
        <w:adjustRightInd w:val="0"/>
        <w:spacing w:before="214" w:line="240" w:lineRule="auto"/>
        <w:ind w:hanging="182" w:firstLineChars="0"/>
        <w:jc w:val="left"/>
        <w:outlineLvl w:val="5"/>
        <w:rPr>
          <w:rFonts w:eastAsia="宋体" w:cs="Times New Roman"/>
          <w:b/>
          <w:bCs/>
          <w:kern w:val="0"/>
          <w:sz w:val="22"/>
        </w:rPr>
      </w:pPr>
      <w:r>
        <w:rPr>
          <w:rFonts w:hint="eastAsia" w:ascii="宋体" w:eastAsia="宋体" w:cs="宋体"/>
          <w:b/>
          <w:bCs/>
          <w:kern w:val="0"/>
          <w:szCs w:val="24"/>
        </w:rPr>
        <w:t>生态取水口</w:t>
      </w:r>
    </w:p>
    <w:p>
      <w:pPr>
        <w:kinsoku w:val="0"/>
        <w:overflowPunct w:val="0"/>
        <w:autoSpaceDE w:val="0"/>
        <w:autoSpaceDN w:val="0"/>
        <w:adjustRightInd w:val="0"/>
        <w:spacing w:before="161" w:line="364" w:lineRule="auto"/>
        <w:ind w:left="280" w:right="56" w:firstLine="479" w:firstLineChars="0"/>
        <w:jc w:val="left"/>
        <w:rPr>
          <w:rFonts w:ascii="宋体" w:eastAsia="宋体" w:cs="宋体"/>
          <w:kern w:val="0"/>
          <w:szCs w:val="24"/>
        </w:rPr>
      </w:pPr>
      <w:r>
        <w:rPr>
          <w:rFonts w:hint="eastAsia" w:ascii="宋体" w:eastAsia="宋体" w:cs="宋体"/>
          <w:spacing w:val="-4"/>
          <w:kern w:val="0"/>
          <w:szCs w:val="24"/>
        </w:rPr>
        <w:t>①生态取水口作为玛纳斯国家湿地公园内植物园和天鹅园的生态取水，现状</w:t>
      </w:r>
      <w:r>
        <w:rPr>
          <w:rFonts w:hint="eastAsia" w:ascii="宋体" w:eastAsia="宋体" w:cs="宋体"/>
          <w:kern w:val="0"/>
          <w:szCs w:val="24"/>
        </w:rPr>
        <w:t>各项取水设置均已修建完毕，且已正常运行多年，水源可靠。</w:t>
      </w:r>
    </w:p>
    <w:p>
      <w:pPr>
        <w:kinsoku w:val="0"/>
        <w:overflowPunct w:val="0"/>
        <w:autoSpaceDE w:val="0"/>
        <w:autoSpaceDN w:val="0"/>
        <w:adjustRightInd w:val="0"/>
        <w:spacing w:before="1" w:line="364" w:lineRule="auto"/>
        <w:ind w:left="280" w:right="56" w:firstLine="479" w:firstLineChars="0"/>
        <w:rPr>
          <w:rFonts w:ascii="宋体" w:eastAsia="宋体" w:cs="宋体"/>
          <w:kern w:val="0"/>
          <w:szCs w:val="24"/>
        </w:rPr>
      </w:pPr>
      <w:r>
        <w:rPr>
          <w:rFonts w:hint="eastAsia" w:ascii="宋体" w:eastAsia="宋体" w:cs="宋体"/>
          <w:spacing w:val="2"/>
          <w:kern w:val="0"/>
          <w:szCs w:val="24"/>
        </w:rPr>
        <w:t>②生态取水口位于玛纳斯河东岸桩号</w:t>
      </w:r>
      <w:r>
        <w:rPr>
          <w:rFonts w:ascii="宋体" w:eastAsia="宋体" w:cs="宋体"/>
          <w:spacing w:val="2"/>
          <w:kern w:val="0"/>
          <w:szCs w:val="24"/>
        </w:rPr>
        <w:t xml:space="preserve"> </w:t>
      </w:r>
      <w:r>
        <w:rPr>
          <w:rFonts w:eastAsia="宋体" w:cs="Times New Roman"/>
          <w:kern w:val="0"/>
          <w:szCs w:val="24"/>
        </w:rPr>
        <w:t>39+000</w:t>
      </w:r>
      <w:r>
        <w:rPr>
          <w:rFonts w:eastAsia="宋体" w:cs="Times New Roman"/>
          <w:spacing w:val="54"/>
          <w:kern w:val="0"/>
          <w:szCs w:val="24"/>
        </w:rPr>
        <w:t xml:space="preserve"> </w:t>
      </w:r>
      <w:r>
        <w:rPr>
          <w:rFonts w:hint="eastAsia" w:ascii="宋体" w:eastAsia="宋体" w:cs="宋体"/>
          <w:kern w:val="0"/>
          <w:szCs w:val="24"/>
        </w:rPr>
        <w:t>处，生态取水口设计流量为</w:t>
      </w:r>
      <w:r>
        <w:rPr>
          <w:rFonts w:eastAsia="宋体" w:cs="Times New Roman"/>
          <w:spacing w:val="-1"/>
          <w:kern w:val="0"/>
          <w:szCs w:val="24"/>
        </w:rPr>
        <w:t>3m³/s</w:t>
      </w:r>
      <w:r>
        <w:rPr>
          <w:rFonts w:hint="eastAsia" w:ascii="宋体" w:eastAsia="宋体" w:cs="宋体"/>
          <w:spacing w:val="-5"/>
          <w:kern w:val="0"/>
          <w:szCs w:val="24"/>
        </w:rPr>
        <w:t>，最大年引水量为</w:t>
      </w:r>
      <w:r>
        <w:rPr>
          <w:rFonts w:ascii="宋体" w:eastAsia="宋体" w:cs="宋体"/>
          <w:spacing w:val="-5"/>
          <w:kern w:val="0"/>
          <w:szCs w:val="24"/>
        </w:rPr>
        <w:t xml:space="preserve"> </w:t>
      </w:r>
      <w:r>
        <w:rPr>
          <w:rFonts w:eastAsia="宋体" w:cs="Times New Roman"/>
          <w:kern w:val="0"/>
          <w:szCs w:val="24"/>
        </w:rPr>
        <w:t>9641</w:t>
      </w:r>
      <w:r>
        <w:rPr>
          <w:rFonts w:eastAsia="宋体" w:cs="Times New Roman"/>
          <w:spacing w:val="26"/>
          <w:kern w:val="0"/>
          <w:szCs w:val="24"/>
        </w:rPr>
        <w:t xml:space="preserve"> </w:t>
      </w:r>
      <w:r>
        <w:rPr>
          <w:rFonts w:hint="eastAsia" w:ascii="宋体" w:eastAsia="宋体" w:cs="宋体"/>
          <w:spacing w:val="-17"/>
          <w:kern w:val="0"/>
          <w:szCs w:val="24"/>
        </w:rPr>
        <w:t>万</w:t>
      </w:r>
      <w:r>
        <w:rPr>
          <w:rFonts w:ascii="宋体" w:eastAsia="宋体" w:cs="宋体"/>
          <w:spacing w:val="-17"/>
          <w:kern w:val="0"/>
          <w:szCs w:val="24"/>
        </w:rPr>
        <w:t xml:space="preserve"> </w:t>
      </w:r>
      <w:r>
        <w:rPr>
          <w:rFonts w:eastAsia="宋体" w:cs="Times New Roman"/>
          <w:kern w:val="0"/>
          <w:szCs w:val="24"/>
        </w:rPr>
        <w:t>m</w:t>
      </w:r>
      <w:r>
        <w:rPr>
          <w:rFonts w:hint="eastAsia" w:ascii="宋体" w:eastAsia="宋体" w:cs="宋体"/>
          <w:kern w:val="0"/>
          <w:szCs w:val="24"/>
        </w:rPr>
        <w:t>³，玛纳斯河生态基流红山嘴引水枢纽年总下</w:t>
      </w:r>
      <w:r>
        <w:rPr>
          <w:rFonts w:hint="eastAsia" w:ascii="宋体" w:eastAsia="宋体" w:cs="宋体"/>
          <w:spacing w:val="-16"/>
          <w:kern w:val="0"/>
          <w:szCs w:val="24"/>
        </w:rPr>
        <w:t>泄水量为</w:t>
      </w:r>
      <w:r>
        <w:rPr>
          <w:rFonts w:ascii="宋体" w:eastAsia="宋体" w:cs="宋体"/>
          <w:spacing w:val="-16"/>
          <w:kern w:val="0"/>
          <w:szCs w:val="24"/>
        </w:rPr>
        <w:t xml:space="preserve"> </w:t>
      </w:r>
      <w:r>
        <w:rPr>
          <w:rFonts w:eastAsia="宋体" w:cs="Times New Roman"/>
          <w:spacing w:val="-3"/>
          <w:kern w:val="0"/>
          <w:szCs w:val="24"/>
        </w:rPr>
        <w:t>17903</w:t>
      </w:r>
      <w:r>
        <w:rPr>
          <w:rFonts w:eastAsia="宋体" w:cs="Times New Roman"/>
          <w:kern w:val="0"/>
          <w:szCs w:val="24"/>
        </w:rPr>
        <w:t xml:space="preserve"> </w:t>
      </w:r>
      <w:r>
        <w:rPr>
          <w:rFonts w:hint="eastAsia" w:ascii="宋体" w:eastAsia="宋体" w:cs="宋体"/>
          <w:spacing w:val="-32"/>
          <w:kern w:val="0"/>
          <w:szCs w:val="24"/>
        </w:rPr>
        <w:t>万</w:t>
      </w:r>
      <w:r>
        <w:rPr>
          <w:rFonts w:ascii="宋体" w:eastAsia="宋体" w:cs="宋体"/>
          <w:spacing w:val="-32"/>
          <w:kern w:val="0"/>
          <w:szCs w:val="24"/>
        </w:rPr>
        <w:t xml:space="preserve"> </w:t>
      </w:r>
      <w:r>
        <w:rPr>
          <w:rFonts w:eastAsia="宋体" w:cs="Times New Roman"/>
          <w:spacing w:val="-3"/>
          <w:kern w:val="0"/>
          <w:szCs w:val="24"/>
        </w:rPr>
        <w:t>m</w:t>
      </w:r>
      <w:r>
        <w:rPr>
          <w:rFonts w:hint="eastAsia" w:ascii="宋体" w:eastAsia="宋体" w:cs="宋体"/>
          <w:spacing w:val="-3"/>
          <w:kern w:val="0"/>
          <w:szCs w:val="24"/>
        </w:rPr>
        <w:t>³</w:t>
      </w:r>
      <w:r>
        <w:rPr>
          <w:rFonts w:hint="eastAsia" w:ascii="宋体" w:eastAsia="宋体" w:cs="宋体"/>
          <w:spacing w:val="-9"/>
          <w:kern w:val="0"/>
          <w:szCs w:val="24"/>
        </w:rPr>
        <w:t>，生态取水口引入水量</w:t>
      </w:r>
      <w:r>
        <w:rPr>
          <w:rFonts w:ascii="宋体" w:eastAsia="宋体" w:cs="宋体"/>
          <w:spacing w:val="-9"/>
          <w:kern w:val="0"/>
          <w:szCs w:val="24"/>
        </w:rPr>
        <w:t xml:space="preserve"> </w:t>
      </w:r>
      <w:r>
        <w:rPr>
          <w:rFonts w:eastAsia="宋体" w:cs="Times New Roman"/>
          <w:spacing w:val="-3"/>
          <w:kern w:val="0"/>
          <w:szCs w:val="24"/>
        </w:rPr>
        <w:t>967</w:t>
      </w:r>
      <w:r>
        <w:rPr>
          <w:rFonts w:eastAsia="宋体" w:cs="Times New Roman"/>
          <w:kern w:val="0"/>
          <w:szCs w:val="24"/>
        </w:rPr>
        <w:t xml:space="preserve"> </w:t>
      </w:r>
      <w:r>
        <w:rPr>
          <w:rFonts w:hint="eastAsia" w:ascii="宋体" w:eastAsia="宋体" w:cs="宋体"/>
          <w:spacing w:val="-32"/>
          <w:kern w:val="0"/>
          <w:szCs w:val="24"/>
        </w:rPr>
        <w:t>万</w:t>
      </w:r>
      <w:r>
        <w:rPr>
          <w:rFonts w:ascii="宋体" w:eastAsia="宋体" w:cs="宋体"/>
          <w:spacing w:val="-32"/>
          <w:kern w:val="0"/>
          <w:szCs w:val="24"/>
        </w:rPr>
        <w:t xml:space="preserve"> </w:t>
      </w:r>
      <w:r>
        <w:rPr>
          <w:rFonts w:eastAsia="宋体" w:cs="Times New Roman"/>
          <w:spacing w:val="-3"/>
          <w:kern w:val="0"/>
          <w:szCs w:val="24"/>
        </w:rPr>
        <w:t>m</w:t>
      </w:r>
      <w:r>
        <w:rPr>
          <w:rFonts w:hint="eastAsia" w:ascii="宋体" w:eastAsia="宋体" w:cs="宋体"/>
          <w:spacing w:val="-3"/>
          <w:kern w:val="0"/>
          <w:szCs w:val="24"/>
        </w:rPr>
        <w:t>³，生态取水口取水水量有</w:t>
      </w:r>
      <w:r>
        <w:rPr>
          <w:rFonts w:hint="eastAsia" w:ascii="宋体" w:eastAsia="宋体" w:cs="宋体"/>
          <w:kern w:val="0"/>
          <w:szCs w:val="24"/>
        </w:rPr>
        <w:t>保证。</w:t>
      </w:r>
    </w:p>
    <w:p>
      <w:pPr>
        <w:numPr>
          <w:ilvl w:val="0"/>
          <w:numId w:val="5"/>
        </w:numPr>
        <w:tabs>
          <w:tab w:val="left" w:pos="942"/>
        </w:tabs>
        <w:kinsoku w:val="0"/>
        <w:overflowPunct w:val="0"/>
        <w:autoSpaceDE w:val="0"/>
        <w:autoSpaceDN w:val="0"/>
        <w:adjustRightInd w:val="0"/>
        <w:spacing w:before="3" w:line="240" w:lineRule="auto"/>
        <w:ind w:left="941" w:right="56" w:hanging="182" w:firstLineChars="0"/>
        <w:jc w:val="left"/>
        <w:rPr>
          <w:rFonts w:eastAsia="宋体" w:cs="Times New Roman"/>
          <w:kern w:val="0"/>
          <w:sz w:val="22"/>
        </w:rPr>
      </w:pPr>
      <w:r>
        <w:rPr>
          <w:rFonts w:hint="eastAsia" w:ascii="宋体" w:eastAsia="宋体" w:cs="宋体"/>
          <w:kern w:val="0"/>
          <w:szCs w:val="24"/>
        </w:rPr>
        <w:t>玛纳斯县兰引渠取水口</w:t>
      </w:r>
    </w:p>
    <w:p>
      <w:pPr>
        <w:kinsoku w:val="0"/>
        <w:overflowPunct w:val="0"/>
        <w:autoSpaceDE w:val="0"/>
        <w:autoSpaceDN w:val="0"/>
        <w:adjustRightInd w:val="0"/>
        <w:spacing w:before="160" w:line="364" w:lineRule="auto"/>
        <w:ind w:left="280" w:right="56" w:firstLine="479" w:firstLineChars="0"/>
        <w:jc w:val="left"/>
        <w:rPr>
          <w:rFonts w:ascii="宋体" w:eastAsia="宋体" w:cs="宋体"/>
          <w:kern w:val="0"/>
          <w:szCs w:val="24"/>
        </w:rPr>
      </w:pPr>
      <w:r>
        <w:rPr>
          <w:rFonts w:hint="eastAsia" w:ascii="宋体" w:eastAsia="宋体" w:cs="宋体"/>
          <w:spacing w:val="-4"/>
          <w:kern w:val="0"/>
          <w:szCs w:val="24"/>
        </w:rPr>
        <w:t>玛纳斯县兰引渠取水口现状各项取水设置均已修建完毕，且已正常运行多年，</w:t>
      </w:r>
      <w:r>
        <w:rPr>
          <w:rFonts w:ascii="宋体" w:eastAsia="宋体" w:cs="宋体"/>
          <w:spacing w:val="-117"/>
          <w:kern w:val="0"/>
          <w:szCs w:val="24"/>
        </w:rPr>
        <w:t xml:space="preserve"> </w:t>
      </w:r>
      <w:r>
        <w:rPr>
          <w:rFonts w:hint="eastAsia" w:ascii="宋体" w:eastAsia="宋体" w:cs="宋体"/>
          <w:spacing w:val="-11"/>
          <w:kern w:val="0"/>
          <w:szCs w:val="24"/>
        </w:rPr>
        <w:t>水源可靠。现状玛纳斯国家湿地公园内的红柳生态园取水主要依靠兰引渠取水口，</w:t>
      </w:r>
      <w:r>
        <w:rPr>
          <w:rFonts w:ascii="宋体" w:eastAsia="宋体" w:cs="宋体"/>
          <w:spacing w:val="-117"/>
          <w:kern w:val="0"/>
          <w:szCs w:val="24"/>
        </w:rPr>
        <w:t xml:space="preserve"> </w:t>
      </w:r>
      <w:r>
        <w:rPr>
          <w:rFonts w:hint="eastAsia" w:ascii="宋体" w:eastAsia="宋体" w:cs="宋体"/>
          <w:spacing w:val="-7"/>
          <w:kern w:val="0"/>
          <w:szCs w:val="24"/>
        </w:rPr>
        <w:t>兰引渠取水指标为</w:t>
      </w:r>
      <w:r>
        <w:rPr>
          <w:rFonts w:ascii="宋体" w:eastAsia="宋体" w:cs="宋体"/>
          <w:spacing w:val="-7"/>
          <w:kern w:val="0"/>
          <w:szCs w:val="24"/>
        </w:rPr>
        <w:t xml:space="preserve"> </w:t>
      </w:r>
      <w:r>
        <w:rPr>
          <w:rFonts w:eastAsia="宋体" w:cs="Times New Roman"/>
          <w:kern w:val="0"/>
          <w:szCs w:val="24"/>
        </w:rPr>
        <w:t>600</w:t>
      </w:r>
      <w:r>
        <w:rPr>
          <w:rFonts w:eastAsia="宋体" w:cs="Times New Roman"/>
          <w:spacing w:val="3"/>
          <w:kern w:val="0"/>
          <w:szCs w:val="24"/>
        </w:rPr>
        <w:t xml:space="preserve"> </w:t>
      </w:r>
      <w:r>
        <w:rPr>
          <w:rFonts w:hint="eastAsia" w:ascii="宋体" w:eastAsia="宋体" w:cs="宋体"/>
          <w:spacing w:val="-29"/>
          <w:kern w:val="0"/>
          <w:szCs w:val="24"/>
        </w:rPr>
        <w:t>万</w:t>
      </w:r>
      <w:r>
        <w:rPr>
          <w:rFonts w:ascii="宋体" w:eastAsia="宋体" w:cs="宋体"/>
          <w:spacing w:val="-29"/>
          <w:kern w:val="0"/>
          <w:szCs w:val="24"/>
        </w:rPr>
        <w:t xml:space="preserve"> </w:t>
      </w:r>
      <w:r>
        <w:rPr>
          <w:rFonts w:eastAsia="宋体" w:cs="Times New Roman"/>
          <w:kern w:val="0"/>
          <w:szCs w:val="24"/>
        </w:rPr>
        <w:t>m³/</w:t>
      </w:r>
      <w:r>
        <w:rPr>
          <w:rFonts w:hint="eastAsia" w:ascii="宋体" w:eastAsia="宋体" w:cs="宋体"/>
          <w:kern w:val="0"/>
          <w:szCs w:val="24"/>
        </w:rPr>
        <w:t>年，取水用于农业灌溉用水和生态用水，其中生态取</w:t>
      </w:r>
      <w:r>
        <w:rPr>
          <w:rFonts w:hint="eastAsia" w:ascii="宋体" w:eastAsia="宋体" w:cs="宋体"/>
          <w:spacing w:val="-16"/>
          <w:kern w:val="0"/>
          <w:szCs w:val="24"/>
        </w:rPr>
        <w:t>水指标</w:t>
      </w:r>
      <w:r>
        <w:rPr>
          <w:rFonts w:ascii="宋体" w:eastAsia="宋体" w:cs="宋体"/>
          <w:spacing w:val="-16"/>
          <w:kern w:val="0"/>
          <w:szCs w:val="24"/>
        </w:rPr>
        <w:t xml:space="preserve"> </w:t>
      </w:r>
      <w:r>
        <w:rPr>
          <w:rFonts w:eastAsia="宋体" w:cs="Times New Roman"/>
          <w:kern w:val="0"/>
          <w:szCs w:val="24"/>
        </w:rPr>
        <w:t xml:space="preserve">40 </w:t>
      </w:r>
      <w:r>
        <w:rPr>
          <w:rFonts w:hint="eastAsia" w:ascii="宋体" w:eastAsia="宋体" w:cs="宋体"/>
          <w:spacing w:val="-30"/>
          <w:kern w:val="0"/>
          <w:szCs w:val="24"/>
        </w:rPr>
        <w:t>万</w:t>
      </w:r>
      <w:r>
        <w:rPr>
          <w:rFonts w:ascii="宋体" w:eastAsia="宋体" w:cs="宋体"/>
          <w:spacing w:val="-30"/>
          <w:kern w:val="0"/>
          <w:szCs w:val="24"/>
        </w:rPr>
        <w:t xml:space="preserve"> </w:t>
      </w:r>
      <w:r>
        <w:rPr>
          <w:rFonts w:eastAsia="宋体" w:cs="Times New Roman"/>
          <w:kern w:val="0"/>
          <w:szCs w:val="24"/>
        </w:rPr>
        <w:t>m</w:t>
      </w:r>
      <w:r>
        <w:rPr>
          <w:rFonts w:hint="eastAsia" w:ascii="宋体" w:eastAsia="宋体" w:cs="宋体"/>
          <w:kern w:val="0"/>
          <w:szCs w:val="24"/>
        </w:rPr>
        <w:t>³，可满足本项目的取水要求。</w:t>
      </w:r>
    </w:p>
    <w:p>
      <w:pPr>
        <w:numPr>
          <w:ilvl w:val="0"/>
          <w:numId w:val="5"/>
        </w:numPr>
        <w:tabs>
          <w:tab w:val="left" w:pos="942"/>
        </w:tabs>
        <w:kinsoku w:val="0"/>
        <w:overflowPunct w:val="0"/>
        <w:autoSpaceDE w:val="0"/>
        <w:autoSpaceDN w:val="0"/>
        <w:adjustRightInd w:val="0"/>
        <w:spacing w:before="3" w:line="240" w:lineRule="auto"/>
        <w:ind w:left="941" w:right="56" w:hanging="182" w:firstLineChars="0"/>
        <w:jc w:val="left"/>
        <w:rPr>
          <w:rFonts w:eastAsia="宋体" w:cs="Times New Roman"/>
          <w:kern w:val="0"/>
          <w:sz w:val="22"/>
        </w:rPr>
      </w:pPr>
      <w:r>
        <w:rPr>
          <w:rFonts w:hint="eastAsia" w:ascii="宋体" w:eastAsia="宋体" w:cs="宋体"/>
          <w:kern w:val="0"/>
          <w:szCs w:val="24"/>
        </w:rPr>
        <w:t>玛纳斯县四阜渠取水口</w:t>
      </w:r>
    </w:p>
    <w:p>
      <w:pPr>
        <w:kinsoku w:val="0"/>
        <w:overflowPunct w:val="0"/>
        <w:autoSpaceDE w:val="0"/>
        <w:autoSpaceDN w:val="0"/>
        <w:adjustRightInd w:val="0"/>
        <w:spacing w:before="161" w:line="364" w:lineRule="auto"/>
        <w:ind w:left="280" w:right="56" w:firstLine="479" w:firstLineChars="0"/>
        <w:jc w:val="left"/>
        <w:rPr>
          <w:rFonts w:ascii="宋体" w:eastAsia="宋体" w:cs="宋体"/>
          <w:kern w:val="0"/>
          <w:szCs w:val="24"/>
        </w:rPr>
      </w:pPr>
      <w:r>
        <w:rPr>
          <w:rFonts w:hint="eastAsia" w:ascii="宋体" w:eastAsia="宋体" w:cs="宋体"/>
          <w:spacing w:val="-5"/>
          <w:kern w:val="0"/>
          <w:szCs w:val="24"/>
        </w:rPr>
        <w:t>玛纳斯县四阜渠取水口现状各项取水设置均已修建完毕，且已正常运行多年，</w:t>
      </w:r>
      <w:r>
        <w:rPr>
          <w:rFonts w:ascii="宋体" w:eastAsia="宋体" w:cs="宋体"/>
          <w:spacing w:val="-117"/>
          <w:kern w:val="0"/>
          <w:szCs w:val="24"/>
        </w:rPr>
        <w:t xml:space="preserve"> </w:t>
      </w:r>
      <w:r>
        <w:rPr>
          <w:rFonts w:hint="eastAsia" w:ascii="宋体" w:eastAsia="宋体" w:cs="宋体"/>
          <w:kern w:val="0"/>
          <w:szCs w:val="24"/>
        </w:rPr>
        <w:t>水源可靠。胡杨林计划通过四阜渠取水口取水，在四阜渠新建分水闸引水灌溉胡</w:t>
      </w:r>
      <w:r>
        <w:rPr>
          <w:rFonts w:hint="eastAsia" w:ascii="宋体" w:eastAsia="宋体" w:cs="宋体"/>
          <w:spacing w:val="-12"/>
          <w:kern w:val="0"/>
          <w:szCs w:val="24"/>
        </w:rPr>
        <w:t>杨林，四阜渠取水口取水指标为</w:t>
      </w:r>
      <w:r>
        <w:rPr>
          <w:rFonts w:ascii="宋体" w:eastAsia="宋体" w:cs="宋体"/>
          <w:spacing w:val="-12"/>
          <w:kern w:val="0"/>
          <w:szCs w:val="24"/>
        </w:rPr>
        <w:t xml:space="preserve"> </w:t>
      </w:r>
      <w:r>
        <w:rPr>
          <w:rFonts w:eastAsia="宋体" w:cs="Times New Roman"/>
          <w:kern w:val="0"/>
          <w:szCs w:val="24"/>
        </w:rPr>
        <w:t>1250</w:t>
      </w:r>
      <w:r>
        <w:rPr>
          <w:rFonts w:eastAsia="宋体" w:cs="Times New Roman"/>
          <w:spacing w:val="3"/>
          <w:kern w:val="0"/>
          <w:szCs w:val="24"/>
        </w:rPr>
        <w:t xml:space="preserve"> </w:t>
      </w:r>
      <w:r>
        <w:rPr>
          <w:rFonts w:hint="eastAsia" w:ascii="宋体" w:eastAsia="宋体" w:cs="宋体"/>
          <w:spacing w:val="-29"/>
          <w:kern w:val="0"/>
          <w:szCs w:val="24"/>
        </w:rPr>
        <w:t>万</w:t>
      </w:r>
      <w:r>
        <w:rPr>
          <w:rFonts w:ascii="宋体" w:eastAsia="宋体" w:cs="宋体"/>
          <w:spacing w:val="-29"/>
          <w:kern w:val="0"/>
          <w:szCs w:val="24"/>
        </w:rPr>
        <w:t xml:space="preserve"> </w:t>
      </w:r>
      <w:r>
        <w:rPr>
          <w:rFonts w:eastAsia="宋体" w:cs="Times New Roman"/>
          <w:kern w:val="0"/>
          <w:szCs w:val="24"/>
        </w:rPr>
        <w:t>m³/</w:t>
      </w:r>
      <w:r>
        <w:rPr>
          <w:rFonts w:hint="eastAsia" w:ascii="宋体" w:eastAsia="宋体" w:cs="宋体"/>
          <w:spacing w:val="-8"/>
          <w:kern w:val="0"/>
          <w:szCs w:val="24"/>
        </w:rPr>
        <w:t>年，取水用于农业灌溉用水和生态用水</w:t>
      </w:r>
      <w:r>
        <w:rPr>
          <w:rFonts w:hint="eastAsia" w:ascii="宋体" w:eastAsia="宋体" w:cs="宋体"/>
          <w:spacing w:val="-6"/>
          <w:kern w:val="0"/>
          <w:szCs w:val="24"/>
        </w:rPr>
        <w:t>，其中生态取水指标</w:t>
      </w:r>
      <w:r>
        <w:rPr>
          <w:rFonts w:ascii="宋体" w:eastAsia="宋体" w:cs="宋体"/>
          <w:spacing w:val="-6"/>
          <w:kern w:val="0"/>
          <w:szCs w:val="24"/>
        </w:rPr>
        <w:t xml:space="preserve"> </w:t>
      </w:r>
      <w:r>
        <w:rPr>
          <w:rFonts w:eastAsia="宋体" w:cs="Times New Roman"/>
          <w:kern w:val="0"/>
          <w:szCs w:val="24"/>
        </w:rPr>
        <w:t xml:space="preserve">55 </w:t>
      </w:r>
      <w:r>
        <w:rPr>
          <w:rFonts w:hint="eastAsia" w:ascii="宋体" w:eastAsia="宋体" w:cs="宋体"/>
          <w:spacing w:val="-30"/>
          <w:kern w:val="0"/>
          <w:szCs w:val="24"/>
        </w:rPr>
        <w:t>万</w:t>
      </w:r>
      <w:r>
        <w:rPr>
          <w:rFonts w:ascii="宋体" w:eastAsia="宋体" w:cs="宋体"/>
          <w:spacing w:val="-30"/>
          <w:kern w:val="0"/>
          <w:szCs w:val="24"/>
        </w:rPr>
        <w:t xml:space="preserve"> </w:t>
      </w:r>
      <w:r>
        <w:rPr>
          <w:rFonts w:eastAsia="宋体" w:cs="Times New Roman"/>
          <w:kern w:val="0"/>
          <w:szCs w:val="24"/>
        </w:rPr>
        <w:t>m</w:t>
      </w:r>
      <w:r>
        <w:rPr>
          <w:rFonts w:hint="eastAsia" w:ascii="宋体" w:eastAsia="宋体" w:cs="宋体"/>
          <w:kern w:val="0"/>
          <w:szCs w:val="24"/>
        </w:rPr>
        <w:t>³，可满足本项目的取水要求。</w:t>
      </w:r>
    </w:p>
    <w:p>
      <w:pPr>
        <w:kinsoku w:val="0"/>
        <w:overflowPunct w:val="0"/>
        <w:autoSpaceDE w:val="0"/>
        <w:autoSpaceDN w:val="0"/>
        <w:adjustRightInd w:val="0"/>
        <w:spacing w:before="2" w:line="240" w:lineRule="auto"/>
        <w:ind w:left="760" w:right="56" w:firstLine="0" w:firstLineChars="0"/>
        <w:jc w:val="left"/>
        <w:rPr>
          <w:rFonts w:ascii="宋体" w:eastAsia="宋体" w:cs="宋体"/>
          <w:kern w:val="0"/>
          <w:szCs w:val="24"/>
        </w:rPr>
      </w:pPr>
      <w:r>
        <w:rPr>
          <w:rFonts w:cs="Times New Roman"/>
          <w:kern w:val="0"/>
          <w:szCs w:val="24"/>
        </w:rPr>
        <w:t>4</w:t>
      </w:r>
      <w:r>
        <w:rPr>
          <w:rFonts w:hint="eastAsia" w:ascii="宋体" w:eastAsia="宋体" w:cs="宋体"/>
          <w:kern w:val="0"/>
          <w:szCs w:val="24"/>
        </w:rPr>
        <w:t>、夹河子水库回水</w:t>
      </w:r>
    </w:p>
    <w:p>
      <w:pPr>
        <w:kinsoku w:val="0"/>
        <w:overflowPunct w:val="0"/>
        <w:autoSpaceDE w:val="0"/>
        <w:autoSpaceDN w:val="0"/>
        <w:adjustRightInd w:val="0"/>
        <w:spacing w:before="161" w:line="364" w:lineRule="auto"/>
        <w:ind w:left="280" w:right="56" w:firstLine="479" w:firstLineChars="0"/>
        <w:rPr>
          <w:rFonts w:ascii="宋体" w:eastAsia="宋体" w:cs="宋体"/>
          <w:spacing w:val="-12"/>
          <w:kern w:val="0"/>
          <w:szCs w:val="24"/>
        </w:rPr>
      </w:pPr>
      <w:r>
        <w:rPr>
          <w:rFonts w:hint="eastAsia" w:ascii="宋体" w:eastAsia="宋体" w:cs="宋体"/>
          <w:spacing w:val="-5"/>
          <w:kern w:val="0"/>
          <w:szCs w:val="24"/>
        </w:rPr>
        <w:t>通过计算，夹河子水库回水水量为</w:t>
      </w:r>
      <w:r>
        <w:rPr>
          <w:rFonts w:ascii="宋体" w:eastAsia="宋体" w:cs="宋体"/>
          <w:spacing w:val="-5"/>
          <w:kern w:val="0"/>
          <w:szCs w:val="24"/>
        </w:rPr>
        <w:t xml:space="preserve"> </w:t>
      </w:r>
      <w:r>
        <w:rPr>
          <w:rFonts w:eastAsia="宋体" w:cs="Times New Roman"/>
          <w:kern w:val="0"/>
          <w:szCs w:val="24"/>
        </w:rPr>
        <w:t>98.6</w:t>
      </w:r>
      <w:r>
        <w:rPr>
          <w:rFonts w:eastAsia="宋体" w:cs="Times New Roman"/>
          <w:spacing w:val="2"/>
          <w:kern w:val="0"/>
          <w:szCs w:val="24"/>
        </w:rPr>
        <w:t xml:space="preserve"> </w:t>
      </w:r>
      <w:r>
        <w:rPr>
          <w:rFonts w:hint="eastAsia" w:ascii="宋体" w:eastAsia="宋体" w:cs="宋体"/>
          <w:spacing w:val="-29"/>
          <w:kern w:val="0"/>
          <w:szCs w:val="24"/>
        </w:rPr>
        <w:t>万</w:t>
      </w:r>
      <w:r>
        <w:rPr>
          <w:rFonts w:ascii="宋体" w:eastAsia="宋体" w:cs="宋体"/>
          <w:spacing w:val="-29"/>
          <w:kern w:val="0"/>
          <w:szCs w:val="24"/>
        </w:rPr>
        <w:t xml:space="preserve"> </w:t>
      </w:r>
      <w:r>
        <w:rPr>
          <w:rFonts w:eastAsia="宋体" w:cs="Times New Roman"/>
          <w:kern w:val="0"/>
          <w:szCs w:val="24"/>
        </w:rPr>
        <w:t>m³</w:t>
      </w:r>
      <w:r>
        <w:rPr>
          <w:rFonts w:hint="eastAsia" w:ascii="宋体" w:eastAsia="宋体" w:cs="宋体"/>
          <w:kern w:val="0"/>
          <w:szCs w:val="24"/>
        </w:rPr>
        <w:t>，夹河子水库回水、水质、水</w:t>
      </w:r>
      <w:r>
        <w:rPr>
          <w:rFonts w:hint="eastAsia" w:ascii="宋体" w:eastAsia="宋体" w:cs="宋体"/>
          <w:spacing w:val="-10"/>
          <w:kern w:val="0"/>
          <w:szCs w:val="24"/>
        </w:rPr>
        <w:t>源均与玛纳斯河河水一致，根据《第八师玛纳斯河夹河子水库二</w:t>
      </w:r>
      <w:r>
        <w:rPr>
          <w:rFonts w:ascii="宋体" w:eastAsia="宋体" w:cs="宋体"/>
          <w:spacing w:val="-10"/>
          <w:kern w:val="0"/>
          <w:szCs w:val="24"/>
        </w:rPr>
        <w:t xml:space="preserve"> </w:t>
      </w:r>
      <w:r>
        <w:rPr>
          <w:rFonts w:eastAsia="宋体" w:cs="Times New Roman"/>
          <w:kern w:val="0"/>
          <w:szCs w:val="24"/>
        </w:rPr>
        <w:t xml:space="preserve">0 </w:t>
      </w:r>
      <w:r>
        <w:rPr>
          <w:rFonts w:hint="eastAsia" w:ascii="宋体" w:eastAsia="宋体" w:cs="宋体"/>
          <w:spacing w:val="-30"/>
          <w:kern w:val="0"/>
          <w:szCs w:val="24"/>
        </w:rPr>
        <w:t>二</w:t>
      </w:r>
      <w:r>
        <w:rPr>
          <w:rFonts w:ascii="宋体" w:eastAsia="宋体" w:cs="宋体"/>
          <w:spacing w:val="-30"/>
          <w:kern w:val="0"/>
          <w:szCs w:val="24"/>
        </w:rPr>
        <w:t xml:space="preserve"> </w:t>
      </w:r>
      <w:r>
        <w:rPr>
          <w:rFonts w:eastAsia="宋体" w:cs="Times New Roman"/>
          <w:kern w:val="0"/>
          <w:szCs w:val="24"/>
        </w:rPr>
        <w:t xml:space="preserve">0 </w:t>
      </w:r>
      <w:r>
        <w:rPr>
          <w:rFonts w:hint="eastAsia" w:ascii="宋体" w:eastAsia="宋体" w:cs="宋体"/>
          <w:spacing w:val="-4"/>
          <w:kern w:val="0"/>
          <w:szCs w:val="24"/>
        </w:rPr>
        <w:t>年防洪调</w:t>
      </w:r>
      <w:r>
        <w:rPr>
          <w:rFonts w:hint="eastAsia" w:ascii="宋体" w:eastAsia="宋体" w:cs="宋体"/>
          <w:kern w:val="0"/>
          <w:szCs w:val="24"/>
        </w:rPr>
        <w:t>度（汛期调度运用计划）</w:t>
      </w:r>
      <w:r>
        <w:rPr>
          <w:rFonts w:hint="eastAsia" w:ascii="宋体" w:eastAsia="宋体" w:cs="宋体"/>
          <w:spacing w:val="-12"/>
          <w:kern w:val="0"/>
          <w:szCs w:val="24"/>
        </w:rPr>
        <w:t>方案》，回水水量有保证。</w:t>
      </w:r>
    </w:p>
    <w:p>
      <w:pPr>
        <w:kinsoku w:val="0"/>
        <w:overflowPunct w:val="0"/>
        <w:autoSpaceDE w:val="0"/>
        <w:autoSpaceDN w:val="0"/>
        <w:adjustRightInd w:val="0"/>
        <w:spacing w:before="2" w:line="364" w:lineRule="auto"/>
        <w:ind w:left="280" w:right="-58" w:firstLine="479" w:firstLineChars="0"/>
        <w:rPr>
          <w:rFonts w:ascii="宋体" w:eastAsia="宋体" w:cs="宋体"/>
          <w:kern w:val="0"/>
          <w:szCs w:val="24"/>
        </w:rPr>
      </w:pPr>
      <w:r>
        <w:rPr>
          <w:rFonts w:hint="eastAsia" w:ascii="宋体" w:eastAsia="宋体" w:cs="宋体"/>
          <w:spacing w:val="-21"/>
          <w:kern w:val="0"/>
          <w:szCs w:val="24"/>
        </w:rPr>
        <w:t>以上</w:t>
      </w:r>
      <w:r>
        <w:rPr>
          <w:rFonts w:ascii="宋体" w:eastAsia="宋体" w:cs="宋体"/>
          <w:spacing w:val="-21"/>
          <w:kern w:val="0"/>
          <w:szCs w:val="24"/>
        </w:rPr>
        <w:t xml:space="preserve"> </w:t>
      </w:r>
      <w:r>
        <w:rPr>
          <w:rFonts w:eastAsia="宋体" w:cs="Times New Roman"/>
          <w:spacing w:val="-1"/>
          <w:kern w:val="0"/>
          <w:szCs w:val="24"/>
        </w:rPr>
        <w:t>3</w:t>
      </w:r>
      <w:r>
        <w:rPr>
          <w:rFonts w:eastAsia="宋体" w:cs="Times New Roman"/>
          <w:kern w:val="0"/>
          <w:szCs w:val="24"/>
        </w:rPr>
        <w:t xml:space="preserve"> </w:t>
      </w:r>
      <w:r>
        <w:rPr>
          <w:rFonts w:hint="eastAsia" w:ascii="宋体" w:eastAsia="宋体" w:cs="宋体"/>
          <w:spacing w:val="-6"/>
          <w:kern w:val="0"/>
          <w:szCs w:val="24"/>
        </w:rPr>
        <w:t>个取水口和夹河子水库回水水源均为玛纳斯河河水，根据地表水评价</w:t>
      </w:r>
      <w:r>
        <w:rPr>
          <w:rFonts w:hint="eastAsia" w:ascii="宋体" w:eastAsia="宋体" w:cs="宋体"/>
          <w:kern w:val="0"/>
          <w:szCs w:val="24"/>
        </w:rPr>
        <w:t>标准《地表水环境质量标准》</w:t>
      </w:r>
      <w:r>
        <w:rPr>
          <w:rFonts w:eastAsia="宋体" w:cs="Times New Roman"/>
          <w:kern w:val="0"/>
          <w:szCs w:val="24"/>
        </w:rPr>
        <w:t>(GB3838-2002)</w:t>
      </w:r>
      <w:r>
        <w:rPr>
          <w:rFonts w:hint="eastAsia" w:ascii="宋体" w:eastAsia="宋体" w:cs="宋体"/>
          <w:kern w:val="0"/>
          <w:szCs w:val="24"/>
        </w:rPr>
        <w:t>可知，玛纳斯河监测点水质各指标</w:t>
      </w:r>
    </w:p>
    <w:p>
      <w:pPr>
        <w:kinsoku w:val="0"/>
        <w:overflowPunct w:val="0"/>
        <w:autoSpaceDE w:val="0"/>
        <w:autoSpaceDN w:val="0"/>
        <w:adjustRightInd w:val="0"/>
        <w:spacing w:before="2" w:line="364" w:lineRule="auto"/>
        <w:ind w:left="280" w:right="-58" w:firstLine="479" w:firstLineChars="0"/>
        <w:rPr>
          <w:rFonts w:ascii="宋体" w:eastAsia="宋体" w:cs="宋体"/>
          <w:kern w:val="0"/>
          <w:szCs w:val="24"/>
        </w:rPr>
        <w:sectPr>
          <w:pgSz w:w="11910" w:h="16840"/>
          <w:pgMar w:top="1420" w:right="1120" w:bottom="1260" w:left="1520" w:header="0" w:footer="1070" w:gutter="0"/>
          <w:cols w:space="720" w:num="1"/>
        </w:sectPr>
      </w:pPr>
    </w:p>
    <w:p>
      <w:pPr>
        <w:kinsoku w:val="0"/>
        <w:overflowPunct w:val="0"/>
        <w:autoSpaceDE w:val="0"/>
        <w:autoSpaceDN w:val="0"/>
        <w:adjustRightInd w:val="0"/>
        <w:spacing w:before="63" w:line="364" w:lineRule="auto"/>
        <w:ind w:left="280" w:right="-58" w:firstLine="0" w:firstLineChars="0"/>
        <w:jc w:val="left"/>
        <w:rPr>
          <w:rFonts w:ascii="宋体" w:eastAsia="宋体" w:cs="宋体"/>
          <w:kern w:val="0"/>
          <w:szCs w:val="24"/>
        </w:rPr>
      </w:pPr>
      <w:r>
        <w:rPr>
          <w:rFonts w:hint="eastAsia" w:ascii="宋体" w:eastAsia="宋体" w:cs="宋体"/>
          <w:kern w:val="0"/>
          <w:szCs w:val="24"/>
        </w:rPr>
        <w:t>均符合《地表水环境质量标准》</w:t>
      </w:r>
      <w:r>
        <w:rPr>
          <w:rFonts w:eastAsia="宋体" w:cs="Times New Roman"/>
          <w:kern w:val="0"/>
          <w:szCs w:val="24"/>
        </w:rPr>
        <w:t>(GB3838-2002)</w:t>
      </w:r>
      <w:r>
        <w:rPr>
          <w:rFonts w:hint="eastAsia" w:ascii="宋体" w:eastAsia="宋体" w:cs="宋体"/>
          <w:kern w:val="0"/>
          <w:szCs w:val="24"/>
        </w:rPr>
        <w:t>中的Ⅱ类标准，说明项目区地表水水质较好，适合玛纳斯国家湿地公园的生态用水。</w:t>
      </w:r>
    </w:p>
    <w:p>
      <w:pPr>
        <w:kinsoku w:val="0"/>
        <w:overflowPunct w:val="0"/>
        <w:autoSpaceDE w:val="0"/>
        <w:autoSpaceDN w:val="0"/>
        <w:adjustRightInd w:val="0"/>
        <w:spacing w:before="1" w:line="240" w:lineRule="auto"/>
        <w:ind w:left="760" w:right="-58" w:firstLine="0" w:firstLineChars="0"/>
        <w:jc w:val="left"/>
        <w:rPr>
          <w:rFonts w:ascii="宋体" w:eastAsia="宋体" w:cs="宋体"/>
          <w:kern w:val="0"/>
          <w:szCs w:val="24"/>
        </w:rPr>
      </w:pPr>
      <w:r>
        <w:rPr>
          <w:rFonts w:hint="eastAsia" w:ascii="宋体" w:eastAsia="宋体" w:cs="宋体"/>
          <w:kern w:val="0"/>
          <w:szCs w:val="24"/>
        </w:rPr>
        <w:t>综上所述，本方案地表水取水从水源、水质均可靠。</w:t>
      </w:r>
    </w:p>
    <w:p>
      <w:pPr>
        <w:tabs>
          <w:tab w:val="left" w:pos="912"/>
        </w:tabs>
        <w:kinsoku w:val="0"/>
        <w:overflowPunct w:val="0"/>
        <w:autoSpaceDE w:val="0"/>
        <w:autoSpaceDN w:val="0"/>
        <w:adjustRightInd w:val="0"/>
        <w:spacing w:before="212" w:line="240" w:lineRule="auto"/>
        <w:ind w:left="279" w:right="-58" w:firstLine="0" w:firstLineChars="0"/>
        <w:jc w:val="left"/>
        <w:outlineLvl w:val="2"/>
        <w:rPr>
          <w:rFonts w:ascii="宋体" w:eastAsia="宋体" w:cs="宋体"/>
          <w:b/>
          <w:bCs/>
          <w:w w:val="95"/>
          <w:kern w:val="0"/>
          <w:sz w:val="28"/>
          <w:szCs w:val="28"/>
        </w:rPr>
      </w:pPr>
      <w:r>
        <w:rPr>
          <w:rFonts w:hint="eastAsia" w:ascii="宋体" w:eastAsia="宋体" w:cs="宋体"/>
          <w:b/>
          <w:bCs/>
          <w:w w:val="95"/>
          <w:kern w:val="0"/>
          <w:sz w:val="28"/>
          <w:szCs w:val="28"/>
        </w:rPr>
        <w:t>（二）地下水</w:t>
      </w:r>
    </w:p>
    <w:p>
      <w:pPr>
        <w:kinsoku w:val="0"/>
        <w:overflowPunct w:val="0"/>
        <w:autoSpaceDE w:val="0"/>
        <w:autoSpaceDN w:val="0"/>
        <w:adjustRightInd w:val="0"/>
        <w:spacing w:before="214" w:line="364" w:lineRule="auto"/>
        <w:ind w:left="280" w:right="-58" w:firstLine="479" w:firstLineChars="0"/>
        <w:rPr>
          <w:rFonts w:ascii="宋体" w:eastAsia="宋体" w:cs="宋体"/>
          <w:spacing w:val="-7"/>
          <w:kern w:val="0"/>
          <w:szCs w:val="24"/>
        </w:rPr>
      </w:pPr>
      <w:r>
        <w:rPr>
          <w:rFonts w:hint="eastAsia" w:ascii="宋体" w:eastAsia="宋体" w:cs="宋体"/>
          <w:spacing w:val="-7"/>
          <w:kern w:val="0"/>
          <w:szCs w:val="24"/>
        </w:rPr>
        <w:t>本次方案评价范围内包含机井</w:t>
      </w:r>
      <w:r>
        <w:rPr>
          <w:rFonts w:ascii="宋体" w:eastAsia="宋体" w:cs="宋体"/>
          <w:spacing w:val="-7"/>
          <w:kern w:val="0"/>
          <w:szCs w:val="24"/>
        </w:rPr>
        <w:t xml:space="preserve"> </w:t>
      </w:r>
      <w:r>
        <w:rPr>
          <w:rFonts w:eastAsia="宋体" w:cs="Times New Roman"/>
          <w:spacing w:val="-2"/>
          <w:kern w:val="0"/>
          <w:szCs w:val="24"/>
        </w:rPr>
        <w:t>3</w:t>
      </w:r>
      <w:r>
        <w:rPr>
          <w:rFonts w:eastAsia="宋体" w:cs="Times New Roman"/>
          <w:kern w:val="0"/>
          <w:szCs w:val="24"/>
        </w:rPr>
        <w:t xml:space="preserve"> </w:t>
      </w:r>
      <w:r>
        <w:rPr>
          <w:rFonts w:hint="eastAsia" w:ascii="宋体" w:eastAsia="宋体" w:cs="宋体"/>
          <w:spacing w:val="-2"/>
          <w:kern w:val="0"/>
          <w:szCs w:val="24"/>
        </w:rPr>
        <w:t>眼，</w:t>
      </w:r>
      <w:r>
        <w:rPr>
          <w:rFonts w:eastAsia="宋体" w:cs="Times New Roman"/>
          <w:spacing w:val="-2"/>
          <w:kern w:val="0"/>
          <w:szCs w:val="24"/>
        </w:rPr>
        <w:t>2</w:t>
      </w:r>
      <w:r>
        <w:rPr>
          <w:rFonts w:eastAsia="宋体" w:cs="Times New Roman"/>
          <w:kern w:val="0"/>
          <w:szCs w:val="24"/>
        </w:rPr>
        <w:t xml:space="preserve"> </w:t>
      </w:r>
      <w:r>
        <w:rPr>
          <w:rFonts w:hint="eastAsia" w:ascii="宋体" w:eastAsia="宋体" w:cs="宋体"/>
          <w:spacing w:val="-2"/>
          <w:kern w:val="0"/>
          <w:szCs w:val="24"/>
        </w:rPr>
        <w:t>眼机井位于玛纳斯国家湿地公园内的</w:t>
      </w:r>
      <w:r>
        <w:rPr>
          <w:rFonts w:hint="eastAsia" w:ascii="宋体" w:eastAsia="宋体" w:cs="宋体"/>
          <w:spacing w:val="-7"/>
          <w:kern w:val="0"/>
          <w:szCs w:val="24"/>
        </w:rPr>
        <w:t>天鹅园内，另外</w:t>
      </w:r>
      <w:r>
        <w:rPr>
          <w:rFonts w:ascii="宋体" w:eastAsia="宋体" w:cs="宋体"/>
          <w:spacing w:val="-7"/>
          <w:kern w:val="0"/>
          <w:szCs w:val="24"/>
        </w:rPr>
        <w:t xml:space="preserve"> 1 </w:t>
      </w:r>
      <w:r>
        <w:rPr>
          <w:rFonts w:hint="eastAsia" w:ascii="宋体" w:eastAsia="宋体" w:cs="宋体"/>
          <w:spacing w:val="-7"/>
          <w:kern w:val="0"/>
          <w:szCs w:val="24"/>
        </w:rPr>
        <w:t>眼位于植物园内；</w:t>
      </w:r>
      <w:r>
        <w:rPr>
          <w:rFonts w:ascii="宋体" w:eastAsia="宋体" w:cs="宋体"/>
          <w:spacing w:val="-7"/>
          <w:kern w:val="0"/>
          <w:szCs w:val="24"/>
        </w:rPr>
        <w:t xml:space="preserve">3 </w:t>
      </w:r>
      <w:r>
        <w:rPr>
          <w:rFonts w:hint="eastAsia" w:ascii="宋体" w:eastAsia="宋体" w:cs="宋体"/>
          <w:spacing w:val="-7"/>
          <w:kern w:val="0"/>
          <w:szCs w:val="24"/>
        </w:rPr>
        <w:t>眼机井具体情况见下表：</w:t>
      </w:r>
    </w:p>
    <w:p>
      <w:pPr>
        <w:tabs>
          <w:tab w:val="left" w:pos="3201"/>
          <w:tab w:val="left" w:pos="5731"/>
        </w:tabs>
        <w:kinsoku w:val="0"/>
        <w:overflowPunct w:val="0"/>
        <w:autoSpaceDE w:val="0"/>
        <w:autoSpaceDN w:val="0"/>
        <w:adjustRightInd w:val="0"/>
        <w:spacing w:before="1" w:line="240" w:lineRule="auto"/>
        <w:ind w:left="1437" w:firstLine="0" w:firstLineChars="0"/>
        <w:jc w:val="left"/>
        <w:outlineLvl w:val="5"/>
        <w:rPr>
          <w:rFonts w:eastAsia="黑体" w:cs="Times New Roman"/>
          <w:b/>
          <w:bCs/>
          <w:w w:val="95"/>
          <w:kern w:val="0"/>
          <w:szCs w:val="24"/>
        </w:rPr>
      </w:pPr>
      <w:r>
        <w:rPr>
          <w:rFonts w:hint="eastAsia" w:ascii="黑体" w:eastAsia="黑体" w:cs="黑体"/>
          <w:b/>
          <w:bCs/>
          <w:kern w:val="0"/>
          <w:szCs w:val="24"/>
        </w:rPr>
        <w:t>表</w:t>
      </w:r>
      <w:r>
        <w:rPr>
          <w:rFonts w:eastAsia="黑体" w:cs="Times New Roman"/>
          <w:b/>
          <w:bCs/>
          <w:kern w:val="0"/>
          <w:szCs w:val="24"/>
        </w:rPr>
        <w:t>5.4-1</w:t>
      </w:r>
      <w:r>
        <w:rPr>
          <w:rFonts w:eastAsia="黑体" w:cs="Times New Roman"/>
          <w:b/>
          <w:bCs/>
          <w:kern w:val="0"/>
          <w:szCs w:val="24"/>
        </w:rPr>
        <w:tab/>
      </w:r>
      <w:r>
        <w:rPr>
          <w:rFonts w:hint="eastAsia" w:ascii="黑体" w:eastAsia="黑体" w:cs="黑体"/>
          <w:b/>
          <w:bCs/>
          <w:kern w:val="0"/>
          <w:szCs w:val="24"/>
        </w:rPr>
        <w:t>机井信息统计表</w:t>
      </w:r>
      <w:r>
        <w:rPr>
          <w:rFonts w:ascii="黑体" w:eastAsia="黑体" w:cs="黑体"/>
          <w:b/>
          <w:bCs/>
          <w:kern w:val="0"/>
          <w:szCs w:val="24"/>
        </w:rPr>
        <w:tab/>
      </w:r>
      <w:r>
        <w:rPr>
          <w:rFonts w:hint="eastAsia" w:ascii="黑体" w:eastAsia="黑体" w:cs="黑体"/>
          <w:b/>
          <w:bCs/>
          <w:w w:val="95"/>
          <w:kern w:val="0"/>
          <w:szCs w:val="24"/>
        </w:rPr>
        <w:t>单位：万</w:t>
      </w:r>
      <w:r>
        <w:rPr>
          <w:rFonts w:ascii="黑体" w:eastAsia="黑体" w:cs="黑体"/>
          <w:b/>
          <w:bCs/>
          <w:spacing w:val="-41"/>
          <w:w w:val="95"/>
          <w:kern w:val="0"/>
          <w:szCs w:val="24"/>
        </w:rPr>
        <w:t xml:space="preserve"> </w:t>
      </w:r>
      <w:r>
        <w:rPr>
          <w:rFonts w:eastAsia="黑体" w:cs="Times New Roman"/>
          <w:b/>
          <w:bCs/>
          <w:w w:val="95"/>
          <w:kern w:val="0"/>
          <w:szCs w:val="24"/>
        </w:rPr>
        <w:t>m³</w:t>
      </w:r>
    </w:p>
    <w:p>
      <w:pPr>
        <w:kinsoku w:val="0"/>
        <w:overflowPunct w:val="0"/>
        <w:autoSpaceDE w:val="0"/>
        <w:autoSpaceDN w:val="0"/>
        <w:adjustRightInd w:val="0"/>
        <w:spacing w:before="10" w:line="240" w:lineRule="auto"/>
        <w:ind w:firstLine="0" w:firstLineChars="0"/>
        <w:jc w:val="left"/>
        <w:rPr>
          <w:rFonts w:cs="Times New Roman"/>
          <w:b/>
          <w:bCs/>
          <w:kern w:val="0"/>
          <w:sz w:val="6"/>
          <w:szCs w:val="6"/>
        </w:rPr>
      </w:pPr>
    </w:p>
    <w:tbl>
      <w:tblPr>
        <w:tblStyle w:val="25"/>
        <w:tblW w:w="8295" w:type="dxa"/>
        <w:tblInd w:w="290" w:type="dxa"/>
        <w:tblLayout w:type="fixed"/>
        <w:tblCellMar>
          <w:top w:w="0" w:type="dxa"/>
          <w:left w:w="0" w:type="dxa"/>
          <w:bottom w:w="0" w:type="dxa"/>
          <w:right w:w="0" w:type="dxa"/>
        </w:tblCellMar>
      </w:tblPr>
      <w:tblGrid>
        <w:gridCol w:w="607"/>
        <w:gridCol w:w="998"/>
        <w:gridCol w:w="1903"/>
        <w:gridCol w:w="2414"/>
        <w:gridCol w:w="1005"/>
        <w:gridCol w:w="1368"/>
      </w:tblGrid>
      <w:tr>
        <w:tblPrEx>
          <w:tblCellMar>
            <w:top w:w="0" w:type="dxa"/>
            <w:left w:w="0" w:type="dxa"/>
            <w:bottom w:w="0" w:type="dxa"/>
            <w:right w:w="0" w:type="dxa"/>
          </w:tblCellMar>
        </w:tblPrEx>
        <w:trPr>
          <w:trHeight w:val="383" w:hRule="atLeast"/>
        </w:trPr>
        <w:tc>
          <w:tcPr>
            <w:tcW w:w="60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8" w:line="240" w:lineRule="auto"/>
              <w:ind w:left="74" w:right="62" w:firstLine="0" w:firstLineChars="0"/>
              <w:jc w:val="center"/>
              <w:rPr>
                <w:rFonts w:ascii="宋体" w:eastAsia="宋体" w:cs="宋体"/>
                <w:kern w:val="0"/>
                <w:sz w:val="21"/>
                <w:szCs w:val="21"/>
              </w:rPr>
            </w:pPr>
            <w:r>
              <w:rPr>
                <w:rFonts w:hint="eastAsia" w:ascii="宋体" w:eastAsia="宋体" w:cs="宋体"/>
                <w:kern w:val="0"/>
                <w:sz w:val="21"/>
                <w:szCs w:val="21"/>
              </w:rPr>
              <w:t>序号</w:t>
            </w:r>
          </w:p>
        </w:tc>
        <w:tc>
          <w:tcPr>
            <w:tcW w:w="99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8" w:line="240" w:lineRule="auto"/>
              <w:ind w:left="1" w:right="2" w:firstLine="0" w:firstLineChars="0"/>
              <w:jc w:val="center"/>
              <w:rPr>
                <w:rFonts w:ascii="宋体" w:eastAsia="宋体" w:cs="宋体"/>
                <w:kern w:val="0"/>
                <w:sz w:val="21"/>
                <w:szCs w:val="21"/>
              </w:rPr>
            </w:pPr>
            <w:r>
              <w:rPr>
                <w:rFonts w:hint="eastAsia" w:ascii="宋体" w:eastAsia="宋体" w:cs="宋体"/>
                <w:kern w:val="0"/>
                <w:sz w:val="21"/>
                <w:szCs w:val="21"/>
              </w:rPr>
              <w:t>机井编号</w:t>
            </w:r>
          </w:p>
        </w:tc>
        <w:tc>
          <w:tcPr>
            <w:tcW w:w="19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8" w:line="240" w:lineRule="auto"/>
              <w:ind w:left="507" w:right="506" w:firstLine="0" w:firstLineChars="0"/>
              <w:jc w:val="center"/>
              <w:rPr>
                <w:rFonts w:ascii="宋体" w:eastAsia="宋体" w:cs="宋体"/>
                <w:kern w:val="0"/>
                <w:sz w:val="21"/>
                <w:szCs w:val="21"/>
              </w:rPr>
            </w:pPr>
            <w:r>
              <w:rPr>
                <w:rFonts w:hint="eastAsia" w:ascii="宋体" w:eastAsia="宋体" w:cs="宋体"/>
                <w:kern w:val="0"/>
                <w:sz w:val="21"/>
                <w:szCs w:val="21"/>
              </w:rPr>
              <w:t>取水地点</w:t>
            </w:r>
          </w:p>
        </w:tc>
        <w:tc>
          <w:tcPr>
            <w:tcW w:w="241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8" w:line="240" w:lineRule="auto"/>
              <w:ind w:left="28" w:right="23" w:firstLine="0" w:firstLineChars="0"/>
              <w:jc w:val="center"/>
              <w:rPr>
                <w:rFonts w:ascii="宋体" w:eastAsia="宋体" w:cs="宋体"/>
                <w:kern w:val="0"/>
                <w:sz w:val="21"/>
                <w:szCs w:val="21"/>
              </w:rPr>
            </w:pPr>
            <w:r>
              <w:rPr>
                <w:rFonts w:hint="eastAsia" w:ascii="宋体" w:eastAsia="宋体" w:cs="宋体"/>
                <w:kern w:val="0"/>
                <w:sz w:val="21"/>
                <w:szCs w:val="21"/>
              </w:rPr>
              <w:t>机井权属</w:t>
            </w:r>
          </w:p>
        </w:tc>
        <w:tc>
          <w:tcPr>
            <w:tcW w:w="100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8" w:line="240" w:lineRule="auto"/>
              <w:ind w:left="59" w:right="55" w:firstLine="0" w:firstLineChars="0"/>
              <w:jc w:val="center"/>
              <w:rPr>
                <w:rFonts w:ascii="宋体" w:eastAsia="宋体" w:cs="宋体"/>
                <w:kern w:val="0"/>
                <w:sz w:val="21"/>
                <w:szCs w:val="21"/>
              </w:rPr>
            </w:pPr>
            <w:r>
              <w:rPr>
                <w:rFonts w:hint="eastAsia" w:ascii="宋体" w:eastAsia="宋体" w:cs="宋体"/>
                <w:kern w:val="0"/>
                <w:sz w:val="21"/>
                <w:szCs w:val="21"/>
              </w:rPr>
              <w:t>取水指标</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8" w:line="240" w:lineRule="auto"/>
              <w:ind w:left="31" w:right="26" w:firstLine="0" w:firstLineChars="0"/>
              <w:jc w:val="center"/>
              <w:rPr>
                <w:rFonts w:ascii="宋体" w:eastAsia="宋体" w:cs="宋体"/>
                <w:kern w:val="0"/>
                <w:sz w:val="21"/>
                <w:szCs w:val="21"/>
              </w:rPr>
            </w:pPr>
            <w:r>
              <w:rPr>
                <w:rFonts w:hint="eastAsia" w:ascii="宋体" w:eastAsia="宋体" w:cs="宋体"/>
                <w:kern w:val="0"/>
                <w:sz w:val="21"/>
                <w:szCs w:val="21"/>
              </w:rPr>
              <w:t>实际可取水量</w:t>
            </w:r>
          </w:p>
        </w:tc>
      </w:tr>
      <w:tr>
        <w:tblPrEx>
          <w:tblCellMar>
            <w:top w:w="0" w:type="dxa"/>
            <w:left w:w="0" w:type="dxa"/>
            <w:bottom w:w="0" w:type="dxa"/>
            <w:right w:w="0" w:type="dxa"/>
          </w:tblCellMar>
        </w:tblPrEx>
        <w:trPr>
          <w:trHeight w:val="624" w:hRule="atLeast"/>
        </w:trPr>
        <w:tc>
          <w:tcPr>
            <w:tcW w:w="60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93" w:line="240" w:lineRule="auto"/>
              <w:ind w:left="7" w:firstLine="0" w:firstLineChars="0"/>
              <w:jc w:val="center"/>
              <w:rPr>
                <w:rFonts w:cs="Times New Roman"/>
                <w:kern w:val="0"/>
                <w:sz w:val="21"/>
                <w:szCs w:val="21"/>
              </w:rPr>
            </w:pPr>
            <w:r>
              <w:rPr>
                <w:rFonts w:cs="Times New Roman"/>
                <w:kern w:val="0"/>
                <w:sz w:val="21"/>
                <w:szCs w:val="21"/>
              </w:rPr>
              <w:t>1</w:t>
            </w:r>
          </w:p>
        </w:tc>
        <w:tc>
          <w:tcPr>
            <w:tcW w:w="99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93" w:line="240" w:lineRule="auto"/>
              <w:ind w:left="2" w:right="2" w:firstLine="0" w:firstLineChars="0"/>
              <w:jc w:val="center"/>
              <w:rPr>
                <w:rFonts w:cs="Times New Roman"/>
                <w:kern w:val="0"/>
                <w:sz w:val="21"/>
                <w:szCs w:val="21"/>
              </w:rPr>
            </w:pPr>
            <w:r>
              <w:rPr>
                <w:rFonts w:cs="Times New Roman"/>
                <w:kern w:val="0"/>
                <w:sz w:val="21"/>
                <w:szCs w:val="21"/>
              </w:rPr>
              <w:t>0236</w:t>
            </w:r>
          </w:p>
        </w:tc>
        <w:tc>
          <w:tcPr>
            <w:tcW w:w="19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9" w:line="240" w:lineRule="auto"/>
              <w:ind w:right="-15" w:firstLine="0" w:firstLineChars="0"/>
              <w:jc w:val="center"/>
              <w:rPr>
                <w:rFonts w:ascii="宋体" w:eastAsia="宋体" w:cs="宋体"/>
                <w:kern w:val="0"/>
                <w:sz w:val="21"/>
                <w:szCs w:val="21"/>
              </w:rPr>
            </w:pPr>
            <w:r>
              <w:rPr>
                <w:rFonts w:hint="eastAsia" w:ascii="宋体" w:eastAsia="宋体" w:cs="宋体"/>
                <w:kern w:val="0"/>
                <w:sz w:val="21"/>
                <w:szCs w:val="21"/>
              </w:rPr>
              <w:t>湿地公园（天鹅园）</w:t>
            </w:r>
          </w:p>
        </w:tc>
        <w:tc>
          <w:tcPr>
            <w:tcW w:w="241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31" w:right="23" w:firstLine="0" w:firstLineChars="0"/>
              <w:jc w:val="center"/>
              <w:rPr>
                <w:rFonts w:ascii="宋体" w:eastAsia="宋体" w:cs="宋体"/>
                <w:kern w:val="0"/>
                <w:sz w:val="21"/>
                <w:szCs w:val="21"/>
              </w:rPr>
            </w:pPr>
            <w:r>
              <w:rPr>
                <w:rFonts w:hint="eastAsia" w:ascii="宋体" w:eastAsia="宋体" w:cs="宋体"/>
                <w:kern w:val="0"/>
                <w:sz w:val="21"/>
                <w:szCs w:val="21"/>
              </w:rPr>
              <w:t>玛纳斯国家湿地公园管理</w:t>
            </w:r>
          </w:p>
          <w:p>
            <w:pPr>
              <w:kinsoku w:val="0"/>
              <w:overflowPunct w:val="0"/>
              <w:autoSpaceDE w:val="0"/>
              <w:autoSpaceDN w:val="0"/>
              <w:adjustRightInd w:val="0"/>
              <w:spacing w:before="44" w:line="240" w:lineRule="auto"/>
              <w:ind w:left="3" w:firstLine="0" w:firstLineChars="0"/>
              <w:jc w:val="center"/>
              <w:rPr>
                <w:rFonts w:ascii="宋体" w:eastAsia="宋体" w:cs="宋体"/>
                <w:kern w:val="0"/>
                <w:sz w:val="21"/>
                <w:szCs w:val="21"/>
              </w:rPr>
            </w:pPr>
            <w:r>
              <w:rPr>
                <w:rFonts w:hint="eastAsia" w:ascii="宋体" w:eastAsia="宋体" w:cs="宋体"/>
                <w:kern w:val="0"/>
                <w:sz w:val="21"/>
                <w:szCs w:val="21"/>
              </w:rPr>
              <w:t>局</w:t>
            </w:r>
          </w:p>
        </w:tc>
        <w:tc>
          <w:tcPr>
            <w:tcW w:w="100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93" w:line="240" w:lineRule="auto"/>
              <w:ind w:left="57" w:right="55" w:firstLine="0" w:firstLineChars="0"/>
              <w:jc w:val="center"/>
              <w:rPr>
                <w:rFonts w:cs="Times New Roman"/>
                <w:kern w:val="0"/>
                <w:sz w:val="21"/>
                <w:szCs w:val="21"/>
              </w:rPr>
            </w:pPr>
            <w:r>
              <w:rPr>
                <w:rFonts w:cs="Times New Roman"/>
                <w:kern w:val="0"/>
                <w:sz w:val="21"/>
                <w:szCs w:val="21"/>
              </w:rPr>
              <w:t>49.00</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93" w:line="240" w:lineRule="auto"/>
              <w:ind w:left="26" w:right="26" w:firstLine="0" w:firstLineChars="0"/>
              <w:jc w:val="center"/>
              <w:rPr>
                <w:rFonts w:cs="Times New Roman"/>
                <w:kern w:val="0"/>
                <w:sz w:val="21"/>
                <w:szCs w:val="21"/>
              </w:rPr>
            </w:pPr>
            <w:r>
              <w:rPr>
                <w:rFonts w:cs="Times New Roman"/>
                <w:kern w:val="0"/>
                <w:sz w:val="21"/>
                <w:szCs w:val="21"/>
              </w:rPr>
              <w:t>49.00</w:t>
            </w:r>
          </w:p>
        </w:tc>
      </w:tr>
      <w:tr>
        <w:tblPrEx>
          <w:tblCellMar>
            <w:top w:w="0" w:type="dxa"/>
            <w:left w:w="0" w:type="dxa"/>
            <w:bottom w:w="0" w:type="dxa"/>
            <w:right w:w="0" w:type="dxa"/>
          </w:tblCellMar>
        </w:tblPrEx>
        <w:trPr>
          <w:trHeight w:val="311" w:hRule="atLeast"/>
        </w:trPr>
        <w:tc>
          <w:tcPr>
            <w:tcW w:w="60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7" w:firstLine="0" w:firstLineChars="0"/>
              <w:jc w:val="center"/>
              <w:rPr>
                <w:rFonts w:cs="Times New Roman"/>
                <w:kern w:val="0"/>
                <w:sz w:val="21"/>
                <w:szCs w:val="21"/>
              </w:rPr>
            </w:pPr>
            <w:r>
              <w:rPr>
                <w:rFonts w:cs="Times New Roman"/>
                <w:kern w:val="0"/>
                <w:sz w:val="21"/>
                <w:szCs w:val="21"/>
              </w:rPr>
              <w:t>2</w:t>
            </w:r>
          </w:p>
        </w:tc>
        <w:tc>
          <w:tcPr>
            <w:tcW w:w="99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2" w:right="2" w:firstLine="0" w:firstLineChars="0"/>
              <w:jc w:val="center"/>
              <w:rPr>
                <w:rFonts w:cs="Times New Roman"/>
                <w:kern w:val="0"/>
                <w:sz w:val="21"/>
                <w:szCs w:val="21"/>
              </w:rPr>
            </w:pPr>
            <w:r>
              <w:rPr>
                <w:rFonts w:cs="Times New Roman"/>
                <w:kern w:val="0"/>
                <w:sz w:val="21"/>
                <w:szCs w:val="21"/>
              </w:rPr>
              <w:t>0744</w:t>
            </w:r>
          </w:p>
        </w:tc>
        <w:tc>
          <w:tcPr>
            <w:tcW w:w="19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right="-15" w:firstLine="0" w:firstLineChars="0"/>
              <w:jc w:val="center"/>
              <w:rPr>
                <w:rFonts w:ascii="宋体" w:eastAsia="宋体" w:cs="宋体"/>
                <w:kern w:val="0"/>
                <w:sz w:val="21"/>
                <w:szCs w:val="21"/>
              </w:rPr>
            </w:pPr>
            <w:r>
              <w:rPr>
                <w:rFonts w:hint="eastAsia" w:ascii="宋体" w:eastAsia="宋体" w:cs="宋体"/>
                <w:kern w:val="0"/>
                <w:sz w:val="21"/>
                <w:szCs w:val="21"/>
              </w:rPr>
              <w:t>湿地公园（雁飞台）</w:t>
            </w:r>
          </w:p>
        </w:tc>
        <w:tc>
          <w:tcPr>
            <w:tcW w:w="241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30" w:right="23" w:firstLine="0" w:firstLineChars="0"/>
              <w:jc w:val="center"/>
              <w:rPr>
                <w:rFonts w:ascii="宋体" w:eastAsia="宋体" w:cs="宋体"/>
                <w:kern w:val="0"/>
                <w:sz w:val="21"/>
                <w:szCs w:val="21"/>
              </w:rPr>
            </w:pPr>
            <w:r>
              <w:rPr>
                <w:rFonts w:hint="eastAsia" w:ascii="宋体" w:eastAsia="宋体" w:cs="宋体"/>
                <w:kern w:val="0"/>
                <w:sz w:val="21"/>
                <w:szCs w:val="21"/>
              </w:rPr>
              <w:t>兰州湾村鹿场井</w:t>
            </w:r>
          </w:p>
        </w:tc>
        <w:tc>
          <w:tcPr>
            <w:tcW w:w="100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57" w:right="55" w:firstLine="0" w:firstLineChars="0"/>
              <w:jc w:val="center"/>
              <w:rPr>
                <w:rFonts w:cs="Times New Roman"/>
                <w:kern w:val="0"/>
                <w:sz w:val="21"/>
                <w:szCs w:val="21"/>
              </w:rPr>
            </w:pPr>
            <w:r>
              <w:rPr>
                <w:rFonts w:cs="Times New Roman"/>
                <w:kern w:val="0"/>
                <w:sz w:val="21"/>
                <w:szCs w:val="21"/>
              </w:rPr>
              <w:t>18.50</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26" w:right="26" w:firstLine="0" w:firstLineChars="0"/>
              <w:jc w:val="center"/>
              <w:rPr>
                <w:rFonts w:cs="Times New Roman"/>
                <w:kern w:val="0"/>
                <w:sz w:val="21"/>
                <w:szCs w:val="21"/>
              </w:rPr>
            </w:pPr>
            <w:r>
              <w:rPr>
                <w:rFonts w:cs="Times New Roman"/>
                <w:kern w:val="0"/>
                <w:sz w:val="21"/>
                <w:szCs w:val="21"/>
              </w:rPr>
              <w:t>18.50</w:t>
            </w:r>
          </w:p>
        </w:tc>
      </w:tr>
      <w:tr>
        <w:tblPrEx>
          <w:tblCellMar>
            <w:top w:w="0" w:type="dxa"/>
            <w:left w:w="0" w:type="dxa"/>
            <w:bottom w:w="0" w:type="dxa"/>
            <w:right w:w="0" w:type="dxa"/>
          </w:tblCellMar>
        </w:tblPrEx>
        <w:trPr>
          <w:trHeight w:val="313" w:hRule="atLeast"/>
        </w:trPr>
        <w:tc>
          <w:tcPr>
            <w:tcW w:w="60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7" w:firstLine="0" w:firstLineChars="0"/>
              <w:jc w:val="center"/>
              <w:rPr>
                <w:rFonts w:cs="Times New Roman"/>
                <w:kern w:val="0"/>
                <w:sz w:val="21"/>
                <w:szCs w:val="21"/>
              </w:rPr>
            </w:pPr>
            <w:r>
              <w:rPr>
                <w:rFonts w:cs="Times New Roman"/>
                <w:kern w:val="0"/>
                <w:sz w:val="21"/>
                <w:szCs w:val="21"/>
              </w:rPr>
              <w:t>3</w:t>
            </w:r>
          </w:p>
        </w:tc>
        <w:tc>
          <w:tcPr>
            <w:tcW w:w="99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2" w:right="2" w:firstLine="0" w:firstLineChars="0"/>
              <w:jc w:val="center"/>
              <w:rPr>
                <w:rFonts w:cs="Times New Roman"/>
                <w:kern w:val="0"/>
                <w:sz w:val="21"/>
                <w:szCs w:val="21"/>
              </w:rPr>
            </w:pPr>
            <w:r>
              <w:rPr>
                <w:rFonts w:cs="Times New Roman"/>
                <w:kern w:val="0"/>
                <w:sz w:val="21"/>
                <w:szCs w:val="21"/>
              </w:rPr>
              <w:t>0745</w:t>
            </w:r>
          </w:p>
        </w:tc>
        <w:tc>
          <w:tcPr>
            <w:tcW w:w="19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5" w:line="240" w:lineRule="auto"/>
              <w:ind w:right="-15" w:firstLine="0" w:firstLineChars="0"/>
              <w:jc w:val="center"/>
              <w:rPr>
                <w:rFonts w:ascii="宋体" w:eastAsia="宋体" w:cs="宋体"/>
                <w:kern w:val="0"/>
                <w:sz w:val="21"/>
                <w:szCs w:val="21"/>
              </w:rPr>
            </w:pPr>
            <w:r>
              <w:rPr>
                <w:rFonts w:hint="eastAsia" w:ascii="宋体" w:eastAsia="宋体" w:cs="宋体"/>
                <w:kern w:val="0"/>
                <w:sz w:val="21"/>
                <w:szCs w:val="21"/>
              </w:rPr>
              <w:t>湿地公园（植物园）</w:t>
            </w:r>
          </w:p>
        </w:tc>
        <w:tc>
          <w:tcPr>
            <w:tcW w:w="241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5" w:line="240" w:lineRule="auto"/>
              <w:ind w:left="30" w:right="23" w:firstLine="0" w:firstLineChars="0"/>
              <w:jc w:val="center"/>
              <w:rPr>
                <w:rFonts w:ascii="宋体" w:eastAsia="宋体" w:cs="宋体"/>
                <w:kern w:val="0"/>
                <w:sz w:val="21"/>
                <w:szCs w:val="21"/>
              </w:rPr>
            </w:pPr>
            <w:r>
              <w:rPr>
                <w:rFonts w:hint="eastAsia" w:ascii="宋体" w:eastAsia="宋体" w:cs="宋体"/>
                <w:kern w:val="0"/>
                <w:sz w:val="21"/>
                <w:szCs w:val="21"/>
              </w:rPr>
              <w:t>夹河子村机井</w:t>
            </w:r>
          </w:p>
        </w:tc>
        <w:tc>
          <w:tcPr>
            <w:tcW w:w="100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57" w:right="55" w:firstLine="0" w:firstLineChars="0"/>
              <w:jc w:val="center"/>
              <w:rPr>
                <w:rFonts w:cs="Times New Roman"/>
                <w:kern w:val="0"/>
                <w:sz w:val="21"/>
                <w:szCs w:val="21"/>
              </w:rPr>
            </w:pPr>
            <w:r>
              <w:rPr>
                <w:rFonts w:cs="Times New Roman"/>
                <w:kern w:val="0"/>
                <w:sz w:val="21"/>
                <w:szCs w:val="21"/>
              </w:rPr>
              <w:t>20.00</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26" w:right="26" w:firstLine="0" w:firstLineChars="0"/>
              <w:jc w:val="center"/>
              <w:rPr>
                <w:rFonts w:cs="Times New Roman"/>
                <w:kern w:val="0"/>
                <w:sz w:val="21"/>
                <w:szCs w:val="21"/>
              </w:rPr>
            </w:pPr>
            <w:r>
              <w:rPr>
                <w:rFonts w:cs="Times New Roman"/>
                <w:kern w:val="0"/>
                <w:sz w:val="21"/>
                <w:szCs w:val="21"/>
              </w:rPr>
              <w:t>20.00</w:t>
            </w:r>
          </w:p>
        </w:tc>
      </w:tr>
    </w:tbl>
    <w:p>
      <w:pPr>
        <w:kinsoku w:val="0"/>
        <w:overflowPunct w:val="0"/>
        <w:autoSpaceDE w:val="0"/>
        <w:autoSpaceDN w:val="0"/>
        <w:adjustRightInd w:val="0"/>
        <w:spacing w:before="82" w:line="364" w:lineRule="auto"/>
        <w:ind w:right="-58" w:firstLine="460"/>
        <w:rPr>
          <w:rFonts w:ascii="宋体" w:eastAsia="宋体" w:cs="宋体"/>
          <w:kern w:val="0"/>
          <w:szCs w:val="24"/>
        </w:rPr>
      </w:pPr>
      <w:r>
        <w:rPr>
          <w:rFonts w:hint="eastAsia" w:ascii="宋体" w:eastAsia="宋体" w:cs="宋体"/>
          <w:spacing w:val="-5"/>
          <w:kern w:val="0"/>
          <w:szCs w:val="24"/>
        </w:rPr>
        <w:t>通过距离玛纳斯国家湿地公园较近的监测井水质监测报告可以得出，项目区</w:t>
      </w:r>
      <w:r>
        <w:rPr>
          <w:rFonts w:hint="eastAsia" w:ascii="宋体" w:eastAsia="宋体" w:cs="宋体"/>
          <w:spacing w:val="-10"/>
          <w:kern w:val="0"/>
          <w:szCs w:val="24"/>
        </w:rPr>
        <w:t>地下水水质符合《地下水质量标准</w:t>
      </w:r>
      <w:r>
        <w:rPr>
          <w:rFonts w:ascii="宋体" w:eastAsia="宋体" w:cs="宋体"/>
          <w:spacing w:val="-10"/>
          <w:kern w:val="0"/>
          <w:szCs w:val="24"/>
        </w:rPr>
        <w:t xml:space="preserve"> </w:t>
      </w:r>
      <w:r>
        <w:rPr>
          <w:rFonts w:eastAsia="宋体" w:cs="Times New Roman"/>
          <w:spacing w:val="-1"/>
          <w:kern w:val="0"/>
          <w:szCs w:val="24"/>
        </w:rPr>
        <w:t>GB/T14848-2017</w:t>
      </w:r>
      <w:r>
        <w:rPr>
          <w:rFonts w:hint="eastAsia" w:ascii="宋体" w:eastAsia="宋体" w:cs="宋体"/>
          <w:spacing w:val="-14"/>
          <w:kern w:val="0"/>
          <w:szCs w:val="24"/>
        </w:rPr>
        <w:t>》Ⅱ、Ⅲ类水。说明项目区地</w:t>
      </w:r>
      <w:r>
        <w:rPr>
          <w:rFonts w:hint="eastAsia" w:ascii="宋体" w:eastAsia="宋体" w:cs="宋体"/>
          <w:kern w:val="0"/>
          <w:szCs w:val="24"/>
        </w:rPr>
        <w:t>表水水质较好，适合玛纳斯国家湿地公园的生态用水。</w:t>
      </w:r>
    </w:p>
    <w:p>
      <w:pPr>
        <w:numPr>
          <w:ilvl w:val="2"/>
          <w:numId w:val="6"/>
        </w:numPr>
        <w:tabs>
          <w:tab w:val="left" w:pos="912"/>
        </w:tabs>
        <w:kinsoku w:val="0"/>
        <w:overflowPunct w:val="0"/>
        <w:autoSpaceDE w:val="0"/>
        <w:autoSpaceDN w:val="0"/>
        <w:adjustRightInd w:val="0"/>
        <w:spacing w:before="53" w:line="240" w:lineRule="auto"/>
        <w:ind w:left="0" w:right="-58" w:firstLine="0" w:firstLineChars="0"/>
        <w:jc w:val="left"/>
        <w:outlineLvl w:val="2"/>
        <w:rPr>
          <w:rFonts w:ascii="宋体" w:eastAsia="宋体" w:cs="宋体"/>
          <w:b/>
          <w:bCs/>
          <w:w w:val="95"/>
          <w:kern w:val="0"/>
          <w:sz w:val="28"/>
          <w:szCs w:val="28"/>
        </w:rPr>
      </w:pPr>
      <w:r>
        <w:rPr>
          <w:rFonts w:hint="eastAsia" w:ascii="宋体" w:eastAsia="宋体" w:cs="宋体"/>
          <w:b/>
          <w:bCs/>
          <w:w w:val="95"/>
          <w:kern w:val="0"/>
          <w:sz w:val="28"/>
          <w:szCs w:val="28"/>
        </w:rPr>
        <w:t>泉水</w:t>
      </w:r>
    </w:p>
    <w:p>
      <w:pPr>
        <w:kinsoku w:val="0"/>
        <w:overflowPunct w:val="0"/>
        <w:autoSpaceDE w:val="0"/>
        <w:autoSpaceDN w:val="0"/>
        <w:adjustRightInd w:val="0"/>
        <w:spacing w:before="214" w:line="364" w:lineRule="auto"/>
        <w:ind w:right="-58" w:firstLine="480"/>
        <w:rPr>
          <w:rFonts w:eastAsia="宋体" w:cs="宋体"/>
        </w:rPr>
      </w:pPr>
      <w:r>
        <w:rPr>
          <w:rFonts w:hint="eastAsia" w:eastAsia="宋体" w:cs="宋体"/>
        </w:rPr>
        <w:t>玛纳斯县国家湿地公园泉水溢出带全年溢出水量为</w:t>
      </w:r>
      <w:r>
        <w:rPr>
          <w:rFonts w:eastAsia="宋体" w:cs="宋体"/>
        </w:rPr>
        <w:t xml:space="preserve"> 393 </w:t>
      </w:r>
      <w:r>
        <w:rPr>
          <w:rFonts w:hint="eastAsia" w:eastAsia="宋体" w:cs="宋体"/>
        </w:rPr>
        <w:t>万</w:t>
      </w:r>
      <w:r>
        <w:rPr>
          <w:rFonts w:eastAsia="宋体" w:cs="宋体"/>
        </w:rPr>
        <w:t xml:space="preserve"> m³</w:t>
      </w:r>
      <w:r>
        <w:rPr>
          <w:rFonts w:hint="eastAsia" w:eastAsia="宋体" w:cs="宋体"/>
        </w:rPr>
        <w:t>。泉水溢出水水质与地下水一致，溢出水量和水源主要依靠降水和渗漏补充，计算依据较为准确，水量有保证。</w:t>
      </w:r>
    </w:p>
    <w:p>
      <w:pPr>
        <w:pStyle w:val="91"/>
        <w:ind w:right="-58" w:firstLine="480"/>
      </w:pPr>
      <w:r>
        <w:rPr>
          <w:rFonts w:hint="eastAsia"/>
        </w:rPr>
        <w:t>综上所述，本方案地下水取水从水源、水质、水量均可靠。</w:t>
      </w:r>
    </w:p>
    <w:bookmarkEnd w:id="31"/>
    <w:p>
      <w:pPr>
        <w:pStyle w:val="4"/>
      </w:pPr>
      <w:bookmarkStart w:id="33" w:name="_Toc126695560"/>
      <w:r>
        <w:rPr>
          <w:rFonts w:hint="eastAsia"/>
        </w:rPr>
        <w:t>四、生态</w:t>
      </w:r>
      <w:r>
        <w:t>水量保障措施</w:t>
      </w:r>
      <w:bookmarkEnd w:id="33"/>
    </w:p>
    <w:p>
      <w:pPr>
        <w:pStyle w:val="91"/>
        <w:ind w:firstLine="482"/>
        <w:rPr>
          <w:b/>
          <w:bCs/>
        </w:rPr>
      </w:pPr>
      <w:r>
        <w:rPr>
          <w:rFonts w:hint="eastAsia"/>
          <w:b/>
          <w:bCs/>
        </w:rPr>
        <w:t>（一）建设湿地生态用水保障制度</w:t>
      </w:r>
    </w:p>
    <w:p>
      <w:pPr>
        <w:pStyle w:val="91"/>
        <w:ind w:firstLine="480"/>
      </w:pPr>
      <w:r>
        <w:rPr>
          <w:rFonts w:hint="eastAsia"/>
        </w:rPr>
        <w:t>首先，要考虑湿地生态系统的发展需要。尊重湿地生态系统的水文周期变化规律，适时调配生态补水方案，满足湿地最基本的生态用水需求。其次，要符合湿地生态系统的管理目标。通过加强湿地的管理，是为了全面保护湿地，保全湿地生态安全，实现湿地资源的可持有发展。在湿地生态用水保障活动中，需要结合湿地生态系统结构特性、功能大小，有针对性采取调控措施，保证湿地水资源的可持续利用。最后，要处理好湿地生态用水与经济用水的矛盾。在特定的时空、地域范围内，水资源的总量是有限的，难免引发生态用水与经济用水的矛盾与冲突。在此情况下，一方面保障湿地基本生态用水需求，对强行挤占生态用水予以法律制裁</w:t>
      </w:r>
      <w:r>
        <w:t>;另一方面，要有规划补水，在水资源有限的情形下，参考湿地的功能与价值大小，优先保障部分重要湿地的生态用水需求。综上所述，湿地生态用水保障制度是基于湿地生态系统的结构功能特性与湿地管理目的需要，在“自然</w:t>
      </w:r>
      <w:r>
        <w:rPr>
          <w:rFonts w:hint="eastAsia"/>
        </w:rPr>
        <w:t>-</w:t>
      </w:r>
      <w:r>
        <w:t>人工”的二元驱动下，维持湿地水文稳定的法律制度。</w:t>
      </w:r>
    </w:p>
    <w:p>
      <w:pPr>
        <w:pStyle w:val="91"/>
        <w:ind w:firstLine="480"/>
      </w:pPr>
      <w:r>
        <w:rPr>
          <w:rFonts w:hint="eastAsia"/>
        </w:rPr>
        <w:t>工程措施:区域内胡杨林生态取水需要通过玛纳斯县四阜渠取水口，在四阜渠上新建一座节制分水闸，新建 1.275km 的渠道，规划于 2023 年的进行招标施工。</w:t>
      </w:r>
    </w:p>
    <w:p>
      <w:pPr>
        <w:pStyle w:val="91"/>
        <w:ind w:firstLine="482"/>
        <w:rPr>
          <w:b/>
          <w:bCs/>
        </w:rPr>
      </w:pPr>
      <w:r>
        <w:rPr>
          <w:rFonts w:hint="eastAsia"/>
          <w:b/>
          <w:bCs/>
        </w:rPr>
        <w:t>（二）</w:t>
      </w:r>
      <w:r>
        <w:rPr>
          <w:b/>
          <w:bCs/>
        </w:rPr>
        <w:t>建立湿地生态用水协调机制</w:t>
      </w:r>
    </w:p>
    <w:p>
      <w:pPr>
        <w:pStyle w:val="91"/>
        <w:ind w:firstLine="480"/>
      </w:pPr>
      <w:r>
        <w:rPr>
          <w:rFonts w:hint="eastAsia"/>
        </w:rPr>
        <w:t>湿地生态用水协调机制</w:t>
      </w:r>
      <w:r>
        <w:t>，就是各相关部门通过协商，以区域水资源总量为依据，确定</w:t>
      </w:r>
      <w:r>
        <w:rPr>
          <w:rFonts w:hint="eastAsia"/>
        </w:rPr>
        <w:t>生产用水、生活用水以及生态用水的分配份额</w:t>
      </w:r>
      <w:r>
        <w:t>，实现湿地水资源的合理分配，以保障湿地</w:t>
      </w:r>
      <w:r>
        <w:rPr>
          <w:rFonts w:hint="eastAsia"/>
        </w:rPr>
        <w:t>生态用水需要。保障湿地生态用水</w:t>
      </w:r>
      <w:r>
        <w:t>，协调好水资源分配关系是关键。在水量分配过程中，</w:t>
      </w:r>
      <w:r>
        <w:rPr>
          <w:rFonts w:hint="eastAsia"/>
        </w:rPr>
        <w:t>应当充分考虑流域的总体水资源条件、河流上游与下游的用水关系以及地表水与地下水的关系</w:t>
      </w:r>
      <w:r>
        <w:t>，在遵循公平公正原则的基础上，统一规划湿地流域水资源的幵发利用量，并根据实</w:t>
      </w:r>
      <w:r>
        <w:rPr>
          <w:rFonts w:hint="eastAsia"/>
        </w:rPr>
        <w:t>际开发情况</w:t>
      </w:r>
      <w:r>
        <w:t>，制定区域用水供求计划，确立湿地生态用水指标，确实保障湿地生态用水权</w:t>
      </w:r>
      <w:r>
        <w:rPr>
          <w:rFonts w:hint="eastAsia"/>
        </w:rPr>
        <w:t>益。</w:t>
      </w:r>
    </w:p>
    <w:p>
      <w:pPr>
        <w:pStyle w:val="91"/>
        <w:ind w:firstLine="482"/>
        <w:rPr>
          <w:b/>
          <w:bCs/>
        </w:rPr>
      </w:pPr>
      <w:r>
        <w:rPr>
          <w:rFonts w:hint="eastAsia"/>
          <w:b/>
          <w:bCs/>
        </w:rPr>
        <w:t>（三）</w:t>
      </w:r>
      <w:r>
        <w:rPr>
          <w:b/>
          <w:bCs/>
        </w:rPr>
        <w:t>建立湿地生态用水长效机制</w:t>
      </w:r>
    </w:p>
    <w:p>
      <w:pPr>
        <w:pStyle w:val="91"/>
        <w:ind w:firstLine="480"/>
      </w:pPr>
      <w:r>
        <w:rPr>
          <w:rFonts w:hint="eastAsia"/>
        </w:rPr>
        <w:t>建立湿地生态用水长效机制是实现湿地生态用水的重要保障。在落实湿地生态用水指标后</w:t>
      </w:r>
      <w:r>
        <w:t>，应该如何进行有效补水，实现湿地生态补水效益最大化</w:t>
      </w:r>
      <w:r>
        <w:rPr>
          <w:rFonts w:hint="eastAsia"/>
        </w:rPr>
        <w:t>，</w:t>
      </w:r>
      <w:r>
        <w:t>可以从以下三个</w:t>
      </w:r>
      <w:r>
        <w:rPr>
          <w:rFonts w:hint="eastAsia"/>
        </w:rPr>
        <w:t>方面入手保障湿地生态用水长效机制的实现：首先</w:t>
      </w:r>
      <w:r>
        <w:t>，要保持充足的资金来源。</w:t>
      </w:r>
      <w:r>
        <w:rPr>
          <w:rFonts w:hint="eastAsia"/>
        </w:rPr>
        <w:t>一方面可以学习其他地区湿地生态补水经验</w:t>
      </w:r>
      <w:r>
        <w:t>，通过政府财政补贴的形式保障固定的资金来源；</w:t>
      </w:r>
      <w:r>
        <w:rPr>
          <w:rFonts w:hint="eastAsia"/>
        </w:rPr>
        <w:t>另一方面</w:t>
      </w:r>
      <w:r>
        <w:t>，我们应该认识到湿地生态补水需要耗费高额的成本，单纯依靠政府财政补贴是</w:t>
      </w:r>
      <w:r>
        <w:rPr>
          <w:rFonts w:hint="eastAsia"/>
        </w:rPr>
        <w:t>无法资金空缺的。因此有必要引入市场机制</w:t>
      </w:r>
      <w:r>
        <w:t>，对供水单位采取税收减免、生态补偿、受益</w:t>
      </w:r>
      <w:r>
        <w:rPr>
          <w:rFonts w:hint="eastAsia"/>
        </w:rPr>
        <w:t>者适当承担部分费用等措施</w:t>
      </w:r>
      <w:r>
        <w:t>，以此补充湿地生态补水的经费来源。其次，需要成立一个组</w:t>
      </w:r>
      <w:r>
        <w:rPr>
          <w:rFonts w:hint="eastAsia"/>
        </w:rPr>
        <w:t>织协调机构。湿地生态系统是一个涉及水、海洋、渔业、森林、草原等多项生态资源的系统</w:t>
      </w:r>
      <w:r>
        <w:t>，对湿地生态用水的保障必然涉及到环保、土地、林业、渔政、水利、海洋等多个部门。</w:t>
      </w:r>
      <w:r>
        <w:rPr>
          <w:rFonts w:hint="eastAsia"/>
        </w:rPr>
        <w:t>为了避免“多头管”、“交叉管”的局面</w:t>
      </w:r>
      <w:r>
        <w:t>，应联合先关部门组织建立一个组织协调机构，专</w:t>
      </w:r>
      <w:r>
        <w:rPr>
          <w:rFonts w:hint="eastAsia"/>
        </w:rPr>
        <w:t>门负责湿地生态补水经费的管理、湿地生态补水方案的制定以及湿地生态补水效果的调查等事务。最后</w:t>
      </w:r>
      <w:r>
        <w:t>，必须建立科学的补水方案。湿地补水不是简单的大量放水补充即可，也不</w:t>
      </w:r>
      <w:r>
        <w:rPr>
          <w:rFonts w:hint="eastAsia"/>
        </w:rPr>
        <w:t>是补水越多越好</w:t>
      </w:r>
      <w:r>
        <w:t>，而是应该结合湿地多样化生境，按照水文周期规律，决定何时补水、怎</w:t>
      </w:r>
      <w:r>
        <w:rPr>
          <w:rFonts w:hint="eastAsia"/>
        </w:rPr>
        <w:t>么补水、补多少水</w:t>
      </w:r>
      <w:r>
        <w:t>，没有科学的补水方案，就无法营造良好的湿地环境。</w:t>
      </w:r>
    </w:p>
    <w:p>
      <w:pPr>
        <w:pStyle w:val="91"/>
        <w:ind w:firstLine="482"/>
        <w:rPr>
          <w:b/>
        </w:rPr>
      </w:pPr>
      <w:r>
        <w:rPr>
          <w:rFonts w:hint="eastAsia"/>
          <w:b/>
        </w:rPr>
        <w:t>（四</w:t>
      </w:r>
      <w:r>
        <w:rPr>
          <w:b/>
        </w:rPr>
        <w:t>）</w:t>
      </w:r>
      <w:r>
        <w:rPr>
          <w:rFonts w:hint="eastAsia"/>
          <w:b/>
        </w:rPr>
        <w:t>建立湿地生态状况评价与管控，健全健康调查健与评价标准体系。</w:t>
      </w:r>
    </w:p>
    <w:p>
      <w:pPr>
        <w:pStyle w:val="91"/>
        <w:ind w:firstLine="480"/>
      </w:pPr>
      <w:r>
        <w:t>建立</w:t>
      </w:r>
      <w:r>
        <w:rPr>
          <w:rFonts w:hint="eastAsia"/>
        </w:rPr>
        <w:t>湿地</w:t>
      </w:r>
      <w:r>
        <w:t>生态状况评价预警与管控机制</w:t>
      </w:r>
      <w:r>
        <w:rPr>
          <w:rFonts w:hint="eastAsia"/>
        </w:rPr>
        <w:t>，</w:t>
      </w:r>
      <w:r>
        <w:t>建立健全</w:t>
      </w:r>
      <w:r>
        <w:rPr>
          <w:rFonts w:hint="eastAsia"/>
        </w:rPr>
        <w:t>湿地</w:t>
      </w:r>
      <w:r>
        <w:t>生态健康调查与评价标准体系，开展</w:t>
      </w:r>
      <w:r>
        <w:rPr>
          <w:rFonts w:hint="eastAsia"/>
        </w:rPr>
        <w:t>湿地</w:t>
      </w:r>
      <w:r>
        <w:t>生态空间基础信息调查评价和重要水生态空间承载能力评价。建立</w:t>
      </w:r>
      <w:r>
        <w:rPr>
          <w:rFonts w:hint="eastAsia"/>
        </w:rPr>
        <w:t>湿地</w:t>
      </w:r>
      <w:r>
        <w:t>生态状况预警与管控机制，对</w:t>
      </w:r>
      <w:r>
        <w:rPr>
          <w:rFonts w:hint="eastAsia"/>
        </w:rPr>
        <w:t>湿地公园内</w:t>
      </w:r>
      <w:r>
        <w:t>的生态变化趋势、保护现状及存在问题进行评估，根据综合评估情况采取管控措施，</w:t>
      </w:r>
      <w:r>
        <w:rPr>
          <w:rFonts w:hint="eastAsia"/>
        </w:rPr>
        <w:t>保持湿地生态功能的需要</w:t>
      </w:r>
      <w:r>
        <w:t>。</w:t>
      </w:r>
    </w:p>
    <w:p>
      <w:pPr>
        <w:pStyle w:val="91"/>
        <w:ind w:firstLine="482"/>
        <w:rPr>
          <w:b/>
        </w:rPr>
      </w:pPr>
      <w:r>
        <w:rPr>
          <w:rFonts w:hint="eastAsia"/>
          <w:b/>
        </w:rPr>
        <w:t>（五</w:t>
      </w:r>
      <w:r>
        <w:rPr>
          <w:b/>
        </w:rPr>
        <w:t>）</w:t>
      </w:r>
      <w:r>
        <w:rPr>
          <w:rFonts w:hint="eastAsia"/>
          <w:b/>
        </w:rPr>
        <w:t>全面落实最严格的水资源管理制度，保证生态用水</w:t>
      </w:r>
      <w:r>
        <w:rPr>
          <w:b/>
        </w:rPr>
        <w:t>。</w:t>
      </w:r>
    </w:p>
    <w:p>
      <w:pPr>
        <w:pStyle w:val="91"/>
        <w:ind w:firstLine="480"/>
      </w:pPr>
      <w:r>
        <w:t>全面落实最严格的水资源管理制度强化水资源管理“三条红线”刚性约束，严格</w:t>
      </w:r>
      <w:r>
        <w:rPr>
          <w:rFonts w:hint="eastAsia"/>
        </w:rPr>
        <w:t>玛纳斯河</w:t>
      </w:r>
      <w:r>
        <w:t>水资源开发总量控制和纳污总量限制指标，调整优化</w:t>
      </w:r>
      <w:r>
        <w:rPr>
          <w:rFonts w:hint="eastAsia"/>
        </w:rPr>
        <w:t>玛纳斯河</w:t>
      </w:r>
      <w:r>
        <w:t>生态空间开发格局，不断提高用水效率和效益。</w:t>
      </w:r>
      <w:r>
        <w:rPr>
          <w:rFonts w:hint="eastAsia"/>
        </w:rPr>
        <w:t>开发利用水资源应当兼顾湿地生态用水的需要。因人为活动或自然因素，造成重要湿地生态用水不能满足维护湿地生态功能需要的，应当及时进行生态补水。</w:t>
      </w:r>
    </w:p>
    <w:p>
      <w:pPr>
        <w:pStyle w:val="91"/>
        <w:ind w:firstLine="482"/>
      </w:pPr>
      <w:r>
        <w:rPr>
          <w:rFonts w:hint="eastAsia"/>
          <w:b/>
        </w:rPr>
        <w:t>（六</w:t>
      </w:r>
      <w:r>
        <w:rPr>
          <w:b/>
        </w:rPr>
        <w:t>）</w:t>
      </w:r>
      <w:r>
        <w:rPr>
          <w:rFonts w:hint="eastAsia"/>
          <w:b/>
        </w:rPr>
        <w:t>建立完善水生态补偿和损害赔偿制度</w:t>
      </w:r>
      <w:r>
        <w:rPr>
          <w:b/>
        </w:rPr>
        <w:t>。</w:t>
      </w:r>
    </w:p>
    <w:p>
      <w:pPr>
        <w:pStyle w:val="91"/>
        <w:ind w:firstLine="480"/>
      </w:pPr>
      <w:r>
        <w:t>建立完善水生态补偿和损害赔偿制度</w:t>
      </w:r>
      <w:r>
        <w:rPr>
          <w:rFonts w:hint="eastAsia"/>
        </w:rPr>
        <w:t>，</w:t>
      </w:r>
      <w:r>
        <w:t>建立健全流域上下游、重要水源地、重要水生态修复治理区生态保护补偿机制，稳步推进退耕还湿试点，探索建立基于跨界断面水环境质量的生态补偿机制和湿地生态效益补偿制度。实行生态损害赔偿制度，对违反法律法规的，依法处罚；对造成生态环境损害的，以损害程度等因素依法确定赔偿额度；对造成严重后果的依法追究刑事责任。强化水利水电工程环境影响评价，对生态有较大影响和有不确定性风险的工程须组织深人论证、科学规划。全面开展排污权有偿使用和交易。</w:t>
      </w:r>
    </w:p>
    <w:p>
      <w:pPr>
        <w:pStyle w:val="91"/>
        <w:ind w:firstLine="482"/>
      </w:pPr>
      <w:r>
        <w:rPr>
          <w:rFonts w:hint="eastAsia"/>
          <w:b/>
        </w:rPr>
        <w:t>（七</w:t>
      </w:r>
      <w:r>
        <w:rPr>
          <w:b/>
        </w:rPr>
        <w:t>）</w:t>
      </w:r>
      <w:r>
        <w:rPr>
          <w:rFonts w:hint="eastAsia"/>
          <w:b/>
        </w:rPr>
        <w:t>健全绩效考核和责任追究制度</w:t>
      </w:r>
      <w:r>
        <w:rPr>
          <w:b/>
        </w:rPr>
        <w:t>。</w:t>
      </w:r>
    </w:p>
    <w:p>
      <w:pPr>
        <w:pStyle w:val="91"/>
        <w:ind w:firstLine="480"/>
      </w:pPr>
      <w:r>
        <w:t>健全绩效考核和责任追究制度</w:t>
      </w:r>
      <w:r>
        <w:rPr>
          <w:rFonts w:hint="eastAsia"/>
        </w:rPr>
        <w:t>，</w:t>
      </w:r>
      <w:r>
        <w:t>建立健全</w:t>
      </w:r>
      <w:r>
        <w:rPr>
          <w:rFonts w:hint="eastAsia"/>
        </w:rPr>
        <w:t>湿地生态</w:t>
      </w:r>
      <w:r>
        <w:t>及</w:t>
      </w:r>
      <w:r>
        <w:rPr>
          <w:rFonts w:hint="eastAsia"/>
        </w:rPr>
        <w:t>湿地</w:t>
      </w:r>
      <w:r>
        <w:t>水资源保护和治理绩效评价考核机制。加强</w:t>
      </w:r>
      <w:r>
        <w:rPr>
          <w:rFonts w:hint="eastAsia"/>
        </w:rPr>
        <w:t>湿地生态</w:t>
      </w:r>
      <w:r>
        <w:t>保护修复责任目标落实情况的监督检查。推行水生态环境损害责任终身追究制。</w:t>
      </w:r>
    </w:p>
    <w:p>
      <w:pPr>
        <w:pStyle w:val="3"/>
        <w:ind w:firstLine="643"/>
      </w:pPr>
      <w:bookmarkStart w:id="34" w:name="_Toc130121657"/>
      <w:r>
        <w:rPr>
          <w:rFonts w:hint="eastAsia"/>
        </w:rPr>
        <w:t>第四节</w:t>
      </w:r>
      <w:r>
        <w:t xml:space="preserve">  </w:t>
      </w:r>
      <w:r>
        <w:rPr>
          <w:rFonts w:hint="eastAsia"/>
        </w:rPr>
        <w:t>水系保护与恢复</w:t>
      </w:r>
      <w:bookmarkEnd w:id="34"/>
    </w:p>
    <w:p>
      <w:pPr>
        <w:pStyle w:val="4"/>
      </w:pPr>
      <w:r>
        <w:rPr>
          <w:rFonts w:hint="eastAsia"/>
        </w:rPr>
        <w:t>一、水系现状</w:t>
      </w:r>
    </w:p>
    <w:p>
      <w:pPr>
        <w:pStyle w:val="91"/>
        <w:ind w:firstLine="480"/>
      </w:pPr>
      <w:r>
        <w:rPr>
          <w:rFonts w:hint="eastAsia"/>
        </w:rPr>
        <w:t>玛纳斯河是天山北坡最大的河流，河流进入洪积扇缘区红山嘴后，河流折向正北方向，河道坡降趋缓，蜿蜒曲折，并渐向西北流去，流经玛依湖，最终汇集于玛纳斯湖。玛纳斯河主要参数见</w:t>
      </w:r>
      <w:r>
        <w:rPr>
          <w:rFonts w:hint="eastAsia"/>
        </w:rPr>
        <w:fldChar w:fldCharType="begin"/>
      </w:r>
      <w:r>
        <w:instrText xml:space="preserve"> HYPERLINK \l "bookmark25" </w:instrText>
      </w:r>
      <w:r>
        <w:rPr>
          <w:rFonts w:hint="eastAsia"/>
        </w:rPr>
        <w:fldChar w:fldCharType="separate"/>
      </w:r>
      <w:r>
        <w:rPr>
          <w:rFonts w:hint="eastAsia"/>
        </w:rPr>
        <w:t>表 6</w:t>
      </w:r>
      <w:r>
        <w:t>.</w:t>
      </w:r>
      <w:r>
        <w:rPr>
          <w:rFonts w:hint="eastAsia"/>
        </w:rPr>
        <w:t>4</w:t>
      </w:r>
      <w:r>
        <w:t>-</w:t>
      </w:r>
      <w:r>
        <w:rPr>
          <w:rFonts w:hint="eastAsia"/>
        </w:rPr>
        <w:t>1</w:t>
      </w:r>
      <w:r>
        <w:rPr>
          <w:rFonts w:hint="eastAsia"/>
        </w:rPr>
        <w:fldChar w:fldCharType="end"/>
      </w:r>
      <w:r>
        <w:t xml:space="preserve"> </w:t>
      </w:r>
      <w:r>
        <w:rPr>
          <w:rFonts w:hint="eastAsia"/>
        </w:rPr>
        <w:t>。</w:t>
      </w:r>
    </w:p>
    <w:p>
      <w:pPr>
        <w:kinsoku w:val="0"/>
        <w:overflowPunct w:val="0"/>
        <w:autoSpaceDE w:val="0"/>
        <w:autoSpaceDN w:val="0"/>
        <w:adjustRightInd w:val="0"/>
        <w:spacing w:before="2" w:line="240" w:lineRule="auto"/>
        <w:ind w:left="2265" w:firstLine="0" w:firstLineChars="0"/>
        <w:jc w:val="left"/>
        <w:outlineLvl w:val="5"/>
        <w:rPr>
          <w:rFonts w:ascii="黑体" w:eastAsia="黑体" w:cs="黑体"/>
          <w:b/>
          <w:bCs/>
          <w:kern w:val="0"/>
          <w:szCs w:val="24"/>
        </w:rPr>
      </w:pPr>
      <w:bookmarkStart w:id="35" w:name="_bookmark25"/>
      <w:bookmarkEnd w:id="35"/>
      <w:r>
        <w:rPr>
          <w:rFonts w:hint="eastAsia" w:ascii="黑体" w:eastAsia="黑体" w:cs="黑体"/>
          <w:b/>
          <w:bCs/>
          <w:kern w:val="0"/>
          <w:szCs w:val="24"/>
        </w:rPr>
        <w:t>表</w:t>
      </w:r>
      <w:r>
        <w:rPr>
          <w:rFonts w:hint="eastAsia" w:eastAsia="黑体" w:cs="Times New Roman"/>
          <w:b/>
          <w:bCs/>
          <w:kern w:val="0"/>
          <w:szCs w:val="24"/>
        </w:rPr>
        <w:t>6</w:t>
      </w:r>
      <w:r>
        <w:rPr>
          <w:rFonts w:eastAsia="黑体" w:cs="Times New Roman"/>
          <w:b/>
          <w:bCs/>
          <w:kern w:val="0"/>
          <w:szCs w:val="24"/>
        </w:rPr>
        <w:t>.</w:t>
      </w:r>
      <w:r>
        <w:rPr>
          <w:rFonts w:hint="eastAsia" w:eastAsia="黑体" w:cs="Times New Roman"/>
          <w:b/>
          <w:bCs/>
          <w:kern w:val="0"/>
          <w:szCs w:val="24"/>
        </w:rPr>
        <w:t>4</w:t>
      </w:r>
      <w:r>
        <w:rPr>
          <w:rFonts w:eastAsia="黑体" w:cs="Times New Roman"/>
          <w:b/>
          <w:bCs/>
          <w:kern w:val="0"/>
          <w:szCs w:val="24"/>
        </w:rPr>
        <w:t>-</w:t>
      </w:r>
      <w:r>
        <w:rPr>
          <w:rFonts w:hint="eastAsia" w:eastAsia="黑体" w:cs="Times New Roman"/>
          <w:b/>
          <w:bCs/>
          <w:kern w:val="0"/>
          <w:szCs w:val="24"/>
        </w:rPr>
        <w:t>1</w:t>
      </w:r>
      <w:r>
        <w:rPr>
          <w:rFonts w:hint="eastAsia" w:ascii="黑体" w:eastAsia="黑体" w:cs="黑体"/>
          <w:b/>
          <w:bCs/>
          <w:kern w:val="0"/>
          <w:szCs w:val="24"/>
        </w:rPr>
        <w:t>玛纳斯河主要河流特征参数表</w:t>
      </w:r>
    </w:p>
    <w:p>
      <w:pPr>
        <w:kinsoku w:val="0"/>
        <w:overflowPunct w:val="0"/>
        <w:autoSpaceDE w:val="0"/>
        <w:autoSpaceDN w:val="0"/>
        <w:adjustRightInd w:val="0"/>
        <w:spacing w:before="1" w:line="240" w:lineRule="auto"/>
        <w:ind w:firstLine="0" w:firstLineChars="0"/>
        <w:jc w:val="left"/>
        <w:rPr>
          <w:rFonts w:ascii="黑体" w:eastAsia="黑体" w:cs="黑体"/>
          <w:b/>
          <w:bCs/>
          <w:kern w:val="0"/>
          <w:sz w:val="6"/>
          <w:szCs w:val="6"/>
        </w:rPr>
      </w:pPr>
    </w:p>
    <w:tbl>
      <w:tblPr>
        <w:tblStyle w:val="25"/>
        <w:tblW w:w="8294" w:type="dxa"/>
        <w:tblInd w:w="290" w:type="dxa"/>
        <w:tblLayout w:type="fixed"/>
        <w:tblCellMar>
          <w:top w:w="0" w:type="dxa"/>
          <w:left w:w="0" w:type="dxa"/>
          <w:bottom w:w="0" w:type="dxa"/>
          <w:right w:w="0" w:type="dxa"/>
        </w:tblCellMar>
      </w:tblPr>
      <w:tblGrid>
        <w:gridCol w:w="1130"/>
        <w:gridCol w:w="1128"/>
        <w:gridCol w:w="1127"/>
        <w:gridCol w:w="1353"/>
        <w:gridCol w:w="1579"/>
        <w:gridCol w:w="849"/>
        <w:gridCol w:w="1128"/>
      </w:tblGrid>
      <w:tr>
        <w:tblPrEx>
          <w:tblCellMar>
            <w:top w:w="0" w:type="dxa"/>
            <w:left w:w="0" w:type="dxa"/>
            <w:bottom w:w="0" w:type="dxa"/>
            <w:right w:w="0" w:type="dxa"/>
          </w:tblCellMar>
        </w:tblPrEx>
        <w:trPr>
          <w:trHeight w:val="311" w:hRule="atLeast"/>
        </w:trPr>
        <w:tc>
          <w:tcPr>
            <w:tcW w:w="1130" w:type="dxa"/>
            <w:vMerge w:val="restart"/>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4" w:line="240" w:lineRule="auto"/>
              <w:ind w:firstLine="0" w:firstLineChars="0"/>
              <w:jc w:val="left"/>
              <w:rPr>
                <w:rFonts w:ascii="黑体" w:eastAsia="黑体" w:cs="黑体"/>
                <w:b/>
                <w:bCs/>
                <w:kern w:val="0"/>
                <w:sz w:val="14"/>
                <w:szCs w:val="14"/>
              </w:rPr>
            </w:pPr>
          </w:p>
          <w:p>
            <w:pPr>
              <w:kinsoku w:val="0"/>
              <w:overflowPunct w:val="0"/>
              <w:autoSpaceDE w:val="0"/>
              <w:autoSpaceDN w:val="0"/>
              <w:adjustRightInd w:val="0"/>
              <w:spacing w:line="240" w:lineRule="auto"/>
              <w:ind w:left="352" w:firstLine="0" w:firstLineChars="0"/>
              <w:jc w:val="left"/>
              <w:rPr>
                <w:rFonts w:ascii="宋体" w:eastAsia="宋体" w:cs="宋体"/>
                <w:kern w:val="0"/>
                <w:sz w:val="21"/>
                <w:szCs w:val="21"/>
              </w:rPr>
            </w:pPr>
            <w:r>
              <w:rPr>
                <w:rFonts w:hint="eastAsia" w:ascii="宋体" w:eastAsia="宋体" w:cs="宋体"/>
                <w:kern w:val="0"/>
                <w:sz w:val="21"/>
                <w:szCs w:val="21"/>
              </w:rPr>
              <w:t>河名</w:t>
            </w:r>
          </w:p>
        </w:tc>
        <w:tc>
          <w:tcPr>
            <w:tcW w:w="1128" w:type="dxa"/>
            <w:vMerge w:val="restart"/>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4" w:line="240" w:lineRule="auto"/>
              <w:ind w:firstLine="0" w:firstLineChars="0"/>
              <w:jc w:val="left"/>
              <w:rPr>
                <w:rFonts w:ascii="黑体" w:eastAsia="黑体" w:cs="黑体"/>
                <w:b/>
                <w:bCs/>
                <w:kern w:val="0"/>
                <w:sz w:val="14"/>
                <w:szCs w:val="14"/>
              </w:rPr>
            </w:pPr>
          </w:p>
          <w:p>
            <w:pPr>
              <w:kinsoku w:val="0"/>
              <w:overflowPunct w:val="0"/>
              <w:autoSpaceDE w:val="0"/>
              <w:autoSpaceDN w:val="0"/>
              <w:adjustRightInd w:val="0"/>
              <w:spacing w:line="240" w:lineRule="auto"/>
              <w:ind w:left="350" w:firstLine="0" w:firstLineChars="0"/>
              <w:jc w:val="left"/>
              <w:rPr>
                <w:rFonts w:ascii="宋体" w:eastAsia="宋体" w:cs="宋体"/>
                <w:kern w:val="0"/>
                <w:sz w:val="21"/>
                <w:szCs w:val="21"/>
              </w:rPr>
            </w:pPr>
            <w:r>
              <w:rPr>
                <w:rFonts w:hint="eastAsia" w:ascii="宋体" w:eastAsia="宋体" w:cs="宋体"/>
                <w:kern w:val="0"/>
                <w:sz w:val="21"/>
                <w:szCs w:val="21"/>
              </w:rPr>
              <w:t>站名</w:t>
            </w:r>
          </w:p>
        </w:tc>
        <w:tc>
          <w:tcPr>
            <w:tcW w:w="11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125" w:right="111" w:firstLine="0" w:firstLineChars="0"/>
              <w:jc w:val="center"/>
              <w:rPr>
                <w:rFonts w:ascii="宋体" w:eastAsia="宋体" w:cs="宋体"/>
                <w:kern w:val="0"/>
                <w:sz w:val="21"/>
                <w:szCs w:val="21"/>
              </w:rPr>
            </w:pPr>
            <w:r>
              <w:rPr>
                <w:rFonts w:hint="eastAsia" w:ascii="宋体" w:eastAsia="宋体" w:cs="宋体"/>
                <w:kern w:val="0"/>
                <w:sz w:val="21"/>
                <w:szCs w:val="21"/>
              </w:rPr>
              <w:t>集水面积</w:t>
            </w:r>
          </w:p>
        </w:tc>
        <w:tc>
          <w:tcPr>
            <w:tcW w:w="135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134" w:right="118" w:firstLine="0" w:firstLineChars="0"/>
              <w:jc w:val="center"/>
              <w:rPr>
                <w:rFonts w:ascii="宋体" w:eastAsia="宋体" w:cs="宋体"/>
                <w:kern w:val="0"/>
                <w:sz w:val="21"/>
                <w:szCs w:val="21"/>
              </w:rPr>
            </w:pPr>
            <w:r>
              <w:rPr>
                <w:rFonts w:hint="eastAsia" w:ascii="宋体" w:eastAsia="宋体" w:cs="宋体"/>
                <w:kern w:val="0"/>
                <w:sz w:val="21"/>
                <w:szCs w:val="21"/>
              </w:rPr>
              <w:t>冰川覆盖率</w:t>
            </w:r>
          </w:p>
        </w:tc>
        <w:tc>
          <w:tcPr>
            <w:tcW w:w="15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142" w:right="127" w:firstLine="0" w:firstLineChars="0"/>
              <w:jc w:val="center"/>
              <w:rPr>
                <w:rFonts w:ascii="宋体" w:eastAsia="宋体" w:cs="宋体"/>
                <w:kern w:val="0"/>
                <w:sz w:val="21"/>
                <w:szCs w:val="21"/>
              </w:rPr>
            </w:pPr>
            <w:r>
              <w:rPr>
                <w:rFonts w:hint="eastAsia" w:ascii="宋体" w:eastAsia="宋体" w:cs="宋体"/>
                <w:kern w:val="0"/>
                <w:sz w:val="21"/>
                <w:szCs w:val="21"/>
              </w:rPr>
              <w:t>流域平均高度</w:t>
            </w:r>
          </w:p>
        </w:tc>
        <w:tc>
          <w:tcPr>
            <w:tcW w:w="84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118" w:right="102" w:firstLine="0" w:firstLineChars="0"/>
              <w:jc w:val="center"/>
              <w:rPr>
                <w:rFonts w:ascii="宋体" w:eastAsia="宋体" w:cs="宋体"/>
                <w:kern w:val="0"/>
                <w:sz w:val="21"/>
                <w:szCs w:val="21"/>
              </w:rPr>
            </w:pPr>
            <w:r>
              <w:rPr>
                <w:rFonts w:hint="eastAsia" w:ascii="宋体" w:eastAsia="宋体" w:cs="宋体"/>
                <w:kern w:val="0"/>
                <w:sz w:val="21"/>
                <w:szCs w:val="21"/>
              </w:rPr>
              <w:t>河长</w:t>
            </w:r>
          </w:p>
        </w:tc>
        <w:tc>
          <w:tcPr>
            <w:tcW w:w="11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147" w:firstLine="0" w:firstLineChars="0"/>
              <w:jc w:val="left"/>
              <w:rPr>
                <w:rFonts w:ascii="宋体" w:eastAsia="宋体" w:cs="宋体"/>
                <w:kern w:val="0"/>
                <w:sz w:val="21"/>
                <w:szCs w:val="21"/>
              </w:rPr>
            </w:pPr>
            <w:r>
              <w:rPr>
                <w:rFonts w:hint="eastAsia" w:ascii="宋体" w:eastAsia="宋体" w:cs="宋体"/>
                <w:kern w:val="0"/>
                <w:sz w:val="21"/>
                <w:szCs w:val="21"/>
              </w:rPr>
              <w:t>河网密度</w:t>
            </w:r>
          </w:p>
        </w:tc>
      </w:tr>
      <w:tr>
        <w:tblPrEx>
          <w:tblCellMar>
            <w:top w:w="0" w:type="dxa"/>
            <w:left w:w="0" w:type="dxa"/>
            <w:bottom w:w="0" w:type="dxa"/>
            <w:right w:w="0" w:type="dxa"/>
          </w:tblCellMar>
        </w:tblPrEx>
        <w:trPr>
          <w:trHeight w:val="311" w:hRule="atLeast"/>
        </w:trPr>
        <w:tc>
          <w:tcPr>
            <w:tcW w:w="1130" w:type="dxa"/>
            <w:vMerge w:val="continue"/>
            <w:tcBorders>
              <w:top w:val="nil"/>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黑体" w:eastAsia="黑体" w:cs="黑体"/>
                <w:b/>
                <w:bCs/>
                <w:kern w:val="0"/>
                <w:sz w:val="2"/>
                <w:szCs w:val="2"/>
              </w:rPr>
            </w:pPr>
          </w:p>
        </w:tc>
        <w:tc>
          <w:tcPr>
            <w:tcW w:w="1128" w:type="dxa"/>
            <w:vMerge w:val="continue"/>
            <w:tcBorders>
              <w:top w:val="nil"/>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黑体" w:eastAsia="黑体" w:cs="黑体"/>
                <w:b/>
                <w:bCs/>
                <w:kern w:val="0"/>
                <w:sz w:val="2"/>
                <w:szCs w:val="2"/>
              </w:rPr>
            </w:pPr>
          </w:p>
        </w:tc>
        <w:tc>
          <w:tcPr>
            <w:tcW w:w="11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76" w:right="111" w:firstLine="0" w:firstLineChars="0"/>
              <w:jc w:val="center"/>
              <w:rPr>
                <w:rFonts w:cs="Times New Roman"/>
                <w:kern w:val="0"/>
                <w:sz w:val="21"/>
                <w:szCs w:val="21"/>
              </w:rPr>
            </w:pPr>
            <w:r>
              <w:rPr>
                <w:rFonts w:cs="Times New Roman"/>
                <w:kern w:val="0"/>
                <w:sz w:val="21"/>
                <w:szCs w:val="21"/>
              </w:rPr>
              <w:t>(km²)</w:t>
            </w:r>
          </w:p>
        </w:tc>
        <w:tc>
          <w:tcPr>
            <w:tcW w:w="135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29" w:right="118" w:firstLine="0" w:firstLineChars="0"/>
              <w:jc w:val="center"/>
              <w:rPr>
                <w:rFonts w:cs="Times New Roman"/>
                <w:kern w:val="0"/>
                <w:sz w:val="21"/>
                <w:szCs w:val="21"/>
              </w:rPr>
            </w:pPr>
            <w:r>
              <w:rPr>
                <w:rFonts w:cs="Times New Roman"/>
                <w:kern w:val="0"/>
                <w:sz w:val="21"/>
                <w:szCs w:val="21"/>
              </w:rPr>
              <w:t>(%)</w:t>
            </w:r>
          </w:p>
        </w:tc>
        <w:tc>
          <w:tcPr>
            <w:tcW w:w="15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42" w:right="126" w:firstLine="0" w:firstLineChars="0"/>
              <w:jc w:val="center"/>
              <w:rPr>
                <w:rFonts w:cs="Times New Roman"/>
                <w:kern w:val="0"/>
                <w:sz w:val="21"/>
                <w:szCs w:val="21"/>
              </w:rPr>
            </w:pPr>
            <w:r>
              <w:rPr>
                <w:rFonts w:cs="Times New Roman"/>
                <w:kern w:val="0"/>
                <w:sz w:val="21"/>
                <w:szCs w:val="21"/>
              </w:rPr>
              <w:t>(m)</w:t>
            </w:r>
          </w:p>
        </w:tc>
        <w:tc>
          <w:tcPr>
            <w:tcW w:w="84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18" w:right="101" w:firstLine="0" w:firstLineChars="0"/>
              <w:jc w:val="center"/>
              <w:rPr>
                <w:rFonts w:cs="Times New Roman"/>
                <w:kern w:val="0"/>
                <w:sz w:val="21"/>
                <w:szCs w:val="21"/>
              </w:rPr>
            </w:pPr>
            <w:r>
              <w:rPr>
                <w:rFonts w:cs="Times New Roman"/>
                <w:kern w:val="0"/>
                <w:sz w:val="21"/>
                <w:szCs w:val="21"/>
              </w:rPr>
              <w:t>(km)</w:t>
            </w:r>
          </w:p>
        </w:tc>
        <w:tc>
          <w:tcPr>
            <w:tcW w:w="11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69" w:firstLine="0" w:firstLineChars="0"/>
              <w:jc w:val="left"/>
              <w:rPr>
                <w:rFonts w:cs="Times New Roman"/>
                <w:kern w:val="0"/>
                <w:sz w:val="21"/>
                <w:szCs w:val="21"/>
              </w:rPr>
            </w:pPr>
            <w:r>
              <w:rPr>
                <w:rFonts w:cs="Times New Roman"/>
                <w:kern w:val="0"/>
                <w:sz w:val="21"/>
                <w:szCs w:val="21"/>
              </w:rPr>
              <w:t>(km/km²)</w:t>
            </w:r>
          </w:p>
        </w:tc>
      </w:tr>
      <w:tr>
        <w:tblPrEx>
          <w:tblCellMar>
            <w:top w:w="0" w:type="dxa"/>
            <w:left w:w="0" w:type="dxa"/>
            <w:bottom w:w="0" w:type="dxa"/>
            <w:right w:w="0" w:type="dxa"/>
          </w:tblCellMar>
        </w:tblPrEx>
        <w:trPr>
          <w:trHeight w:val="311" w:hRule="atLeast"/>
        </w:trPr>
        <w:tc>
          <w:tcPr>
            <w:tcW w:w="1130" w:type="dxa"/>
            <w:vMerge w:val="restart"/>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黑体" w:eastAsia="黑体" w:cs="黑体"/>
                <w:b/>
                <w:bCs/>
                <w:kern w:val="0"/>
                <w:sz w:val="27"/>
                <w:szCs w:val="27"/>
              </w:rPr>
            </w:pPr>
          </w:p>
          <w:p>
            <w:pPr>
              <w:kinsoku w:val="0"/>
              <w:overflowPunct w:val="0"/>
              <w:autoSpaceDE w:val="0"/>
              <w:autoSpaceDN w:val="0"/>
              <w:adjustRightInd w:val="0"/>
              <w:spacing w:line="240" w:lineRule="auto"/>
              <w:ind w:left="143" w:firstLine="0" w:firstLineChars="0"/>
              <w:jc w:val="left"/>
              <w:rPr>
                <w:rFonts w:ascii="宋体" w:eastAsia="宋体" w:cs="宋体"/>
                <w:kern w:val="0"/>
                <w:sz w:val="21"/>
                <w:szCs w:val="21"/>
              </w:rPr>
            </w:pPr>
            <w:r>
              <w:rPr>
                <w:rFonts w:hint="eastAsia" w:ascii="宋体" w:eastAsia="宋体" w:cs="宋体"/>
                <w:kern w:val="0"/>
                <w:sz w:val="21"/>
                <w:szCs w:val="21"/>
              </w:rPr>
              <w:t>玛纳斯河</w:t>
            </w:r>
          </w:p>
        </w:tc>
        <w:tc>
          <w:tcPr>
            <w:tcW w:w="11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120" w:right="115" w:firstLine="0" w:firstLineChars="0"/>
              <w:jc w:val="center"/>
              <w:rPr>
                <w:rFonts w:ascii="宋体" w:eastAsia="宋体" w:cs="宋体"/>
                <w:kern w:val="0"/>
                <w:sz w:val="21"/>
                <w:szCs w:val="21"/>
              </w:rPr>
            </w:pPr>
            <w:r>
              <w:rPr>
                <w:rFonts w:hint="eastAsia" w:ascii="宋体" w:eastAsia="宋体" w:cs="宋体"/>
                <w:kern w:val="0"/>
                <w:sz w:val="21"/>
                <w:szCs w:val="21"/>
              </w:rPr>
              <w:t>煤窑</w:t>
            </w:r>
          </w:p>
        </w:tc>
        <w:tc>
          <w:tcPr>
            <w:tcW w:w="11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21" w:right="111" w:firstLine="0" w:firstLineChars="0"/>
              <w:jc w:val="center"/>
              <w:rPr>
                <w:rFonts w:cs="Times New Roman"/>
                <w:kern w:val="0"/>
                <w:sz w:val="21"/>
                <w:szCs w:val="21"/>
              </w:rPr>
            </w:pPr>
            <w:r>
              <w:rPr>
                <w:rFonts w:cs="Times New Roman"/>
                <w:kern w:val="0"/>
                <w:sz w:val="21"/>
                <w:szCs w:val="21"/>
              </w:rPr>
              <w:t>3902.00</w:t>
            </w:r>
          </w:p>
        </w:tc>
        <w:tc>
          <w:tcPr>
            <w:tcW w:w="135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32" w:right="118" w:firstLine="0" w:firstLineChars="0"/>
              <w:jc w:val="center"/>
              <w:rPr>
                <w:rFonts w:cs="Times New Roman"/>
                <w:kern w:val="0"/>
                <w:sz w:val="21"/>
                <w:szCs w:val="21"/>
              </w:rPr>
            </w:pPr>
            <w:r>
              <w:rPr>
                <w:rFonts w:cs="Times New Roman"/>
                <w:kern w:val="0"/>
                <w:sz w:val="21"/>
                <w:szCs w:val="21"/>
              </w:rPr>
              <w:t>14.90</w:t>
            </w:r>
          </w:p>
        </w:tc>
        <w:tc>
          <w:tcPr>
            <w:tcW w:w="15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40" w:right="127" w:firstLine="0" w:firstLineChars="0"/>
              <w:jc w:val="center"/>
              <w:rPr>
                <w:rFonts w:cs="Times New Roman"/>
                <w:kern w:val="0"/>
                <w:sz w:val="21"/>
                <w:szCs w:val="21"/>
              </w:rPr>
            </w:pPr>
            <w:r>
              <w:rPr>
                <w:rFonts w:cs="Times New Roman"/>
                <w:kern w:val="0"/>
                <w:sz w:val="21"/>
                <w:szCs w:val="21"/>
              </w:rPr>
              <w:t>3402.00</w:t>
            </w:r>
          </w:p>
        </w:tc>
        <w:tc>
          <w:tcPr>
            <w:tcW w:w="84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18" w:right="102" w:firstLine="0" w:firstLineChars="0"/>
              <w:jc w:val="center"/>
              <w:rPr>
                <w:rFonts w:cs="Times New Roman"/>
                <w:kern w:val="0"/>
                <w:sz w:val="21"/>
                <w:szCs w:val="21"/>
              </w:rPr>
            </w:pPr>
            <w:r>
              <w:rPr>
                <w:rFonts w:cs="Times New Roman"/>
                <w:kern w:val="0"/>
                <w:sz w:val="21"/>
                <w:szCs w:val="21"/>
              </w:rPr>
              <w:t>144.00</w:t>
            </w:r>
          </w:p>
        </w:tc>
        <w:tc>
          <w:tcPr>
            <w:tcW w:w="11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383" w:firstLine="0" w:firstLineChars="0"/>
              <w:jc w:val="left"/>
              <w:rPr>
                <w:rFonts w:cs="Times New Roman"/>
                <w:kern w:val="0"/>
                <w:sz w:val="21"/>
                <w:szCs w:val="21"/>
              </w:rPr>
            </w:pPr>
            <w:r>
              <w:rPr>
                <w:rFonts w:cs="Times New Roman"/>
                <w:kern w:val="0"/>
                <w:sz w:val="21"/>
                <w:szCs w:val="21"/>
              </w:rPr>
              <w:t>0.39</w:t>
            </w:r>
          </w:p>
        </w:tc>
      </w:tr>
      <w:tr>
        <w:tblPrEx>
          <w:tblCellMar>
            <w:top w:w="0" w:type="dxa"/>
            <w:left w:w="0" w:type="dxa"/>
            <w:bottom w:w="0" w:type="dxa"/>
            <w:right w:w="0" w:type="dxa"/>
          </w:tblCellMar>
        </w:tblPrEx>
        <w:trPr>
          <w:trHeight w:val="314" w:hRule="atLeast"/>
        </w:trPr>
        <w:tc>
          <w:tcPr>
            <w:tcW w:w="1130" w:type="dxa"/>
            <w:vMerge w:val="continue"/>
            <w:tcBorders>
              <w:top w:val="nil"/>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黑体" w:eastAsia="黑体" w:cs="黑体"/>
                <w:b/>
                <w:bCs/>
                <w:kern w:val="0"/>
                <w:sz w:val="2"/>
                <w:szCs w:val="2"/>
              </w:rPr>
            </w:pPr>
          </w:p>
        </w:tc>
        <w:tc>
          <w:tcPr>
            <w:tcW w:w="11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5" w:line="240" w:lineRule="auto"/>
              <w:ind w:left="122" w:right="115" w:firstLine="0" w:firstLineChars="0"/>
              <w:jc w:val="center"/>
              <w:rPr>
                <w:rFonts w:ascii="宋体" w:eastAsia="宋体" w:cs="宋体"/>
                <w:kern w:val="0"/>
                <w:sz w:val="21"/>
                <w:szCs w:val="21"/>
              </w:rPr>
            </w:pPr>
            <w:r>
              <w:rPr>
                <w:rFonts w:hint="eastAsia" w:ascii="宋体" w:eastAsia="宋体" w:cs="宋体"/>
                <w:kern w:val="0"/>
                <w:sz w:val="21"/>
                <w:szCs w:val="21"/>
              </w:rPr>
              <w:t>肯斯瓦特</w:t>
            </w:r>
          </w:p>
        </w:tc>
        <w:tc>
          <w:tcPr>
            <w:tcW w:w="11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121" w:right="111" w:firstLine="0" w:firstLineChars="0"/>
              <w:jc w:val="center"/>
              <w:rPr>
                <w:rFonts w:cs="Times New Roman"/>
                <w:kern w:val="0"/>
                <w:sz w:val="21"/>
                <w:szCs w:val="21"/>
              </w:rPr>
            </w:pPr>
            <w:r>
              <w:rPr>
                <w:rFonts w:cs="Times New Roman"/>
                <w:kern w:val="0"/>
                <w:sz w:val="21"/>
                <w:szCs w:val="21"/>
              </w:rPr>
              <w:t>4637.00</w:t>
            </w:r>
          </w:p>
        </w:tc>
        <w:tc>
          <w:tcPr>
            <w:tcW w:w="135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132" w:right="118" w:firstLine="0" w:firstLineChars="0"/>
              <w:jc w:val="center"/>
              <w:rPr>
                <w:rFonts w:cs="Times New Roman"/>
                <w:kern w:val="0"/>
                <w:sz w:val="21"/>
                <w:szCs w:val="21"/>
              </w:rPr>
            </w:pPr>
            <w:r>
              <w:rPr>
                <w:rFonts w:cs="Times New Roman"/>
                <w:kern w:val="0"/>
                <w:sz w:val="21"/>
                <w:szCs w:val="21"/>
              </w:rPr>
              <w:t>13.30</w:t>
            </w:r>
          </w:p>
        </w:tc>
        <w:tc>
          <w:tcPr>
            <w:tcW w:w="15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140" w:right="127" w:firstLine="0" w:firstLineChars="0"/>
              <w:jc w:val="center"/>
              <w:rPr>
                <w:rFonts w:cs="Times New Roman"/>
                <w:kern w:val="0"/>
                <w:sz w:val="21"/>
                <w:szCs w:val="21"/>
              </w:rPr>
            </w:pPr>
            <w:r>
              <w:rPr>
                <w:rFonts w:cs="Times New Roman"/>
                <w:kern w:val="0"/>
                <w:sz w:val="21"/>
                <w:szCs w:val="21"/>
              </w:rPr>
              <w:t>3224.00</w:t>
            </w:r>
          </w:p>
        </w:tc>
        <w:tc>
          <w:tcPr>
            <w:tcW w:w="84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118" w:right="102" w:firstLine="0" w:firstLineChars="0"/>
              <w:jc w:val="center"/>
              <w:rPr>
                <w:rFonts w:cs="Times New Roman"/>
                <w:kern w:val="0"/>
                <w:sz w:val="21"/>
                <w:szCs w:val="21"/>
              </w:rPr>
            </w:pPr>
            <w:r>
              <w:rPr>
                <w:rFonts w:cs="Times New Roman"/>
                <w:kern w:val="0"/>
                <w:sz w:val="21"/>
                <w:szCs w:val="21"/>
              </w:rPr>
              <w:t>160.00</w:t>
            </w:r>
          </w:p>
        </w:tc>
        <w:tc>
          <w:tcPr>
            <w:tcW w:w="11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9" w:line="240" w:lineRule="auto"/>
              <w:ind w:left="383" w:firstLine="0" w:firstLineChars="0"/>
              <w:jc w:val="left"/>
              <w:rPr>
                <w:rFonts w:cs="Times New Roman"/>
                <w:kern w:val="0"/>
                <w:sz w:val="21"/>
                <w:szCs w:val="21"/>
              </w:rPr>
            </w:pPr>
            <w:r>
              <w:rPr>
                <w:rFonts w:cs="Times New Roman"/>
                <w:kern w:val="0"/>
                <w:sz w:val="21"/>
                <w:szCs w:val="21"/>
              </w:rPr>
              <w:t>0.40</w:t>
            </w:r>
          </w:p>
        </w:tc>
      </w:tr>
      <w:tr>
        <w:tblPrEx>
          <w:tblCellMar>
            <w:top w:w="0" w:type="dxa"/>
            <w:left w:w="0" w:type="dxa"/>
            <w:bottom w:w="0" w:type="dxa"/>
            <w:right w:w="0" w:type="dxa"/>
          </w:tblCellMar>
        </w:tblPrEx>
        <w:trPr>
          <w:trHeight w:val="311" w:hRule="atLeast"/>
        </w:trPr>
        <w:tc>
          <w:tcPr>
            <w:tcW w:w="1130" w:type="dxa"/>
            <w:vMerge w:val="continue"/>
            <w:tcBorders>
              <w:top w:val="nil"/>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黑体" w:eastAsia="黑体" w:cs="黑体"/>
                <w:b/>
                <w:bCs/>
                <w:kern w:val="0"/>
                <w:sz w:val="2"/>
                <w:szCs w:val="2"/>
              </w:rPr>
            </w:pPr>
          </w:p>
        </w:tc>
        <w:tc>
          <w:tcPr>
            <w:tcW w:w="11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2" w:line="240" w:lineRule="auto"/>
              <w:ind w:left="120" w:right="115" w:firstLine="0" w:firstLineChars="0"/>
              <w:jc w:val="center"/>
              <w:rPr>
                <w:rFonts w:ascii="宋体" w:eastAsia="宋体" w:cs="宋体"/>
                <w:kern w:val="0"/>
                <w:sz w:val="21"/>
                <w:szCs w:val="21"/>
              </w:rPr>
            </w:pPr>
            <w:r>
              <w:rPr>
                <w:rFonts w:hint="eastAsia" w:ascii="宋体" w:eastAsia="宋体" w:cs="宋体"/>
                <w:kern w:val="0"/>
                <w:sz w:val="21"/>
                <w:szCs w:val="21"/>
              </w:rPr>
              <w:t>红山嘴</w:t>
            </w:r>
          </w:p>
        </w:tc>
        <w:tc>
          <w:tcPr>
            <w:tcW w:w="11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21" w:right="111" w:firstLine="0" w:firstLineChars="0"/>
              <w:jc w:val="center"/>
              <w:rPr>
                <w:rFonts w:cs="Times New Roman"/>
                <w:kern w:val="0"/>
                <w:sz w:val="21"/>
                <w:szCs w:val="21"/>
              </w:rPr>
            </w:pPr>
            <w:r>
              <w:rPr>
                <w:rFonts w:cs="Times New Roman"/>
                <w:kern w:val="0"/>
                <w:sz w:val="21"/>
                <w:szCs w:val="21"/>
              </w:rPr>
              <w:t>5156.00</w:t>
            </w:r>
          </w:p>
        </w:tc>
        <w:tc>
          <w:tcPr>
            <w:tcW w:w="135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32" w:right="118" w:firstLine="0" w:firstLineChars="0"/>
              <w:jc w:val="center"/>
              <w:rPr>
                <w:rFonts w:cs="Times New Roman"/>
                <w:kern w:val="0"/>
                <w:sz w:val="21"/>
                <w:szCs w:val="21"/>
              </w:rPr>
            </w:pPr>
            <w:r>
              <w:rPr>
                <w:rFonts w:cs="Times New Roman"/>
                <w:kern w:val="0"/>
                <w:sz w:val="21"/>
                <w:szCs w:val="21"/>
              </w:rPr>
              <w:t>11.80</w:t>
            </w:r>
          </w:p>
        </w:tc>
        <w:tc>
          <w:tcPr>
            <w:tcW w:w="15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40" w:right="127" w:firstLine="0" w:firstLineChars="0"/>
              <w:jc w:val="center"/>
              <w:rPr>
                <w:rFonts w:cs="Times New Roman"/>
                <w:kern w:val="0"/>
                <w:sz w:val="21"/>
                <w:szCs w:val="21"/>
              </w:rPr>
            </w:pPr>
            <w:r>
              <w:rPr>
                <w:rFonts w:cs="Times New Roman"/>
                <w:kern w:val="0"/>
                <w:sz w:val="21"/>
                <w:szCs w:val="21"/>
              </w:rPr>
              <w:t>3022.00</w:t>
            </w:r>
          </w:p>
        </w:tc>
        <w:tc>
          <w:tcPr>
            <w:tcW w:w="84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118" w:right="102" w:firstLine="0" w:firstLineChars="0"/>
              <w:jc w:val="center"/>
              <w:rPr>
                <w:rFonts w:cs="Times New Roman"/>
                <w:kern w:val="0"/>
                <w:sz w:val="21"/>
                <w:szCs w:val="21"/>
              </w:rPr>
            </w:pPr>
            <w:r>
              <w:rPr>
                <w:rFonts w:cs="Times New Roman"/>
                <w:kern w:val="0"/>
                <w:sz w:val="21"/>
                <w:szCs w:val="21"/>
              </w:rPr>
              <w:t>190.00</w:t>
            </w:r>
          </w:p>
        </w:tc>
        <w:tc>
          <w:tcPr>
            <w:tcW w:w="11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6" w:line="240" w:lineRule="auto"/>
              <w:ind w:left="383" w:firstLine="0" w:firstLineChars="0"/>
              <w:jc w:val="left"/>
              <w:rPr>
                <w:rFonts w:cs="Times New Roman"/>
                <w:kern w:val="0"/>
                <w:sz w:val="21"/>
                <w:szCs w:val="21"/>
              </w:rPr>
            </w:pPr>
            <w:r>
              <w:rPr>
                <w:rFonts w:cs="Times New Roman"/>
                <w:kern w:val="0"/>
                <w:sz w:val="21"/>
                <w:szCs w:val="21"/>
              </w:rPr>
              <w:t>0.36</w:t>
            </w:r>
          </w:p>
        </w:tc>
      </w:tr>
    </w:tbl>
    <w:p>
      <w:pPr>
        <w:pStyle w:val="91"/>
        <w:ind w:firstLine="480"/>
      </w:pPr>
      <w:r>
        <w:rPr>
          <w:rFonts w:hint="eastAsia"/>
        </w:rPr>
        <w:t>玛纳斯河干流山区</w:t>
      </w:r>
      <w:r>
        <w:t>(</w:t>
      </w:r>
      <w:r>
        <w:rPr>
          <w:rFonts w:hint="eastAsia"/>
        </w:rPr>
        <w:t>红山嘴水文站以上</w:t>
      </w:r>
      <w:r>
        <w:t>)</w:t>
      </w:r>
      <w:r>
        <w:rPr>
          <w:rFonts w:hint="eastAsia"/>
        </w:rPr>
        <w:t>集水面积</w:t>
      </w:r>
      <w:r>
        <w:t xml:space="preserve"> 5156km²</w:t>
      </w:r>
      <w:r>
        <w:rPr>
          <w:rFonts w:hint="eastAsia"/>
        </w:rPr>
        <w:t>。玛纳斯河多年平均径流量</w:t>
      </w:r>
      <w:r>
        <w:t xml:space="preserve"> 13.41 </w:t>
      </w:r>
      <w:r>
        <w:rPr>
          <w:rFonts w:hint="eastAsia"/>
        </w:rPr>
        <w:t>亿</w:t>
      </w:r>
      <w:r>
        <w:t xml:space="preserve"> m³</w:t>
      </w:r>
      <w:r>
        <w:rPr>
          <w:rFonts w:hint="eastAsia"/>
        </w:rPr>
        <w:t>（红山嘴站）（</w:t>
      </w:r>
      <w:r>
        <w:t>1956</w:t>
      </w:r>
      <w:r>
        <w:rPr>
          <w:rFonts w:hint="eastAsia"/>
        </w:rPr>
        <w:t>～</w:t>
      </w:r>
      <w:r>
        <w:t xml:space="preserve">2020 </w:t>
      </w:r>
      <w:r>
        <w:rPr>
          <w:rFonts w:hint="eastAsia"/>
        </w:rPr>
        <w:t>年），红山嘴断面春季（</w:t>
      </w:r>
      <w:r>
        <w:t xml:space="preserve">3 </w:t>
      </w:r>
      <w:r>
        <w:rPr>
          <w:rFonts w:hint="eastAsia"/>
        </w:rPr>
        <w:t>月～</w:t>
      </w:r>
      <w:r>
        <w:t>5</w:t>
      </w:r>
      <w:r>
        <w:rPr>
          <w:rFonts w:hint="eastAsia"/>
        </w:rPr>
        <w:t>月）径流量占全年</w:t>
      </w:r>
      <w:r>
        <w:t xml:space="preserve"> 9.5%</w:t>
      </w:r>
      <w:r>
        <w:rPr>
          <w:rFonts w:hint="eastAsia"/>
        </w:rPr>
        <w:t>，夏季（</w:t>
      </w:r>
      <w:r>
        <w:t xml:space="preserve">6 </w:t>
      </w:r>
      <w:r>
        <w:rPr>
          <w:rFonts w:hint="eastAsia"/>
        </w:rPr>
        <w:t>月～</w:t>
      </w:r>
      <w:r>
        <w:t xml:space="preserve">8 </w:t>
      </w:r>
      <w:r>
        <w:rPr>
          <w:rFonts w:hint="eastAsia"/>
        </w:rPr>
        <w:t>月）径流量占</w:t>
      </w:r>
      <w:r>
        <w:t xml:space="preserve"> 67.2%</w:t>
      </w:r>
      <w:r>
        <w:rPr>
          <w:rFonts w:hint="eastAsia"/>
        </w:rPr>
        <w:t>，秋季（</w:t>
      </w:r>
      <w:r>
        <w:t xml:space="preserve">9 </w:t>
      </w:r>
      <w:r>
        <w:rPr>
          <w:rFonts w:hint="eastAsia"/>
        </w:rPr>
        <w:t>月～</w:t>
      </w:r>
      <w:r>
        <w:t xml:space="preserve">11 </w:t>
      </w:r>
      <w:r>
        <w:rPr>
          <w:rFonts w:hint="eastAsia"/>
        </w:rPr>
        <w:t>月）占</w:t>
      </w:r>
      <w:r>
        <w:t xml:space="preserve"> 16.9%</w:t>
      </w:r>
      <w:r>
        <w:rPr>
          <w:rFonts w:hint="eastAsia"/>
        </w:rPr>
        <w:t>，冬季（</w:t>
      </w:r>
      <w:r>
        <w:t xml:space="preserve">12 </w:t>
      </w:r>
      <w:r>
        <w:rPr>
          <w:rFonts w:hint="eastAsia"/>
        </w:rPr>
        <w:t>月～</w:t>
      </w:r>
      <w:r>
        <w:t xml:space="preserve">2 </w:t>
      </w:r>
      <w:r>
        <w:rPr>
          <w:rFonts w:hint="eastAsia"/>
        </w:rPr>
        <w:t>月）只占全年径流量的</w:t>
      </w:r>
      <w:r>
        <w:t xml:space="preserve"> 6.4%</w:t>
      </w:r>
      <w:r>
        <w:rPr>
          <w:rFonts w:hint="eastAsia"/>
        </w:rPr>
        <w:t>；连续最大四个月径流（</w:t>
      </w:r>
      <w:r>
        <w:t xml:space="preserve">6 </w:t>
      </w:r>
      <w:r>
        <w:rPr>
          <w:rFonts w:hint="eastAsia"/>
        </w:rPr>
        <w:t>月～</w:t>
      </w:r>
      <w:r>
        <w:t xml:space="preserve">9 </w:t>
      </w:r>
      <w:r>
        <w:rPr>
          <w:rFonts w:hint="eastAsia"/>
        </w:rPr>
        <w:t>月），占全年径流量的</w:t>
      </w:r>
      <w:r>
        <w:t xml:space="preserve"> 76.6%</w:t>
      </w:r>
      <w:r>
        <w:rPr>
          <w:rFonts w:hint="eastAsia"/>
        </w:rPr>
        <w:t>，连续最小三个月（</w:t>
      </w:r>
      <w:r>
        <w:t xml:space="preserve">1 </w:t>
      </w:r>
      <w:r>
        <w:rPr>
          <w:rFonts w:hint="eastAsia"/>
        </w:rPr>
        <w:t>月～</w:t>
      </w:r>
      <w:r>
        <w:t xml:space="preserve">3 </w:t>
      </w:r>
      <w:r>
        <w:rPr>
          <w:rFonts w:hint="eastAsia"/>
        </w:rPr>
        <w:t>月）径流量占全年径流量的</w:t>
      </w:r>
      <w:r>
        <w:t xml:space="preserve"> 6.1%</w:t>
      </w:r>
      <w:r>
        <w:rPr>
          <w:rFonts w:hint="eastAsia"/>
        </w:rPr>
        <w:t>。</w:t>
      </w:r>
    </w:p>
    <w:p>
      <w:pPr>
        <w:pStyle w:val="91"/>
        <w:ind w:firstLine="480"/>
      </w:pPr>
      <w:r>
        <w:rPr>
          <w:rFonts w:hint="eastAsia"/>
        </w:rPr>
        <w:t>玛纳斯河为山溪性河流，洪水的成因以高温期的冰川及永久性积雪融化为主，</w:t>
      </w:r>
      <w:r>
        <w:t xml:space="preserve"> </w:t>
      </w:r>
      <w:r>
        <w:rPr>
          <w:rFonts w:hint="eastAsia"/>
        </w:rPr>
        <w:t>以降水补给为辅，洪水特征主要为峰不高但量大，持续时间长，时间和水量集中和峰型多变。洪水主要集中于</w:t>
      </w:r>
      <w:r>
        <w:t xml:space="preserve"> 7</w:t>
      </w:r>
      <w:r>
        <w:rPr>
          <w:rFonts w:hint="eastAsia"/>
        </w:rPr>
        <w:t>、</w:t>
      </w:r>
      <w:r>
        <w:t xml:space="preserve">8 </w:t>
      </w:r>
      <w:r>
        <w:rPr>
          <w:rFonts w:hint="eastAsia"/>
        </w:rPr>
        <w:t>月份的汛期内，历年最大洪峰流量发生于</w:t>
      </w:r>
      <w:r>
        <w:t xml:space="preserve"> 7</w:t>
      </w:r>
      <w:r>
        <w:rPr>
          <w:rFonts w:hint="eastAsia"/>
        </w:rPr>
        <w:t>、</w:t>
      </w:r>
      <w:r>
        <w:t xml:space="preserve">8 </w:t>
      </w:r>
      <w:r>
        <w:rPr>
          <w:rFonts w:hint="eastAsia"/>
        </w:rPr>
        <w:t>月份的占到绝大多数。</w:t>
      </w:r>
    </w:p>
    <w:p>
      <w:pPr>
        <w:pStyle w:val="91"/>
        <w:ind w:firstLine="480"/>
      </w:pPr>
      <w:r>
        <w:rPr>
          <w:rFonts w:hint="eastAsia"/>
        </w:rPr>
        <w:t>玛纳斯河的泥沙含量较高，泥沙主要来源于降雨融雪汇流对流域面的侵蚀和水流对河道的冲刷。其特点为泥沙的年季变化很大，年内分配集中，主要集中在</w:t>
      </w:r>
      <w:r>
        <w:t xml:space="preserve">6 </w:t>
      </w:r>
      <w:r>
        <w:rPr>
          <w:rFonts w:hint="eastAsia"/>
        </w:rPr>
        <w:t>月～</w:t>
      </w:r>
      <w:r>
        <w:t xml:space="preserve">8 </w:t>
      </w:r>
      <w:r>
        <w:rPr>
          <w:rFonts w:hint="eastAsia"/>
        </w:rPr>
        <w:t>月，含沙量集中，肯斯瓦特站实测多年平均输沙量</w:t>
      </w:r>
      <w:r>
        <w:t xml:space="preserve"> 384.5 </w:t>
      </w:r>
      <w:r>
        <w:rPr>
          <w:rFonts w:hint="eastAsia"/>
        </w:rPr>
        <w:t>万</w:t>
      </w:r>
      <w:r>
        <w:t xml:space="preserve"> t</w:t>
      </w:r>
      <w:r>
        <w:rPr>
          <w:rFonts w:hint="eastAsia"/>
        </w:rPr>
        <w:t>，其中悬移质</w:t>
      </w:r>
      <w:r>
        <w:t xml:space="preserve"> 336.7 </w:t>
      </w:r>
      <w:r>
        <w:rPr>
          <w:rFonts w:hint="eastAsia"/>
        </w:rPr>
        <w:t>万</w:t>
      </w:r>
      <w:r>
        <w:t xml:space="preserve"> t</w:t>
      </w:r>
      <w:r>
        <w:rPr>
          <w:rFonts w:hint="eastAsia"/>
        </w:rPr>
        <w:t>，推移质</w:t>
      </w:r>
      <w:r>
        <w:t xml:space="preserve"> 47.81 </w:t>
      </w:r>
      <w:r>
        <w:rPr>
          <w:rFonts w:hint="eastAsia"/>
        </w:rPr>
        <w:t>万</w:t>
      </w:r>
      <w:r>
        <w:t xml:space="preserve"> t</w:t>
      </w:r>
      <w:r>
        <w:rPr>
          <w:rFonts w:hint="eastAsia"/>
        </w:rPr>
        <w:t>。</w:t>
      </w:r>
    </w:p>
    <w:p>
      <w:pPr>
        <w:pStyle w:val="4"/>
      </w:pPr>
      <w:r>
        <w:rPr>
          <w:rFonts w:hint="eastAsia"/>
        </w:rPr>
        <w:t>二、规划目标</w:t>
      </w:r>
    </w:p>
    <w:p>
      <w:pPr>
        <w:ind w:firstLine="480"/>
      </w:pPr>
      <w:r>
        <w:rPr>
          <w:rFonts w:hint="eastAsia"/>
        </w:rPr>
        <w:t>玛纳斯河流湿地是玛纳斯绿洲稳定性和生物多样性的基础。在满足人类社会合理需求的同时，保持生态系统自我维持、更新和恢复的能力，确保其当前和未来的使用价值不退化。通过水文连通、地形重塑、植被恢复、水资源调节等生态工程，保护和恢复玛纳斯河流的自然流态和健康生态系统结构，维持河床地貌的稳定性，维持的生态需水量，提升玛纳斯湿地的生态系统服务功能。</w:t>
      </w:r>
    </w:p>
    <w:p>
      <w:pPr>
        <w:pStyle w:val="4"/>
      </w:pPr>
      <w:r>
        <w:rPr>
          <w:rFonts w:hint="eastAsia"/>
        </w:rPr>
        <w:t>三、保护工程与措施</w:t>
      </w:r>
    </w:p>
    <w:p>
      <w:pPr>
        <w:pStyle w:val="5"/>
      </w:pPr>
      <w:r>
        <w:rPr>
          <w:rFonts w:hint="eastAsia"/>
        </w:rPr>
        <w:t>（一）保护措施</w:t>
      </w:r>
    </w:p>
    <w:p>
      <w:pPr>
        <w:pStyle w:val="6"/>
        <w:ind w:firstLine="482"/>
      </w:pPr>
      <w:r>
        <w:rPr>
          <w:rFonts w:hint="eastAsia"/>
        </w:rPr>
        <w:t>1.</w:t>
      </w:r>
      <w:r>
        <w:t xml:space="preserve"> </w:t>
      </w:r>
      <w:r>
        <w:rPr>
          <w:rFonts w:hint="eastAsia"/>
        </w:rPr>
        <w:t>建立健全节水法规制度</w:t>
      </w:r>
    </w:p>
    <w:p>
      <w:pPr>
        <w:ind w:firstLine="480"/>
      </w:pPr>
      <w:r>
        <w:rPr>
          <w:rFonts w:hint="eastAsia"/>
        </w:rPr>
        <w:t>建立、健全必要的法规制度，使节水工作有法可依。深化水权交易改革，实行最严格的水资源管理制度，分步实施阶梯水价，促进节水型社会建设。</w:t>
      </w:r>
    </w:p>
    <w:p>
      <w:pPr>
        <w:pStyle w:val="6"/>
        <w:ind w:firstLine="482"/>
      </w:pPr>
      <w:r>
        <w:rPr>
          <w:rFonts w:hint="eastAsia"/>
        </w:rPr>
        <w:t>2.</w:t>
      </w:r>
      <w:r>
        <w:t xml:space="preserve"> </w:t>
      </w:r>
      <w:r>
        <w:rPr>
          <w:rFonts w:hint="eastAsia"/>
        </w:rPr>
        <w:t>加强工业节水</w:t>
      </w:r>
    </w:p>
    <w:p>
      <w:pPr>
        <w:ind w:firstLine="480"/>
      </w:pPr>
      <w:r>
        <w:rPr>
          <w:rFonts w:hint="eastAsia"/>
        </w:rPr>
        <w:t>优化产业结构，调整工业布局，实现节约用水。推动产业集约化发展，工业园区集约化利用水资源。加强工业水循环利用。抓好高耗水行业节水技术应用，推进工业节约水资源和提高用水效率。</w:t>
      </w:r>
    </w:p>
    <w:p>
      <w:pPr>
        <w:pStyle w:val="6"/>
        <w:ind w:firstLine="482"/>
      </w:pPr>
      <w:r>
        <w:rPr>
          <w:rFonts w:hint="eastAsia"/>
        </w:rPr>
        <w:t>3.</w:t>
      </w:r>
      <w:r>
        <w:t xml:space="preserve"> </w:t>
      </w:r>
      <w:r>
        <w:rPr>
          <w:rFonts w:hint="eastAsia"/>
        </w:rPr>
        <w:t>推进再生水综合利用</w:t>
      </w:r>
    </w:p>
    <w:p>
      <w:pPr>
        <w:ind w:firstLine="480"/>
      </w:pPr>
      <w:r>
        <w:rPr>
          <w:rFonts w:hint="eastAsia"/>
        </w:rPr>
        <w:t>加强再生水利用设施配套建设，提高再生水利用范围和利用率。除用于工业园区用水循环利用外，结合生态修复工程，选用适合树种和农作物，实施北部沙漠生态林绿色屏障工程，开发与之相适应的经济林、荒漠林和生态恢复等。</w:t>
      </w:r>
    </w:p>
    <w:p>
      <w:pPr>
        <w:pStyle w:val="5"/>
      </w:pPr>
      <w:r>
        <w:rPr>
          <w:rFonts w:hint="eastAsia"/>
        </w:rPr>
        <w:t>（二）保护工程</w:t>
      </w:r>
    </w:p>
    <w:p>
      <w:pPr>
        <w:ind w:firstLine="480"/>
      </w:pPr>
      <w:r>
        <w:rPr>
          <w:rFonts w:hint="eastAsia"/>
        </w:rPr>
        <w:t>湿地保护工程建设，立足现状，着眼长远，设施配备以实用、科学为原则，既考虑性能的可靠性，也考虑价格的适中性，主要包括：湿地公园围栏建设、湿地公园巡护道路维护等。</w:t>
      </w:r>
    </w:p>
    <w:p>
      <w:pPr>
        <w:ind w:firstLine="480"/>
      </w:pPr>
      <w:r>
        <w:rPr>
          <w:rFonts w:hint="eastAsia"/>
        </w:rPr>
        <w:t>1、围栏围网建设</w:t>
      </w:r>
    </w:p>
    <w:p>
      <w:pPr>
        <w:ind w:firstLine="480"/>
      </w:pPr>
      <w:r>
        <w:rPr>
          <w:rFonts w:hint="eastAsia"/>
        </w:rPr>
        <w:t>由玛纳斯河道至湿地公园植物园沿岸属于湿地公园生态保育区，生态环境良好，目前湿地公园植物园管理站中心主体工程已完成，但管理中心外侧围栏尚未建设，无法实施全封育管理，降低了湿地公园整体管护效果。为减少人为活动对湿地公园干扰，在湿地管理中心南侧、西侧建设围栏，与现有围栏相连形成闭环，对围栏内湿地实行封育管理。围栏规格仿照场地内现有围栏样式，共计建设长度510.5m。</w:t>
      </w:r>
    </w:p>
    <w:p>
      <w:pPr>
        <w:ind w:firstLine="480"/>
      </w:pPr>
      <w:r>
        <w:rPr>
          <w:rFonts w:hint="eastAsia"/>
        </w:rPr>
        <w:t>2、巡护道路维护</w:t>
      </w:r>
    </w:p>
    <w:p>
      <w:pPr>
        <w:ind w:firstLine="480"/>
      </w:pPr>
      <w:r>
        <w:rPr>
          <w:rFonts w:hint="eastAsia"/>
        </w:rPr>
        <w:t>目前湿地公园内的在巡护路网基本建成，巡护系统不断完善。但是部分巡护道路受水浸影响，木材内部结构遭受破坏，出现腐烂、木板松动脱落等现象，影响木栈道的安全性，对湿地的保护、管理工作的开展带来了困难。为完善巡护系统需要在老海子水库、夹河子水库区域破损木栈道进行维护，更换防腐性能高的材质。经统计，需维护的巡护栈道长150m，修复观鸟木制平台650m²（包括原木板拆除391m²），合计980 m²。</w:t>
      </w:r>
    </w:p>
    <w:p>
      <w:pPr>
        <w:pStyle w:val="4"/>
      </w:pPr>
      <w:r>
        <w:rPr>
          <w:rFonts w:hint="eastAsia"/>
        </w:rPr>
        <w:t>四、恢复工程</w:t>
      </w:r>
    </w:p>
    <w:p>
      <w:pPr>
        <w:ind w:firstLine="480"/>
      </w:pPr>
      <w:r>
        <w:rPr>
          <w:rFonts w:hint="eastAsia"/>
        </w:rPr>
        <w:t>通过土地整理、 填埋原沟渠、闸坝水位调节、封围蓄水、疏通输入（出）径流、植被恢复等措施，植被恢复、封围蓄水等措施，恢复湿地生态功能，遏制退化趋势。</w:t>
      </w:r>
    </w:p>
    <w:p>
      <w:pPr>
        <w:ind w:firstLine="480"/>
      </w:pPr>
      <w:r>
        <w:rPr>
          <w:rFonts w:hint="eastAsia"/>
        </w:rPr>
        <w:t>1、地形修复和改造</w:t>
      </w:r>
    </w:p>
    <w:p>
      <w:pPr>
        <w:ind w:firstLine="480"/>
      </w:pPr>
      <w:r>
        <w:rPr>
          <w:rFonts w:hint="eastAsia"/>
        </w:rPr>
        <w:t>地形修复和改造主要包括植物园西侧河道地形修复和夹河子水库南侧地形修复两部分。其中植物园西侧河道地形修复主要措施为水系重塑、拦水堰修建等，夹河子水库南侧地形修复主要措施为拦水坝修建、栖息地恢复等。</w:t>
      </w:r>
    </w:p>
    <w:p>
      <w:pPr>
        <w:ind w:firstLine="480"/>
      </w:pPr>
      <w:r>
        <w:rPr>
          <w:rFonts w:hint="eastAsia"/>
        </w:rPr>
        <w:t>玛纳斯河河道上游修建水电站、分水渠等构筑物，对下游在湿地水文产生影响，尤其是2017-2018年在夹河子村以北区域建设的南北走向的挡水坝，造成了此区域38.56 hm²湿地、草地与玛纳斯河河道产生割裂，逐渐出现旱化、陆化的现象。因此，对项目区实施地形修复，以人工挖掘方式模拟出自然水道，并在较低地形区挖掘形成小型坑塘，在水势较低处设置拦水坝堰，结合引水重建退化河流湿地水文过程。</w:t>
      </w:r>
    </w:p>
    <w:p>
      <w:pPr>
        <w:ind w:firstLine="480"/>
      </w:pPr>
      <w:r>
        <w:rPr>
          <w:rFonts w:hint="eastAsia"/>
        </w:rPr>
        <w:t>夹河子水库南侧沼泽草地、内陆滩涂水文条件较好，植被覆盖度高、生物多样性丰富，为湿地公园周边核心资源区，目前该区域分布的天鹅园、植物园已成为了湿地公园对外名片。夹河子水库南侧区域整体地势较平，春夏季节，在灌溉水库底水位运行时，大量内陆滩涂裸露，适合鸟类栖息的潜在环境增加，但由于地形单一，未形成多样生境，其生态功能未能有效发挥，尤其是大天鹅、绿头鸭、灰雁等雁鸭类湿地鸟类生存所需的宽阔水面有一定不足，需采取一定措施予以改善。</w:t>
      </w:r>
    </w:p>
    <w:p>
      <w:pPr>
        <w:ind w:firstLine="480"/>
      </w:pPr>
      <w:r>
        <w:rPr>
          <w:rFonts w:hint="eastAsia"/>
        </w:rPr>
        <w:t>同时，开展夹河子水库南侧地形修复及鸟类生境营造工程，在夹河子水库库尾地段，通过地形改造创造适合鸟类栖息、鱼类越冬的深水区（&gt;1m），以及由深水向浅水(0.3-1.0m)、浅滩(0-0.3m)、岛屿过渡的不同微地貌结构，以适应不同湿地植被的生长和各种水鸟的栖息繁殖，通过堤坝修建实现场地蓄水，恢复和改善湿地。</w:t>
      </w:r>
    </w:p>
    <w:p>
      <w:pPr>
        <w:ind w:firstLine="480"/>
      </w:pPr>
      <w:r>
        <w:rPr>
          <w:rFonts w:hint="eastAsia"/>
        </w:rPr>
        <w:t>2、湿地控水补水设施</w:t>
      </w:r>
    </w:p>
    <w:p>
      <w:pPr>
        <w:ind w:firstLine="480"/>
      </w:pPr>
      <w:r>
        <w:rPr>
          <w:rFonts w:hint="eastAsia"/>
        </w:rPr>
        <w:t>项目区湿地控水补水设施主要为胡杨林岛引水渠道与天鹅园输水管道。其中湿地公园夹河子水库北侧胡杨林岛区域因常年淤积，地势较高，已无法利用玛纳斯河河道水流资源。在胡杨林岛东侧建设引水渠道，沟通胡杨林岛与夹河子水库东泄洪渠，通过生态调水，为湿地公园内胡杨林岛进行生态输水。</w:t>
      </w:r>
    </w:p>
    <w:p>
      <w:pPr>
        <w:ind w:firstLine="480"/>
      </w:pPr>
      <w:r>
        <w:rPr>
          <w:rFonts w:hint="eastAsia"/>
        </w:rPr>
        <w:t>3、水流控制</w:t>
      </w:r>
    </w:p>
    <w:p>
      <w:pPr>
        <w:ind w:firstLine="480"/>
      </w:pPr>
      <w:r>
        <w:rPr>
          <w:rFonts w:hint="eastAsia"/>
        </w:rPr>
        <w:t>在湿地公园植物园引水渠道分水处建设双向闸口三处，动态调整湿地公园水资源分配。闸口建设选择双向分水闸，闸底宽3m，用厚砂砾石、碎石垫层碾压，并对边坡做护砌；分水闸以最高水深 3m为标准（P=1%），每闸门长 1.5m×高1.4m，材料为铸铁，宽度与渠道宽度一致；疏通输入（出）径流底宽 4m，清淤厚度 50cm，清理后淤泥自然晾干后用于河流护岸。</w:t>
      </w:r>
    </w:p>
    <w:p>
      <w:pPr>
        <w:ind w:firstLine="480"/>
      </w:pPr>
      <w:r>
        <w:rPr>
          <w:rFonts w:hint="eastAsia"/>
        </w:rPr>
        <w:t>4、植被恢复</w:t>
      </w:r>
    </w:p>
    <w:p>
      <w:pPr>
        <w:ind w:firstLine="480"/>
      </w:pPr>
      <w:r>
        <w:rPr>
          <w:rFonts w:hint="eastAsia"/>
        </w:rPr>
        <w:t>湿地植被对维护浅水、滩涂沼泽生态系统功能方面起着决定性作用。湿地公园内滩涂区域湿地植被丰富，分布面积很广，但在玛纳斯河道、八家户村退耕还湿区域还存在植被覆盖不足，在夹河子水库南侧区域存在植被类型单一的情况。此外，湿地公园内植被结构不尽合理，堤岸与坑塘岸边的湿地植被较少，水域中挺水和浮叶植物分布较少，景观性不足。</w:t>
      </w:r>
    </w:p>
    <w:p>
      <w:pPr>
        <w:ind w:firstLine="480"/>
      </w:pPr>
      <w:r>
        <w:rPr>
          <w:rFonts w:hint="eastAsia"/>
        </w:rPr>
        <w:t>为了恢复湿地植被的合理结构，对水域、浅地的挺水和浮叶植物进行恢复，同时加大岸堤、退塘还湿的植被恢复，依托生态补水增加滩涂面积，营造多种生境及植被类型。</w:t>
      </w:r>
    </w:p>
    <w:p>
      <w:pPr>
        <w:pStyle w:val="3"/>
        <w:ind w:firstLine="643"/>
      </w:pPr>
      <w:bookmarkStart w:id="36" w:name="_Toc130121658"/>
      <w:r>
        <w:rPr>
          <w:rFonts w:hint="eastAsia"/>
        </w:rPr>
        <w:t>第五节</w:t>
      </w:r>
      <w:r>
        <w:t xml:space="preserve">  </w:t>
      </w:r>
      <w:r>
        <w:rPr>
          <w:rFonts w:hint="eastAsia"/>
        </w:rPr>
        <w:t>水质保护</w:t>
      </w:r>
      <w:bookmarkEnd w:id="36"/>
    </w:p>
    <w:p>
      <w:pPr>
        <w:pStyle w:val="4"/>
      </w:pPr>
      <w:r>
        <w:rPr>
          <w:rFonts w:hint="eastAsia"/>
        </w:rPr>
        <w:t>一、水质现状</w:t>
      </w:r>
    </w:p>
    <w:p>
      <w:pPr>
        <w:ind w:firstLine="480"/>
      </w:pPr>
      <w:r>
        <w:rPr>
          <w:rFonts w:hint="eastAsia"/>
        </w:rPr>
        <w:t>规划区属于典型的河流水系及库塘水面类型，《地表水环境质量标准GB3838-2002》Ⅲ类，流域内的土地利用变化和生产活动直接影响河流的水质，水质存在较大污染风险，主要表现在：（1）流域内化纤制造、化学原料和化学制品制造等重点行业废水排放不容忽视；（2）境内河流和饮用水源区人类活动频繁，饮用水水源地环境风险问题突出；（3）玛纳斯河两岸的工业园区污水处理设施建设滞后，高浓度含盐工业废水处理难度大，再生水利用率低；（4）农业面源污染问题日渐凸显，农药、化肥、除草剂以及畜禽养殖污染已经影响到水、土环境，未来将成为玛纳斯县水污染防治的难点和重点。</w:t>
      </w:r>
    </w:p>
    <w:p>
      <w:pPr>
        <w:pStyle w:val="4"/>
      </w:pPr>
      <w:r>
        <w:rPr>
          <w:rFonts w:hint="eastAsia"/>
        </w:rPr>
        <w:t>二、规划目标</w:t>
      </w:r>
    </w:p>
    <w:p>
      <w:pPr>
        <w:ind w:firstLine="480"/>
      </w:pPr>
      <w:r>
        <w:rPr>
          <w:rFonts w:hint="eastAsia"/>
        </w:rPr>
        <w:t>按照《玛纳斯县城总体规划（2013-2030）》及《玛纳斯县环境保护第十四个五年规划》要求，县域内夹河子水库、大海子水库、新户坪水库，塔西河上水库、塔西河中水库、塔西河下水库、大冶水库、白土坑水库等各水库水质需满足《地表水环境质量标准》（GB3838-2002）Ⅲ类标准。</w:t>
      </w:r>
    </w:p>
    <w:p>
      <w:pPr>
        <w:pStyle w:val="4"/>
      </w:pPr>
      <w:r>
        <w:rPr>
          <w:rFonts w:hint="eastAsia"/>
        </w:rPr>
        <w:t>三、保护措施</w:t>
      </w:r>
    </w:p>
    <w:p>
      <w:pPr>
        <w:pStyle w:val="5"/>
      </w:pPr>
      <w:r>
        <w:rPr>
          <w:rFonts w:hint="eastAsia"/>
        </w:rPr>
        <w:t>（一）实施流域综合治理</w:t>
      </w:r>
    </w:p>
    <w:p>
      <w:pPr>
        <w:ind w:firstLine="480"/>
      </w:pPr>
      <w:r>
        <w:rPr>
          <w:rFonts w:hint="eastAsia"/>
        </w:rPr>
        <w:t>统筹解决跨界环境污染问题是玛纳斯湿地面临的重大挑战。推动建立玛纳斯河流域生态环境保护专项领导机构，协调玛纳斯河及其两岸玛纳斯县、石河子市、兵团第八师团场、沙湾县等多个地区的利用和保护，统筹玛纳斯河生态环境综合治理工作。与周边县市统筹考虑玛纳斯河水资源利用方式、流量供给等问题，保障湿地公园的生态用水和污染防治。</w:t>
      </w:r>
    </w:p>
    <w:p>
      <w:pPr>
        <w:pStyle w:val="5"/>
      </w:pPr>
      <w:r>
        <w:rPr>
          <w:rFonts w:hint="eastAsia"/>
        </w:rPr>
        <w:t>（二）外源污染控制工程</w:t>
      </w:r>
    </w:p>
    <w:p>
      <w:pPr>
        <w:pStyle w:val="6"/>
        <w:ind w:firstLine="482"/>
      </w:pPr>
      <w:r>
        <w:rPr>
          <w:rFonts w:hint="eastAsia"/>
        </w:rPr>
        <w:t>1.</w:t>
      </w:r>
      <w:r>
        <w:t xml:space="preserve"> </w:t>
      </w:r>
      <w:r>
        <w:rPr>
          <w:rFonts w:hint="eastAsia"/>
        </w:rPr>
        <w:t>汇水口生态拦截工程</w:t>
      </w:r>
    </w:p>
    <w:p>
      <w:pPr>
        <w:ind w:firstLine="480"/>
      </w:pPr>
      <w:r>
        <w:rPr>
          <w:rFonts w:hint="eastAsia"/>
        </w:rPr>
        <w:t>玛纳斯国家湿地公园由多条水系组成，南北贯通过程中会流经村庄社区，水体容易受人为影响。为减少固体废弃物等外源污染进入水体，需设置截污网拦截污染物，并组织专门人员对废弃物进行定期清理。同时，及时清理水系周围的垃圾成有害的污染物，防止雨季进入水系。</w:t>
      </w:r>
    </w:p>
    <w:p>
      <w:pPr>
        <w:ind w:firstLine="480"/>
      </w:pPr>
      <w:r>
        <w:rPr>
          <w:rFonts w:hint="eastAsia"/>
        </w:rPr>
        <w:t>在进入规划区自然湿地入口处，规划实施生态截污工程1项，封堵现有排污口，并沿河铺设截污干管。</w:t>
      </w:r>
    </w:p>
    <w:p>
      <w:pPr>
        <w:pStyle w:val="6"/>
        <w:ind w:firstLine="482"/>
      </w:pPr>
      <w:r>
        <w:rPr>
          <w:rFonts w:hint="eastAsia"/>
        </w:rPr>
        <w:t>2．人工湿地污水处理工程</w:t>
      </w:r>
    </w:p>
    <w:p>
      <w:pPr>
        <w:ind w:firstLine="480"/>
      </w:pPr>
      <w:r>
        <w:rPr>
          <w:rFonts w:hint="eastAsia"/>
        </w:rPr>
        <w:t>在周边社区建设污水收集设施及人工湿地，满足周边村庄生活污水的净化处理功能。生活污水先经污水处理设备后进入人工再处理后可直接排入公园水系内，既补充了湿地水资源，又形成了一个人工湿地功能展示的平台。</w:t>
      </w:r>
    </w:p>
    <w:p>
      <w:pPr>
        <w:ind w:firstLine="480"/>
      </w:pPr>
      <w:r>
        <w:rPr>
          <w:rFonts w:hint="eastAsia"/>
        </w:rPr>
        <w:t>在规划区周边乡村，规划人工湿地污水处理工程1项。</w:t>
      </w:r>
    </w:p>
    <w:p>
      <w:pPr>
        <w:pStyle w:val="6"/>
        <w:ind w:firstLine="482"/>
      </w:pPr>
      <w:r>
        <w:rPr>
          <w:rFonts w:hint="eastAsia"/>
        </w:rPr>
        <w:t>3.</w:t>
      </w:r>
      <w:r>
        <w:t xml:space="preserve"> </w:t>
      </w:r>
      <w:r>
        <w:rPr>
          <w:rFonts w:hint="eastAsia"/>
        </w:rPr>
        <w:t>雨水收集净化工程</w:t>
      </w:r>
    </w:p>
    <w:p>
      <w:pPr>
        <w:ind w:firstLine="480"/>
      </w:pPr>
      <w:r>
        <w:rPr>
          <w:rFonts w:hint="eastAsia"/>
        </w:rPr>
        <w:t>雨水收集可采取溢流式管井或地表径流先汇入集水域，经过湿地植物的净化及沉淀后进入湿地水系循环系统。同时，在公园水系两岸一定范围内设置绿化保护区，保护区内建立净化系统和绿化保护带，严禁周边污水流入水系。</w:t>
      </w:r>
    </w:p>
    <w:p>
      <w:pPr>
        <w:ind w:firstLine="480"/>
      </w:pPr>
      <w:r>
        <w:rPr>
          <w:rFonts w:hint="eastAsia"/>
        </w:rPr>
        <w:t>结合退耕还湿，实施小流域地表水汇集净化工程1项。</w:t>
      </w:r>
    </w:p>
    <w:p>
      <w:pPr>
        <w:pStyle w:val="6"/>
        <w:ind w:firstLine="482"/>
      </w:pPr>
      <w:r>
        <w:rPr>
          <w:rFonts w:hint="eastAsia"/>
        </w:rPr>
        <w:t>4.</w:t>
      </w:r>
      <w:r>
        <w:t xml:space="preserve"> </w:t>
      </w:r>
      <w:r>
        <w:rPr>
          <w:rFonts w:hint="eastAsia"/>
        </w:rPr>
        <w:t>农业面源污染控制工程</w:t>
      </w:r>
    </w:p>
    <w:p>
      <w:pPr>
        <w:ind w:firstLine="480"/>
      </w:pPr>
      <w:r>
        <w:rPr>
          <w:rFonts w:hint="eastAsia"/>
        </w:rPr>
        <w:t>根据湿地公园水源特征和湿地对水质的要求，需要进行农业面源污染控制，规划拟推行以下工程和措施：</w:t>
      </w:r>
    </w:p>
    <w:p>
      <w:pPr>
        <w:ind w:firstLine="480"/>
      </w:pPr>
      <w:r>
        <w:rPr>
          <w:rFonts w:hint="eastAsia"/>
        </w:rPr>
        <w:t>（1）减少化肥使用，推广有机肥使用。</w:t>
      </w:r>
    </w:p>
    <w:p>
      <w:pPr>
        <w:ind w:firstLine="480"/>
      </w:pPr>
      <w:r>
        <w:rPr>
          <w:rFonts w:hint="eastAsia"/>
        </w:rPr>
        <w:t>（2）构建农田生态沟渠，通过植物与土壤微生物对营养盐的吸收、降解、吸附和过滤以及化感作用，降低进入水体中的N、P含量。</w:t>
      </w:r>
    </w:p>
    <w:p>
      <w:pPr>
        <w:ind w:firstLine="480"/>
      </w:pPr>
      <w:r>
        <w:rPr>
          <w:rFonts w:hint="eastAsia"/>
        </w:rPr>
        <w:t>（3）禁止从事污染水体的农牧业活动。</w:t>
      </w:r>
    </w:p>
    <w:p>
      <w:pPr>
        <w:ind w:firstLine="480"/>
      </w:pPr>
      <w:r>
        <w:rPr>
          <w:rFonts w:hint="eastAsia"/>
        </w:rPr>
        <w:t>与乡村协调结合，规划实施面源污染防控工程1项。</w:t>
      </w:r>
    </w:p>
    <w:p>
      <w:pPr>
        <w:pStyle w:val="5"/>
      </w:pPr>
      <w:r>
        <w:rPr>
          <w:rFonts w:hint="eastAsia"/>
        </w:rPr>
        <w:t>（三）内源污染控制工程</w:t>
      </w:r>
    </w:p>
    <w:p>
      <w:pPr>
        <w:pStyle w:val="6"/>
        <w:ind w:firstLine="482"/>
      </w:pPr>
      <w:r>
        <w:rPr>
          <w:rFonts w:hint="eastAsia"/>
        </w:rPr>
        <w:t>1.</w:t>
      </w:r>
      <w:r>
        <w:t xml:space="preserve"> </w:t>
      </w:r>
      <w:r>
        <w:rPr>
          <w:rFonts w:hint="eastAsia"/>
        </w:rPr>
        <w:t>控制水体富营养化措施</w:t>
      </w:r>
    </w:p>
    <w:p>
      <w:pPr>
        <w:ind w:firstLine="480"/>
      </w:pPr>
      <w:r>
        <w:rPr>
          <w:rFonts w:hint="eastAsia"/>
        </w:rPr>
        <w:t>首先对进入水体的磷、氮数量的控制，即对外源污染控制措施；其次，溶解氧和有机物的控制措施，根据水体有机物和营养盐的监测结果，针对系统内的有机污染物采取对应的生物措施进行净化处理。根据水体溶解氧含量的监测结果，对相应部位进行充氧，以解决局部溶解氧过低导致厌氧生物大量繁殖的问题；最后，保持水生生态系统平衡，提出生物操纵措施和生态对策方案，通过人为的操控和自然的力量，逐渐恢复和建立模拟自然的水生生态系统，创造一个生物多样化的生态环境，增强自然水体的自净能力。</w:t>
      </w:r>
    </w:p>
    <w:p>
      <w:pPr>
        <w:ind w:firstLine="480"/>
      </w:pPr>
      <w:r>
        <w:rPr>
          <w:rFonts w:hint="eastAsia"/>
        </w:rPr>
        <w:t>对规划区库塘湿地富营养化程度高的水域，实施富营养化控制措施1项。</w:t>
      </w:r>
    </w:p>
    <w:p>
      <w:pPr>
        <w:pStyle w:val="6"/>
        <w:ind w:firstLine="482"/>
      </w:pPr>
      <w:r>
        <w:rPr>
          <w:rFonts w:hint="eastAsia"/>
        </w:rPr>
        <w:t>2.</w:t>
      </w:r>
      <w:r>
        <w:t xml:space="preserve"> </w:t>
      </w:r>
      <w:r>
        <w:rPr>
          <w:rFonts w:hint="eastAsia"/>
        </w:rPr>
        <w:t>增加水体流动性和水文连通</w:t>
      </w:r>
    </w:p>
    <w:p>
      <w:pPr>
        <w:ind w:firstLine="480"/>
      </w:pPr>
      <w:r>
        <w:rPr>
          <w:rFonts w:hint="eastAsia"/>
        </w:rPr>
        <w:t>对河道定期清淤和漂浮物捕捞，水生植物定期收割等相应措施，控制内源污染问题，在丰水季节通过水文调控，结合水文连通措施，增加水体在湿地内的有效循环流动，提升湿地系统对其污染物消减的功能。</w:t>
      </w:r>
    </w:p>
    <w:p>
      <w:pPr>
        <w:pStyle w:val="3"/>
        <w:ind w:firstLine="643"/>
      </w:pPr>
      <w:bookmarkStart w:id="37" w:name="_Toc130121659"/>
      <w:r>
        <w:rPr>
          <w:rFonts w:hint="eastAsia"/>
        </w:rPr>
        <w:t xml:space="preserve">第六节 </w:t>
      </w:r>
      <w:r>
        <w:t xml:space="preserve"> </w:t>
      </w:r>
      <w:r>
        <w:rPr>
          <w:rFonts w:hint="eastAsia"/>
        </w:rPr>
        <w:t>水岸保护</w:t>
      </w:r>
      <w:bookmarkEnd w:id="37"/>
    </w:p>
    <w:p>
      <w:pPr>
        <w:pStyle w:val="4"/>
      </w:pPr>
      <w:r>
        <w:rPr>
          <w:rFonts w:hint="eastAsia"/>
        </w:rPr>
        <w:t>一、水岸现状</w:t>
      </w:r>
    </w:p>
    <w:p>
      <w:pPr>
        <w:ind w:firstLine="480"/>
      </w:pPr>
      <w:r>
        <w:rPr>
          <w:rFonts w:hint="eastAsia"/>
        </w:rPr>
        <w:t>规划区的水岸包括河流岸线和库塘岸线，受人类活动的影响较大。玛纳斯河的东岸在防洪堤和引水渠的修建改变了岸带自然状态，加之上游的水电工程开发和之前在河道内采挖，改变了河床形态和河流流态，在洪水冲刷作用下，岸带植被受到破坏，由于现状土层薄，恢复难度大。莫合渠和六阜渠为引水渠，全部进行了硬化，生态服务功能较低。由于石门子水库的拦截，塔西河的水资源受人为的调控作用，生产生活用水持续增加压力下，生态用水得不到保障，两岸植被受到影响，存在一定程度的退化。</w:t>
      </w:r>
    </w:p>
    <w:p>
      <w:pPr>
        <w:ind w:firstLine="480"/>
      </w:pPr>
      <w:r>
        <w:rPr>
          <w:rFonts w:hint="eastAsia"/>
        </w:rPr>
        <w:t>规划区涉及的库塘湿地周边的岸带多位于库区的上游，呈自然状态，近年来通过退耕还湿，湿地植被的恢复效果较好，已经成为鸟类的重要栖息地，生物多样性丰富。</w:t>
      </w:r>
    </w:p>
    <w:p>
      <w:pPr>
        <w:pStyle w:val="4"/>
      </w:pPr>
      <w:r>
        <w:rPr>
          <w:rFonts w:hint="eastAsia"/>
        </w:rPr>
        <w:t>二、规划目标</w:t>
      </w:r>
    </w:p>
    <w:p>
      <w:pPr>
        <w:ind w:firstLine="480"/>
      </w:pPr>
      <w:r>
        <w:rPr>
          <w:rFonts w:hint="eastAsia"/>
        </w:rPr>
        <w:t>满足防洪需要前提下，保护河流、库塘岸线的自然形态，形成具有生态连通性的过渡带，保护生态系统结构的完整性。通过近自然方式，最大程度地减少硬质护岸的比例，恢复河流、库塘的自然岸线，发挥其多种生态系统服务功能。</w:t>
      </w:r>
    </w:p>
    <w:p>
      <w:pPr>
        <w:pStyle w:val="4"/>
      </w:pPr>
      <w:r>
        <w:rPr>
          <w:rFonts w:hint="eastAsia"/>
        </w:rPr>
        <w:t>三、保护措施</w:t>
      </w:r>
    </w:p>
    <w:p>
      <w:pPr>
        <w:ind w:firstLine="480"/>
      </w:pPr>
      <w:r>
        <w:rPr>
          <w:rFonts w:hint="eastAsia"/>
        </w:rPr>
        <w:t>玛纳斯国家湿地公园内的护岸包括河流、水库以及沟渠岸，在水系转弯等易冲刷的地段结合生态格网护岸外，湿地中其他护岸建议采用自然或近自然形式。</w:t>
      </w:r>
    </w:p>
    <w:p>
      <w:pPr>
        <w:ind w:firstLine="480"/>
      </w:pPr>
      <w:r>
        <w:rPr>
          <w:rFonts w:hint="eastAsia"/>
        </w:rPr>
        <w:t>夹河子水库南侧、新户坪水库南侧水岸保持现状，减少人工干预，利用湿地植物自身的繁殖和生长来固岸护坡，形成自然岸线。</w:t>
      </w:r>
    </w:p>
    <w:p>
      <w:pPr>
        <w:ind w:firstLine="480"/>
      </w:pPr>
      <w:r>
        <w:rPr>
          <w:rFonts w:hint="eastAsia"/>
        </w:rPr>
        <w:t>玛纳斯河、塔西河水岸，不做硬质护岸，保留河流的自然形态，不裁弯取直，恢复自然植被。对于河流冲击大，固岸较难的节点，可以采取木桩、水泥桩等形式加强牢固性。</w:t>
      </w:r>
    </w:p>
    <w:p>
      <w:pPr>
        <w:ind w:firstLine="480"/>
      </w:pPr>
      <w:r>
        <w:rPr>
          <w:rFonts w:hint="eastAsia"/>
        </w:rPr>
        <w:t>小海子村附近部分重点保护和游船码头岸线，可保留原来的岸线结构或采用生态格网结构。河岸改为平缓斜坡，河岸的植被隔离带应在 30 m以上 。</w:t>
      </w:r>
    </w:p>
    <w:p>
      <w:pPr>
        <w:ind w:firstLine="480"/>
      </w:pPr>
      <w:r>
        <w:t>河流型湿地水岸保护与修复以《中华人民共和国防洪法》为指导，对现有的河岸带进行严格保护，以保证防洪需要。在此基础上，对局部遭受破坏的河岸带进行修复，采取生物措施与工程措施相结合的方式，在保证防洪安全的前提下，营造良好的河流水岸生态系统。根据</w:t>
      </w:r>
      <w:r>
        <w:rPr>
          <w:rFonts w:hint="eastAsia"/>
        </w:rPr>
        <w:t>玛纳斯湿地</w:t>
      </w:r>
      <w:r>
        <w:t>公园水岸的实际情况与类型，确定其修复和重建模式为如下2种：</w:t>
      </w:r>
    </w:p>
    <w:p>
      <w:pPr>
        <w:pStyle w:val="5"/>
      </w:pPr>
      <w:r>
        <w:t>（一）</w:t>
      </w:r>
      <w:bookmarkStart w:id="38" w:name="OLE_LINK1"/>
      <w:r>
        <w:t>自然原型驳岸河流型水岸</w:t>
      </w:r>
      <w:bookmarkEnd w:id="38"/>
    </w:p>
    <w:p>
      <w:pPr>
        <w:ind w:firstLine="480"/>
      </w:pPr>
      <w:r>
        <w:t>该类河流型水岸主要适用于坡度较缓且对防洪要求不高的河段，主要通过营造近自然状态下的植被群落来保护河岸，以保持河流的自然堤岸特性，通过植被发达的根系来固稳堤岸。该类河流型水岸主要有调节洪水、过滤污染物、控制氮、磷、控制养分流失、截获农田土壤流失以及保护生物多样性的多种生态功能。</w:t>
      </w:r>
    </w:p>
    <w:p>
      <w:pPr>
        <w:ind w:firstLine="480"/>
      </w:pPr>
      <w:r>
        <w:t>自然原型驳岸河流型水岸建设模式为：从河流水面→沉水植被→挺水植被→湿生植物→灌草地→乔木林带。</w:t>
      </w:r>
    </w:p>
    <w:p>
      <w:pPr>
        <w:ind w:firstLine="480"/>
      </w:pPr>
      <w:r>
        <w:t>建设要点：主要考虑生态功能的发挥和原生态景观的营造。</w:t>
      </w:r>
    </w:p>
    <w:p>
      <w:pPr>
        <w:ind w:firstLine="480"/>
      </w:pPr>
      <w:r>
        <w:rPr>
          <w:rFonts w:hint="eastAsia"/>
        </w:rPr>
        <w:t>规划</w:t>
      </w:r>
      <w:r>
        <w:t>在生态保育区周边有</w:t>
      </w:r>
      <w:r>
        <w:rPr>
          <w:rFonts w:hint="eastAsia"/>
        </w:rPr>
        <w:t>基本</w:t>
      </w:r>
      <w:r>
        <w:t>农田</w:t>
      </w:r>
      <w:r>
        <w:rPr>
          <w:rFonts w:hint="eastAsia"/>
        </w:rPr>
        <w:t>保护区</w:t>
      </w:r>
      <w:r>
        <w:t>的地区实施，尽量保持地形的自然状态，实施规模为18 km。</w:t>
      </w:r>
    </w:p>
    <w:p>
      <w:pPr>
        <w:pStyle w:val="5"/>
      </w:pPr>
      <w:r>
        <w:t>（二）</w:t>
      </w:r>
      <w:bookmarkStart w:id="39" w:name="OLE_LINK2"/>
      <w:r>
        <w:t>自然型驳岸河流型水岸</w:t>
      </w:r>
      <w:bookmarkEnd w:id="39"/>
    </w:p>
    <w:p>
      <w:pPr>
        <w:ind w:firstLine="480"/>
      </w:pPr>
      <w:r>
        <w:t>在有一定坡度和冲蚀较严重且对防洪要求较高的区域，在自然原型河岸的基础上，采取一定的生态型人工措施以增强防洪能力。主要包括按驳岸原有生态位的植被模式进行补充和重植，并采用天然石材、木材护底，如在坡脚采用石笼、木桩或浆砌石块，设有鱼巢等护底，以增强堤岸抗洪能力，其上筑有一定坡度的土堤，斜坡种植植被，实行乔灌草相结合，固堤护岸，然后种植乔木以及草、灌、乔结合林带。以发挥其调节洪水、过滤污染物、控制氮、磷、控制养分流失、截获农田土壤流失以及保护生物多样性的多种生态功能。</w:t>
      </w:r>
    </w:p>
    <w:p>
      <w:pPr>
        <w:ind w:firstLine="480"/>
      </w:pPr>
      <w:r>
        <w:t>自然型驳岸河流型水岸建设模式为：河流水面→石头或树桩护堤（石笼、树桩、浆砌石块）→灌草地→乔木林带。</w:t>
      </w:r>
    </w:p>
    <w:p>
      <w:pPr>
        <w:ind w:firstLine="480"/>
      </w:pPr>
      <w:r>
        <w:t>建设要点：在考虑防洪同时，主要考虑生态功能的发挥，同时兼顾景观效果的营造。</w:t>
      </w:r>
    </w:p>
    <w:p>
      <w:pPr>
        <w:ind w:firstLine="480"/>
      </w:pPr>
      <w:r>
        <w:rPr>
          <w:rFonts w:hint="eastAsia"/>
        </w:rPr>
        <w:t>规划</w:t>
      </w:r>
      <w:r>
        <w:t>在生态</w:t>
      </w:r>
      <w:r>
        <w:rPr>
          <w:rFonts w:hint="eastAsia"/>
        </w:rPr>
        <w:t>恢复区</w:t>
      </w:r>
      <w:r>
        <w:t>由于河道冲刷等原因，威胁到现有道路等基础设施安全的</w:t>
      </w:r>
      <w:r>
        <w:rPr>
          <w:rFonts w:hint="eastAsia"/>
        </w:rPr>
        <w:t>区域</w:t>
      </w:r>
      <w:r>
        <w:t>实施，实施规模为28 km。</w:t>
      </w:r>
    </w:p>
    <w:p>
      <w:pPr>
        <w:pStyle w:val="4"/>
        <w:spacing w:before="156" w:beforeLines="50" w:after="156" w:afterLines="50" w:line="360" w:lineRule="auto"/>
        <w:ind w:left="210" w:right="210"/>
      </w:pPr>
      <w:r>
        <w:t>四、水岸林带建设</w:t>
      </w:r>
    </w:p>
    <w:p>
      <w:pPr>
        <w:ind w:firstLine="480"/>
      </w:pPr>
      <w:r>
        <w:rPr>
          <w:rFonts w:hint="eastAsia"/>
        </w:rPr>
        <w:t>玛纳斯湿地公园周边林木覆盖率低，且层次单一，林相不整齐，季相单调，观赏效果差，不能满足湿地生物多样性和生态旅游发展的需要。</w:t>
      </w:r>
    </w:p>
    <w:p>
      <w:pPr>
        <w:ind w:firstLine="480"/>
      </w:pPr>
      <w:r>
        <w:t>在</w:t>
      </w:r>
      <w:r>
        <w:rPr>
          <w:rFonts w:hint="eastAsia"/>
        </w:rPr>
        <w:t>规划区水岸</w:t>
      </w:r>
      <w:r>
        <w:t>的开敞地带进行护岸林带建设，</w:t>
      </w:r>
      <w:r>
        <w:rPr>
          <w:rFonts w:hint="eastAsia"/>
        </w:rPr>
        <w:t>立足现状，改造现有林分，尽量选用乡土树种，调整结构，促进生物多样性，确保森林生态系统的良性发展。</w:t>
      </w:r>
      <w:r>
        <w:t>一方面用于水土保持，保护道路和水岸的稳定性，另一方面可以作为</w:t>
      </w:r>
      <w:r>
        <w:rPr>
          <w:rFonts w:hint="eastAsia"/>
        </w:rPr>
        <w:t>生态</w:t>
      </w:r>
      <w:r>
        <w:t>缓冲带</w:t>
      </w:r>
      <w:r>
        <w:rPr>
          <w:rFonts w:hint="eastAsia"/>
        </w:rPr>
        <w:t>，消减人类活动的影响</w:t>
      </w:r>
      <w:r>
        <w:t>。</w:t>
      </w:r>
    </w:p>
    <w:p>
      <w:pPr>
        <w:ind w:firstLine="480"/>
      </w:pPr>
      <w:r>
        <w:t>规划</w:t>
      </w:r>
      <w:r>
        <w:rPr>
          <w:rFonts w:hint="eastAsia"/>
        </w:rPr>
        <w:t>水岸林带</w:t>
      </w:r>
      <w:r>
        <w:t>面积60 hm</w:t>
      </w:r>
      <w:r>
        <w:rPr>
          <w:vertAlign w:val="superscript"/>
        </w:rPr>
        <w:t>2</w:t>
      </w:r>
      <w:r>
        <w:t>。</w:t>
      </w:r>
    </w:p>
    <w:p>
      <w:pPr>
        <w:pStyle w:val="3"/>
        <w:ind w:firstLine="643"/>
      </w:pPr>
      <w:bookmarkStart w:id="40" w:name="_Toc130121660"/>
      <w:r>
        <w:rPr>
          <w:rFonts w:hint="eastAsia"/>
        </w:rPr>
        <w:t>第七节</w:t>
      </w:r>
      <w:r>
        <w:t xml:space="preserve">  </w:t>
      </w:r>
      <w:r>
        <w:rPr>
          <w:rFonts w:hint="eastAsia"/>
        </w:rPr>
        <w:t>生境（栖息地）保护与恢复</w:t>
      </w:r>
      <w:bookmarkEnd w:id="40"/>
    </w:p>
    <w:p>
      <w:pPr>
        <w:ind w:firstLine="480"/>
      </w:pPr>
      <w:r>
        <w:rPr>
          <w:rFonts w:hint="eastAsia"/>
        </w:rPr>
        <w:t>生物多样性是衡量生态环境保护效果的重要内容。尊重生物群落自然演替规律，保护野生动植物资源及其栖息地，消减人为干扰，维持现状湿地良好的生态条件，加强湿地资源的监测和管理。</w:t>
      </w:r>
    </w:p>
    <w:p>
      <w:pPr>
        <w:pStyle w:val="4"/>
      </w:pPr>
      <w:r>
        <w:rPr>
          <w:rFonts w:hint="eastAsia"/>
        </w:rPr>
        <w:t>一、植物保护</w:t>
      </w:r>
    </w:p>
    <w:p>
      <w:pPr>
        <w:pStyle w:val="5"/>
      </w:pPr>
      <w:r>
        <w:rPr>
          <w:rFonts w:hint="eastAsia"/>
        </w:rPr>
        <w:t>（一）种质资源保护</w:t>
      </w:r>
    </w:p>
    <w:p>
      <w:pPr>
        <w:pStyle w:val="6"/>
        <w:ind w:firstLine="482"/>
      </w:pPr>
      <w:r>
        <w:rPr>
          <w:rFonts w:hint="eastAsia"/>
        </w:rPr>
        <w:t>1.</w:t>
      </w:r>
      <w:r>
        <w:t xml:space="preserve"> </w:t>
      </w:r>
      <w:r>
        <w:rPr>
          <w:rFonts w:hint="eastAsia"/>
        </w:rPr>
        <w:t>柽柳种质资源库</w:t>
      </w:r>
    </w:p>
    <w:p>
      <w:pPr>
        <w:ind w:firstLine="480"/>
      </w:pPr>
      <w:r>
        <w:rPr>
          <w:rFonts w:hint="eastAsia"/>
        </w:rPr>
        <w:t>湿地公园内有柽柳属的多个种，在资源深入调查的基础上，保护好现有的资源，依托建设成为北疆柽柳种质资源库，为湿地科学研究和天山北坡生态环境保护和生态恢复工程提供优良的种质资源储备。</w:t>
      </w:r>
    </w:p>
    <w:p>
      <w:pPr>
        <w:ind w:firstLine="480"/>
      </w:pPr>
      <w:r>
        <w:rPr>
          <w:rFonts w:hint="eastAsia"/>
        </w:rPr>
        <w:t>依托规划区柽柳资源，建设北疆柽柳种质资源库项目1个，面积1</w:t>
      </w:r>
      <w:r>
        <w:t>80 hm</w:t>
      </w:r>
      <w:r>
        <w:rPr>
          <w:vertAlign w:val="superscript"/>
        </w:rPr>
        <w:t>2</w:t>
      </w:r>
      <w:r>
        <w:rPr>
          <w:rFonts w:hint="eastAsia"/>
        </w:rPr>
        <w:t>。</w:t>
      </w:r>
    </w:p>
    <w:p>
      <w:pPr>
        <w:pStyle w:val="6"/>
        <w:ind w:firstLine="482"/>
      </w:pPr>
      <w:r>
        <w:rPr>
          <w:rFonts w:hint="eastAsia"/>
        </w:rPr>
        <w:t>2.</w:t>
      </w:r>
      <w:r>
        <w:t xml:space="preserve"> </w:t>
      </w:r>
      <w:r>
        <w:rPr>
          <w:rFonts w:hint="eastAsia"/>
        </w:rPr>
        <w:t>湿地植物园</w:t>
      </w:r>
    </w:p>
    <w:p>
      <w:pPr>
        <w:ind w:firstLine="480"/>
      </w:pPr>
      <w:r>
        <w:rPr>
          <w:rFonts w:hint="eastAsia"/>
        </w:rPr>
        <w:t>在现有植物园夹河子水库南岸退耕还湿区，结合植被恢复，恢复原生植被。植物园片区是由玛纳斯县城西线进入湿地公园的重要节点，规划在入口处设置服务中心和停车场、旅游车换乘服务点等设施。结合现状湿地资源和河流水系规划，进一步丰富湿地植被景观资源，形成湿地植物科普教育和生态观光区。</w:t>
      </w:r>
    </w:p>
    <w:p>
      <w:pPr>
        <w:ind w:firstLine="480"/>
      </w:pPr>
      <w:r>
        <w:rPr>
          <w:rFonts w:hint="eastAsia"/>
        </w:rPr>
        <w:t>结合退耕还湿工程，在植物园区续建工程，面积4</w:t>
      </w:r>
      <w:r>
        <w:t>0 hm</w:t>
      </w:r>
      <w:r>
        <w:rPr>
          <w:vertAlign w:val="superscript"/>
        </w:rPr>
        <w:t>2</w:t>
      </w:r>
      <w:r>
        <w:rPr>
          <w:rFonts w:hint="eastAsia"/>
        </w:rPr>
        <w:t>。</w:t>
      </w:r>
    </w:p>
    <w:p>
      <w:pPr>
        <w:pStyle w:val="6"/>
        <w:ind w:firstLine="482"/>
      </w:pPr>
      <w:r>
        <w:rPr>
          <w:rFonts w:hint="eastAsia"/>
        </w:rPr>
        <w:t>3.</w:t>
      </w:r>
      <w:r>
        <w:t xml:space="preserve"> </w:t>
      </w:r>
      <w:r>
        <w:rPr>
          <w:rFonts w:hint="eastAsia"/>
        </w:rPr>
        <w:t>其他湿地植物资源保护</w:t>
      </w:r>
    </w:p>
    <w:p>
      <w:pPr>
        <w:ind w:firstLine="480"/>
      </w:pPr>
      <w:r>
        <w:rPr>
          <w:rFonts w:hint="eastAsia"/>
        </w:rPr>
        <w:t>随着湿地环境的改善，很多湿地植被生境得到重建，植物多样性得到了进一步的提升，不乏一些珍贵的植物种质资源出现，奠定了生物多样性维持的基础。在湿地植被调查基础上，划分湿地植被保护小区进行整体保护。</w:t>
      </w:r>
    </w:p>
    <w:p>
      <w:pPr>
        <w:ind w:firstLine="480"/>
      </w:pPr>
      <w:r>
        <w:rPr>
          <w:rFonts w:hint="eastAsia"/>
        </w:rPr>
        <w:t>规划湿地植物资源保护小区5处，面积2</w:t>
      </w:r>
      <w:r>
        <w:t>0 hm</w:t>
      </w:r>
      <w:r>
        <w:rPr>
          <w:vertAlign w:val="superscript"/>
        </w:rPr>
        <w:t>2</w:t>
      </w:r>
      <w:r>
        <w:rPr>
          <w:rFonts w:hint="eastAsia"/>
        </w:rPr>
        <w:t>。</w:t>
      </w:r>
    </w:p>
    <w:p>
      <w:pPr>
        <w:pStyle w:val="4"/>
      </w:pPr>
      <w:r>
        <w:rPr>
          <w:rFonts w:hint="eastAsia"/>
        </w:rPr>
        <w:t>二、栖息地保护与生境改善</w:t>
      </w:r>
    </w:p>
    <w:p>
      <w:pPr>
        <w:pStyle w:val="5"/>
      </w:pPr>
      <w:r>
        <w:rPr>
          <w:rFonts w:hint="eastAsia"/>
        </w:rPr>
        <w:t>（一）退耕还湿</w:t>
      </w:r>
    </w:p>
    <w:p>
      <w:pPr>
        <w:ind w:firstLine="480"/>
      </w:pPr>
      <w:r>
        <w:rPr>
          <w:rFonts w:hint="eastAsia"/>
        </w:rPr>
        <w:t>在玛纳斯河、塔西河河流故道和夹河子水库、新户坪水库的上游区域开展退耕还湿1</w:t>
      </w:r>
      <w:r>
        <w:t xml:space="preserve">50 </w:t>
      </w:r>
      <w:r>
        <w:rPr>
          <w:rFonts w:hint="eastAsia"/>
        </w:rPr>
        <w:t>hm</w:t>
      </w:r>
      <w:r>
        <w:rPr>
          <w:vertAlign w:val="superscript"/>
        </w:rPr>
        <w:t>2</w:t>
      </w:r>
      <w:r>
        <w:rPr>
          <w:rFonts w:hint="eastAsia"/>
        </w:rPr>
        <w:t>，增加湿地面积。</w:t>
      </w:r>
    </w:p>
    <w:p>
      <w:pPr>
        <w:pStyle w:val="5"/>
      </w:pPr>
      <w:r>
        <w:rPr>
          <w:rFonts w:hint="eastAsia"/>
        </w:rPr>
        <w:t>（二）鸟类栖息地</w:t>
      </w:r>
    </w:p>
    <w:p>
      <w:pPr>
        <w:ind w:firstLine="480"/>
      </w:pPr>
      <w:r>
        <w:rPr>
          <w:rFonts w:hint="eastAsia"/>
        </w:rPr>
        <w:t>湿地公园地处重要的迁徙路线，近年来鸟类明显增多，尤其高等级保护鸟类的数量增加，是生态保护成果的直接表现。在生态保育区中划分鸟类栖息地保护小区，在繁殖、栖息的不同季节进行针对性保护，增加食源性植被的数量。</w:t>
      </w:r>
    </w:p>
    <w:p>
      <w:pPr>
        <w:ind w:firstLine="480"/>
      </w:pPr>
      <w:r>
        <w:rPr>
          <w:rFonts w:hint="eastAsia"/>
        </w:rPr>
        <w:t>在调查基础上，建设鸟类栖息地保护与恢复工程1项，面积</w:t>
      </w:r>
      <w:r>
        <w:t>120 hm</w:t>
      </w:r>
      <w:r>
        <w:rPr>
          <w:vertAlign w:val="superscript"/>
        </w:rPr>
        <w:t>2</w:t>
      </w:r>
      <w:r>
        <w:rPr>
          <w:rFonts w:hint="eastAsia"/>
        </w:rPr>
        <w:t>。</w:t>
      </w:r>
    </w:p>
    <w:p>
      <w:pPr>
        <w:pStyle w:val="5"/>
      </w:pPr>
      <w:r>
        <w:rPr>
          <w:rFonts w:hint="eastAsia"/>
        </w:rPr>
        <w:t>（三）两栖、爬行类栖息地</w:t>
      </w:r>
    </w:p>
    <w:p>
      <w:pPr>
        <w:ind w:firstLine="480"/>
      </w:pPr>
      <w:r>
        <w:rPr>
          <w:rFonts w:hint="eastAsia"/>
        </w:rPr>
        <w:t>湿地公园内有两栖类 3 种，均为国家“三有”保护物种；爬行类8种，其中7种为国家三级保护物种。结合栖息地调查，划定栖息地保护小区进行针对性保护，维护生态平衡。</w:t>
      </w:r>
    </w:p>
    <w:p>
      <w:pPr>
        <w:ind w:firstLine="480"/>
      </w:pPr>
      <w:r>
        <w:rPr>
          <w:rFonts w:hint="eastAsia"/>
        </w:rPr>
        <w:t>划定两栖、爬行类保护小区1</w:t>
      </w:r>
      <w:r>
        <w:t>0</w:t>
      </w:r>
      <w:r>
        <w:rPr>
          <w:rFonts w:hint="eastAsia"/>
        </w:rPr>
        <w:t>处，每个面积不低于2</w:t>
      </w:r>
      <w:r>
        <w:t xml:space="preserve"> hm</w:t>
      </w:r>
      <w:r>
        <w:rPr>
          <w:vertAlign w:val="superscript"/>
        </w:rPr>
        <w:t>2</w:t>
      </w:r>
      <w:r>
        <w:rPr>
          <w:rFonts w:hint="eastAsia"/>
        </w:rPr>
        <w:t>。</w:t>
      </w:r>
    </w:p>
    <w:p>
      <w:pPr>
        <w:pStyle w:val="5"/>
      </w:pPr>
      <w:r>
        <w:rPr>
          <w:rFonts w:hint="eastAsia"/>
        </w:rPr>
        <w:t>（四）鱼类栖息地</w:t>
      </w:r>
    </w:p>
    <w:p>
      <w:pPr>
        <w:ind w:firstLine="480"/>
      </w:pPr>
      <w:r>
        <w:rPr>
          <w:rFonts w:hint="eastAsia"/>
        </w:rPr>
        <w:t>玛纳斯湿地记录鱼类22 种，除了10 种土著鱼类外，外来引进或入侵物种占54.5%。开展鱼类增殖放流，为迁徙鸟类提供食物源，提升鱼类多样性。</w:t>
      </w:r>
    </w:p>
    <w:p>
      <w:pPr>
        <w:ind w:firstLine="480"/>
      </w:pPr>
      <w:r>
        <w:rPr>
          <w:rFonts w:hint="eastAsia"/>
        </w:rPr>
        <w:t>规划开展鱼类增殖放流工程1项，自然区域以土著鱼类为主，避免生物入侵。</w:t>
      </w:r>
    </w:p>
    <w:p>
      <w:pPr>
        <w:pStyle w:val="4"/>
      </w:pPr>
      <w:r>
        <w:rPr>
          <w:rFonts w:hint="eastAsia"/>
        </w:rPr>
        <w:t>三、栖息地恢复</w:t>
      </w:r>
    </w:p>
    <w:p>
      <w:pPr>
        <w:ind w:firstLine="480"/>
      </w:pPr>
      <w:r>
        <w:rPr>
          <w:rFonts w:hint="eastAsia"/>
        </w:rPr>
        <w:t>结合水位控制，开展夹河子水库南侧地形修复及鸟类生境营造工程，在夹河子水库库尾地段，通过地形改造创造适合鸟类栖息、鱼类越冬的深水区（&gt;1m），以及由深水向浅水(0.3-1.0m)、浅滩(0-0.3m)、岛屿过渡的不同微地貌结构，以适应不同湿地植被的生长和各种水鸟的栖息繁殖，通过堤坝修建实现场地蓄水，通过沟渠实现水系贯通，恢复和改善湿地生态状况。</w:t>
      </w:r>
    </w:p>
    <w:p>
      <w:pPr>
        <w:ind w:firstLine="480"/>
      </w:pPr>
    </w:p>
    <w:p>
      <w:pPr>
        <w:pStyle w:val="3"/>
        <w:ind w:firstLine="643"/>
      </w:pPr>
      <w:bookmarkStart w:id="41" w:name="_Toc130121661"/>
      <w:r>
        <w:rPr>
          <w:rFonts w:hint="eastAsia"/>
        </w:rPr>
        <w:t xml:space="preserve">第八节 </w:t>
      </w:r>
      <w:r>
        <w:t xml:space="preserve"> </w:t>
      </w:r>
      <w:r>
        <w:rPr>
          <w:rFonts w:hint="eastAsia"/>
        </w:rPr>
        <w:t>保护管理能力规划</w:t>
      </w:r>
      <w:bookmarkEnd w:id="41"/>
    </w:p>
    <w:p>
      <w:pPr>
        <w:pStyle w:val="4"/>
      </w:pPr>
      <w:r>
        <w:rPr>
          <w:rFonts w:hint="eastAsia"/>
        </w:rPr>
        <w:t>一、保护管理站点</w:t>
      </w:r>
    </w:p>
    <w:p>
      <w:pPr>
        <w:ind w:firstLine="480"/>
      </w:pPr>
      <w:r>
        <w:rPr>
          <w:rFonts w:hint="eastAsia"/>
        </w:rPr>
        <w:t>根据玛纳斯国家湿地公园特点和管理目标的需要，管理站、点建设与科研、监测点结合进行。规划建设综合保护管理站点5个，每个保护点建筑面积100m</w:t>
      </w:r>
      <w:r>
        <w:rPr>
          <w:rFonts w:hint="eastAsia"/>
          <w:vertAlign w:val="superscript"/>
        </w:rPr>
        <w:t>2</w:t>
      </w:r>
      <w:r>
        <w:rPr>
          <w:rFonts w:hint="eastAsia"/>
        </w:rPr>
        <w:t>。配备相应的管护设备、生活设施、蓄水、污水处理、消防安全设施。</w:t>
      </w:r>
    </w:p>
    <w:p>
      <w:pPr>
        <w:pStyle w:val="4"/>
      </w:pPr>
      <w:r>
        <w:rPr>
          <w:rFonts w:hint="eastAsia"/>
        </w:rPr>
        <w:t>二、保护管理设施</w:t>
      </w:r>
    </w:p>
    <w:p>
      <w:pPr>
        <w:pStyle w:val="5"/>
      </w:pPr>
      <w:r>
        <w:rPr>
          <w:rFonts w:hint="eastAsia"/>
        </w:rPr>
        <w:t>（一）界碑、界桩、标识牌</w:t>
      </w:r>
    </w:p>
    <w:p>
      <w:pPr>
        <w:ind w:firstLine="480"/>
      </w:pPr>
      <w:r>
        <w:rPr>
          <w:rFonts w:hint="eastAsia"/>
        </w:rPr>
        <w:t>根据每个片区的自然地理条件、交通条件、周边建设情况，在新的公园范围确定以后，开展勘界立标工作，拟通过界碑、界桩、标志牌形式界定公园边界，提醒和警示周边群众，减少人为因素对湿地公园的干扰。在保育区范围人们易入的地段，采用禁封保护策略，设置生态围栏。</w:t>
      </w:r>
    </w:p>
    <w:p>
      <w:pPr>
        <w:ind w:firstLine="480"/>
      </w:pPr>
      <w:r>
        <w:rPr>
          <w:rFonts w:hint="eastAsia"/>
        </w:rPr>
        <w:t>规划界碑</w:t>
      </w:r>
      <w:r>
        <w:t>50</w:t>
      </w:r>
      <w:r>
        <w:rPr>
          <w:rFonts w:hint="eastAsia"/>
        </w:rPr>
        <w:t>个，界桩</w:t>
      </w:r>
      <w:r>
        <w:t>300</w:t>
      </w:r>
      <w:r>
        <w:rPr>
          <w:rFonts w:hint="eastAsia"/>
        </w:rPr>
        <w:t>个，标识牌2</w:t>
      </w:r>
      <w:r>
        <w:t>0</w:t>
      </w:r>
      <w:r>
        <w:rPr>
          <w:rFonts w:hint="eastAsia"/>
        </w:rPr>
        <w:t>块，围栏围网2</w:t>
      </w:r>
      <w:r>
        <w:t>0</w:t>
      </w:r>
      <w:r>
        <w:rPr>
          <w:rFonts w:hint="eastAsia"/>
        </w:rPr>
        <w:t>km。</w:t>
      </w:r>
    </w:p>
    <w:p>
      <w:pPr>
        <w:pStyle w:val="5"/>
      </w:pPr>
      <w:r>
        <w:rPr>
          <w:rFonts w:hint="eastAsia"/>
        </w:rPr>
        <w:t>（二）交通工具</w:t>
      </w:r>
    </w:p>
    <w:p>
      <w:pPr>
        <w:ind w:firstLine="480"/>
      </w:pPr>
      <w:r>
        <w:rPr>
          <w:rFonts w:hint="eastAsia"/>
        </w:rPr>
        <w:t>管理局购置越野巡护车2辆，用于防火指挥和巡护；购置巡护船2艘，以巡护湿地公园水域；购置摩托车</w:t>
      </w:r>
      <w:r>
        <w:t>5</w:t>
      </w:r>
      <w:r>
        <w:rPr>
          <w:rFonts w:hint="eastAsia"/>
        </w:rPr>
        <w:t>辆用于保护点的日常巡护。</w:t>
      </w:r>
    </w:p>
    <w:p>
      <w:pPr>
        <w:pStyle w:val="5"/>
      </w:pPr>
      <w:r>
        <w:rPr>
          <w:rFonts w:hint="eastAsia"/>
        </w:rPr>
        <w:t>（三）保护管理设备</w:t>
      </w:r>
    </w:p>
    <w:p>
      <w:pPr>
        <w:ind w:firstLine="480"/>
      </w:pPr>
      <w:r>
        <w:rPr>
          <w:rFonts w:hint="eastAsia"/>
        </w:rPr>
        <w:t>结合保护管理站点建设，建设瞭望台</w:t>
      </w:r>
      <w:r>
        <w:t>5</w:t>
      </w:r>
      <w:r>
        <w:rPr>
          <w:rFonts w:hint="eastAsia"/>
        </w:rPr>
        <w:t>处，用于巡视和观测管理区及周边的火情、突发事件等。保护管理站点配备扑火设备5套。日常巡护设备包括GPS、望远镜、PDA地形图、对讲机等。</w:t>
      </w:r>
    </w:p>
    <w:p>
      <w:pPr>
        <w:pStyle w:val="4"/>
      </w:pPr>
      <w:r>
        <w:rPr>
          <w:rFonts w:hint="eastAsia"/>
        </w:rPr>
        <w:t>三、保护管理人员能力提升</w:t>
      </w:r>
    </w:p>
    <w:p>
      <w:pPr>
        <w:ind w:firstLine="480"/>
      </w:pPr>
      <w:r>
        <w:rPr>
          <w:rFonts w:hint="eastAsia"/>
        </w:rPr>
        <w:t>湿地公园管理局，全面负责国家湿地公园的保护管理工作，保护管理人员需了解并熟悉湿地公园管理条例，具备一定的湿地相关专业知识，能有效开展湿地公园的保护与管理工作。加强与有关科研单位的技术合作和交流，做到技术和信息上时时紧跟最新发展动态，业务和服务上处处紧贴当地湿地保护的实际需求。</w:t>
      </w:r>
    </w:p>
    <w:p>
      <w:pPr>
        <w:ind w:firstLine="480"/>
      </w:pPr>
      <w:r>
        <w:rPr>
          <w:rFonts w:hint="eastAsia"/>
        </w:rPr>
        <w:t>落实《新疆玛纳斯国家湿地公园保护条例》，完善和实施责任制，强化目标考核机制。加强执法人员业务培训，及时发现并制止湿地内的破坏活动。</w:t>
      </w:r>
    </w:p>
    <w:p>
      <w:pPr>
        <w:pStyle w:val="4"/>
      </w:pPr>
      <w:r>
        <w:rPr>
          <w:rFonts w:hint="eastAsia"/>
        </w:rPr>
        <w:t>四、信息化管护能力提升</w:t>
      </w:r>
    </w:p>
    <w:p>
      <w:pPr>
        <w:ind w:firstLine="480"/>
      </w:pPr>
      <w:r>
        <w:rPr>
          <w:rFonts w:hint="eastAsia"/>
        </w:rPr>
        <w:t>建立以计算机技术、地理信息系统技术和网络技术手段的资源管理系统，通过物联网技术，实现信息资源共享和信息服务社会化的实时化管理，为保护管理、科研监测、宣传教育等提供有效服务。</w:t>
      </w:r>
    </w:p>
    <w:p>
      <w:pPr>
        <w:ind w:firstLine="480"/>
        <w:rPr>
          <w:rFonts w:eastAsia="黑体"/>
          <w:b/>
          <w:bCs/>
          <w:kern w:val="44"/>
          <w:sz w:val="36"/>
          <w:szCs w:val="44"/>
        </w:rPr>
      </w:pPr>
      <w:r>
        <w:rPr>
          <w:rFonts w:hint="eastAsia"/>
        </w:rPr>
        <w:t>规划信息化建设提升工程1项。</w:t>
      </w:r>
      <w:r>
        <w:br w:type="page"/>
      </w:r>
    </w:p>
    <w:p>
      <w:pPr>
        <w:pStyle w:val="2"/>
        <w:ind w:firstLine="723"/>
      </w:pPr>
      <w:bookmarkStart w:id="42" w:name="_Toc130121662"/>
      <w:r>
        <w:rPr>
          <w:rFonts w:hint="eastAsia"/>
        </w:rPr>
        <w:t>第七章</w:t>
      </w:r>
      <w:r>
        <w:t xml:space="preserve">  </w:t>
      </w:r>
      <w:r>
        <w:rPr>
          <w:rFonts w:hint="eastAsia"/>
        </w:rPr>
        <w:t>科研监测规划</w:t>
      </w:r>
      <w:bookmarkEnd w:id="42"/>
    </w:p>
    <w:p>
      <w:pPr>
        <w:pStyle w:val="3"/>
        <w:ind w:firstLine="643"/>
      </w:pPr>
      <w:bookmarkStart w:id="43" w:name="_Toc130121663"/>
      <w:r>
        <w:rPr>
          <w:rFonts w:hint="eastAsia"/>
        </w:rPr>
        <w:t>第一节</w:t>
      </w:r>
      <w:r>
        <w:t xml:space="preserve">  </w:t>
      </w:r>
      <w:r>
        <w:rPr>
          <w:rFonts w:hint="eastAsia"/>
        </w:rPr>
        <w:t>科研规划</w:t>
      </w:r>
      <w:bookmarkEnd w:id="43"/>
    </w:p>
    <w:p>
      <w:pPr>
        <w:pStyle w:val="4"/>
      </w:pPr>
      <w:r>
        <w:rPr>
          <w:rFonts w:hint="eastAsia"/>
        </w:rPr>
        <w:t>一</w:t>
      </w:r>
      <w:r>
        <w:t>、湿地科研项目设置</w:t>
      </w:r>
    </w:p>
    <w:p>
      <w:pPr>
        <w:ind w:firstLine="480"/>
        <w:rPr>
          <w:rFonts w:ascii="宋体" w:hAnsi="宋体"/>
        </w:rPr>
      </w:pPr>
      <w:r>
        <w:rPr>
          <w:rFonts w:ascii="宋体" w:hAnsi="宋体"/>
        </w:rPr>
        <w:t>依据开展湿地科研的原则，结合</w:t>
      </w:r>
      <w:r>
        <w:rPr>
          <w:rFonts w:hint="eastAsia" w:ascii="宋体" w:hAnsi="宋体"/>
        </w:rPr>
        <w:t>玛纳斯国家湿地公园</w:t>
      </w:r>
      <w:r>
        <w:rPr>
          <w:rFonts w:ascii="宋体" w:hAnsi="宋体"/>
        </w:rPr>
        <w:t>的实际，为了促进湿地公园的可持续发展，在建设期内利用湿地公园的资源</w:t>
      </w:r>
      <w:r>
        <w:rPr>
          <w:rFonts w:hint="eastAsia" w:ascii="宋体" w:hAnsi="宋体"/>
        </w:rPr>
        <w:t>，在玛纳斯湿地资源综合考察，摸清资源本底和动态基础上，</w:t>
      </w:r>
      <w:r>
        <w:rPr>
          <w:rFonts w:ascii="宋体" w:hAnsi="宋体"/>
        </w:rPr>
        <w:t>优先开展湿地生态系统综合监测技术</w:t>
      </w:r>
      <w:r>
        <w:rPr>
          <w:rFonts w:hint="eastAsia" w:ascii="宋体" w:hAnsi="宋体"/>
        </w:rPr>
        <w:t>、</w:t>
      </w:r>
      <w:r>
        <w:rPr>
          <w:rFonts w:ascii="宋体" w:hAnsi="宋体"/>
        </w:rPr>
        <w:t>生物多样性保护</w:t>
      </w:r>
      <w:r>
        <w:rPr>
          <w:rFonts w:hint="eastAsia" w:ascii="宋体" w:hAnsi="宋体"/>
        </w:rPr>
        <w:t>、生境恢复与</w:t>
      </w:r>
      <w:r>
        <w:rPr>
          <w:rFonts w:ascii="宋体" w:hAnsi="宋体"/>
        </w:rPr>
        <w:t>保护</w:t>
      </w:r>
      <w:r>
        <w:rPr>
          <w:rFonts w:hint="eastAsia" w:ascii="宋体" w:hAnsi="宋体"/>
        </w:rPr>
        <w:t>、</w:t>
      </w:r>
      <w:r>
        <w:rPr>
          <w:rFonts w:ascii="宋体" w:hAnsi="宋体"/>
        </w:rPr>
        <w:t>数字化管理技术</w:t>
      </w:r>
      <w:r>
        <w:rPr>
          <w:rFonts w:hint="eastAsia" w:ascii="宋体" w:hAnsi="宋体"/>
        </w:rPr>
        <w:t>、</w:t>
      </w:r>
      <w:r>
        <w:rPr>
          <w:rFonts w:ascii="宋体" w:hAnsi="宋体"/>
        </w:rPr>
        <w:t>湿地文化的保护</w:t>
      </w:r>
      <w:r>
        <w:rPr>
          <w:rFonts w:hint="eastAsia" w:ascii="宋体" w:hAnsi="宋体"/>
        </w:rPr>
        <w:t>的研究。</w:t>
      </w:r>
    </w:p>
    <w:p>
      <w:pPr>
        <w:ind w:firstLine="480"/>
        <w:rPr>
          <w:rFonts w:ascii="宋体" w:hAnsi="宋体"/>
        </w:rPr>
      </w:pPr>
      <w:r>
        <w:rPr>
          <w:rFonts w:ascii="宋体" w:hAnsi="宋体"/>
        </w:rPr>
        <w:t>湿地科研是保障湿地公园建设与发展的重要基础工作，科学技术性强，也是一项长期的系统性工作。考虑到湿地公园现状较为薄弱的科研能力，规划湿地科研课题选择具备雄厚技术力量和设备的</w:t>
      </w:r>
      <w:r>
        <w:rPr>
          <w:rFonts w:hint="eastAsia" w:ascii="宋体" w:hAnsi="宋体"/>
        </w:rPr>
        <w:t>大学与</w:t>
      </w:r>
      <w:r>
        <w:rPr>
          <w:rFonts w:ascii="宋体" w:hAnsi="宋体"/>
        </w:rPr>
        <w:t>科研单位</w:t>
      </w:r>
      <w:r>
        <w:rPr>
          <w:rFonts w:hint="eastAsia" w:ascii="宋体" w:hAnsi="宋体"/>
        </w:rPr>
        <w:t>合作</w:t>
      </w:r>
      <w:r>
        <w:rPr>
          <w:rFonts w:ascii="宋体" w:hAnsi="宋体"/>
        </w:rPr>
        <w:t>，并提倡</w:t>
      </w:r>
      <w:r>
        <w:rPr>
          <w:rFonts w:hint="eastAsia" w:ascii="宋体" w:hAnsi="宋体"/>
        </w:rPr>
        <w:t>搭建科研平台，吸引</w:t>
      </w:r>
      <w:r>
        <w:rPr>
          <w:rFonts w:ascii="宋体" w:hAnsi="宋体"/>
        </w:rPr>
        <w:t>科研院所、多学科团队</w:t>
      </w:r>
      <w:r>
        <w:rPr>
          <w:rFonts w:hint="eastAsia" w:ascii="宋体" w:hAnsi="宋体"/>
        </w:rPr>
        <w:t>开展工作</w:t>
      </w:r>
      <w:r>
        <w:rPr>
          <w:rFonts w:ascii="宋体" w:hAnsi="宋体"/>
        </w:rPr>
        <w:t>，保障湿地科研工作的顺利进行。最终的研究成果由湿地公园和负责承担科研的单位共享。</w:t>
      </w:r>
    </w:p>
    <w:p>
      <w:pPr>
        <w:pStyle w:val="4"/>
        <w:spacing w:before="156" w:beforeLines="50" w:after="156" w:afterLines="50" w:line="360" w:lineRule="auto"/>
        <w:ind w:left="200" w:right="200"/>
      </w:pPr>
      <w:r>
        <w:rPr>
          <w:rFonts w:hint="eastAsia"/>
        </w:rPr>
        <w:t>二</w:t>
      </w:r>
      <w:r>
        <w:t>、国际合作与交流</w:t>
      </w:r>
    </w:p>
    <w:p>
      <w:pPr>
        <w:ind w:firstLine="480"/>
        <w:rPr>
          <w:rFonts w:ascii="宋体" w:hAnsi="宋体"/>
        </w:rPr>
      </w:pPr>
      <w:r>
        <w:rPr>
          <w:rFonts w:ascii="宋体" w:hAnsi="宋体"/>
        </w:rPr>
        <w:t>目前，湿地保护和恢复已成为国际社会关注的热点，为科学建设和管理</w:t>
      </w:r>
      <w:r>
        <w:rPr>
          <w:rFonts w:hint="eastAsia" w:ascii="宋体" w:hAnsi="宋体"/>
        </w:rPr>
        <w:t>玛纳斯国家湿地公园</w:t>
      </w:r>
      <w:r>
        <w:rPr>
          <w:rFonts w:ascii="宋体" w:hAnsi="宋体"/>
        </w:rPr>
        <w:t>，需要进行国际合作</w:t>
      </w:r>
      <w:bookmarkStart w:id="44" w:name="page76"/>
      <w:bookmarkEnd w:id="44"/>
      <w:r>
        <w:rPr>
          <w:rFonts w:ascii="宋体" w:hAnsi="宋体"/>
        </w:rPr>
        <w:t>与交流。其具体措施有：</w:t>
      </w:r>
    </w:p>
    <w:p>
      <w:pPr>
        <w:ind w:firstLine="480"/>
        <w:rPr>
          <w:rFonts w:ascii="宋体" w:hAnsi="宋体"/>
        </w:rPr>
      </w:pPr>
      <w:r>
        <w:rPr>
          <w:rFonts w:hint="eastAsia" w:ascii="宋体" w:hAnsi="宋体"/>
        </w:rPr>
        <w:t>（一）</w:t>
      </w:r>
      <w:r>
        <w:rPr>
          <w:rFonts w:ascii="宋体" w:hAnsi="宋体"/>
        </w:rPr>
        <w:t>认真履行有关湿地保护国际公约，探索新的合作途径和方式，同时加强与国内湿地国际公约履约机构间的合作，积极参与国际合作，开展科学考察；</w:t>
      </w:r>
    </w:p>
    <w:p>
      <w:pPr>
        <w:ind w:firstLine="480"/>
        <w:rPr>
          <w:rFonts w:ascii="宋体" w:hAnsi="宋体"/>
        </w:rPr>
      </w:pPr>
      <w:r>
        <w:rPr>
          <w:rFonts w:hint="eastAsia" w:ascii="宋体" w:hAnsi="宋体"/>
        </w:rPr>
        <w:t>（二）</w:t>
      </w:r>
      <w:r>
        <w:rPr>
          <w:rFonts w:ascii="宋体" w:hAnsi="宋体"/>
        </w:rPr>
        <w:t>积极发展同湿地有关的国际组织和著名湿地保护区间的良好关系，争取发展新的国际合作与交流领域，努力吸收已建湿地公园的先进技术和管理经验；</w:t>
      </w:r>
    </w:p>
    <w:p>
      <w:pPr>
        <w:ind w:firstLine="480"/>
        <w:rPr>
          <w:rFonts w:ascii="宋体" w:hAnsi="宋体"/>
        </w:rPr>
      </w:pPr>
      <w:r>
        <w:rPr>
          <w:rFonts w:ascii="宋体" w:hAnsi="宋体"/>
        </w:rPr>
        <w:t>（三）积极开展与相关非政府组织、学术机构和团体的合作与交流；</w:t>
      </w:r>
    </w:p>
    <w:p>
      <w:pPr>
        <w:ind w:firstLine="480"/>
        <w:rPr>
          <w:rFonts w:ascii="宋体" w:hAnsi="宋体"/>
        </w:rPr>
      </w:pPr>
      <w:r>
        <w:rPr>
          <w:rFonts w:ascii="宋体" w:hAnsi="宋体"/>
        </w:rPr>
        <w:t>（四）积极争取国际援助项目和国际湿地机构的保护、恢复与合理利用项目；</w:t>
      </w:r>
    </w:p>
    <w:p>
      <w:pPr>
        <w:ind w:firstLine="480"/>
        <w:rPr>
          <w:rFonts w:ascii="宋体" w:hAnsi="宋体"/>
        </w:rPr>
      </w:pPr>
      <w:r>
        <w:rPr>
          <w:rFonts w:hint="eastAsia" w:ascii="宋体" w:hAnsi="宋体"/>
        </w:rPr>
        <w:t>（五）</w:t>
      </w:r>
      <w:r>
        <w:rPr>
          <w:rFonts w:ascii="宋体" w:hAnsi="宋体"/>
        </w:rPr>
        <w:t>选派公园管理人员到国内外同类型湿地公园进行培训；</w:t>
      </w:r>
    </w:p>
    <w:p>
      <w:pPr>
        <w:ind w:firstLine="480"/>
        <w:rPr>
          <w:rFonts w:ascii="宋体" w:hAnsi="宋体"/>
        </w:rPr>
      </w:pPr>
      <w:r>
        <w:rPr>
          <w:rFonts w:hint="eastAsia" w:ascii="宋体" w:hAnsi="宋体"/>
        </w:rPr>
        <w:t>（六）</w:t>
      </w:r>
      <w:r>
        <w:rPr>
          <w:rFonts w:ascii="宋体" w:hAnsi="宋体"/>
        </w:rPr>
        <w:t>邀请国内外湿地专家到公园进行短期访问工作，以提升公园的影响。</w:t>
      </w:r>
    </w:p>
    <w:p>
      <w:pPr>
        <w:pStyle w:val="4"/>
      </w:pPr>
      <w:r>
        <w:rPr>
          <w:rFonts w:hint="eastAsia"/>
        </w:rPr>
        <w:t>三、科研中心</w:t>
      </w:r>
    </w:p>
    <w:p>
      <w:pPr>
        <w:ind w:firstLine="480"/>
        <w:rPr>
          <w:rFonts w:ascii="宋体" w:hAnsi="宋体"/>
        </w:rPr>
      </w:pPr>
      <w:r>
        <w:rPr>
          <w:rFonts w:hint="eastAsia" w:ascii="宋体" w:hAnsi="宋体"/>
        </w:rPr>
        <w:t>与科普教育基地结合，建设国家湿地公园科研中心，建筑工程3</w:t>
      </w:r>
      <w:r>
        <w:rPr>
          <w:rFonts w:ascii="宋体" w:hAnsi="宋体"/>
        </w:rPr>
        <w:t>00m</w:t>
      </w:r>
      <w:r>
        <w:rPr>
          <w:rFonts w:ascii="宋体" w:hAnsi="宋体"/>
          <w:vertAlign w:val="superscript"/>
        </w:rPr>
        <w:t>2</w:t>
      </w:r>
      <w:r>
        <w:rPr>
          <w:rFonts w:ascii="宋体" w:hAnsi="宋体"/>
        </w:rPr>
        <w:t>,</w:t>
      </w:r>
      <w:r>
        <w:rPr>
          <w:rFonts w:hint="eastAsia" w:ascii="宋体" w:hAnsi="宋体"/>
        </w:rPr>
        <w:t>实验室配备常用的科研仪器设备和试剂药剂。科研中心的运行与科研院所、高校等联合运行，加强自有科技力量的培训和提升，提高设施设备的使用和科研水平。定期对实验室标本保管设备进行升级改造，服务于湿地公园科普宣教和科研服务功能。</w:t>
      </w:r>
    </w:p>
    <w:p>
      <w:pPr>
        <w:pStyle w:val="3"/>
        <w:ind w:firstLine="643"/>
      </w:pPr>
      <w:bookmarkStart w:id="45" w:name="_Toc130121664"/>
      <w:bookmarkStart w:id="46" w:name="_Toc3237"/>
      <w:r>
        <w:t>第二节  监测规划</w:t>
      </w:r>
      <w:bookmarkEnd w:id="45"/>
      <w:bookmarkEnd w:id="46"/>
    </w:p>
    <w:p>
      <w:pPr>
        <w:ind w:firstLine="480"/>
      </w:pPr>
      <w:r>
        <w:t>为全面的掌握湿地公园内的资源状况，适时监测湿地生态系统的变化情况，需要定期提供监测数据和报告，这可以为湿地公园的管护以及生态保育提供科学的决策依据。监测规划的主要内容有：湿地类型与面积、水文生态系统状况、生物多样性状况、湿地资源开发利用情况、湿地管护情况、区域社会经济状况等。</w:t>
      </w:r>
    </w:p>
    <w:p>
      <w:pPr>
        <w:pStyle w:val="4"/>
        <w:spacing w:before="72" w:after="72" w:line="360" w:lineRule="auto"/>
        <w:ind w:firstLine="482"/>
        <w:rPr>
          <w:rFonts w:cs="Times New Roman"/>
          <w:b/>
          <w:sz w:val="24"/>
          <w:szCs w:val="24"/>
        </w:rPr>
      </w:pPr>
      <w:r>
        <w:t>一、</w:t>
      </w:r>
      <w:bookmarkStart w:id="47" w:name="_Toc19131759"/>
      <w:bookmarkStart w:id="48" w:name="_Toc23455606"/>
      <w:r>
        <w:rPr>
          <w:rFonts w:hint="eastAsia" w:cs="Times New Roman"/>
          <w:b/>
          <w:sz w:val="24"/>
          <w:szCs w:val="24"/>
        </w:rPr>
        <w:t>湿地监测</w:t>
      </w:r>
      <w:bookmarkEnd w:id="47"/>
      <w:bookmarkEnd w:id="48"/>
      <w:r>
        <w:rPr>
          <w:rFonts w:hint="eastAsia" w:cs="Times New Roman"/>
          <w:b/>
          <w:sz w:val="24"/>
          <w:szCs w:val="24"/>
        </w:rPr>
        <w:t>工程</w:t>
      </w:r>
    </w:p>
    <w:p>
      <w:pPr>
        <w:adjustRightInd w:val="0"/>
        <w:snapToGrid w:val="0"/>
        <w:ind w:firstLine="480"/>
        <w:rPr>
          <w:rFonts w:eastAsia="宋体" w:cs="Times New Roman"/>
          <w:szCs w:val="20"/>
        </w:rPr>
      </w:pPr>
      <w:r>
        <w:rPr>
          <w:rFonts w:hint="eastAsia" w:eastAsia="宋体" w:cs="Times New Roman"/>
          <w:szCs w:val="20"/>
        </w:rPr>
        <w:t>通过进行跟踪监测，证明恢复方案是否可执行，同时说明恢复计划是否可以被完成，根据监测情况，可以及时调整和推动恢复工程的顺利实施，达到恢复目标。因此，本项目监测主要针对计划、任务和项目三个方面，是为了了解项目的实际进展情况而进行。</w:t>
      </w:r>
    </w:p>
    <w:p>
      <w:pPr>
        <w:adjustRightInd w:val="0"/>
        <w:snapToGrid w:val="0"/>
        <w:ind w:firstLine="480"/>
        <w:rPr>
          <w:rFonts w:eastAsia="宋体" w:cs="Times New Roman"/>
          <w:szCs w:val="20"/>
        </w:rPr>
      </w:pPr>
      <w:r>
        <w:rPr>
          <w:rFonts w:hint="eastAsia" w:eastAsia="宋体" w:cs="Times New Roman"/>
          <w:szCs w:val="20"/>
        </w:rPr>
        <w:t>植物调查现有10m*10m样方30个，每年调查3次，连续监测2年（调查样线、数据上传至本级与省级大数据平台）；鸟类调查现有样线3km，样点5个，每年调查4次，即迁徙期2次，繁殖期、越冬期各一次，连续1年（调查样线、数据上传至本级与省级大数据平台）。</w:t>
      </w:r>
    </w:p>
    <w:p>
      <w:pPr>
        <w:adjustRightInd w:val="0"/>
        <w:snapToGrid w:val="0"/>
        <w:ind w:firstLine="480"/>
        <w:rPr>
          <w:rFonts w:eastAsia="宋体" w:cs="Times New Roman"/>
          <w:szCs w:val="20"/>
        </w:rPr>
      </w:pPr>
      <w:r>
        <w:rPr>
          <w:rFonts w:hint="eastAsia" w:eastAsia="宋体" w:cs="Times New Roman"/>
          <w:szCs w:val="20"/>
        </w:rPr>
        <w:t>湿地公园内水鸟众多，适宜开展野生动物定点监测。结合项目区现状，重点在湿地公园内湿地退化区域、天鹅园、植物园区域利用现有视频监测，针对湿地恢复效果，开展湿地水文、野生动物、野生植物监测。</w:t>
      </w:r>
    </w:p>
    <w:p>
      <w:pPr>
        <w:adjustRightInd w:val="0"/>
        <w:snapToGrid w:val="0"/>
        <w:ind w:left="560" w:firstLine="0" w:firstLineChars="0"/>
        <w:rPr>
          <w:rFonts w:eastAsia="宋体" w:cs="Times New Roman"/>
          <w:b/>
          <w:bCs/>
          <w:szCs w:val="20"/>
        </w:rPr>
      </w:pPr>
      <w:r>
        <w:rPr>
          <w:rFonts w:hint="eastAsia" w:eastAsia="宋体" w:cs="Times New Roman"/>
          <w:b/>
          <w:bCs/>
          <w:szCs w:val="20"/>
        </w:rPr>
        <w:t>1、监测内容</w:t>
      </w:r>
    </w:p>
    <w:p>
      <w:pPr>
        <w:adjustRightInd w:val="0"/>
        <w:snapToGrid w:val="0"/>
        <w:ind w:left="560" w:firstLine="0" w:firstLineChars="0"/>
        <w:rPr>
          <w:rFonts w:eastAsia="宋体" w:cs="Times New Roman"/>
          <w:szCs w:val="20"/>
        </w:rPr>
      </w:pPr>
      <w:r>
        <w:rPr>
          <w:rFonts w:hint="eastAsia" w:eastAsia="宋体" w:cs="Times New Roman"/>
          <w:szCs w:val="20"/>
        </w:rPr>
        <w:t>a. 生物生态</w:t>
      </w:r>
    </w:p>
    <w:p>
      <w:pPr>
        <w:adjustRightInd w:val="0"/>
        <w:snapToGrid w:val="0"/>
        <w:ind w:firstLine="480"/>
        <w:rPr>
          <w:rFonts w:eastAsia="宋体" w:cs="Times New Roman"/>
          <w:szCs w:val="20"/>
        </w:rPr>
      </w:pPr>
      <w:r>
        <w:rPr>
          <w:rFonts w:hint="eastAsia" w:eastAsia="宋体" w:cs="Times New Roman"/>
          <w:szCs w:val="20"/>
        </w:rPr>
        <w:t>监测生态修复期、生态修复前后生态系统结构特征、物种组成、优势种群结构及生理生化特征。充分反映栖息地的动态变化，针对出现的问题采取相应的措施。监测鸟类种类和数量、鱼类、两栖类和爬行类动物种类和数量，以及规划区底栖动物的动态。</w:t>
      </w:r>
    </w:p>
    <w:p>
      <w:pPr>
        <w:adjustRightInd w:val="0"/>
        <w:snapToGrid w:val="0"/>
        <w:ind w:firstLine="480"/>
        <w:rPr>
          <w:rFonts w:eastAsia="宋体" w:cs="Times New Roman"/>
          <w:szCs w:val="20"/>
        </w:rPr>
      </w:pPr>
      <w:r>
        <w:rPr>
          <w:rFonts w:hint="eastAsia" w:eastAsia="宋体" w:cs="Times New Roman"/>
          <w:szCs w:val="20"/>
        </w:rPr>
        <w:t>对珍稀的“明星”鸟类和重点保护动植物的种类、分布数量及种群结构、动态过程、野生动物疫源疫病进行监测，充分了解不同物种在不同时间段的变化。</w:t>
      </w:r>
    </w:p>
    <w:p>
      <w:pPr>
        <w:adjustRightInd w:val="0"/>
        <w:snapToGrid w:val="0"/>
        <w:ind w:firstLine="480"/>
        <w:rPr>
          <w:rFonts w:eastAsia="宋体" w:cs="Times New Roman"/>
          <w:szCs w:val="20"/>
        </w:rPr>
      </w:pPr>
      <w:r>
        <w:rPr>
          <w:rFonts w:eastAsia="宋体" w:cs="Times New Roman"/>
          <w:szCs w:val="20"/>
        </w:rPr>
        <w:t>b</w:t>
      </w:r>
      <w:r>
        <w:rPr>
          <w:rFonts w:hint="eastAsia" w:eastAsia="宋体" w:cs="Times New Roman"/>
          <w:szCs w:val="20"/>
        </w:rPr>
        <w:t>. 水文水质</w:t>
      </w:r>
    </w:p>
    <w:p>
      <w:pPr>
        <w:adjustRightInd w:val="0"/>
        <w:snapToGrid w:val="0"/>
        <w:ind w:firstLine="480"/>
        <w:rPr>
          <w:rFonts w:eastAsia="宋体" w:cs="Times New Roman"/>
          <w:szCs w:val="20"/>
        </w:rPr>
      </w:pPr>
      <w:r>
        <w:rPr>
          <w:rFonts w:hint="eastAsia" w:eastAsia="宋体" w:cs="Times New Roman"/>
          <w:szCs w:val="20"/>
        </w:rPr>
        <w:t>水文监测。与水文站结合，监测生态修复期、生态修复前后水域径流量、含沙量、汛期、流速、结冰期、水位、潮汐等的变化特征。</w:t>
      </w:r>
    </w:p>
    <w:p>
      <w:pPr>
        <w:adjustRightInd w:val="0"/>
        <w:snapToGrid w:val="0"/>
        <w:ind w:firstLine="480"/>
        <w:rPr>
          <w:rFonts w:eastAsia="宋体" w:cs="Times New Roman"/>
          <w:szCs w:val="20"/>
        </w:rPr>
      </w:pPr>
      <w:r>
        <w:rPr>
          <w:rFonts w:hint="eastAsia" w:eastAsia="宋体" w:cs="Times New Roman"/>
          <w:szCs w:val="20"/>
        </w:rPr>
        <w:t>水质监测。监测不同地段的水质情况，包括水的物理指标和化学指标，通过科学分析，监测水质中微生物等的变化，及时做出反应。</w:t>
      </w:r>
    </w:p>
    <w:p>
      <w:pPr>
        <w:adjustRightInd w:val="0"/>
        <w:snapToGrid w:val="0"/>
        <w:ind w:firstLine="480"/>
        <w:rPr>
          <w:rFonts w:eastAsia="宋体" w:cs="Times New Roman"/>
          <w:szCs w:val="20"/>
        </w:rPr>
      </w:pPr>
      <w:r>
        <w:rPr>
          <w:rFonts w:hint="eastAsia" w:eastAsia="宋体" w:cs="Times New Roman"/>
          <w:szCs w:val="20"/>
        </w:rPr>
        <w:t>c. 土壤</w:t>
      </w:r>
    </w:p>
    <w:p>
      <w:pPr>
        <w:adjustRightInd w:val="0"/>
        <w:snapToGrid w:val="0"/>
        <w:ind w:firstLine="480"/>
        <w:rPr>
          <w:rFonts w:eastAsia="宋体" w:cs="Times New Roman"/>
          <w:szCs w:val="20"/>
        </w:rPr>
      </w:pPr>
      <w:r>
        <w:rPr>
          <w:rFonts w:hint="eastAsia" w:eastAsia="宋体" w:cs="Times New Roman"/>
          <w:szCs w:val="20"/>
        </w:rPr>
        <w:t>防止土壤污染和及时进行土壤环境监测是环境监测中不可缺少的重要内容。主要针对可能存在的土壤污染结合农产品质量安全进行监测。</w:t>
      </w:r>
    </w:p>
    <w:p>
      <w:pPr>
        <w:adjustRightInd w:val="0"/>
        <w:snapToGrid w:val="0"/>
        <w:ind w:firstLine="480"/>
        <w:rPr>
          <w:rFonts w:eastAsia="宋体" w:cs="Times New Roman"/>
          <w:szCs w:val="20"/>
        </w:rPr>
      </w:pPr>
      <w:r>
        <w:rPr>
          <w:rFonts w:hint="eastAsia" w:eastAsia="宋体" w:cs="Times New Roman"/>
          <w:szCs w:val="20"/>
        </w:rPr>
        <w:t>d. 大气质量和污染情况</w:t>
      </w:r>
    </w:p>
    <w:p>
      <w:pPr>
        <w:adjustRightInd w:val="0"/>
        <w:snapToGrid w:val="0"/>
        <w:ind w:firstLine="480"/>
        <w:rPr>
          <w:rFonts w:eastAsia="宋体" w:cs="Times New Roman"/>
          <w:szCs w:val="20"/>
        </w:rPr>
      </w:pPr>
      <w:r>
        <w:rPr>
          <w:rFonts w:hint="eastAsia" w:eastAsia="宋体" w:cs="Times New Roman"/>
          <w:szCs w:val="20"/>
        </w:rPr>
        <w:t>监测内容包括降水干湿沉降及其阴阳离子、土壤养分，空气中二氧化硫、可吸入颗粒物、一氧化碳和二氧化氮等有害物质的含量变化。</w:t>
      </w:r>
    </w:p>
    <w:p>
      <w:pPr>
        <w:adjustRightInd w:val="0"/>
        <w:snapToGrid w:val="0"/>
        <w:ind w:firstLine="480"/>
        <w:rPr>
          <w:rFonts w:eastAsia="宋体" w:cs="Times New Roman"/>
          <w:szCs w:val="20"/>
        </w:rPr>
      </w:pPr>
      <w:r>
        <w:rPr>
          <w:rFonts w:eastAsia="宋体" w:cs="Times New Roman"/>
          <w:szCs w:val="20"/>
        </w:rPr>
        <w:t>e</w:t>
      </w:r>
      <w:r>
        <w:rPr>
          <w:rFonts w:hint="eastAsia" w:eastAsia="宋体" w:cs="Times New Roman"/>
          <w:szCs w:val="20"/>
        </w:rPr>
        <w:t xml:space="preserve">. 有害生物监测防控 </w:t>
      </w:r>
    </w:p>
    <w:p>
      <w:pPr>
        <w:adjustRightInd w:val="0"/>
        <w:snapToGrid w:val="0"/>
        <w:ind w:firstLine="480"/>
        <w:rPr>
          <w:rFonts w:eastAsia="宋体" w:cs="Times New Roman"/>
          <w:szCs w:val="20"/>
        </w:rPr>
      </w:pPr>
      <w:r>
        <w:rPr>
          <w:rFonts w:hint="eastAsia" w:eastAsia="宋体" w:cs="Times New Roman"/>
          <w:szCs w:val="20"/>
        </w:rPr>
        <w:t>掌握外来陆生动植物、有害水生动植物、微生物的种类、数量及分布，分析其生长习性、有害特征、危害程度，为当地动植物的繁衍与保护提供科学依据。绘制有害生物分布图，提供有害生物监测报告。</w:t>
      </w:r>
    </w:p>
    <w:p>
      <w:pPr>
        <w:adjustRightInd w:val="0"/>
        <w:snapToGrid w:val="0"/>
        <w:ind w:firstLine="480"/>
        <w:rPr>
          <w:rFonts w:eastAsia="宋体" w:cs="Times New Roman"/>
          <w:szCs w:val="20"/>
        </w:rPr>
      </w:pPr>
      <w:r>
        <w:rPr>
          <w:rFonts w:hint="eastAsia" w:eastAsia="宋体" w:cs="Times New Roman"/>
          <w:szCs w:val="20"/>
        </w:rPr>
        <w:t>生态监测的频率和方法按照生态监测的相关规范执行。基于代表性、通用性、科学性、定量化和可操作性的原则选择监测指标，在不同湿地恢复类型中，通过定位监测的方法进行。</w:t>
      </w:r>
    </w:p>
    <w:p>
      <w:pPr>
        <w:adjustRightInd w:val="0"/>
        <w:snapToGrid w:val="0"/>
        <w:ind w:left="560" w:firstLine="0" w:firstLineChars="0"/>
        <w:rPr>
          <w:rFonts w:eastAsia="宋体" w:cs="Times New Roman"/>
          <w:b/>
          <w:bCs/>
          <w:szCs w:val="20"/>
        </w:rPr>
      </w:pPr>
      <w:r>
        <w:rPr>
          <w:rFonts w:hint="eastAsia" w:eastAsia="宋体" w:cs="Times New Roman"/>
          <w:b/>
          <w:bCs/>
          <w:szCs w:val="20"/>
        </w:rPr>
        <w:t>2、监测指标与方法</w:t>
      </w:r>
    </w:p>
    <w:p>
      <w:pPr>
        <w:adjustRightInd w:val="0"/>
        <w:snapToGrid w:val="0"/>
        <w:ind w:firstLine="480"/>
        <w:rPr>
          <w:rFonts w:eastAsia="宋体" w:cs="Times New Roman"/>
          <w:szCs w:val="20"/>
        </w:rPr>
      </w:pPr>
      <w:r>
        <w:rPr>
          <w:rFonts w:hint="eastAsia" w:eastAsia="宋体" w:cs="Times New Roman"/>
          <w:szCs w:val="20"/>
        </w:rPr>
        <w:t>监测指标的选择基于生态系统的组分和结构方面进行选择。包括水文与水环境、气象因子、生物因子（鸟类、植物、外来物种）以及受威胁的状况等方面，在不同湿地类型中进行指标的选择使用。</w:t>
      </w:r>
    </w:p>
    <w:p>
      <w:pPr>
        <w:adjustRightInd w:val="0"/>
        <w:snapToGrid w:val="0"/>
        <w:ind w:firstLine="480"/>
        <w:rPr>
          <w:rFonts w:eastAsia="宋体" w:cs="Times New Roman"/>
          <w:szCs w:val="20"/>
        </w:rPr>
      </w:pPr>
      <w:r>
        <w:rPr>
          <w:rFonts w:hint="eastAsia" w:eastAsia="宋体" w:cs="Times New Roman"/>
          <w:szCs w:val="20"/>
        </w:rPr>
        <w:t>a</w:t>
      </w:r>
      <w:r>
        <w:rPr>
          <w:rFonts w:eastAsia="宋体" w:cs="Times New Roman"/>
          <w:szCs w:val="20"/>
        </w:rPr>
        <w:t>.</w:t>
      </w:r>
      <w:r>
        <w:rPr>
          <w:rFonts w:hint="eastAsia" w:eastAsia="宋体" w:cs="Times New Roman"/>
          <w:szCs w:val="20"/>
        </w:rPr>
        <w:t>水文与水环境</w:t>
      </w:r>
    </w:p>
    <w:p>
      <w:pPr>
        <w:adjustRightInd w:val="0"/>
        <w:snapToGrid w:val="0"/>
        <w:ind w:firstLine="480"/>
        <w:rPr>
          <w:rFonts w:eastAsia="宋体" w:cs="Times New Roman"/>
          <w:szCs w:val="20"/>
        </w:rPr>
      </w:pPr>
      <w:r>
        <w:rPr>
          <w:rFonts w:hint="eastAsia" w:eastAsia="宋体" w:cs="Times New Roman"/>
          <w:szCs w:val="20"/>
        </w:rPr>
        <w:t>水环境监测对象为地表水。监测项目包括水位、地表水深、流量、流速。水环境监测项目包括透明度、化学需氧量（COD）、总氮、总磷、氨氮、硝态氮、正磷酸盐，基于水环境监测数据评估水质类别。</w:t>
      </w:r>
    </w:p>
    <w:p>
      <w:pPr>
        <w:adjustRightInd w:val="0"/>
        <w:snapToGrid w:val="0"/>
        <w:ind w:firstLine="196" w:firstLineChars="82"/>
        <w:jc w:val="center"/>
        <w:rPr>
          <w:rFonts w:eastAsia="宋体" w:cs="Times New Roman"/>
          <w:bCs/>
          <w:szCs w:val="24"/>
        </w:rPr>
      </w:pPr>
      <w:r>
        <w:rPr>
          <w:rFonts w:eastAsia="宋体" w:cs="Times New Roman"/>
          <w:bCs/>
          <w:szCs w:val="24"/>
        </w:rPr>
        <w:t>表</w:t>
      </w:r>
      <w:r>
        <w:rPr>
          <w:rFonts w:hint="eastAsia" w:eastAsia="宋体" w:cs="Times New Roman"/>
          <w:bCs/>
          <w:szCs w:val="24"/>
        </w:rPr>
        <w:t>7</w:t>
      </w:r>
      <w:r>
        <w:rPr>
          <w:rFonts w:eastAsia="宋体" w:cs="Times New Roman"/>
          <w:bCs/>
          <w:szCs w:val="24"/>
        </w:rPr>
        <w:t>.2-</w:t>
      </w:r>
      <w:r>
        <w:rPr>
          <w:rFonts w:hint="eastAsia" w:eastAsia="宋体" w:cs="Times New Roman"/>
          <w:bCs/>
          <w:szCs w:val="24"/>
        </w:rPr>
        <w:t>1</w:t>
      </w:r>
      <w:r>
        <w:rPr>
          <w:rFonts w:eastAsia="宋体" w:cs="Times New Roman"/>
          <w:bCs/>
          <w:szCs w:val="24"/>
        </w:rPr>
        <w:t xml:space="preserve">  监测项目指标</w:t>
      </w:r>
      <w:r>
        <w:rPr>
          <w:rFonts w:hint="eastAsia" w:eastAsia="宋体" w:cs="Times New Roman"/>
          <w:bCs/>
          <w:szCs w:val="24"/>
        </w:rPr>
        <w:t>表</w:t>
      </w:r>
    </w:p>
    <w:tbl>
      <w:tblPr>
        <w:tblStyle w:val="10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686"/>
        <w:gridCol w:w="1265"/>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adjustRightInd w:val="0"/>
              <w:snapToGrid w:val="0"/>
              <w:ind w:firstLine="0" w:firstLineChars="0"/>
              <w:jc w:val="center"/>
              <w:rPr>
                <w:rFonts w:eastAsia="宋体" w:cs="Times New Roman"/>
                <w:b/>
                <w:sz w:val="22"/>
              </w:rPr>
            </w:pPr>
            <w:r>
              <w:rPr>
                <w:rFonts w:hint="eastAsia" w:eastAsia="宋体" w:cs="Times New Roman"/>
                <w:b/>
                <w:sz w:val="22"/>
              </w:rPr>
              <w:t>监测指标</w:t>
            </w:r>
          </w:p>
        </w:tc>
        <w:tc>
          <w:tcPr>
            <w:tcW w:w="3686" w:type="dxa"/>
          </w:tcPr>
          <w:p>
            <w:pPr>
              <w:adjustRightInd w:val="0"/>
              <w:snapToGrid w:val="0"/>
              <w:ind w:firstLine="0" w:firstLineChars="0"/>
              <w:jc w:val="center"/>
              <w:rPr>
                <w:rFonts w:eastAsia="宋体" w:cs="Times New Roman"/>
                <w:b/>
                <w:sz w:val="22"/>
              </w:rPr>
            </w:pPr>
            <w:r>
              <w:rPr>
                <w:rFonts w:hint="eastAsia" w:eastAsia="宋体" w:cs="Times New Roman"/>
                <w:b/>
                <w:sz w:val="22"/>
              </w:rPr>
              <w:t>描述</w:t>
            </w:r>
          </w:p>
        </w:tc>
        <w:tc>
          <w:tcPr>
            <w:tcW w:w="1265" w:type="dxa"/>
          </w:tcPr>
          <w:p>
            <w:pPr>
              <w:adjustRightInd w:val="0"/>
              <w:snapToGrid w:val="0"/>
              <w:ind w:firstLine="0" w:firstLineChars="0"/>
              <w:jc w:val="center"/>
              <w:rPr>
                <w:rFonts w:eastAsia="宋体" w:cs="Times New Roman"/>
                <w:b/>
                <w:sz w:val="22"/>
              </w:rPr>
            </w:pPr>
            <w:r>
              <w:rPr>
                <w:rFonts w:hint="eastAsia" w:eastAsia="宋体" w:cs="Times New Roman"/>
                <w:b/>
                <w:sz w:val="22"/>
              </w:rPr>
              <w:t>定性监测</w:t>
            </w:r>
          </w:p>
        </w:tc>
        <w:tc>
          <w:tcPr>
            <w:tcW w:w="2074" w:type="dxa"/>
          </w:tcPr>
          <w:p>
            <w:pPr>
              <w:adjustRightInd w:val="0"/>
              <w:snapToGrid w:val="0"/>
              <w:ind w:firstLine="0" w:firstLineChars="0"/>
              <w:jc w:val="center"/>
              <w:rPr>
                <w:rFonts w:eastAsia="宋体" w:cs="Times New Roman"/>
                <w:b/>
                <w:sz w:val="22"/>
              </w:rPr>
            </w:pPr>
            <w:r>
              <w:rPr>
                <w:rFonts w:hint="eastAsia" w:eastAsia="宋体" w:cs="Times New Roman"/>
                <w:b/>
                <w:sz w:val="22"/>
              </w:rPr>
              <w:t>定量监测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水深</w:t>
            </w:r>
          </w:p>
        </w:tc>
        <w:tc>
          <w:tcPr>
            <w:tcW w:w="3686"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包括平均水深、丰水期</w:t>
            </w:r>
            <w:r>
              <w:rPr>
                <w:rFonts w:eastAsia="宋体" w:cs="TimesNewRomanPSMT"/>
                <w:sz w:val="22"/>
              </w:rPr>
              <w:t xml:space="preserve">/ </w:t>
            </w:r>
            <w:r>
              <w:rPr>
                <w:rFonts w:hint="eastAsia" w:eastAsia="宋体" w:cs="Times New Roman"/>
                <w:sz w:val="22"/>
              </w:rPr>
              <w:t>平水期平均水深等。水深由水量和湿地地形地貌决定</w:t>
            </w:r>
          </w:p>
        </w:tc>
        <w:tc>
          <w:tcPr>
            <w:tcW w:w="126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人员测量</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水位标尺、水深仪、自动水位测量仪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流量</w:t>
            </w:r>
          </w:p>
        </w:tc>
        <w:tc>
          <w:tcPr>
            <w:tcW w:w="3686"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单位时间内通过某一过水断面的水体体积，变化过程受地形、气候、季节、植被和流域等因素影响</w:t>
            </w:r>
          </w:p>
        </w:tc>
        <w:tc>
          <w:tcPr>
            <w:tcW w:w="126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浮标法</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流速仪法、超声波法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流速</w:t>
            </w:r>
          </w:p>
        </w:tc>
        <w:tc>
          <w:tcPr>
            <w:tcW w:w="3686"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包括平均流速、最大流速、表层流速、底层流速和岸边流速等，其大小受流量及其所在区域的微地形格局、水生生物尤其是大型维管植物等的影响</w:t>
            </w:r>
          </w:p>
        </w:tc>
        <w:tc>
          <w:tcPr>
            <w:tcW w:w="126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浮标法</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流速仪法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水位变化</w:t>
            </w:r>
          </w:p>
        </w:tc>
        <w:tc>
          <w:tcPr>
            <w:tcW w:w="3686"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最低水位和最高水位的变化情况</w:t>
            </w:r>
          </w:p>
        </w:tc>
        <w:tc>
          <w:tcPr>
            <w:tcW w:w="126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人员测量</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自动水位测量仪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水文连通性</w:t>
            </w:r>
          </w:p>
        </w:tc>
        <w:tc>
          <w:tcPr>
            <w:tcW w:w="3686"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恢复湿地与周边水域、水系的水位连通状况</w:t>
            </w:r>
          </w:p>
        </w:tc>
        <w:tc>
          <w:tcPr>
            <w:tcW w:w="126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人员测量</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U</w:t>
            </w:r>
            <w:r>
              <w:rPr>
                <w:rFonts w:eastAsia="宋体" w:cs="Times New Roman"/>
                <w:sz w:val="22"/>
              </w:rPr>
              <w:t>AV</w:t>
            </w:r>
            <w:r>
              <w:rPr>
                <w:rFonts w:hint="eastAsia" w:eastAsia="宋体" w:cs="Times New Roman"/>
                <w:sz w:val="22"/>
              </w:rPr>
              <w:t>航拍记录、分析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自然水文水动力过程</w:t>
            </w:r>
          </w:p>
        </w:tc>
        <w:tc>
          <w:tcPr>
            <w:tcW w:w="3686"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包括自然水位变动、洪泛持续时间和频度、洪水格局等</w:t>
            </w:r>
          </w:p>
        </w:tc>
        <w:tc>
          <w:tcPr>
            <w:tcW w:w="126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人员测量</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自动水位测量仪等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水质</w:t>
            </w:r>
          </w:p>
        </w:tc>
        <w:tc>
          <w:tcPr>
            <w:tcW w:w="3686"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包括透明度、化学需氧量（COD）、总氮、总磷、氨氮、硝态氮、正磷酸盐，</w:t>
            </w:r>
          </w:p>
        </w:tc>
        <w:tc>
          <w:tcPr>
            <w:tcW w:w="126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定期取样</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实验室分析</w:t>
            </w:r>
          </w:p>
        </w:tc>
      </w:tr>
    </w:tbl>
    <w:p>
      <w:pPr>
        <w:adjustRightInd w:val="0"/>
        <w:snapToGrid w:val="0"/>
        <w:ind w:firstLine="480"/>
        <w:rPr>
          <w:rFonts w:eastAsia="宋体" w:cs="Times New Roman"/>
          <w:szCs w:val="20"/>
        </w:rPr>
      </w:pPr>
      <w:r>
        <w:rPr>
          <w:rFonts w:hint="eastAsia" w:eastAsia="宋体" w:cs="Times New Roman"/>
          <w:szCs w:val="20"/>
        </w:rPr>
        <w:t>水文监测采用在线监测，实时监测水位、流量、流速变化。或建立野外水位线指示柱或安装水位、流量、流速传感器的方法。</w:t>
      </w:r>
    </w:p>
    <w:p>
      <w:pPr>
        <w:adjustRightInd w:val="0"/>
        <w:snapToGrid w:val="0"/>
        <w:ind w:firstLine="480"/>
        <w:rPr>
          <w:rFonts w:eastAsia="宋体" w:cs="Times New Roman"/>
          <w:szCs w:val="20"/>
        </w:rPr>
      </w:pPr>
      <w:r>
        <w:rPr>
          <w:rFonts w:hint="eastAsia" w:eastAsia="宋体" w:cs="Times New Roman"/>
          <w:szCs w:val="20"/>
        </w:rPr>
        <w:t>水质监测采用定期取样方法进行。以总氮、总磷、</w:t>
      </w:r>
      <w:r>
        <w:rPr>
          <w:rFonts w:eastAsia="宋体" w:cs="Times New Roman"/>
          <w:szCs w:val="20"/>
        </w:rPr>
        <w:t>COD</w:t>
      </w:r>
      <w:r>
        <w:rPr>
          <w:rFonts w:hint="eastAsia" w:eastAsia="宋体" w:cs="Times New Roman"/>
          <w:szCs w:val="20"/>
        </w:rPr>
        <w:t>、硝态氮、氨氮以及正磷酸盐为主要污染因子进行指数综合评价，评价标准依据《地表水环境质量标准》（</w:t>
      </w:r>
      <w:r>
        <w:rPr>
          <w:rFonts w:eastAsia="宋体" w:cs="Times New Roman"/>
          <w:szCs w:val="20"/>
        </w:rPr>
        <w:t>GB3838</w:t>
      </w:r>
      <w:r>
        <w:rPr>
          <w:rFonts w:hint="eastAsia" w:eastAsia="宋体" w:cs="Times New Roman"/>
          <w:szCs w:val="20"/>
        </w:rPr>
        <w:t>—</w:t>
      </w:r>
      <w:r>
        <w:rPr>
          <w:rFonts w:eastAsia="宋体" w:cs="Times New Roman"/>
          <w:szCs w:val="20"/>
        </w:rPr>
        <w:t>2002</w:t>
      </w:r>
      <w:r>
        <w:rPr>
          <w:rFonts w:hint="eastAsia" w:eastAsia="宋体" w:cs="Times New Roman"/>
          <w:szCs w:val="20"/>
        </w:rPr>
        <w:t>）。</w:t>
      </w:r>
    </w:p>
    <w:p>
      <w:pPr>
        <w:adjustRightInd w:val="0"/>
        <w:snapToGrid w:val="0"/>
        <w:ind w:firstLine="480"/>
        <w:rPr>
          <w:rFonts w:eastAsia="宋体" w:cs="Times New Roman"/>
          <w:szCs w:val="20"/>
        </w:rPr>
      </w:pPr>
      <w:r>
        <w:rPr>
          <w:rFonts w:hint="eastAsia" w:eastAsia="宋体" w:cs="Times New Roman"/>
          <w:szCs w:val="20"/>
        </w:rPr>
        <w:t>b</w:t>
      </w:r>
      <w:r>
        <w:rPr>
          <w:rFonts w:eastAsia="宋体" w:cs="Times New Roman"/>
          <w:szCs w:val="20"/>
        </w:rPr>
        <w:t>.</w:t>
      </w:r>
      <w:r>
        <w:rPr>
          <w:rFonts w:hint="eastAsia" w:eastAsia="宋体" w:cs="Times New Roman"/>
          <w:szCs w:val="20"/>
        </w:rPr>
        <w:t>土壤</w:t>
      </w:r>
    </w:p>
    <w:p>
      <w:pPr>
        <w:adjustRightInd w:val="0"/>
        <w:snapToGrid w:val="0"/>
        <w:ind w:firstLine="480"/>
        <w:rPr>
          <w:rFonts w:eastAsia="宋体" w:cs="Times New Roman"/>
          <w:bCs/>
          <w:szCs w:val="24"/>
        </w:rPr>
      </w:pPr>
      <w:r>
        <w:rPr>
          <w:rFonts w:hint="eastAsia" w:eastAsia="宋体" w:cs="Times New Roman"/>
          <w:szCs w:val="20"/>
        </w:rPr>
        <w:t>监测项目包括土壤pH 值、有机质、土壤含水量、全氮、全磷、全钾、土壤容重、重金属。</w:t>
      </w:r>
    </w:p>
    <w:p>
      <w:pPr>
        <w:adjustRightInd w:val="0"/>
        <w:snapToGrid w:val="0"/>
        <w:ind w:firstLine="196" w:firstLineChars="82"/>
        <w:jc w:val="center"/>
        <w:rPr>
          <w:rFonts w:eastAsia="宋体" w:cs="Times New Roman"/>
          <w:bCs/>
          <w:szCs w:val="24"/>
        </w:rPr>
      </w:pPr>
      <w:r>
        <w:rPr>
          <w:rFonts w:hint="eastAsia" w:eastAsia="宋体" w:cs="Times New Roman"/>
          <w:bCs/>
          <w:szCs w:val="24"/>
        </w:rPr>
        <w:t>表7</w:t>
      </w:r>
      <w:r>
        <w:rPr>
          <w:rFonts w:eastAsia="宋体" w:cs="Times New Roman"/>
          <w:bCs/>
          <w:szCs w:val="24"/>
        </w:rPr>
        <w:t>.2-</w:t>
      </w:r>
      <w:r>
        <w:rPr>
          <w:rFonts w:hint="eastAsia" w:eastAsia="宋体" w:cs="Times New Roman"/>
          <w:bCs/>
          <w:szCs w:val="24"/>
        </w:rPr>
        <w:t>2</w:t>
      </w:r>
      <w:r>
        <w:rPr>
          <w:rFonts w:eastAsia="宋体" w:cs="Times New Roman"/>
          <w:bCs/>
          <w:szCs w:val="24"/>
        </w:rPr>
        <w:t xml:space="preserve"> </w:t>
      </w:r>
      <w:r>
        <w:rPr>
          <w:rFonts w:hint="eastAsia" w:eastAsia="宋体" w:cs="Times New Roman"/>
          <w:bCs/>
          <w:szCs w:val="24"/>
        </w:rPr>
        <w:t>土壤检测项目与指标</w:t>
      </w:r>
    </w:p>
    <w:tbl>
      <w:tblPr>
        <w:tblStyle w:val="10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268"/>
        <w:gridCol w:w="2399"/>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b/>
                <w:sz w:val="22"/>
              </w:rPr>
            </w:pPr>
            <w:r>
              <w:rPr>
                <w:rFonts w:hint="eastAsia" w:eastAsia="宋体" w:cs="Times New Roman"/>
                <w:b/>
                <w:sz w:val="22"/>
              </w:rPr>
              <w:t>监测指标</w:t>
            </w:r>
          </w:p>
        </w:tc>
        <w:tc>
          <w:tcPr>
            <w:tcW w:w="2268" w:type="dxa"/>
          </w:tcPr>
          <w:p>
            <w:pPr>
              <w:adjustRightInd w:val="0"/>
              <w:snapToGrid w:val="0"/>
              <w:spacing w:before="93" w:beforeLines="30" w:after="93" w:afterLines="30" w:line="240" w:lineRule="auto"/>
              <w:ind w:firstLine="0" w:firstLineChars="0"/>
              <w:rPr>
                <w:rFonts w:eastAsia="宋体" w:cs="Times New Roman"/>
                <w:b/>
                <w:sz w:val="22"/>
              </w:rPr>
            </w:pPr>
            <w:r>
              <w:rPr>
                <w:rFonts w:hint="eastAsia" w:eastAsia="宋体" w:cs="Times New Roman"/>
                <w:b/>
                <w:sz w:val="22"/>
              </w:rPr>
              <w:t>描述</w:t>
            </w:r>
          </w:p>
        </w:tc>
        <w:tc>
          <w:tcPr>
            <w:tcW w:w="2399" w:type="dxa"/>
          </w:tcPr>
          <w:p>
            <w:pPr>
              <w:adjustRightInd w:val="0"/>
              <w:snapToGrid w:val="0"/>
              <w:spacing w:before="93" w:beforeLines="30" w:after="93" w:afterLines="30" w:line="240" w:lineRule="auto"/>
              <w:ind w:firstLine="0" w:firstLineChars="0"/>
              <w:rPr>
                <w:rFonts w:eastAsia="宋体" w:cs="Times New Roman"/>
                <w:b/>
                <w:sz w:val="22"/>
              </w:rPr>
            </w:pPr>
            <w:r>
              <w:rPr>
                <w:rFonts w:hint="eastAsia" w:eastAsia="宋体" w:cs="Times New Roman"/>
                <w:b/>
                <w:sz w:val="22"/>
              </w:rPr>
              <w:t>定性监测</w:t>
            </w:r>
          </w:p>
        </w:tc>
        <w:tc>
          <w:tcPr>
            <w:tcW w:w="2074" w:type="dxa"/>
          </w:tcPr>
          <w:p>
            <w:pPr>
              <w:adjustRightInd w:val="0"/>
              <w:snapToGrid w:val="0"/>
              <w:spacing w:before="93" w:beforeLines="30" w:after="93" w:afterLines="30" w:line="240" w:lineRule="auto"/>
              <w:ind w:firstLine="0" w:firstLineChars="0"/>
              <w:rPr>
                <w:rFonts w:eastAsia="宋体" w:cs="Times New Roman"/>
                <w:b/>
                <w:sz w:val="22"/>
              </w:rPr>
            </w:pPr>
            <w:r>
              <w:rPr>
                <w:rFonts w:hint="eastAsia" w:eastAsia="宋体" w:cs="Times New Roman"/>
                <w:b/>
                <w:sz w:val="22"/>
              </w:rPr>
              <w:t>定量监测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土壤深度</w:t>
            </w:r>
          </w:p>
        </w:tc>
        <w:tc>
          <w:tcPr>
            <w:tcW w:w="2268"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不同土壤深度的结构变化</w:t>
            </w:r>
          </w:p>
        </w:tc>
        <w:tc>
          <w:tcPr>
            <w:tcW w:w="2399"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挖至少</w:t>
            </w:r>
            <w:r>
              <w:rPr>
                <w:rFonts w:eastAsia="宋体" w:cs="Times New Roman"/>
                <w:sz w:val="22"/>
              </w:rPr>
              <w:t xml:space="preserve">5cm </w:t>
            </w:r>
            <w:r>
              <w:rPr>
                <w:rFonts w:hint="eastAsia" w:eastAsia="宋体" w:cs="Times New Roman"/>
                <w:sz w:val="22"/>
              </w:rPr>
              <w:t>压实土壤，观察土壤颜色和结构的变化</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取至少</w:t>
            </w:r>
            <w:r>
              <w:rPr>
                <w:rFonts w:eastAsia="宋体" w:cs="Times New Roman"/>
                <w:sz w:val="22"/>
              </w:rPr>
              <w:t xml:space="preserve">5cm </w:t>
            </w:r>
            <w:r>
              <w:rPr>
                <w:rFonts w:hint="eastAsia" w:eastAsia="宋体" w:cs="Times New Roman"/>
                <w:sz w:val="22"/>
              </w:rPr>
              <w:t>土芯，</w:t>
            </w:r>
            <w:r>
              <w:rPr>
                <w:rFonts w:eastAsia="宋体" w:cs="Times New Roman"/>
                <w:sz w:val="22"/>
              </w:rPr>
              <w:t xml:space="preserve"> </w:t>
            </w:r>
            <w:r>
              <w:rPr>
                <w:rFonts w:hint="eastAsia" w:eastAsia="宋体" w:cs="Times New Roman"/>
                <w:sz w:val="22"/>
              </w:rPr>
              <w:t>通过土壤分析技术确定土层及其组成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土壤质地</w:t>
            </w:r>
          </w:p>
        </w:tc>
        <w:tc>
          <w:tcPr>
            <w:tcW w:w="2268"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土壤颗粒的组成</w:t>
            </w:r>
          </w:p>
        </w:tc>
        <w:tc>
          <w:tcPr>
            <w:tcW w:w="2399"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在外观感觉基础上用土壤质地三角形进行分类</w:t>
            </w: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取样带回室内对不同土层粒度进行分析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土壤有机物</w:t>
            </w:r>
          </w:p>
        </w:tc>
        <w:tc>
          <w:tcPr>
            <w:tcW w:w="2268"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表层土壤有机质含量</w:t>
            </w:r>
          </w:p>
        </w:tc>
        <w:tc>
          <w:tcPr>
            <w:tcW w:w="2399" w:type="dxa"/>
          </w:tcPr>
          <w:p>
            <w:pPr>
              <w:adjustRightInd w:val="0"/>
              <w:snapToGrid w:val="0"/>
              <w:spacing w:before="93" w:beforeLines="30" w:after="93" w:afterLines="30" w:line="240" w:lineRule="auto"/>
              <w:ind w:firstLine="0" w:firstLineChars="0"/>
              <w:rPr>
                <w:rFonts w:eastAsia="宋体" w:cs="Times New Roman"/>
                <w:sz w:val="22"/>
              </w:rPr>
            </w:pPr>
          </w:p>
        </w:tc>
        <w:tc>
          <w:tcPr>
            <w:tcW w:w="2074"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表层土壤有机质含量的室内分析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土壤蓄水能力</w:t>
            </w:r>
          </w:p>
        </w:tc>
        <w:tc>
          <w:tcPr>
            <w:tcW w:w="2268"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对维持湿地水文条件具有重要作用</w:t>
            </w:r>
          </w:p>
        </w:tc>
        <w:tc>
          <w:tcPr>
            <w:tcW w:w="2399" w:type="dxa"/>
          </w:tcPr>
          <w:p>
            <w:pPr>
              <w:adjustRightInd w:val="0"/>
              <w:snapToGrid w:val="0"/>
              <w:spacing w:before="93" w:beforeLines="30" w:after="93" w:afterLines="30" w:line="240" w:lineRule="auto"/>
              <w:ind w:firstLine="0" w:firstLineChars="0"/>
              <w:rPr>
                <w:rFonts w:eastAsia="宋体" w:cs="Times New Roman"/>
                <w:sz w:val="22"/>
              </w:rPr>
            </w:pPr>
          </w:p>
        </w:tc>
        <w:tc>
          <w:tcPr>
            <w:tcW w:w="2074" w:type="dxa"/>
          </w:tcPr>
          <w:p>
            <w:pPr>
              <w:adjustRightInd w:val="0"/>
              <w:snapToGrid w:val="0"/>
              <w:spacing w:before="93" w:beforeLines="30" w:after="93" w:afterLines="30" w:line="240" w:lineRule="auto"/>
              <w:ind w:firstLine="0" w:firstLineChars="0"/>
              <w:rPr>
                <w:rFonts w:eastAsia="宋体" w:cs="Times New Roman"/>
                <w:sz w:val="22"/>
              </w:rPr>
            </w:pPr>
          </w:p>
        </w:tc>
      </w:tr>
    </w:tbl>
    <w:p>
      <w:pPr>
        <w:adjustRightInd w:val="0"/>
        <w:snapToGrid w:val="0"/>
        <w:ind w:firstLine="480"/>
        <w:rPr>
          <w:rFonts w:eastAsia="宋体" w:cs="Times New Roman"/>
          <w:szCs w:val="20"/>
        </w:rPr>
      </w:pPr>
      <w:r>
        <w:rPr>
          <w:rFonts w:hint="eastAsia" w:eastAsia="宋体" w:cs="Times New Roman"/>
          <w:szCs w:val="20"/>
        </w:rPr>
        <w:t>c</w:t>
      </w:r>
      <w:r>
        <w:rPr>
          <w:rFonts w:eastAsia="宋体" w:cs="Times New Roman"/>
          <w:szCs w:val="20"/>
        </w:rPr>
        <w:t>.</w:t>
      </w:r>
      <w:r>
        <w:rPr>
          <w:rFonts w:hint="eastAsia" w:eastAsia="宋体" w:cs="Times New Roman"/>
          <w:szCs w:val="20"/>
        </w:rPr>
        <w:t>野生植物</w:t>
      </w:r>
    </w:p>
    <w:p>
      <w:pPr>
        <w:adjustRightInd w:val="0"/>
        <w:snapToGrid w:val="0"/>
        <w:ind w:firstLine="480"/>
        <w:rPr>
          <w:rFonts w:eastAsia="宋体" w:cs="Times New Roman"/>
          <w:szCs w:val="20"/>
        </w:rPr>
      </w:pPr>
      <w:r>
        <w:rPr>
          <w:rFonts w:hint="eastAsia" w:eastAsia="宋体" w:cs="Times New Roman"/>
          <w:szCs w:val="20"/>
        </w:rPr>
        <w:t>植物多样性监测主要针对高等维管植物及水生维管植物。陆地高等维管植物监测项目包括植被类型及面积、植物种类及分布、多样性、特有植物、国家重点保护植物（参考《国家重点保护野生植物名录》）。水生植物（挺水植物、浮叶根生植物以及沉水植物、漂浮植物）监测主要包括种类以及分布。</w:t>
      </w:r>
    </w:p>
    <w:p>
      <w:pPr>
        <w:adjustRightInd w:val="0"/>
        <w:snapToGrid w:val="0"/>
        <w:ind w:firstLine="480"/>
        <w:rPr>
          <w:rFonts w:eastAsia="宋体" w:cs="Times New Roman"/>
          <w:szCs w:val="20"/>
        </w:rPr>
      </w:pPr>
      <w:r>
        <w:rPr>
          <w:rFonts w:hint="eastAsia" w:eastAsia="宋体" w:cs="Times New Roman"/>
          <w:szCs w:val="20"/>
        </w:rPr>
        <w:t>植被类型及面积的监测属宏观监测范畴，主要采用</w:t>
      </w:r>
      <w:r>
        <w:rPr>
          <w:rFonts w:eastAsia="宋体" w:cs="Times New Roman"/>
          <w:szCs w:val="20"/>
        </w:rPr>
        <w:t>UAV</w:t>
      </w:r>
      <w:r>
        <w:rPr>
          <w:rFonts w:hint="eastAsia" w:eastAsia="宋体" w:cs="Times New Roman"/>
          <w:szCs w:val="20"/>
        </w:rPr>
        <w:t>遥感数据解译获取，可采用航拍技术直接监测记录。植物多样性监测采用定性调查与定量调查相结合的方法。植物种类、分布、多样性定量调查以样方法、样带法为主。</w:t>
      </w:r>
    </w:p>
    <w:p>
      <w:pPr>
        <w:adjustRightInd w:val="0"/>
        <w:snapToGrid w:val="0"/>
        <w:ind w:firstLine="480"/>
        <w:rPr>
          <w:rFonts w:eastAsia="宋体" w:cs="Times New Roman"/>
          <w:szCs w:val="20"/>
        </w:rPr>
      </w:pPr>
      <w:r>
        <w:rPr>
          <w:rFonts w:hint="eastAsia" w:eastAsia="宋体" w:cs="Times New Roman"/>
          <w:szCs w:val="20"/>
        </w:rPr>
        <w:t>样方法。根据植被分布类型和面积，进行调查样地布设。根据每个调查样地内物种数量设置样方，样方面积及数量要求如下：林地：</w:t>
      </w:r>
      <w:r>
        <w:rPr>
          <w:rFonts w:eastAsia="宋体" w:cs="Times New Roman"/>
          <w:szCs w:val="20"/>
        </w:rPr>
        <w:t>20 m</w:t>
      </w:r>
      <w:r>
        <w:rPr>
          <w:rFonts w:hint="eastAsia" w:eastAsia="宋体" w:cs="Times New Roman"/>
          <w:szCs w:val="20"/>
        </w:rPr>
        <w:t>×</w:t>
      </w:r>
      <w:r>
        <w:rPr>
          <w:rFonts w:eastAsia="宋体" w:cs="Times New Roman"/>
          <w:szCs w:val="20"/>
        </w:rPr>
        <w:t>20m</w:t>
      </w:r>
      <w:r>
        <w:rPr>
          <w:rFonts w:hint="eastAsia" w:eastAsia="宋体" w:cs="Times New Roman"/>
          <w:szCs w:val="20"/>
        </w:rPr>
        <w:t>，每个样地不少于</w:t>
      </w:r>
      <w:r>
        <w:rPr>
          <w:rFonts w:eastAsia="宋体" w:cs="Times New Roman"/>
          <w:szCs w:val="20"/>
        </w:rPr>
        <w:t xml:space="preserve">5 </w:t>
      </w:r>
      <w:r>
        <w:rPr>
          <w:rFonts w:hint="eastAsia" w:eastAsia="宋体" w:cs="Times New Roman"/>
          <w:szCs w:val="20"/>
        </w:rPr>
        <w:t>个；灌丛：</w:t>
      </w:r>
      <w:r>
        <w:rPr>
          <w:rFonts w:eastAsia="宋体" w:cs="Times New Roman"/>
          <w:szCs w:val="20"/>
        </w:rPr>
        <w:t>5 m</w:t>
      </w:r>
      <w:r>
        <w:rPr>
          <w:rFonts w:hint="eastAsia" w:eastAsia="宋体" w:cs="Times New Roman"/>
          <w:szCs w:val="20"/>
        </w:rPr>
        <w:t>×</w:t>
      </w:r>
      <w:r>
        <w:rPr>
          <w:rFonts w:eastAsia="宋体" w:cs="Times New Roman"/>
          <w:szCs w:val="20"/>
        </w:rPr>
        <w:t>5 m</w:t>
      </w:r>
      <w:r>
        <w:rPr>
          <w:rFonts w:hint="eastAsia" w:eastAsia="宋体" w:cs="Times New Roman"/>
          <w:szCs w:val="20"/>
        </w:rPr>
        <w:t>，每个样地不少于</w:t>
      </w:r>
      <w:r>
        <w:rPr>
          <w:rFonts w:eastAsia="宋体" w:cs="Times New Roman"/>
          <w:szCs w:val="20"/>
        </w:rPr>
        <w:t xml:space="preserve">10 </w:t>
      </w:r>
      <w:r>
        <w:rPr>
          <w:rFonts w:hint="eastAsia" w:eastAsia="宋体" w:cs="Times New Roman"/>
          <w:szCs w:val="20"/>
        </w:rPr>
        <w:t>个；草地：</w:t>
      </w:r>
      <w:r>
        <w:rPr>
          <w:rFonts w:eastAsia="宋体" w:cs="Times New Roman"/>
          <w:szCs w:val="20"/>
        </w:rPr>
        <w:t>1 m</w:t>
      </w:r>
      <w:r>
        <w:rPr>
          <w:rFonts w:hint="eastAsia" w:eastAsia="宋体" w:cs="Times New Roman"/>
          <w:szCs w:val="20"/>
        </w:rPr>
        <w:t>×</w:t>
      </w:r>
      <w:r>
        <w:rPr>
          <w:rFonts w:eastAsia="宋体" w:cs="Times New Roman"/>
          <w:szCs w:val="20"/>
        </w:rPr>
        <w:t>1 m</w:t>
      </w:r>
      <w:r>
        <w:rPr>
          <w:rFonts w:hint="eastAsia" w:eastAsia="宋体" w:cs="Times New Roman"/>
          <w:szCs w:val="20"/>
        </w:rPr>
        <w:t>，每个样地不少于</w:t>
      </w:r>
      <w:r>
        <w:rPr>
          <w:rFonts w:eastAsia="宋体" w:cs="Times New Roman"/>
          <w:szCs w:val="20"/>
        </w:rPr>
        <w:t xml:space="preserve">20 </w:t>
      </w:r>
      <w:r>
        <w:rPr>
          <w:rFonts w:hint="eastAsia" w:eastAsia="宋体" w:cs="Times New Roman"/>
          <w:szCs w:val="20"/>
        </w:rPr>
        <w:t>个；水生植物采用</w:t>
      </w:r>
      <w:r>
        <w:rPr>
          <w:rFonts w:eastAsia="宋体" w:cs="Times New Roman"/>
          <w:szCs w:val="20"/>
        </w:rPr>
        <w:t>1 m</w:t>
      </w:r>
      <w:r>
        <w:rPr>
          <w:rFonts w:hint="eastAsia" w:eastAsia="宋体" w:cs="Times New Roman"/>
          <w:szCs w:val="20"/>
        </w:rPr>
        <w:t>×</w:t>
      </w:r>
      <w:r>
        <w:rPr>
          <w:rFonts w:eastAsia="宋体" w:cs="Times New Roman"/>
          <w:szCs w:val="20"/>
        </w:rPr>
        <w:t>1 m</w:t>
      </w:r>
      <w:r>
        <w:rPr>
          <w:rFonts w:hint="eastAsia" w:eastAsia="宋体" w:cs="Times New Roman"/>
          <w:szCs w:val="20"/>
        </w:rPr>
        <w:t>，每个样地不少于</w:t>
      </w:r>
      <w:r>
        <w:rPr>
          <w:rFonts w:eastAsia="宋体" w:cs="Times New Roman"/>
          <w:szCs w:val="20"/>
        </w:rPr>
        <w:t xml:space="preserve">10 </w:t>
      </w:r>
      <w:r>
        <w:rPr>
          <w:rFonts w:hint="eastAsia" w:eastAsia="宋体" w:cs="Times New Roman"/>
          <w:szCs w:val="20"/>
        </w:rPr>
        <w:t>个，主要记录样方内物种种类、数量、高度。</w:t>
      </w:r>
    </w:p>
    <w:p>
      <w:pPr>
        <w:adjustRightInd w:val="0"/>
        <w:snapToGrid w:val="0"/>
        <w:ind w:firstLine="480"/>
        <w:rPr>
          <w:rFonts w:eastAsia="宋体" w:cs="Times New Roman"/>
          <w:szCs w:val="20"/>
        </w:rPr>
      </w:pPr>
      <w:r>
        <w:rPr>
          <w:rFonts w:hint="eastAsia" w:eastAsia="宋体" w:cs="Times New Roman"/>
          <w:szCs w:val="20"/>
        </w:rPr>
        <w:t>样带法。沿生境梯度设置监测样带，样带宽≥</w:t>
      </w:r>
      <w:r>
        <w:rPr>
          <w:rFonts w:eastAsia="宋体" w:cs="Times New Roman"/>
          <w:szCs w:val="20"/>
        </w:rPr>
        <w:t xml:space="preserve"> 10m</w:t>
      </w:r>
      <w:r>
        <w:rPr>
          <w:rFonts w:hint="eastAsia" w:eastAsia="宋体" w:cs="Times New Roman"/>
          <w:szCs w:val="20"/>
        </w:rPr>
        <w:t>，长度视地形条件、植被类型及目标植物物种分布情况确定，样带数量依植被分布特征确定，不小于</w:t>
      </w:r>
      <w:r>
        <w:rPr>
          <w:rFonts w:eastAsia="宋体" w:cs="Times New Roman"/>
          <w:szCs w:val="20"/>
        </w:rPr>
        <w:t xml:space="preserve">2 </w:t>
      </w:r>
      <w:r>
        <w:rPr>
          <w:rFonts w:hint="eastAsia" w:eastAsia="宋体" w:cs="Times New Roman"/>
          <w:szCs w:val="20"/>
        </w:rPr>
        <w:t>条</w:t>
      </w:r>
      <w:r>
        <w:rPr>
          <w:rFonts w:eastAsia="宋体" w:cs="Times New Roman"/>
          <w:szCs w:val="20"/>
        </w:rPr>
        <w:t>/km</w:t>
      </w:r>
      <w:r>
        <w:rPr>
          <w:rFonts w:hint="eastAsia" w:eastAsia="宋体" w:cs="Times New Roman"/>
          <w:szCs w:val="20"/>
        </w:rPr>
        <w:t>。某植物物种单位面积数量为所有样方（带）内的该植株数量除以样方（带）总面积，再乘以植被面积即为该植物的植株总数量。</w:t>
      </w:r>
    </w:p>
    <w:p>
      <w:pPr>
        <w:adjustRightInd w:val="0"/>
        <w:snapToGrid w:val="0"/>
        <w:ind w:firstLine="196" w:firstLineChars="82"/>
        <w:jc w:val="center"/>
        <w:rPr>
          <w:rFonts w:eastAsia="宋体" w:cs="Times New Roman"/>
          <w:bCs/>
          <w:szCs w:val="24"/>
        </w:rPr>
      </w:pPr>
      <w:r>
        <w:rPr>
          <w:rFonts w:hint="eastAsia" w:eastAsia="宋体" w:cs="Times New Roman"/>
          <w:bCs/>
          <w:szCs w:val="24"/>
        </w:rPr>
        <w:t>表7</w:t>
      </w:r>
      <w:r>
        <w:rPr>
          <w:rFonts w:eastAsia="宋体" w:cs="Times New Roman"/>
          <w:bCs/>
          <w:szCs w:val="24"/>
        </w:rPr>
        <w:t>.2-</w:t>
      </w:r>
      <w:r>
        <w:rPr>
          <w:rFonts w:hint="eastAsia" w:eastAsia="宋体" w:cs="Times New Roman"/>
          <w:bCs/>
          <w:szCs w:val="24"/>
        </w:rPr>
        <w:t>3</w:t>
      </w:r>
      <w:r>
        <w:rPr>
          <w:rFonts w:eastAsia="宋体" w:cs="Times New Roman"/>
          <w:bCs/>
          <w:szCs w:val="24"/>
        </w:rPr>
        <w:t xml:space="preserve"> </w:t>
      </w:r>
      <w:r>
        <w:rPr>
          <w:rFonts w:hint="eastAsia" w:eastAsia="宋体" w:cs="Times New Roman"/>
          <w:bCs/>
          <w:szCs w:val="24"/>
        </w:rPr>
        <w:t>植物监测项目与指标</w:t>
      </w:r>
    </w:p>
    <w:tbl>
      <w:tblPr>
        <w:tblStyle w:val="10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3827"/>
        <w:gridCol w:w="1276"/>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监测指标</w:t>
            </w: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描述</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定性监测</w:t>
            </w:r>
          </w:p>
        </w:tc>
        <w:tc>
          <w:tcPr>
            <w:tcW w:w="1638" w:type="dxa"/>
          </w:tcPr>
          <w:p>
            <w:pPr>
              <w:adjustRightInd w:val="0"/>
              <w:snapToGrid w:val="0"/>
              <w:spacing w:before="93" w:beforeLines="30" w:after="93" w:afterLines="30" w:line="240" w:lineRule="auto"/>
              <w:ind w:firstLine="0" w:firstLineChars="0"/>
              <w:rPr>
                <w:rFonts w:eastAsia="宋体" w:cs="Times New Roman"/>
                <w:sz w:val="22"/>
              </w:rPr>
            </w:pPr>
            <w:r>
              <w:rPr>
                <w:rFonts w:hint="eastAsia" w:eastAsia="宋体" w:cs="Times New Roman"/>
                <w:sz w:val="22"/>
              </w:rPr>
              <w:t>定量监测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植被类型</w:t>
            </w: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按照中国植被分类系统</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人员观测</w:t>
            </w:r>
          </w:p>
        </w:tc>
        <w:tc>
          <w:tcPr>
            <w:tcW w:w="1638" w:type="dxa"/>
          </w:tcPr>
          <w:p>
            <w:pPr>
              <w:adjustRightInd w:val="0"/>
              <w:snapToGrid w:val="0"/>
              <w:spacing w:before="93" w:beforeLines="30" w:after="93" w:afterLines="30" w:line="240" w:lineRule="auto"/>
              <w:ind w:firstLine="0" w:firstLineChars="0"/>
              <w:rPr>
                <w:rFonts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植被覆盖度</w:t>
            </w: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植被覆盖的百分比</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人员观测</w:t>
            </w:r>
          </w:p>
        </w:tc>
        <w:tc>
          <w:tcPr>
            <w:tcW w:w="1638"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UAV遥感分析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水生植被覆盖度</w:t>
            </w: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水生植被覆盖水域的百分比、及水生植被面积占所评价区域面积的百分比</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人员观测</w:t>
            </w:r>
          </w:p>
        </w:tc>
        <w:tc>
          <w:tcPr>
            <w:tcW w:w="1638"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遥感分析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物种多样性</w:t>
            </w: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物种数量，多样性指标</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人员观测</w:t>
            </w:r>
          </w:p>
        </w:tc>
        <w:tc>
          <w:tcPr>
            <w:tcW w:w="1638"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样方调查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乡土种</w:t>
            </w: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乡土种数量、存活情况</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人员观测</w:t>
            </w:r>
          </w:p>
        </w:tc>
        <w:tc>
          <w:tcPr>
            <w:tcW w:w="1638"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样方调查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生物量</w:t>
            </w:r>
          </w:p>
          <w:p>
            <w:pPr>
              <w:adjustRightInd w:val="0"/>
              <w:snapToGrid w:val="0"/>
              <w:spacing w:before="93" w:beforeLines="30" w:after="93" w:afterLines="30" w:line="240" w:lineRule="auto"/>
              <w:ind w:firstLine="0" w:firstLineChars="0"/>
              <w:rPr>
                <w:rFonts w:eastAsia="宋体" w:cs="Times New Roman"/>
                <w:sz w:val="22"/>
              </w:rPr>
            </w:pP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 xml:space="preserve">某一时刻单位面积内实存生活的有机物质（干重）总量 </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p>
        </w:tc>
        <w:tc>
          <w:tcPr>
            <w:tcW w:w="1638"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样方调查、实测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珍稀保护植物</w:t>
            </w: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种类、数量、生存状况</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人员观测</w:t>
            </w:r>
          </w:p>
        </w:tc>
        <w:tc>
          <w:tcPr>
            <w:tcW w:w="1638"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样方调查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外来入侵植物</w:t>
            </w:r>
          </w:p>
        </w:tc>
        <w:tc>
          <w:tcPr>
            <w:tcW w:w="3827"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外来入侵植物的种类、数量、控制情况</w:t>
            </w:r>
          </w:p>
        </w:tc>
        <w:tc>
          <w:tcPr>
            <w:tcW w:w="1276"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人员观测</w:t>
            </w:r>
          </w:p>
        </w:tc>
        <w:tc>
          <w:tcPr>
            <w:tcW w:w="1638" w:type="dxa"/>
          </w:tcPr>
          <w:p>
            <w:pPr>
              <w:adjustRightInd w:val="0"/>
              <w:snapToGrid w:val="0"/>
              <w:spacing w:before="93" w:beforeLines="30" w:after="93" w:afterLines="30" w:line="240" w:lineRule="auto"/>
              <w:ind w:firstLine="0" w:firstLineChars="0"/>
              <w:rPr>
                <w:rFonts w:eastAsia="宋体" w:cs="Times New Roman"/>
                <w:sz w:val="22"/>
              </w:rPr>
            </w:pPr>
            <w:r>
              <w:rPr>
                <w:rFonts w:eastAsia="宋体" w:cs="Times New Roman"/>
                <w:sz w:val="22"/>
              </w:rPr>
              <w:t>样方调查</w:t>
            </w:r>
          </w:p>
        </w:tc>
      </w:tr>
    </w:tbl>
    <w:p>
      <w:pPr>
        <w:adjustRightInd w:val="0"/>
        <w:snapToGrid w:val="0"/>
        <w:ind w:firstLine="480"/>
        <w:rPr>
          <w:rFonts w:eastAsia="宋体" w:cs="Times New Roman"/>
          <w:szCs w:val="20"/>
        </w:rPr>
      </w:pPr>
      <w:r>
        <w:rPr>
          <w:rFonts w:hint="eastAsia" w:eastAsia="宋体" w:cs="Times New Roman"/>
          <w:szCs w:val="20"/>
        </w:rPr>
        <w:t>d</w:t>
      </w:r>
      <w:r>
        <w:rPr>
          <w:rFonts w:eastAsia="宋体" w:cs="Times New Roman"/>
          <w:szCs w:val="20"/>
        </w:rPr>
        <w:t>.</w:t>
      </w:r>
      <w:r>
        <w:rPr>
          <w:rFonts w:hint="eastAsia" w:eastAsia="宋体" w:cs="Times New Roman"/>
          <w:szCs w:val="20"/>
        </w:rPr>
        <w:t>野生动物</w:t>
      </w:r>
    </w:p>
    <w:p>
      <w:pPr>
        <w:adjustRightInd w:val="0"/>
        <w:snapToGrid w:val="0"/>
        <w:ind w:firstLine="480"/>
        <w:rPr>
          <w:rFonts w:eastAsia="宋体" w:cs="Times New Roman"/>
          <w:szCs w:val="20"/>
        </w:rPr>
      </w:pPr>
      <w:r>
        <w:rPr>
          <w:rFonts w:hint="eastAsia" w:eastAsia="宋体" w:cs="Times New Roman"/>
          <w:szCs w:val="20"/>
        </w:rPr>
        <w:t>包括鸟类种类及种群数量、分布、多样性、国家重点保护野生动物名录中的鸟类。调查中应记录鸟类死亡数量及原因分析。采用定性调查与定量调查相结合的方法。要求监测人员熟练掌握鸟类分类知识，熟悉当地鸟类物种和活动规律。定性调查以定点观测、调查为主，定量调查以样点法、样带法为主。</w:t>
      </w:r>
    </w:p>
    <w:p>
      <w:pPr>
        <w:adjustRightInd w:val="0"/>
        <w:snapToGrid w:val="0"/>
        <w:ind w:firstLine="480"/>
        <w:rPr>
          <w:rFonts w:eastAsia="宋体" w:cs="Times New Roman"/>
          <w:szCs w:val="20"/>
        </w:rPr>
      </w:pPr>
      <w:r>
        <w:rPr>
          <w:rFonts w:hint="eastAsia" w:eastAsia="宋体" w:cs="Times New Roman"/>
          <w:szCs w:val="20"/>
        </w:rPr>
        <w:t>样点法。选择晴朗无风的天气，在日出后</w:t>
      </w:r>
      <w:r>
        <w:rPr>
          <w:rFonts w:eastAsia="宋体" w:cs="Times New Roman"/>
          <w:szCs w:val="20"/>
        </w:rPr>
        <w:t xml:space="preserve">2h </w:t>
      </w:r>
      <w:r>
        <w:rPr>
          <w:rFonts w:hint="eastAsia" w:eastAsia="宋体" w:cs="Times New Roman"/>
          <w:szCs w:val="20"/>
        </w:rPr>
        <w:t>和日落前</w:t>
      </w:r>
      <w:r>
        <w:rPr>
          <w:rFonts w:eastAsia="宋体" w:cs="Times New Roman"/>
          <w:szCs w:val="20"/>
        </w:rPr>
        <w:t xml:space="preserve">2h </w:t>
      </w:r>
      <w:r>
        <w:rPr>
          <w:rFonts w:hint="eastAsia" w:eastAsia="宋体" w:cs="Times New Roman"/>
          <w:szCs w:val="20"/>
        </w:rPr>
        <w:t>内进行观测，大雾、大雨、大风等天气除外。监测者到达监测样点后，应安静地等待</w:t>
      </w:r>
      <w:r>
        <w:rPr>
          <w:rFonts w:eastAsia="宋体" w:cs="Times New Roman"/>
          <w:szCs w:val="20"/>
        </w:rPr>
        <w:t xml:space="preserve">5min </w:t>
      </w:r>
      <w:r>
        <w:rPr>
          <w:rFonts w:hint="eastAsia" w:eastAsia="宋体" w:cs="Times New Roman"/>
          <w:szCs w:val="20"/>
        </w:rPr>
        <w:t>再开始计数。将观察到或听到的鸟类种类及种群数量。记录并拍摄鸟类及其生境照片。对难以拍摄的鸟类可采用录音进行记录。</w:t>
      </w:r>
    </w:p>
    <w:p>
      <w:pPr>
        <w:adjustRightInd w:val="0"/>
        <w:snapToGrid w:val="0"/>
        <w:ind w:firstLine="480"/>
        <w:rPr>
          <w:rFonts w:eastAsia="宋体" w:cs="Times New Roman"/>
          <w:szCs w:val="20"/>
        </w:rPr>
      </w:pPr>
      <w:r>
        <w:rPr>
          <w:rFonts w:hint="eastAsia" w:eastAsia="宋体" w:cs="Times New Roman"/>
          <w:szCs w:val="20"/>
        </w:rPr>
        <w:t>样带法。选择晴朗无风的天气，在日出后</w:t>
      </w:r>
      <w:r>
        <w:rPr>
          <w:rFonts w:eastAsia="宋体" w:cs="Times New Roman"/>
          <w:szCs w:val="20"/>
        </w:rPr>
        <w:t xml:space="preserve">2h </w:t>
      </w:r>
      <w:r>
        <w:rPr>
          <w:rFonts w:hint="eastAsia" w:eastAsia="宋体" w:cs="Times New Roman"/>
          <w:szCs w:val="20"/>
        </w:rPr>
        <w:t>和日落前</w:t>
      </w:r>
      <w:r>
        <w:rPr>
          <w:rFonts w:eastAsia="宋体" w:cs="Times New Roman"/>
          <w:szCs w:val="20"/>
        </w:rPr>
        <w:t xml:space="preserve">2h </w:t>
      </w:r>
      <w:r>
        <w:rPr>
          <w:rFonts w:hint="eastAsia" w:eastAsia="宋体" w:cs="Times New Roman"/>
          <w:szCs w:val="20"/>
        </w:rPr>
        <w:t>内进行观测，大雾、大雨、大风等天气除外。监测者沿固定样线行走，速度为</w:t>
      </w:r>
      <w:r>
        <w:rPr>
          <w:rFonts w:eastAsia="宋体" w:cs="Times New Roman"/>
          <w:szCs w:val="20"/>
        </w:rPr>
        <w:t xml:space="preserve">1 </w:t>
      </w:r>
      <w:r>
        <w:rPr>
          <w:rFonts w:hint="eastAsia" w:eastAsia="宋体" w:cs="Times New Roman"/>
          <w:szCs w:val="20"/>
        </w:rPr>
        <w:t>～</w:t>
      </w:r>
      <w:r>
        <w:rPr>
          <w:rFonts w:eastAsia="宋体" w:cs="Times New Roman"/>
          <w:szCs w:val="20"/>
        </w:rPr>
        <w:t xml:space="preserve"> 2 km/h</w:t>
      </w:r>
      <w:r>
        <w:rPr>
          <w:rFonts w:hint="eastAsia" w:eastAsia="宋体" w:cs="Times New Roman"/>
          <w:szCs w:val="20"/>
        </w:rPr>
        <w:t>，观察、记录样线两侧和前方看到或听到的鸟类种类及种群数量，不记录从监测者身后向前飞的鸟类。并拍摄鸟类及其生境照片。对难以拍摄的鸟类可采用录音进行记录。</w:t>
      </w:r>
    </w:p>
    <w:p>
      <w:pPr>
        <w:adjustRightInd w:val="0"/>
        <w:snapToGrid w:val="0"/>
        <w:ind w:firstLine="480"/>
        <w:rPr>
          <w:rFonts w:eastAsia="宋体" w:cs="Times New Roman"/>
          <w:bCs/>
          <w:szCs w:val="20"/>
        </w:rPr>
      </w:pPr>
      <w:r>
        <w:rPr>
          <w:rFonts w:hint="eastAsia" w:eastAsia="宋体" w:cs="Times New Roman"/>
          <w:szCs w:val="20"/>
        </w:rPr>
        <w:t>热成像法。利用目前较普遍的红外热成像仪，进行样点或样线上鸟类数量监测，该方法能够拍摄到稀有或者活动隐蔽的在地面活动鸟类。对鸟类活动区域和日常活动路线进行调查基础上，将照相机安置在目标鸟类经常出没的通道或者活动密集区域。每个生境类型下设置不少于</w:t>
      </w:r>
      <w:r>
        <w:rPr>
          <w:rFonts w:eastAsia="宋体" w:cs="Times New Roman"/>
          <w:szCs w:val="20"/>
        </w:rPr>
        <w:t xml:space="preserve">5 </w:t>
      </w:r>
      <w:r>
        <w:rPr>
          <w:rFonts w:hint="eastAsia" w:eastAsia="宋体" w:cs="Times New Roman"/>
          <w:szCs w:val="20"/>
        </w:rPr>
        <w:t>个观测点。记录各样点拍摄到的鸟类的数量、种类等信息。</w:t>
      </w:r>
    </w:p>
    <w:p>
      <w:pPr>
        <w:pStyle w:val="4"/>
      </w:pPr>
      <w:r>
        <w:t>二、湿地监测站点</w:t>
      </w:r>
    </w:p>
    <w:p>
      <w:pPr>
        <w:pStyle w:val="5"/>
      </w:pPr>
      <w:r>
        <w:rPr>
          <w:rFonts w:hint="eastAsia"/>
        </w:rPr>
        <w:t>（一）生态定位监测站</w:t>
      </w:r>
    </w:p>
    <w:p>
      <w:pPr>
        <w:ind w:firstLine="480"/>
      </w:pPr>
      <w:r>
        <w:rPr>
          <w:rFonts w:hint="eastAsia"/>
        </w:rPr>
        <w:t>规划生态定位监测站1处。与科研中心结合，依托高校和科研单位成立玛纳斯湿地生态定位监测站，争取进入国家林业和草原局的生态定位观测网络，实现数据的共享。监测站配备标准气象观测场1个。</w:t>
      </w:r>
    </w:p>
    <w:p>
      <w:pPr>
        <w:pStyle w:val="5"/>
      </w:pPr>
      <w:r>
        <w:rPr>
          <w:rFonts w:hint="eastAsia"/>
        </w:rPr>
        <w:t>（二）生态定位观测点</w:t>
      </w:r>
    </w:p>
    <w:p>
      <w:pPr>
        <w:ind w:firstLine="480"/>
      </w:pPr>
      <w:r>
        <w:rPr>
          <w:rFonts w:hint="eastAsia" w:ascii="宋体" w:hAnsi="宋体"/>
        </w:rPr>
        <w:t>建设综合性</w:t>
      </w:r>
      <w:r>
        <w:rPr>
          <w:rFonts w:ascii="宋体" w:hAnsi="宋体"/>
        </w:rPr>
        <w:t>监测点</w:t>
      </w:r>
      <w:r>
        <w:rPr>
          <w:rFonts w:hint="eastAsia" w:ascii="宋体" w:hAnsi="宋体"/>
        </w:rPr>
        <w:t>，对水、土壤环境和动植物等生态系统组分的监测。包括</w:t>
      </w:r>
      <w:r>
        <w:rPr>
          <w:rFonts w:hint="eastAsia"/>
        </w:rPr>
        <w:t>水文水质监测点、关键物种监测点、固定样地、固定样线、鸟类环志站等。</w:t>
      </w:r>
    </w:p>
    <w:p>
      <w:pPr>
        <w:pStyle w:val="6"/>
        <w:ind w:firstLine="482"/>
      </w:pPr>
      <w:r>
        <w:rPr>
          <w:rFonts w:hint="eastAsia"/>
        </w:rPr>
        <w:t>1. 水文水质监测点</w:t>
      </w:r>
    </w:p>
    <w:p>
      <w:pPr>
        <w:ind w:firstLine="480"/>
        <w:rPr>
          <w:rFonts w:ascii="宋体" w:hAnsi="宋体"/>
        </w:rPr>
      </w:pPr>
      <w:r>
        <w:rPr>
          <w:rFonts w:hint="eastAsia" w:ascii="宋体" w:hAnsi="宋体"/>
        </w:rPr>
        <w:t>为了掌握湿地公园内的水文水质变化状况，规划在主要水系连通地，建水质水文监测点</w:t>
      </w:r>
      <w:r>
        <w:rPr>
          <w:rFonts w:ascii="宋体" w:hAnsi="宋体"/>
        </w:rPr>
        <w:t>3</w:t>
      </w:r>
      <w:r>
        <w:rPr>
          <w:rFonts w:hint="eastAsia" w:ascii="宋体" w:hAnsi="宋体"/>
        </w:rPr>
        <w:t>处。配备水位计、流速仪、蒸发器、水温计以及其他水质分析设备。</w:t>
      </w:r>
    </w:p>
    <w:p>
      <w:pPr>
        <w:pStyle w:val="6"/>
        <w:ind w:firstLine="482"/>
      </w:pPr>
      <w:r>
        <w:rPr>
          <w:rFonts w:hint="eastAsia"/>
        </w:rPr>
        <w:t>2.</w:t>
      </w:r>
      <w:r>
        <w:t xml:space="preserve"> </w:t>
      </w:r>
      <w:r>
        <w:rPr>
          <w:rFonts w:hint="eastAsia"/>
        </w:rPr>
        <w:t>鸟类监测点</w:t>
      </w:r>
    </w:p>
    <w:p>
      <w:pPr>
        <w:ind w:firstLine="480"/>
        <w:rPr>
          <w:rFonts w:ascii="宋体" w:hAnsi="宋体"/>
        </w:rPr>
      </w:pPr>
      <w:r>
        <w:rPr>
          <w:rFonts w:hint="eastAsia" w:ascii="宋体" w:hAnsi="宋体"/>
        </w:rPr>
        <w:t>规划在公园建立鸟类监测点</w:t>
      </w:r>
      <w:r>
        <w:rPr>
          <w:rFonts w:ascii="宋体" w:hAnsi="宋体"/>
        </w:rPr>
        <w:t>3</w:t>
      </w:r>
      <w:r>
        <w:rPr>
          <w:rFonts w:hint="eastAsia" w:ascii="宋体" w:hAnsi="宋体"/>
        </w:rPr>
        <w:t>处。对湿地公园内的候鸟和当地留鸟开展长期监测和记录，同时可为国内外专家和学者进行鸟类观测研究提供场所。</w:t>
      </w:r>
    </w:p>
    <w:p>
      <w:pPr>
        <w:pStyle w:val="6"/>
        <w:ind w:firstLine="482"/>
      </w:pPr>
      <w:r>
        <w:rPr>
          <w:rFonts w:hint="eastAsia"/>
        </w:rPr>
        <w:t>3.</w:t>
      </w:r>
      <w:r>
        <w:t xml:space="preserve"> </w:t>
      </w:r>
      <w:r>
        <w:rPr>
          <w:rFonts w:hint="eastAsia"/>
        </w:rPr>
        <w:t>生态监测点</w:t>
      </w:r>
    </w:p>
    <w:p>
      <w:pPr>
        <w:ind w:firstLine="480"/>
        <w:rPr>
          <w:rFonts w:eastAsia="黑体"/>
          <w:b/>
          <w:bCs/>
          <w:kern w:val="44"/>
          <w:sz w:val="36"/>
          <w:szCs w:val="44"/>
        </w:rPr>
      </w:pPr>
      <w:r>
        <w:rPr>
          <w:rFonts w:hint="eastAsia"/>
        </w:rPr>
        <w:t>建设生态监测点</w:t>
      </w:r>
      <w:r>
        <w:t>5</w:t>
      </w:r>
      <w:r>
        <w:rPr>
          <w:rFonts w:hint="eastAsia"/>
        </w:rPr>
        <w:t>个，分别位于恢复重建区、保育区和合理利用区，用于监测湿地土壤、野生动植物、大气以及游客活动等，内设土壤采集、样品保存及野生动植物调查设备，此外还应配备紧急救助受伤野生动物的药品和设施。</w:t>
      </w:r>
      <w:r>
        <w:br w:type="page"/>
      </w:r>
    </w:p>
    <w:p>
      <w:pPr>
        <w:pStyle w:val="2"/>
        <w:ind w:firstLine="723"/>
      </w:pPr>
      <w:bookmarkStart w:id="49" w:name="_Toc130121665"/>
      <w:r>
        <w:rPr>
          <w:rFonts w:hint="eastAsia"/>
        </w:rPr>
        <w:t>第八章</w:t>
      </w:r>
      <w:r>
        <w:t xml:space="preserve">  </w:t>
      </w:r>
      <w:r>
        <w:rPr>
          <w:rFonts w:hint="eastAsia"/>
        </w:rPr>
        <w:t>科普宣教规划</w:t>
      </w:r>
      <w:bookmarkEnd w:id="49"/>
    </w:p>
    <w:p>
      <w:pPr>
        <w:pStyle w:val="3"/>
        <w:ind w:firstLine="643"/>
      </w:pPr>
      <w:bookmarkStart w:id="50" w:name="_Toc130121666"/>
      <w:r>
        <w:rPr>
          <w:rFonts w:hint="eastAsia"/>
        </w:rPr>
        <w:t>第一节</w:t>
      </w:r>
      <w:r>
        <w:t xml:space="preserve">  </w:t>
      </w:r>
      <w:r>
        <w:rPr>
          <w:rFonts w:hint="eastAsia"/>
        </w:rPr>
        <w:t>湿地宣教设施</w:t>
      </w:r>
      <w:bookmarkEnd w:id="50"/>
    </w:p>
    <w:p>
      <w:pPr>
        <w:pStyle w:val="4"/>
      </w:pPr>
      <w:r>
        <w:t>一、湿地科普宣教的目标</w:t>
      </w:r>
    </w:p>
    <w:p>
      <w:pPr>
        <w:ind w:firstLine="480"/>
      </w:pPr>
      <w:r>
        <w:t>湿地科普宣教规划的目标在于培养公众对湿地环境的保护意识和责任感</w:t>
      </w:r>
      <w:r>
        <w:rPr>
          <w:rFonts w:hint="eastAsia"/>
        </w:rPr>
        <w:t>，</w:t>
      </w:r>
      <w:r>
        <w:t>提升公众对</w:t>
      </w:r>
      <w:r>
        <w:rPr>
          <w:rFonts w:hint="eastAsia"/>
        </w:rPr>
        <w:t>玛纳斯河</w:t>
      </w:r>
      <w:r>
        <w:t>流域湿地保护价值的认知</w:t>
      </w:r>
      <w:r>
        <w:rPr>
          <w:rFonts w:hint="eastAsia"/>
        </w:rPr>
        <w:t>，</w:t>
      </w:r>
      <w:r>
        <w:t>提供研究</w:t>
      </w:r>
      <w:r>
        <w:rPr>
          <w:rFonts w:hint="eastAsia"/>
        </w:rPr>
        <w:t>西北内陆干旱区</w:t>
      </w:r>
      <w:r>
        <w:t>湿地生态环境保护与恢复技术</w:t>
      </w:r>
      <w:r>
        <w:rPr>
          <w:rFonts w:hint="eastAsia"/>
        </w:rPr>
        <w:t>，</w:t>
      </w:r>
      <w:r>
        <w:t>建立</w:t>
      </w:r>
      <w:r>
        <w:rPr>
          <w:rFonts w:hint="eastAsia"/>
        </w:rPr>
        <w:t>新疆玛纳斯国家湿地公园</w:t>
      </w:r>
      <w:r>
        <w:t>完善的科普宣教体系，使公众了解</w:t>
      </w:r>
      <w:r>
        <w:rPr>
          <w:rFonts w:hint="eastAsia"/>
        </w:rPr>
        <w:t>玛纳斯河流域</w:t>
      </w:r>
      <w:r>
        <w:t>湿地的成因以及孕育的</w:t>
      </w:r>
      <w:r>
        <w:rPr>
          <w:rFonts w:hint="eastAsia"/>
        </w:rPr>
        <w:t>绿洲</w:t>
      </w:r>
      <w:r>
        <w:t>文化。</w:t>
      </w:r>
    </w:p>
    <w:p>
      <w:pPr>
        <w:pStyle w:val="4"/>
      </w:pPr>
      <w:r>
        <w:t>二、湿地科普宣教方式</w:t>
      </w:r>
    </w:p>
    <w:p>
      <w:pPr>
        <w:pStyle w:val="5"/>
      </w:pPr>
      <w:r>
        <w:t>（一）湿地体验与探索</w:t>
      </w:r>
    </w:p>
    <w:p>
      <w:pPr>
        <w:ind w:firstLine="480"/>
        <w:rPr>
          <w:rFonts w:ascii="宋体" w:hAnsi="宋体"/>
        </w:rPr>
      </w:pPr>
      <w:r>
        <w:rPr>
          <w:rFonts w:ascii="宋体" w:hAnsi="宋体"/>
        </w:rPr>
        <w:t>在</w:t>
      </w:r>
      <w:r>
        <w:rPr>
          <w:rFonts w:hint="eastAsia" w:ascii="宋体" w:hAnsi="宋体"/>
        </w:rPr>
        <w:t>合理利用区通过</w:t>
      </w:r>
      <w:r>
        <w:rPr>
          <w:rFonts w:ascii="宋体" w:hAnsi="宋体"/>
        </w:rPr>
        <w:t>科普</w:t>
      </w:r>
      <w:r>
        <w:rPr>
          <w:rFonts w:hint="eastAsia" w:ascii="宋体" w:hAnsi="宋体"/>
        </w:rPr>
        <w:t>宣教</w:t>
      </w:r>
      <w:r>
        <w:rPr>
          <w:rFonts w:ascii="宋体" w:hAnsi="宋体"/>
        </w:rPr>
        <w:t>中心</w:t>
      </w:r>
      <w:r>
        <w:rPr>
          <w:rFonts w:hint="eastAsia" w:ascii="宋体" w:hAnsi="宋体"/>
        </w:rPr>
        <w:t>和室外区域</w:t>
      </w:r>
      <w:r>
        <w:rPr>
          <w:rFonts w:ascii="宋体" w:hAnsi="宋体"/>
        </w:rPr>
        <w:t>开展</w:t>
      </w:r>
      <w:r>
        <w:rPr>
          <w:rFonts w:hint="eastAsia" w:ascii="宋体" w:hAnsi="宋体"/>
        </w:rPr>
        <w:t>宣教</w:t>
      </w:r>
      <w:r>
        <w:rPr>
          <w:rFonts w:ascii="宋体" w:hAnsi="宋体"/>
        </w:rPr>
        <w:t>活动。规划体验式</w:t>
      </w:r>
      <w:r>
        <w:rPr>
          <w:rFonts w:hint="eastAsia" w:ascii="宋体" w:hAnsi="宋体"/>
        </w:rPr>
        <w:t>、参与式内容</w:t>
      </w:r>
      <w:r>
        <w:rPr>
          <w:rFonts w:ascii="宋体" w:hAnsi="宋体"/>
        </w:rPr>
        <w:t>，通过对湿地零距离的接触，增加对</w:t>
      </w:r>
      <w:r>
        <w:rPr>
          <w:rFonts w:hint="eastAsia" w:ascii="宋体" w:hAnsi="宋体"/>
        </w:rPr>
        <w:t>干旱区绿洲生态环境基础的</w:t>
      </w:r>
      <w:r>
        <w:rPr>
          <w:rFonts w:ascii="宋体" w:hAnsi="宋体"/>
        </w:rPr>
        <w:t>认识。</w:t>
      </w:r>
    </w:p>
    <w:p>
      <w:pPr>
        <w:pStyle w:val="5"/>
      </w:pPr>
      <w:r>
        <w:t>（二）知识讲座</w:t>
      </w:r>
    </w:p>
    <w:p>
      <w:pPr>
        <w:ind w:firstLine="480"/>
        <w:rPr>
          <w:rFonts w:ascii="宋体" w:hAnsi="宋体"/>
        </w:rPr>
      </w:pPr>
      <w:r>
        <w:rPr>
          <w:rFonts w:ascii="宋体" w:hAnsi="宋体"/>
        </w:rPr>
        <w:t>由专业的导游、讲解员为游客讲解湿地的百科知识，介绍</w:t>
      </w:r>
      <w:r>
        <w:rPr>
          <w:rFonts w:hint="eastAsia" w:ascii="宋体" w:hAnsi="宋体"/>
        </w:rPr>
        <w:t>西北干旱区</w:t>
      </w:r>
      <w:r>
        <w:rPr>
          <w:rFonts w:ascii="宋体" w:hAnsi="宋体"/>
        </w:rPr>
        <w:t>特</w:t>
      </w:r>
      <w:r>
        <w:rPr>
          <w:rFonts w:hint="eastAsia" w:ascii="宋体" w:hAnsi="宋体"/>
        </w:rPr>
        <w:t>有</w:t>
      </w:r>
      <w:r>
        <w:rPr>
          <w:rFonts w:ascii="宋体" w:hAnsi="宋体"/>
        </w:rPr>
        <w:t>的</w:t>
      </w:r>
      <w:r>
        <w:rPr>
          <w:rFonts w:hint="eastAsia" w:ascii="宋体" w:hAnsi="宋体"/>
        </w:rPr>
        <w:t>湿地</w:t>
      </w:r>
      <w:r>
        <w:rPr>
          <w:rFonts w:ascii="宋体" w:hAnsi="宋体"/>
        </w:rPr>
        <w:t>植物与保护动物</w:t>
      </w:r>
      <w:r>
        <w:rPr>
          <w:rFonts w:hint="eastAsia" w:ascii="宋体" w:hAnsi="宋体"/>
        </w:rPr>
        <w:t>和具有特殊保护价值的明星物种</w:t>
      </w:r>
      <w:r>
        <w:rPr>
          <w:rFonts w:ascii="宋体" w:hAnsi="宋体"/>
        </w:rPr>
        <w:t>。</w:t>
      </w:r>
    </w:p>
    <w:p>
      <w:pPr>
        <w:pStyle w:val="5"/>
      </w:pPr>
      <w:r>
        <w:t>（三）科普宣传展览</w:t>
      </w:r>
    </w:p>
    <w:p>
      <w:pPr>
        <w:ind w:firstLine="480"/>
        <w:rPr>
          <w:rFonts w:ascii="宋体" w:hAnsi="宋体"/>
        </w:rPr>
      </w:pPr>
      <w:r>
        <w:rPr>
          <w:rFonts w:hint="eastAsia" w:ascii="宋体" w:hAnsi="宋体"/>
        </w:rPr>
        <w:t>通过现代媒体</w:t>
      </w:r>
      <w:r>
        <w:rPr>
          <w:rFonts w:ascii="宋体" w:hAnsi="宋体"/>
        </w:rPr>
        <w:t>播放湿地科普公益广告；</w:t>
      </w:r>
      <w:r>
        <w:rPr>
          <w:rFonts w:hint="eastAsia" w:ascii="宋体" w:hAnsi="宋体"/>
        </w:rPr>
        <w:t>结合湿地日、环境保护日等</w:t>
      </w:r>
      <w:r>
        <w:rPr>
          <w:rFonts w:ascii="宋体" w:hAnsi="宋体"/>
        </w:rPr>
        <w:t>在学校、社区、街头</w:t>
      </w:r>
      <w:r>
        <w:rPr>
          <w:rFonts w:hint="eastAsia" w:ascii="宋体" w:hAnsi="宋体"/>
        </w:rPr>
        <w:t>举办</w:t>
      </w:r>
      <w:r>
        <w:rPr>
          <w:rFonts w:ascii="宋体" w:hAnsi="宋体"/>
        </w:rPr>
        <w:t>主题展览，介绍湿地知识，传播</w:t>
      </w:r>
      <w:r>
        <w:rPr>
          <w:rFonts w:hint="eastAsia" w:ascii="宋体" w:hAnsi="宋体"/>
        </w:rPr>
        <w:t>干旱区</w:t>
      </w:r>
      <w:r>
        <w:rPr>
          <w:rFonts w:ascii="宋体" w:hAnsi="宋体"/>
        </w:rPr>
        <w:t>独特的</w:t>
      </w:r>
      <w:r>
        <w:rPr>
          <w:rFonts w:hint="eastAsia" w:ascii="宋体" w:hAnsi="宋体"/>
        </w:rPr>
        <w:t>绿洲生态</w:t>
      </w:r>
      <w:r>
        <w:rPr>
          <w:rFonts w:ascii="宋体" w:hAnsi="宋体"/>
        </w:rPr>
        <w:t>文化。</w:t>
      </w:r>
    </w:p>
    <w:p>
      <w:pPr>
        <w:pStyle w:val="5"/>
      </w:pPr>
      <w:r>
        <w:t>（四）活动参与</w:t>
      </w:r>
    </w:p>
    <w:p>
      <w:pPr>
        <w:ind w:firstLine="480"/>
        <w:rPr>
          <w:rFonts w:ascii="宋体" w:hAnsi="宋体"/>
        </w:rPr>
      </w:pPr>
      <w:r>
        <w:rPr>
          <w:rFonts w:ascii="宋体" w:hAnsi="宋体"/>
        </w:rPr>
        <w:t>通过举办征文、摄影、绘画比赛等活动，增加民众对湿地的关注与兴趣，吸引更多的普通民众参与到湿地的宣教活动中。</w:t>
      </w:r>
    </w:p>
    <w:p>
      <w:pPr>
        <w:pStyle w:val="5"/>
      </w:pPr>
      <w:r>
        <w:t>（五）</w:t>
      </w:r>
      <w:r>
        <w:rPr>
          <w:rFonts w:hint="eastAsia"/>
        </w:rPr>
        <w:t>研学教育</w:t>
      </w:r>
    </w:p>
    <w:p>
      <w:pPr>
        <w:ind w:firstLine="480"/>
        <w:rPr>
          <w:rFonts w:ascii="宋体" w:hAnsi="宋体"/>
        </w:rPr>
      </w:pPr>
      <w:r>
        <w:rPr>
          <w:rFonts w:ascii="宋体" w:hAnsi="宋体"/>
        </w:rPr>
        <w:t>联合教育机构举办湿地相关科学教育活动，</w:t>
      </w:r>
      <w:r>
        <w:rPr>
          <w:rFonts w:hint="eastAsia" w:ascii="宋体" w:hAnsi="宋体"/>
        </w:rPr>
        <w:t>为中小学提供野外教育基地，</w:t>
      </w:r>
      <w:r>
        <w:rPr>
          <w:rFonts w:ascii="宋体" w:hAnsi="宋体"/>
        </w:rPr>
        <w:t>一方面可以由湿地保护专家直接</w:t>
      </w:r>
      <w:bookmarkStart w:id="51" w:name="page72"/>
      <w:bookmarkEnd w:id="51"/>
      <w:r>
        <w:rPr>
          <w:rFonts w:ascii="宋体" w:hAnsi="宋体"/>
        </w:rPr>
        <w:t>到学校为师生提供湿地知识讲座，让湿地走进课堂，另一方面可以通过对教师开展培训，更直接广泛的教育学生。</w:t>
      </w:r>
    </w:p>
    <w:p>
      <w:pPr>
        <w:pStyle w:val="4"/>
      </w:pPr>
      <w:r>
        <w:t>三、科普宣教设施</w:t>
      </w:r>
    </w:p>
    <w:p>
      <w:pPr>
        <w:ind w:firstLine="480"/>
        <w:rPr>
          <w:rFonts w:ascii="宋体" w:hAnsi="宋体"/>
        </w:rPr>
      </w:pPr>
      <w:r>
        <w:rPr>
          <w:rFonts w:hint="eastAsia" w:ascii="宋体" w:hAnsi="宋体"/>
        </w:rPr>
        <w:t>新疆玛纳斯国家湿地公园</w:t>
      </w:r>
      <w:r>
        <w:rPr>
          <w:rFonts w:ascii="宋体" w:hAnsi="宋体"/>
        </w:rPr>
        <w:t>内规划建设的科普设施主要有湿地博物馆，湿地功能与植物认知园、观鸟台、</w:t>
      </w:r>
      <w:r>
        <w:rPr>
          <w:rFonts w:hint="eastAsia" w:ascii="宋体" w:hAnsi="宋体"/>
        </w:rPr>
        <w:t>科普走廊</w:t>
      </w:r>
      <w:r>
        <w:rPr>
          <w:rFonts w:ascii="宋体" w:hAnsi="宋体"/>
        </w:rPr>
        <w:t>等。</w:t>
      </w:r>
    </w:p>
    <w:p>
      <w:pPr>
        <w:pStyle w:val="5"/>
      </w:pPr>
      <w:r>
        <w:t>（一）湿地科普教育中心</w:t>
      </w:r>
      <w:r>
        <w:rPr>
          <w:rFonts w:hint="eastAsia"/>
        </w:rPr>
        <w:t>（访问中心）</w:t>
      </w:r>
    </w:p>
    <w:p>
      <w:pPr>
        <w:ind w:firstLine="480"/>
        <w:rPr>
          <w:rFonts w:ascii="宋体" w:hAnsi="宋体"/>
        </w:rPr>
      </w:pPr>
      <w:r>
        <w:rPr>
          <w:rFonts w:ascii="宋体" w:hAnsi="宋体"/>
        </w:rPr>
        <w:t>湿地科普教育中心即湿地博物馆位于靠近湿地公园主入口，</w:t>
      </w:r>
      <w:r>
        <w:rPr>
          <w:rFonts w:hint="eastAsia" w:ascii="宋体" w:hAnsi="宋体"/>
        </w:rPr>
        <w:t>建筑面积约</w:t>
      </w:r>
      <w:r>
        <w:rPr>
          <w:rFonts w:ascii="宋体" w:hAnsi="宋体"/>
        </w:rPr>
        <w:t>2</w:t>
      </w:r>
      <w:r>
        <w:rPr>
          <w:rFonts w:hint="eastAsia" w:ascii="宋体" w:hAnsi="宋体"/>
        </w:rPr>
        <w:t>000㎡；</w:t>
      </w:r>
      <w:r>
        <w:rPr>
          <w:rFonts w:ascii="宋体" w:hAnsi="宋体"/>
        </w:rPr>
        <w:t>功能</w:t>
      </w:r>
      <w:r>
        <w:rPr>
          <w:rFonts w:hint="eastAsia" w:ascii="宋体" w:hAnsi="宋体"/>
        </w:rPr>
        <w:t>展厅</w:t>
      </w:r>
      <w:r>
        <w:rPr>
          <w:rFonts w:ascii="宋体" w:hAnsi="宋体"/>
        </w:rPr>
        <w:t>包括湿地大众知识展厅、湿地生物多样性展示厅、湿地治污展示厅、影音放音厅等。建筑</w:t>
      </w:r>
      <w:r>
        <w:rPr>
          <w:rFonts w:hint="eastAsia" w:ascii="宋体" w:hAnsi="宋体"/>
        </w:rPr>
        <w:t>外观</w:t>
      </w:r>
      <w:r>
        <w:rPr>
          <w:rFonts w:ascii="宋体" w:hAnsi="宋体"/>
        </w:rPr>
        <w:t>与周边自然湿地环境融而一体，采用</w:t>
      </w:r>
      <w:r>
        <w:rPr>
          <w:rFonts w:hint="eastAsia" w:ascii="宋体" w:hAnsi="宋体"/>
        </w:rPr>
        <w:t>乡土材料</w:t>
      </w:r>
      <w:r>
        <w:rPr>
          <w:rFonts w:ascii="宋体" w:hAnsi="宋体"/>
        </w:rPr>
        <w:t>。</w:t>
      </w:r>
    </w:p>
    <w:p>
      <w:pPr>
        <w:pStyle w:val="5"/>
      </w:pPr>
      <w:r>
        <w:t>（二）湿地植物认知园</w:t>
      </w:r>
    </w:p>
    <w:p>
      <w:pPr>
        <w:ind w:firstLine="480"/>
        <w:rPr>
          <w:rFonts w:ascii="宋体" w:hAnsi="宋体"/>
        </w:rPr>
      </w:pPr>
      <w:r>
        <w:rPr>
          <w:rFonts w:hint="eastAsia" w:ascii="宋体" w:hAnsi="宋体"/>
        </w:rPr>
        <w:t>建设</w:t>
      </w:r>
      <w:r>
        <w:rPr>
          <w:rFonts w:ascii="宋体" w:hAnsi="宋体"/>
        </w:rPr>
        <w:t>湿地植物园1</w:t>
      </w:r>
      <w:r>
        <w:rPr>
          <w:rFonts w:hint="eastAsia" w:ascii="宋体" w:hAnsi="宋体"/>
        </w:rPr>
        <w:t>处，</w:t>
      </w:r>
      <w:r>
        <w:rPr>
          <w:rFonts w:ascii="宋体" w:hAnsi="宋体"/>
        </w:rPr>
        <w:t>集游览功能与科普功能为一体。布置的水生植物种植池中分别种植不同的挺水，浮水，沉水植物，池边浮游植物名称及特性介绍的小标识牌。结合湿地植物认知区建设，开展湿地植物认养活动。游客可认养不同类型的湿地植物。通过这样的认养活动，达到湿地科普宣教的作用，提高人们对湿地的生态认知力，增强人与实地的互动性。</w:t>
      </w:r>
    </w:p>
    <w:p>
      <w:pPr>
        <w:pStyle w:val="5"/>
      </w:pPr>
      <w:r>
        <w:t>（三）观鸟</w:t>
      </w:r>
      <w:r>
        <w:rPr>
          <w:rFonts w:hint="eastAsia"/>
        </w:rPr>
        <w:t>屋</w:t>
      </w:r>
    </w:p>
    <w:p>
      <w:pPr>
        <w:ind w:firstLine="480"/>
      </w:pPr>
      <w:r>
        <w:t>建设观鸟</w:t>
      </w:r>
      <w:r>
        <w:rPr>
          <w:rFonts w:hint="eastAsia"/>
        </w:rPr>
        <w:t>屋</w:t>
      </w:r>
      <w:r>
        <w:t>5个</w:t>
      </w:r>
      <w:r>
        <w:rPr>
          <w:rFonts w:hint="eastAsia"/>
        </w:rPr>
        <w:t>，平台面积</w:t>
      </w:r>
      <w:r>
        <w:rPr>
          <w:rFonts w:cs="Times New Roman"/>
        </w:rPr>
        <w:t>50~100㎡</w:t>
      </w:r>
      <w:r>
        <w:rPr>
          <w:rFonts w:hint="eastAsia" w:cs="Times New Roman"/>
        </w:rPr>
        <w:t>。</w:t>
      </w:r>
      <w:r>
        <w:t>观鸟</w:t>
      </w:r>
      <w:r>
        <w:rPr>
          <w:rFonts w:hint="eastAsia"/>
        </w:rPr>
        <w:t>屋</w:t>
      </w:r>
      <w:r>
        <w:t>的建设应距离鸟类聚集地和取食地较远，适合远距离通过望远镜进行观鸟，白天大部分时间顺光。观鸟</w:t>
      </w:r>
      <w:r>
        <w:rPr>
          <w:rFonts w:hint="eastAsia"/>
        </w:rPr>
        <w:t>屋</w:t>
      </w:r>
      <w:r>
        <w:t>附近可种植灌丛遮蔽鸟类视线，种植高大树木提供游人遮荫和掩蔽等。内部通过采用隔音、单向透光玻璃，内设高倍望远镜开展观鸟活动，同时配备观鸟手册和简易图谱，方便游人开展观鸟活动，减少人对该区域鸟类的干扰。</w:t>
      </w:r>
    </w:p>
    <w:p>
      <w:pPr>
        <w:pStyle w:val="5"/>
      </w:pPr>
      <w:r>
        <w:rPr>
          <w:rFonts w:hint="eastAsia"/>
        </w:rPr>
        <w:t>（四）科普走廊</w:t>
      </w:r>
    </w:p>
    <w:p>
      <w:pPr>
        <w:ind w:firstLine="480"/>
        <w:rPr>
          <w:rFonts w:ascii="宋体" w:hAnsi="宋体"/>
        </w:rPr>
      </w:pPr>
      <w:r>
        <w:rPr>
          <w:rFonts w:hint="eastAsia" w:ascii="宋体" w:hAnsi="宋体"/>
        </w:rPr>
        <w:t>在管理服务区和合理利用区建设湿地科普走廊，包括生态道路、湿地步道、标识标牌、科普亭廊等设施。</w:t>
      </w:r>
      <w:bookmarkStart w:id="52" w:name="page73"/>
      <w:bookmarkEnd w:id="52"/>
      <w:r>
        <w:rPr>
          <w:rFonts w:hint="eastAsia" w:ascii="宋体" w:hAnsi="宋体"/>
        </w:rPr>
        <w:t>规划科普走廊项目1项。</w:t>
      </w:r>
    </w:p>
    <w:p>
      <w:pPr>
        <w:pStyle w:val="5"/>
      </w:pPr>
      <w:r>
        <w:rPr>
          <w:rFonts w:hint="eastAsia"/>
        </w:rPr>
        <w:t>（五）野外宣教点</w:t>
      </w:r>
    </w:p>
    <w:p>
      <w:pPr>
        <w:ind w:firstLine="480"/>
        <w:rPr>
          <w:rFonts w:ascii="宋体" w:hAnsi="宋体"/>
        </w:rPr>
      </w:pPr>
      <w:r>
        <w:rPr>
          <w:rFonts w:hint="eastAsia" w:ascii="宋体" w:hAnsi="宋体"/>
        </w:rPr>
        <w:t>在种质资源圃、湿地植物园、观鸟台等结合生态旅游和科研教学，建立野外科普宣教点，为公众提供科学普及服务。</w:t>
      </w:r>
    </w:p>
    <w:p>
      <w:pPr>
        <w:ind w:firstLine="480"/>
        <w:rPr>
          <w:rFonts w:ascii="宋体" w:hAnsi="宋体"/>
        </w:rPr>
      </w:pPr>
      <w:r>
        <w:rPr>
          <w:rFonts w:hint="eastAsia" w:ascii="宋体" w:hAnsi="宋体"/>
        </w:rPr>
        <w:t>规划野外宣教点5处，共计占地面积5</w:t>
      </w:r>
      <w:r>
        <w:t xml:space="preserve"> hm</w:t>
      </w:r>
      <w:r>
        <w:rPr>
          <w:vertAlign w:val="superscript"/>
        </w:rPr>
        <w:t>2</w:t>
      </w:r>
      <w:r>
        <w:rPr>
          <w:rFonts w:hint="eastAsia"/>
        </w:rPr>
        <w:t>。</w:t>
      </w:r>
    </w:p>
    <w:p>
      <w:pPr>
        <w:pStyle w:val="4"/>
      </w:pPr>
      <w:r>
        <w:rPr>
          <w:rFonts w:hint="eastAsia"/>
        </w:rPr>
        <w:t>四</w:t>
      </w:r>
      <w:r>
        <w:t>、科普宣教</w:t>
      </w:r>
      <w:r>
        <w:rPr>
          <w:rFonts w:hint="eastAsia"/>
        </w:rPr>
        <w:t>材料</w:t>
      </w:r>
    </w:p>
    <w:p>
      <w:pPr>
        <w:ind w:firstLine="480"/>
      </w:pPr>
      <w:r>
        <w:rPr>
          <w:rFonts w:hint="eastAsia"/>
        </w:rPr>
        <w:t>玛纳斯湿地公园科普宣教材料包括音像图文展示与播放材料、出版物等。图文展示与播放材料包含传统图文展示、语音解说材料等。图文展示通过展板等形式向游人进行介绍和阐释；语音解说材料如多语种无线收发式科普解说材料、便携式数码解说材料等。</w:t>
      </w:r>
    </w:p>
    <w:p>
      <w:pPr>
        <w:ind w:firstLine="480"/>
      </w:pPr>
      <w:r>
        <w:rPr>
          <w:rFonts w:hint="eastAsia" w:ascii="宋体" w:hAnsi="宋体"/>
        </w:rPr>
        <w:t>出版物解说是指放置在游客中心的游人免费取阅的资料、音像图书、宣传册与电子音像制品等，包括湿地公园生态系统科普、鸟类资源介绍与保护、人文民俗风情、绿洲生态文化、湿地科普活动安排等等。这些物品的放置是湿地公园科普宣传和形象宣传的重要手段之一。</w:t>
      </w:r>
    </w:p>
    <w:p>
      <w:pPr>
        <w:pStyle w:val="3"/>
        <w:ind w:firstLine="643"/>
      </w:pPr>
      <w:bookmarkStart w:id="53" w:name="_Toc130121667"/>
      <w:r>
        <w:rPr>
          <w:rFonts w:hint="eastAsia"/>
        </w:rPr>
        <w:t>第二节</w:t>
      </w:r>
      <w:r>
        <w:t xml:space="preserve">  </w:t>
      </w:r>
      <w:r>
        <w:rPr>
          <w:rFonts w:hint="eastAsia"/>
        </w:rPr>
        <w:t>解说标识系统</w:t>
      </w:r>
      <w:bookmarkEnd w:id="53"/>
    </w:p>
    <w:p>
      <w:pPr>
        <w:ind w:firstLine="480"/>
        <w:rPr>
          <w:rFonts w:ascii="宋体" w:hAnsi="宋体"/>
        </w:rPr>
      </w:pPr>
      <w:r>
        <w:rPr>
          <w:rFonts w:ascii="宋体" w:hAnsi="宋体"/>
        </w:rPr>
        <w:t>解说标识系统是湿地公园不可缺少的附属设施，用以</w:t>
      </w:r>
      <w:r>
        <w:rPr>
          <w:rFonts w:hint="eastAsia" w:ascii="宋体" w:hAnsi="宋体"/>
        </w:rPr>
        <w:t>指明</w:t>
      </w:r>
      <w:r>
        <w:rPr>
          <w:rFonts w:ascii="宋体" w:hAnsi="宋体"/>
        </w:rPr>
        <w:t>方向，阐述规章制度，识别景区景点，提供各类信息等等。整个公园各种类型的标牌有机组合形成标牌解说系统。标牌解说系统的建设与完善不仅是增加旅游者满意度的要求，同时也是公园不断创新，发展核心竞争力的要求。</w:t>
      </w:r>
    </w:p>
    <w:p>
      <w:pPr>
        <w:pStyle w:val="4"/>
      </w:pPr>
      <w:r>
        <w:t>一、标识内容</w:t>
      </w:r>
    </w:p>
    <w:p>
      <w:pPr>
        <w:ind w:firstLine="480"/>
        <w:rPr>
          <w:rFonts w:ascii="宋体" w:hAnsi="宋体"/>
        </w:rPr>
      </w:pPr>
      <w:r>
        <w:rPr>
          <w:rFonts w:ascii="宋体" w:hAnsi="宋体"/>
        </w:rPr>
        <w:t>标识按照内容分为以下五类：</w:t>
      </w:r>
    </w:p>
    <w:p>
      <w:pPr>
        <w:ind w:firstLine="480"/>
        <w:rPr>
          <w:rFonts w:ascii="宋体" w:hAnsi="宋体"/>
        </w:rPr>
      </w:pPr>
      <w:r>
        <w:rPr>
          <w:rFonts w:ascii="宋体" w:hAnsi="宋体"/>
        </w:rPr>
        <w:t>（一）指示性标牌：</w:t>
      </w:r>
      <w:r>
        <w:rPr>
          <w:rFonts w:hint="eastAsia" w:ascii="宋体" w:hAnsi="宋体"/>
        </w:rPr>
        <w:t>道路指示牌15块，</w:t>
      </w:r>
      <w:r>
        <w:rPr>
          <w:rFonts w:ascii="宋体" w:hAnsi="宋体"/>
        </w:rPr>
        <w:t>用来提供路线指南，配以图示。服务设施标牌</w:t>
      </w:r>
      <w:r>
        <w:rPr>
          <w:rFonts w:hint="eastAsia" w:ascii="宋体" w:hAnsi="宋体"/>
        </w:rPr>
        <w:t>20块，</w:t>
      </w:r>
      <w:r>
        <w:rPr>
          <w:rFonts w:ascii="宋体" w:hAnsi="宋体"/>
        </w:rPr>
        <w:t>用来指示</w:t>
      </w:r>
      <w:r>
        <w:rPr>
          <w:rFonts w:hint="eastAsia" w:ascii="宋体" w:hAnsi="宋体"/>
        </w:rPr>
        <w:t>服务、急救及</w:t>
      </w:r>
      <w:r>
        <w:rPr>
          <w:rFonts w:ascii="宋体" w:hAnsi="宋体"/>
        </w:rPr>
        <w:t>其他设施的道路，方便游客使用。</w:t>
      </w:r>
    </w:p>
    <w:p>
      <w:pPr>
        <w:ind w:firstLine="480"/>
        <w:rPr>
          <w:rFonts w:ascii="宋体" w:hAnsi="宋体"/>
        </w:rPr>
      </w:pPr>
      <w:r>
        <w:rPr>
          <w:rFonts w:ascii="宋体" w:hAnsi="宋体"/>
        </w:rPr>
        <w:t>（二）规定性标牌：规定性标牌揭示规章制度，规范游客行为，设置在休息点与主要出入口等旅游者比较集中的地方</w:t>
      </w:r>
      <w:r>
        <w:rPr>
          <w:rFonts w:hint="eastAsia" w:ascii="宋体" w:hAnsi="宋体"/>
        </w:rPr>
        <w:t>，共计10块</w:t>
      </w:r>
      <w:r>
        <w:rPr>
          <w:rFonts w:ascii="宋体" w:hAnsi="宋体"/>
        </w:rPr>
        <w:t>。</w:t>
      </w:r>
    </w:p>
    <w:p>
      <w:pPr>
        <w:ind w:firstLine="480"/>
        <w:rPr>
          <w:rFonts w:ascii="宋体" w:hAnsi="宋体"/>
        </w:rPr>
      </w:pPr>
      <w:r>
        <w:rPr>
          <w:rFonts w:ascii="宋体" w:hAnsi="宋体"/>
        </w:rPr>
        <w:t>（三）说明性标牌：是用来说明景区与景点的有关情况的，可以丰富游客的视野。</w:t>
      </w:r>
      <w:r>
        <w:rPr>
          <w:rFonts w:hint="eastAsia" w:ascii="宋体" w:hAnsi="宋体"/>
        </w:rPr>
        <w:t>设置在</w:t>
      </w:r>
      <w:r>
        <w:rPr>
          <w:rFonts w:ascii="宋体" w:hAnsi="宋体"/>
        </w:rPr>
        <w:t>出入口</w:t>
      </w:r>
      <w:r>
        <w:rPr>
          <w:rFonts w:hint="eastAsia" w:ascii="宋体" w:hAnsi="宋体"/>
        </w:rPr>
        <w:t>和景区景点</w:t>
      </w:r>
      <w:r>
        <w:rPr>
          <w:rFonts w:ascii="宋体" w:hAnsi="宋体"/>
        </w:rPr>
        <w:t>，</w:t>
      </w:r>
      <w:r>
        <w:rPr>
          <w:rFonts w:hint="eastAsia" w:ascii="宋体" w:hAnsi="宋体"/>
        </w:rPr>
        <w:t>共计30块</w:t>
      </w:r>
      <w:r>
        <w:rPr>
          <w:rFonts w:ascii="宋体" w:hAnsi="宋体"/>
        </w:rPr>
        <w:t>。</w:t>
      </w:r>
    </w:p>
    <w:p>
      <w:pPr>
        <w:ind w:firstLine="480"/>
        <w:rPr>
          <w:rFonts w:ascii="宋体" w:hAnsi="宋体"/>
        </w:rPr>
      </w:pPr>
      <w:r>
        <w:rPr>
          <w:rFonts w:ascii="宋体" w:hAnsi="宋体"/>
        </w:rPr>
        <w:t>（四）解释性标牌：对景区内的生态系统与生态环境因子进行科学解释，介绍，以提高生态旅游者认识大自然的水平。如对湿地公园的各种植物群落，生态系统进行具体解释与说明</w:t>
      </w:r>
      <w:r>
        <w:rPr>
          <w:rFonts w:hint="eastAsia" w:ascii="宋体" w:hAnsi="宋体"/>
        </w:rPr>
        <w:t>等，共计12块</w:t>
      </w:r>
      <w:r>
        <w:rPr>
          <w:rFonts w:ascii="宋体" w:hAnsi="宋体"/>
        </w:rPr>
        <w:t>。</w:t>
      </w:r>
    </w:p>
    <w:p>
      <w:pPr>
        <w:ind w:firstLine="480"/>
        <w:rPr>
          <w:rFonts w:ascii="宋体" w:hAnsi="宋体"/>
        </w:rPr>
      </w:pPr>
      <w:r>
        <w:rPr>
          <w:rFonts w:ascii="宋体" w:hAnsi="宋体"/>
        </w:rPr>
        <w:t>（五）宣传性标牌：宣传环保，生态旅游等口号，营造人与自然相和谐的旅游氛围。设置地点主要在景区景点出入口，休息点等</w:t>
      </w:r>
      <w:r>
        <w:rPr>
          <w:rFonts w:hint="eastAsia" w:ascii="宋体" w:hAnsi="宋体"/>
        </w:rPr>
        <w:t>，共计5块</w:t>
      </w:r>
      <w:r>
        <w:rPr>
          <w:rFonts w:ascii="宋体" w:hAnsi="宋体"/>
        </w:rPr>
        <w:t>。</w:t>
      </w:r>
    </w:p>
    <w:p>
      <w:pPr>
        <w:pStyle w:val="4"/>
      </w:pPr>
      <w:r>
        <w:t>二、标识形式</w:t>
      </w:r>
    </w:p>
    <w:p>
      <w:pPr>
        <w:ind w:firstLine="480"/>
        <w:rPr>
          <w:rFonts w:ascii="宋体" w:hAnsi="宋体"/>
        </w:rPr>
      </w:pPr>
      <w:r>
        <w:rPr>
          <w:rFonts w:hint="eastAsia" w:ascii="宋体" w:hAnsi="宋体"/>
        </w:rPr>
        <w:t>标示</w:t>
      </w:r>
      <w:r>
        <w:rPr>
          <w:rFonts w:ascii="宋体" w:hAnsi="宋体"/>
        </w:rPr>
        <w:t>造型设计应结合所处环境，以朴素自然，信息指示简单明了。标牌形式的选定应结合</w:t>
      </w:r>
      <w:r>
        <w:rPr>
          <w:rFonts w:hint="eastAsia" w:ascii="宋体" w:hAnsi="宋体"/>
        </w:rPr>
        <w:t>玛纳斯河</w:t>
      </w:r>
      <w:r>
        <w:rPr>
          <w:rFonts w:ascii="宋体" w:hAnsi="宋体"/>
        </w:rPr>
        <w:t>自然特征和文化特色，与环境相协调，不应过于新奇，也不能不合时宜，可采取古风式设计，体现</w:t>
      </w:r>
      <w:r>
        <w:rPr>
          <w:rFonts w:hint="eastAsia" w:ascii="宋体" w:hAnsi="宋体"/>
        </w:rPr>
        <w:t>玛纳斯河流域</w:t>
      </w:r>
      <w:r>
        <w:rPr>
          <w:rFonts w:ascii="宋体" w:hAnsi="宋体"/>
        </w:rPr>
        <w:t>悠久</w:t>
      </w:r>
      <w:r>
        <w:rPr>
          <w:rFonts w:hint="eastAsia" w:ascii="宋体" w:hAnsi="宋体"/>
        </w:rPr>
        <w:t>绿洲</w:t>
      </w:r>
      <w:r>
        <w:rPr>
          <w:rFonts w:ascii="宋体" w:hAnsi="宋体"/>
        </w:rPr>
        <w:t>文化。标牌尺寸应依据具体地点定，距离以能看到为宜，原材料就可就地取材，选用木料，石材</w:t>
      </w:r>
      <w:bookmarkStart w:id="54" w:name="page74"/>
      <w:bookmarkEnd w:id="54"/>
      <w:r>
        <w:rPr>
          <w:rFonts w:ascii="宋体" w:hAnsi="宋体"/>
        </w:rPr>
        <w:t>或其他材料。</w:t>
      </w:r>
    </w:p>
    <w:p>
      <w:pPr>
        <w:pStyle w:val="4"/>
      </w:pPr>
      <w:r>
        <w:t>三、管理与维护</w:t>
      </w:r>
    </w:p>
    <w:p>
      <w:pPr>
        <w:ind w:firstLine="480"/>
        <w:rPr>
          <w:rFonts w:ascii="宋体" w:hAnsi="宋体"/>
        </w:rPr>
      </w:pPr>
      <w:r>
        <w:rPr>
          <w:rFonts w:ascii="宋体" w:hAnsi="宋体"/>
        </w:rPr>
        <w:t>标牌系统应始终保持良好的状态，一旦受到人为或自然因素造成的破坏，应尽快修理或更换；平时管理单位要储备一些常用的标牌，以便随时更换。</w:t>
      </w:r>
    </w:p>
    <w:p>
      <w:pPr>
        <w:pStyle w:val="3"/>
        <w:ind w:firstLine="643"/>
      </w:pPr>
      <w:bookmarkStart w:id="55" w:name="_Toc130121668"/>
      <w:r>
        <w:rPr>
          <w:rFonts w:hint="eastAsia"/>
        </w:rPr>
        <w:t>第三节</w:t>
      </w:r>
      <w:r>
        <w:t xml:space="preserve">  </w:t>
      </w:r>
      <w:r>
        <w:rPr>
          <w:rFonts w:hint="eastAsia"/>
        </w:rPr>
        <w:t>湿地生态文化保护规划</w:t>
      </w:r>
      <w:bookmarkEnd w:id="55"/>
    </w:p>
    <w:p>
      <w:pPr>
        <w:ind w:firstLine="480"/>
      </w:pPr>
      <w:r>
        <w:t>对</w:t>
      </w:r>
      <w:r>
        <w:rPr>
          <w:rFonts w:hint="eastAsia"/>
        </w:rPr>
        <w:t>玛纳斯河</w:t>
      </w:r>
      <w:r>
        <w:t>流域现有的湿地文化资源载体和非物质文化进行严格保护的基础上，充分挖掘湿地文化资源并进行整合，并进行合理利用，让大众了解湿地公园及其所在区域深厚的湿地文化，让大众在体验文化的过程中提高湿地保护意识。</w:t>
      </w:r>
    </w:p>
    <w:p>
      <w:pPr>
        <w:pStyle w:val="4"/>
      </w:pPr>
      <w:r>
        <w:t>一、湿地文化遗迹载体保护和重建</w:t>
      </w:r>
    </w:p>
    <w:p>
      <w:pPr>
        <w:ind w:firstLine="480"/>
        <w:rPr>
          <w:rFonts w:eastAsia="宋体" w:cs="Times New Roman"/>
          <w:szCs w:val="24"/>
        </w:rPr>
      </w:pPr>
      <w:r>
        <w:rPr>
          <w:rFonts w:eastAsia="宋体" w:cs="Times New Roman"/>
          <w:szCs w:val="24"/>
        </w:rPr>
        <w:t>严格保护</w:t>
      </w:r>
      <w:r>
        <w:rPr>
          <w:rFonts w:hint="eastAsia" w:eastAsia="宋体" w:cs="Times New Roman"/>
          <w:szCs w:val="24"/>
        </w:rPr>
        <w:t>玛纳斯湿地</w:t>
      </w:r>
      <w:r>
        <w:rPr>
          <w:rFonts w:eastAsia="宋体" w:cs="Times New Roman"/>
          <w:szCs w:val="24"/>
        </w:rPr>
        <w:t>现有的</w:t>
      </w:r>
      <w:r>
        <w:rPr>
          <w:rFonts w:hint="eastAsia" w:eastAsia="宋体" w:cs="Times New Roman"/>
          <w:szCs w:val="24"/>
        </w:rPr>
        <w:t>生态</w:t>
      </w:r>
      <w:r>
        <w:rPr>
          <w:rFonts w:eastAsia="宋体" w:cs="Times New Roman"/>
          <w:szCs w:val="24"/>
        </w:rPr>
        <w:t>文化载体以及周边地区的历史文化遗迹如遗址等。同时，加大</w:t>
      </w:r>
      <w:r>
        <w:rPr>
          <w:rFonts w:hint="eastAsia" w:eastAsia="宋体" w:cs="Times New Roman"/>
          <w:szCs w:val="24"/>
        </w:rPr>
        <w:t>玛纳斯</w:t>
      </w:r>
      <w:r>
        <w:rPr>
          <w:rFonts w:eastAsia="宋体" w:cs="Times New Roman"/>
          <w:szCs w:val="24"/>
        </w:rPr>
        <w:t>河流域湿地文化载体和历史文化遗迹的调查、分析、整合、打造的力度。尤其加大</w:t>
      </w:r>
      <w:r>
        <w:rPr>
          <w:rFonts w:hint="eastAsia" w:eastAsia="宋体" w:cs="Times New Roman"/>
          <w:szCs w:val="24"/>
        </w:rPr>
        <w:t>玛纳斯国家湿地公园</w:t>
      </w:r>
      <w:r>
        <w:rPr>
          <w:rFonts w:eastAsia="宋体" w:cs="Times New Roman"/>
          <w:szCs w:val="24"/>
        </w:rPr>
        <w:t>周边人文、历史遗迹等的</w:t>
      </w:r>
      <w:r>
        <w:rPr>
          <w:rFonts w:hint="eastAsia" w:eastAsia="宋体" w:cs="Times New Roman"/>
          <w:szCs w:val="24"/>
        </w:rPr>
        <w:t>挖掘、整理和</w:t>
      </w:r>
      <w:r>
        <w:rPr>
          <w:rFonts w:eastAsia="宋体" w:cs="Times New Roman"/>
          <w:szCs w:val="24"/>
        </w:rPr>
        <w:t>保护力度，并开展适度的修缮和修复工作。</w:t>
      </w:r>
    </w:p>
    <w:p>
      <w:pPr>
        <w:pStyle w:val="4"/>
      </w:pPr>
      <w:r>
        <w:t>二、</w:t>
      </w:r>
      <w:bookmarkStart w:id="56" w:name="_Toc273317880"/>
      <w:r>
        <w:t>湿地文化展示和传承</w:t>
      </w:r>
    </w:p>
    <w:p>
      <w:pPr>
        <w:pStyle w:val="5"/>
      </w:pPr>
      <w:r>
        <w:t>（一）湿地</w:t>
      </w:r>
      <w:r>
        <w:rPr>
          <w:rFonts w:hint="eastAsia"/>
        </w:rPr>
        <w:t>生态</w:t>
      </w:r>
      <w:r>
        <w:t>文化广场</w:t>
      </w:r>
    </w:p>
    <w:p>
      <w:pPr>
        <w:ind w:firstLine="480"/>
        <w:rPr>
          <w:rFonts w:eastAsia="宋体" w:cs="Times New Roman"/>
          <w:szCs w:val="24"/>
        </w:rPr>
      </w:pPr>
      <w:r>
        <w:rPr>
          <w:rFonts w:eastAsia="宋体" w:cs="Times New Roman"/>
          <w:szCs w:val="24"/>
        </w:rPr>
        <w:t>主要作为湿地公园的对外形象展示舞台，以乡土湿地文化、</w:t>
      </w:r>
      <w:r>
        <w:rPr>
          <w:rFonts w:hint="eastAsia" w:eastAsia="宋体" w:cs="Times New Roman"/>
          <w:szCs w:val="24"/>
        </w:rPr>
        <w:t>绿洲</w:t>
      </w:r>
      <w:r>
        <w:rPr>
          <w:rFonts w:eastAsia="宋体" w:cs="Times New Roman"/>
          <w:szCs w:val="24"/>
        </w:rPr>
        <w:t>文化、</w:t>
      </w:r>
      <w:r>
        <w:rPr>
          <w:rFonts w:hint="eastAsia" w:eastAsia="宋体" w:cs="Times New Roman"/>
          <w:szCs w:val="24"/>
        </w:rPr>
        <w:t>屯垦文化</w:t>
      </w:r>
      <w:r>
        <w:rPr>
          <w:rFonts w:eastAsia="宋体" w:cs="Times New Roman"/>
          <w:szCs w:val="24"/>
        </w:rPr>
        <w:t>等为主线进行建设，包括湿地文化墙、湿地缩影、湿地浮雕、活动舞台等建设内容。扩大湿地旅游文化知名度和美誉度，展示</w:t>
      </w:r>
      <w:r>
        <w:rPr>
          <w:rFonts w:hint="eastAsia" w:eastAsia="宋体" w:cs="Times New Roman"/>
          <w:szCs w:val="24"/>
        </w:rPr>
        <w:t>玛纳斯湿地</w:t>
      </w:r>
      <w:r>
        <w:rPr>
          <w:rFonts w:eastAsia="宋体" w:cs="Times New Roman"/>
          <w:szCs w:val="24"/>
        </w:rPr>
        <w:t>公园形象与魅力。</w:t>
      </w:r>
    </w:p>
    <w:p>
      <w:pPr>
        <w:ind w:firstLine="480"/>
        <w:rPr>
          <w:rFonts w:eastAsia="宋体" w:cs="Times New Roman"/>
          <w:szCs w:val="24"/>
        </w:rPr>
      </w:pPr>
      <w:r>
        <w:rPr>
          <w:rFonts w:hint="eastAsia" w:eastAsia="宋体" w:cs="Times New Roman"/>
          <w:szCs w:val="24"/>
        </w:rPr>
        <w:t>结合生态旅游基础设施，</w:t>
      </w:r>
      <w:r>
        <w:rPr>
          <w:rFonts w:eastAsia="宋体" w:cs="Times New Roman"/>
          <w:szCs w:val="24"/>
        </w:rPr>
        <w:t>规划建设湿地文化广场</w:t>
      </w:r>
      <w:r>
        <w:rPr>
          <w:rFonts w:hint="eastAsia" w:eastAsia="宋体" w:cs="Times New Roman"/>
          <w:szCs w:val="24"/>
        </w:rPr>
        <w:t>1个，面积2</w:t>
      </w:r>
      <w:r>
        <w:t xml:space="preserve"> hm</w:t>
      </w:r>
      <w:r>
        <w:rPr>
          <w:vertAlign w:val="superscript"/>
        </w:rPr>
        <w:t>2</w:t>
      </w:r>
      <w:r>
        <w:rPr>
          <w:rFonts w:hint="eastAsia"/>
        </w:rPr>
        <w:t>。</w:t>
      </w:r>
      <w:r>
        <w:rPr>
          <w:rFonts w:hint="eastAsia" w:eastAsia="宋体" w:cs="Times New Roman"/>
          <w:szCs w:val="24"/>
        </w:rPr>
        <w:t>。</w:t>
      </w:r>
    </w:p>
    <w:p>
      <w:pPr>
        <w:pStyle w:val="5"/>
      </w:pPr>
      <w:r>
        <w:t>（二）湿地文化</w:t>
      </w:r>
      <w:bookmarkEnd w:id="56"/>
      <w:r>
        <w:t>长廊</w:t>
      </w:r>
    </w:p>
    <w:p>
      <w:pPr>
        <w:ind w:firstLine="480"/>
        <w:rPr>
          <w:rFonts w:eastAsia="宋体" w:cs="Times New Roman"/>
          <w:szCs w:val="24"/>
        </w:rPr>
      </w:pPr>
      <w:r>
        <w:rPr>
          <w:rFonts w:eastAsia="宋体" w:cs="Times New Roman"/>
          <w:szCs w:val="24"/>
        </w:rPr>
        <w:t>湿地文化长廊主要通过设置湿地文化墙、名人雕塑群、</w:t>
      </w:r>
      <w:r>
        <w:rPr>
          <w:rFonts w:hint="eastAsia" w:eastAsia="宋体" w:cs="Times New Roman"/>
          <w:szCs w:val="24"/>
        </w:rPr>
        <w:t>玛纳斯</w:t>
      </w:r>
      <w:r>
        <w:rPr>
          <w:rFonts w:eastAsia="宋体" w:cs="Times New Roman"/>
          <w:szCs w:val="24"/>
        </w:rPr>
        <w:t>县历史文化长卷、湿地文化小品等，采用图文并茂的形式展示湿地公园蕴涵的深刻湿地文化、</w:t>
      </w:r>
      <w:r>
        <w:rPr>
          <w:rFonts w:hint="eastAsia" w:eastAsia="宋体" w:cs="Times New Roman"/>
          <w:szCs w:val="24"/>
        </w:rPr>
        <w:t>军垦</w:t>
      </w:r>
      <w:r>
        <w:rPr>
          <w:rFonts w:eastAsia="宋体" w:cs="Times New Roman"/>
          <w:szCs w:val="24"/>
        </w:rPr>
        <w:t>文化、历史文化、民俗文化。大众在长廊游览时，一方面可以体验优美的自然湿地景观，另一方面可以深切感受到湿地公园深厚的文化底蕴。</w:t>
      </w:r>
    </w:p>
    <w:p>
      <w:pPr>
        <w:ind w:firstLine="480"/>
        <w:rPr>
          <w:rFonts w:eastAsia="宋体" w:cs="Times New Roman"/>
          <w:szCs w:val="24"/>
        </w:rPr>
      </w:pPr>
      <w:r>
        <w:rPr>
          <w:rFonts w:hint="eastAsia" w:eastAsia="宋体" w:cs="Times New Roman"/>
          <w:szCs w:val="24"/>
        </w:rPr>
        <w:t>结合科普宣教工程，建设湿地文化长廊2km。</w:t>
      </w:r>
    </w:p>
    <w:p>
      <w:pPr>
        <w:pStyle w:val="4"/>
      </w:pPr>
      <w:r>
        <w:t>三、湿地文化挖掘</w:t>
      </w:r>
      <w:r>
        <w:rPr>
          <w:rFonts w:hint="eastAsia"/>
        </w:rPr>
        <w:t>与示范</w:t>
      </w:r>
    </w:p>
    <w:p>
      <w:pPr>
        <w:pStyle w:val="5"/>
      </w:pPr>
      <w:r>
        <w:t>（一）挖掘湿地文化资源</w:t>
      </w:r>
    </w:p>
    <w:p>
      <w:pPr>
        <w:ind w:firstLine="480"/>
        <w:rPr>
          <w:rFonts w:eastAsia="宋体" w:cs="Times New Roman"/>
          <w:szCs w:val="24"/>
        </w:rPr>
      </w:pPr>
      <w:r>
        <w:rPr>
          <w:rFonts w:eastAsia="宋体" w:cs="Times New Roman"/>
          <w:szCs w:val="24"/>
        </w:rPr>
        <w:t>对</w:t>
      </w:r>
      <w:r>
        <w:rPr>
          <w:rFonts w:hint="eastAsia" w:eastAsia="宋体" w:cs="Times New Roman"/>
          <w:szCs w:val="24"/>
        </w:rPr>
        <w:t>玛纳斯湿地</w:t>
      </w:r>
      <w:r>
        <w:rPr>
          <w:rFonts w:eastAsia="宋体" w:cs="Times New Roman"/>
          <w:szCs w:val="24"/>
        </w:rPr>
        <w:t>文化资源进行系统的调查，收集能够反映湿地公园文化的老照片、老物件等，挖掘其蕴涵的文化底蕴。以湿地</w:t>
      </w:r>
      <w:r>
        <w:rPr>
          <w:rFonts w:hint="eastAsia" w:eastAsia="宋体" w:cs="Times New Roman"/>
          <w:szCs w:val="24"/>
        </w:rPr>
        <w:t>生态</w:t>
      </w:r>
      <w:r>
        <w:rPr>
          <w:rFonts w:eastAsia="宋体" w:cs="Times New Roman"/>
          <w:szCs w:val="24"/>
        </w:rPr>
        <w:t>文化展示为突破口，在旅游设施如游船、建筑等方面要突出本地文化元素，在服饰方面反映地方民族特色。</w:t>
      </w:r>
    </w:p>
    <w:p>
      <w:pPr>
        <w:pStyle w:val="5"/>
      </w:pPr>
      <w:r>
        <w:t>（二）展示湿地文化魅力</w:t>
      </w:r>
    </w:p>
    <w:p>
      <w:pPr>
        <w:ind w:firstLine="480"/>
        <w:rPr>
          <w:rFonts w:eastAsia="宋体" w:cs="Times New Roman"/>
          <w:szCs w:val="24"/>
        </w:rPr>
      </w:pPr>
      <w:r>
        <w:rPr>
          <w:rFonts w:eastAsia="宋体" w:cs="Times New Roman"/>
          <w:szCs w:val="24"/>
        </w:rPr>
        <w:t>以集中挖掘和有效传达为原则，采用集中与散点结合的方式</w:t>
      </w:r>
      <w:r>
        <w:rPr>
          <w:rFonts w:hint="eastAsia" w:eastAsia="宋体" w:cs="Times New Roman"/>
          <w:szCs w:val="24"/>
        </w:rPr>
        <w:t>开展</w:t>
      </w:r>
      <w:r>
        <w:rPr>
          <w:rFonts w:eastAsia="宋体" w:cs="Times New Roman"/>
          <w:szCs w:val="24"/>
        </w:rPr>
        <w:t>文化保护和展示。具有一定规模和密度的“区块”利于文化传播、体验和展示，散点式感受作为补充，延伸并加强文化体验。</w:t>
      </w:r>
    </w:p>
    <w:p>
      <w:pPr>
        <w:pStyle w:val="5"/>
      </w:pPr>
      <w:r>
        <w:t>（三）湿地</w:t>
      </w:r>
      <w:r>
        <w:rPr>
          <w:rFonts w:hint="eastAsia"/>
        </w:rPr>
        <w:t>生态功能示范</w:t>
      </w:r>
    </w:p>
    <w:p>
      <w:pPr>
        <w:ind w:firstLine="480"/>
        <w:rPr>
          <w:rFonts w:eastAsia="宋体" w:cs="Times New Roman"/>
          <w:szCs w:val="24"/>
        </w:rPr>
      </w:pPr>
      <w:r>
        <w:rPr>
          <w:rFonts w:eastAsia="宋体" w:cs="Times New Roman"/>
          <w:szCs w:val="24"/>
        </w:rPr>
        <w:t>通过挖掘和包装独具特色的</w:t>
      </w:r>
      <w:r>
        <w:rPr>
          <w:rFonts w:hint="eastAsia" w:eastAsia="宋体" w:cs="Times New Roman"/>
          <w:szCs w:val="24"/>
        </w:rPr>
        <w:t>干旱区绿洲生态</w:t>
      </w:r>
      <w:r>
        <w:rPr>
          <w:rFonts w:eastAsia="宋体" w:cs="Times New Roman"/>
          <w:szCs w:val="24"/>
        </w:rPr>
        <w:t>文化，把湿地</w:t>
      </w:r>
      <w:r>
        <w:rPr>
          <w:rFonts w:hint="eastAsia" w:eastAsia="宋体" w:cs="Times New Roman"/>
          <w:szCs w:val="24"/>
        </w:rPr>
        <w:t>生态功能</w:t>
      </w:r>
      <w:r>
        <w:rPr>
          <w:rFonts w:eastAsia="宋体" w:cs="Times New Roman"/>
          <w:szCs w:val="24"/>
        </w:rPr>
        <w:t>，湿地文化产业，在传承湿地文化的基础上，</w:t>
      </w:r>
      <w:r>
        <w:rPr>
          <w:rFonts w:hint="eastAsia" w:eastAsia="宋体" w:cs="Times New Roman"/>
          <w:szCs w:val="24"/>
        </w:rPr>
        <w:t>建设成为一处生态功能示范区</w:t>
      </w:r>
      <w:r>
        <w:rPr>
          <w:rFonts w:eastAsia="宋体" w:cs="Times New Roman"/>
          <w:szCs w:val="24"/>
        </w:rPr>
        <w:t>。</w:t>
      </w:r>
    </w:p>
    <w:p>
      <w:pPr>
        <w:ind w:firstLine="480"/>
        <w:rPr>
          <w:rFonts w:ascii="宋体" w:hAnsi="宋体"/>
        </w:rPr>
      </w:pPr>
      <w:r>
        <w:rPr>
          <w:rFonts w:hint="eastAsia" w:eastAsia="宋体" w:cs="Times New Roman"/>
          <w:szCs w:val="24"/>
        </w:rPr>
        <w:t>规划实施湿地生态功能示范工程1项。</w:t>
      </w:r>
    </w:p>
    <w:p>
      <w:pPr>
        <w:ind w:firstLine="480"/>
        <w:rPr>
          <w:rFonts w:ascii="宋体" w:hAnsi="宋体"/>
        </w:rPr>
        <w:sectPr>
          <w:pgSz w:w="11906" w:h="16838"/>
          <w:pgMar w:top="1440" w:right="1800" w:bottom="1440" w:left="1800" w:header="851" w:footer="624" w:gutter="0"/>
          <w:cols w:space="425" w:num="1"/>
          <w:docGrid w:type="lines" w:linePitch="312" w:charSpace="0"/>
        </w:sectPr>
      </w:pPr>
    </w:p>
    <w:p>
      <w:pPr>
        <w:pStyle w:val="2"/>
        <w:ind w:firstLine="723"/>
      </w:pPr>
      <w:bookmarkStart w:id="57" w:name="_Toc130121669"/>
      <w:r>
        <w:rPr>
          <w:rFonts w:hint="eastAsia"/>
        </w:rPr>
        <w:t>第九章</w:t>
      </w:r>
      <w:r>
        <w:t xml:space="preserve">  </w:t>
      </w:r>
      <w:r>
        <w:rPr>
          <w:rFonts w:hint="eastAsia"/>
        </w:rPr>
        <w:t>合理利用规划</w:t>
      </w:r>
      <w:bookmarkEnd w:id="57"/>
    </w:p>
    <w:p>
      <w:pPr>
        <w:pStyle w:val="3"/>
        <w:ind w:firstLine="643"/>
      </w:pPr>
      <w:bookmarkStart w:id="58" w:name="_Toc130121670"/>
      <w:r>
        <w:rPr>
          <w:rFonts w:hint="eastAsia"/>
        </w:rPr>
        <w:t>第一节</w:t>
      </w:r>
      <w:r>
        <w:t xml:space="preserve">  </w:t>
      </w:r>
      <w:r>
        <w:rPr>
          <w:rFonts w:hint="eastAsia"/>
        </w:rPr>
        <w:t>旅游资源构成与利用方式</w:t>
      </w:r>
      <w:bookmarkEnd w:id="58"/>
    </w:p>
    <w:p>
      <w:pPr>
        <w:pStyle w:val="4"/>
      </w:pPr>
      <w:r>
        <w:rPr>
          <w:rFonts w:hint="eastAsia"/>
        </w:rPr>
        <w:t>一、旅游资源构成</w:t>
      </w:r>
    </w:p>
    <w:p>
      <w:pPr>
        <w:ind w:firstLine="480"/>
      </w:pPr>
      <w:r>
        <w:rPr>
          <w:rFonts w:hint="eastAsia"/>
        </w:rPr>
        <w:t>按照旅游资源分类标准（</w:t>
      </w:r>
      <w:r>
        <w:t>GB/T 18972-2003</w:t>
      </w:r>
      <w:r>
        <w:rPr>
          <w:rFonts w:hint="eastAsia"/>
        </w:rPr>
        <w:t>），玛纳斯国家湿地公园的旅游资源构成如表9-</w:t>
      </w:r>
      <w:r>
        <w:t>1</w:t>
      </w:r>
      <w:r>
        <w:rPr>
          <w:rFonts w:hint="eastAsia"/>
        </w:rPr>
        <w:t>。</w:t>
      </w:r>
    </w:p>
    <w:p>
      <w:pPr>
        <w:pStyle w:val="45"/>
      </w:pPr>
      <w:r>
        <w:rPr>
          <w:rFonts w:hint="eastAsia"/>
        </w:rPr>
        <w:t>表9-</w:t>
      </w:r>
      <w:r>
        <w:t xml:space="preserve">1 </w:t>
      </w:r>
      <w:r>
        <w:rPr>
          <w:rFonts w:hint="eastAsia"/>
        </w:rPr>
        <w:t>玛纳斯国家湿地公园的旅游资源构成表</w:t>
      </w:r>
    </w:p>
    <w:tbl>
      <w:tblPr>
        <w:tblStyle w:val="25"/>
        <w:tblW w:w="8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221"/>
        <w:gridCol w:w="2693"/>
        <w:gridCol w:w="3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914" w:type="dxa"/>
            <w:shd w:val="clear" w:color="auto" w:fill="BFBFBF"/>
            <w:vAlign w:val="center"/>
          </w:tcPr>
          <w:p>
            <w:pPr>
              <w:widowControl/>
              <w:spacing w:line="300" w:lineRule="atLeast"/>
              <w:ind w:firstLine="0" w:firstLineChars="0"/>
              <w:jc w:val="center"/>
              <w:rPr>
                <w:rFonts w:eastAsia="楷体" w:cs="Times New Roman"/>
                <w:b/>
                <w:kern w:val="0"/>
                <w:sz w:val="21"/>
                <w:szCs w:val="21"/>
              </w:rPr>
            </w:pPr>
            <w:r>
              <w:rPr>
                <w:rFonts w:eastAsia="楷体" w:cs="Times New Roman"/>
                <w:b/>
                <w:kern w:val="0"/>
                <w:sz w:val="21"/>
                <w:szCs w:val="21"/>
              </w:rPr>
              <w:t>主类</w:t>
            </w:r>
          </w:p>
        </w:tc>
        <w:tc>
          <w:tcPr>
            <w:tcW w:w="2221" w:type="dxa"/>
            <w:shd w:val="clear" w:color="auto" w:fill="BFBFBF"/>
            <w:vAlign w:val="center"/>
          </w:tcPr>
          <w:p>
            <w:pPr>
              <w:widowControl/>
              <w:spacing w:line="300" w:lineRule="atLeast"/>
              <w:ind w:firstLine="0" w:firstLineChars="0"/>
              <w:jc w:val="center"/>
              <w:rPr>
                <w:rFonts w:eastAsia="楷体" w:cs="Times New Roman"/>
                <w:b/>
                <w:kern w:val="0"/>
                <w:sz w:val="21"/>
                <w:szCs w:val="21"/>
              </w:rPr>
            </w:pPr>
            <w:r>
              <w:rPr>
                <w:rFonts w:eastAsia="楷体" w:cs="Times New Roman"/>
                <w:b/>
                <w:kern w:val="0"/>
                <w:sz w:val="21"/>
                <w:szCs w:val="21"/>
              </w:rPr>
              <w:t>亚类</w:t>
            </w:r>
          </w:p>
        </w:tc>
        <w:tc>
          <w:tcPr>
            <w:tcW w:w="2693" w:type="dxa"/>
            <w:shd w:val="clear" w:color="auto" w:fill="BFBFBF"/>
            <w:vAlign w:val="center"/>
          </w:tcPr>
          <w:p>
            <w:pPr>
              <w:widowControl/>
              <w:spacing w:line="300" w:lineRule="atLeast"/>
              <w:ind w:firstLine="0" w:firstLineChars="0"/>
              <w:jc w:val="center"/>
              <w:rPr>
                <w:rFonts w:eastAsia="楷体" w:cs="Times New Roman"/>
                <w:b/>
                <w:kern w:val="0"/>
                <w:sz w:val="21"/>
                <w:szCs w:val="21"/>
              </w:rPr>
            </w:pPr>
            <w:r>
              <w:rPr>
                <w:rFonts w:eastAsia="楷体" w:cs="Times New Roman"/>
                <w:b/>
                <w:kern w:val="0"/>
                <w:sz w:val="21"/>
                <w:szCs w:val="21"/>
              </w:rPr>
              <w:t>基本类型</w:t>
            </w:r>
          </w:p>
        </w:tc>
        <w:tc>
          <w:tcPr>
            <w:tcW w:w="3171" w:type="dxa"/>
            <w:shd w:val="clear" w:color="auto" w:fill="BFBFBF"/>
            <w:vAlign w:val="center"/>
          </w:tcPr>
          <w:p>
            <w:pPr>
              <w:widowControl/>
              <w:spacing w:line="300" w:lineRule="atLeast"/>
              <w:ind w:firstLine="0" w:firstLineChars="0"/>
              <w:jc w:val="center"/>
              <w:rPr>
                <w:rFonts w:eastAsia="楷体" w:cs="Times New Roman"/>
                <w:b/>
                <w:kern w:val="0"/>
                <w:sz w:val="21"/>
                <w:szCs w:val="21"/>
              </w:rPr>
            </w:pPr>
            <w:r>
              <w:rPr>
                <w:rFonts w:eastAsia="楷体" w:cs="Times New Roman"/>
                <w:b/>
                <w:kern w:val="0"/>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restart"/>
            <w:vAlign w:val="center"/>
          </w:tcPr>
          <w:p>
            <w:pPr>
              <w:ind w:firstLine="0" w:firstLineChars="0"/>
              <w:rPr>
                <w:rFonts w:eastAsia="楷体" w:cs="Times New Roman"/>
                <w:sz w:val="21"/>
                <w:szCs w:val="21"/>
              </w:rPr>
            </w:pPr>
            <w:r>
              <w:rPr>
                <w:rFonts w:eastAsia="楷体" w:cs="Times New Roman"/>
                <w:kern w:val="0"/>
                <w:sz w:val="21"/>
                <w:szCs w:val="21"/>
              </w:rPr>
              <w:t>A地文景观</w:t>
            </w: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AA 综合自然旅游地</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AAD 滩地型旅游地 </w:t>
            </w:r>
          </w:p>
        </w:tc>
        <w:tc>
          <w:tcPr>
            <w:tcW w:w="3171" w:type="dxa"/>
            <w:vAlign w:val="center"/>
          </w:tcPr>
          <w:p>
            <w:pPr>
              <w:widowControl/>
              <w:spacing w:line="300" w:lineRule="atLeast"/>
              <w:ind w:firstLine="0" w:firstLineChars="0"/>
              <w:rPr>
                <w:rFonts w:eastAsia="楷体" w:cs="Times New Roman"/>
                <w:kern w:val="0"/>
                <w:sz w:val="21"/>
                <w:szCs w:val="21"/>
              </w:rPr>
            </w:pPr>
            <w:r>
              <w:rPr>
                <w:rFonts w:hint="eastAsia" w:eastAsia="楷体" w:cs="Times New Roman"/>
                <w:sz w:val="21"/>
                <w:szCs w:val="21"/>
              </w:rPr>
              <w:t>玛纳斯湿地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AC 地质地貌过程形迹</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ACN 岸滩</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河流、水库岸滩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restart"/>
            <w:vAlign w:val="center"/>
          </w:tcPr>
          <w:p>
            <w:pPr>
              <w:ind w:firstLine="0" w:firstLineChars="0"/>
              <w:rPr>
                <w:rFonts w:eastAsia="楷体" w:cs="Times New Roman"/>
                <w:sz w:val="21"/>
                <w:szCs w:val="21"/>
              </w:rPr>
            </w:pPr>
            <w:r>
              <w:rPr>
                <w:rFonts w:eastAsia="楷体" w:cs="Times New Roman"/>
                <w:kern w:val="0"/>
                <w:sz w:val="21"/>
                <w:szCs w:val="21"/>
              </w:rPr>
              <w:t>B 水域风光</w:t>
            </w: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BA 河段</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BAA 观光游憩河段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湿地公园内游憩河道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kern w:val="0"/>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BD 泉</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BDA 冷泉</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泉水溢出带泉水出露点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restart"/>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C 生物景观</w:t>
            </w: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CA 树木</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CAA 林地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柽柳林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CB 草原与草地</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CBA 草地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湖滩草场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CC 花卉地</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CCB林间花卉地</w:t>
            </w:r>
          </w:p>
        </w:tc>
        <w:tc>
          <w:tcPr>
            <w:tcW w:w="3171" w:type="dxa"/>
            <w:vAlign w:val="center"/>
          </w:tcPr>
          <w:p>
            <w:pPr>
              <w:widowControl/>
              <w:spacing w:line="300" w:lineRule="atLeast"/>
              <w:ind w:firstLine="0" w:firstLineChars="0"/>
              <w:rPr>
                <w:rFonts w:eastAsia="楷体" w:cs="Times New Roman"/>
                <w:kern w:val="0"/>
                <w:sz w:val="21"/>
                <w:szCs w:val="21"/>
              </w:rPr>
            </w:pPr>
            <w:r>
              <w:rPr>
                <w:rFonts w:hint="eastAsia" w:eastAsia="楷体" w:cs="Times New Roman"/>
                <w:kern w:val="0"/>
                <w:sz w:val="21"/>
                <w:szCs w:val="21"/>
              </w:rPr>
              <w:t>玛纳斯湿地</w:t>
            </w:r>
            <w:r>
              <w:rPr>
                <w:rFonts w:eastAsia="楷体" w:cs="Times New Roman"/>
                <w:kern w:val="0"/>
                <w:sz w:val="21"/>
                <w:szCs w:val="21"/>
              </w:rPr>
              <w:t>植物园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CD 野生动物栖息地</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CDA 湿生动物栖息地 </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CDB 陆地动物栖息地 </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CDC 鸟类栖息地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湿地公园内的各类动物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914" w:type="dxa"/>
            <w:vAlign w:val="center"/>
          </w:tcPr>
          <w:p>
            <w:pPr>
              <w:ind w:firstLine="0" w:firstLineChars="0"/>
              <w:rPr>
                <w:rFonts w:eastAsia="楷体" w:cs="Times New Roman"/>
                <w:kern w:val="0"/>
                <w:sz w:val="21"/>
                <w:szCs w:val="21"/>
              </w:rPr>
            </w:pPr>
            <w:r>
              <w:rPr>
                <w:rFonts w:eastAsia="楷体" w:cs="Times New Roman"/>
                <w:kern w:val="0"/>
                <w:sz w:val="21"/>
                <w:szCs w:val="21"/>
              </w:rPr>
              <w:t>E 遗址遗迹</w:t>
            </w:r>
          </w:p>
        </w:tc>
        <w:tc>
          <w:tcPr>
            <w:tcW w:w="2221" w:type="dxa"/>
            <w:vAlign w:val="center"/>
          </w:tcPr>
          <w:p>
            <w:pPr>
              <w:spacing w:line="300" w:lineRule="atLeast"/>
              <w:ind w:firstLine="0" w:firstLineChars="0"/>
              <w:rPr>
                <w:rFonts w:eastAsia="楷体" w:cs="Times New Roman"/>
                <w:kern w:val="0"/>
                <w:sz w:val="21"/>
                <w:szCs w:val="21"/>
              </w:rPr>
            </w:pPr>
            <w:r>
              <w:rPr>
                <w:rFonts w:eastAsia="楷体" w:cs="Times New Roman"/>
                <w:kern w:val="0"/>
                <w:sz w:val="21"/>
                <w:szCs w:val="21"/>
              </w:rPr>
              <w:t>EB 社会经济文化活动遗址遗迹</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EBA 历史事件发生地 EBB军事遗址与古战场EBC 废弃寺庙</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EBF 废城与聚落遗迹</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EBH 烽燧</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小李庄军垦文化，玛纳斯破城子、塔西河古堡、塔西河破城子、西营城、东古城、野马城、大疙瘩、烽燧等；大佛寺、诏忠祠、龙王庙、五圣宫庙、虫王庙。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restart"/>
            <w:vAlign w:val="center"/>
          </w:tcPr>
          <w:p>
            <w:pPr>
              <w:ind w:firstLine="0" w:firstLineChars="0"/>
              <w:rPr>
                <w:rFonts w:eastAsia="楷体" w:cs="Times New Roman"/>
                <w:kern w:val="0"/>
                <w:sz w:val="21"/>
                <w:szCs w:val="21"/>
              </w:rPr>
            </w:pPr>
            <w:r>
              <w:rPr>
                <w:rFonts w:eastAsia="楷体" w:cs="Times New Roman"/>
                <w:kern w:val="0"/>
                <w:sz w:val="21"/>
                <w:szCs w:val="21"/>
              </w:rPr>
              <w:t>F 建筑与设施</w:t>
            </w: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FA 综合人文旅游地</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FAA 教学科研实验场所</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FAB 康体游乐休闲度假地</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FAD 园林游憩区域</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FAE 文化活动场所</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FAH 动物与植物展示地</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湿地公园科普宣教中心</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湿地公园休闲游憩带内活动</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湿地公园生境游赏园内活动</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湿地公园文化传承园内活动</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湿地植物园、湿地生境游赏带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kern w:val="0"/>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FB 单体活动场馆</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FBC 展示演示场馆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湿地公园科普宣教中心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FC 景观建筑与附属型建筑</w:t>
            </w:r>
          </w:p>
        </w:tc>
        <w:tc>
          <w:tcPr>
            <w:tcW w:w="2693" w:type="dxa"/>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FCI  广场 </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FCK 建筑小品 </w:t>
            </w:r>
          </w:p>
        </w:tc>
        <w:tc>
          <w:tcPr>
            <w:tcW w:w="3171" w:type="dxa"/>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沿岸游憩广场</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小型观赏设施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FD 居住地与社区</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FDA 传统与乡土建筑</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周边社区传统建筑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FF 交通建筑</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FFA 桥</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FFC 港口渡口与码头</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FFE 栈道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玛纳斯滩地衔接桥</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玛纳斯岸滩渡口码头</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公园内各类游览栈道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FG 水工建筑</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FGA 水库观光游憩区段</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FGE 灌区 </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FGF 提水设施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sz w:val="21"/>
                <w:szCs w:val="21"/>
              </w:rPr>
              <w:t>新户坪、白土坑</w:t>
            </w:r>
            <w:r>
              <w:rPr>
                <w:rFonts w:eastAsia="楷体" w:cs="Times New Roman"/>
                <w:kern w:val="0"/>
                <w:sz w:val="21"/>
                <w:szCs w:val="21"/>
              </w:rPr>
              <w:t>水库</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湿地公园林地灌区</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泉水溢出带自流井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restart"/>
            <w:vAlign w:val="center"/>
          </w:tcPr>
          <w:p>
            <w:pPr>
              <w:ind w:firstLine="0" w:firstLineChars="0"/>
              <w:rPr>
                <w:rFonts w:eastAsia="楷体" w:cs="Times New Roman"/>
                <w:sz w:val="21"/>
                <w:szCs w:val="21"/>
              </w:rPr>
            </w:pPr>
            <w:r>
              <w:rPr>
                <w:rFonts w:eastAsia="楷体" w:cs="Times New Roman"/>
                <w:kern w:val="0"/>
                <w:sz w:val="21"/>
                <w:szCs w:val="21"/>
              </w:rPr>
              <w:t>G 旅游商品</w:t>
            </w:r>
          </w:p>
        </w:tc>
        <w:tc>
          <w:tcPr>
            <w:tcW w:w="2221" w:type="dxa"/>
            <w:vMerge w:val="restart"/>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GA 地方旅游商品</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GAA 菜品饮食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手抓饭、拉条子、馕、馍馍等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sz w:val="21"/>
                <w:szCs w:val="21"/>
              </w:rPr>
            </w:pPr>
          </w:p>
        </w:tc>
        <w:tc>
          <w:tcPr>
            <w:tcW w:w="2221" w:type="dxa"/>
            <w:vMerge w:val="continue"/>
            <w:vAlign w:val="center"/>
          </w:tcPr>
          <w:p>
            <w:pPr>
              <w:widowControl/>
              <w:spacing w:line="300" w:lineRule="atLeast"/>
              <w:ind w:firstLine="0" w:firstLineChars="0"/>
              <w:rPr>
                <w:rFonts w:eastAsia="楷体" w:cs="Times New Roman"/>
                <w:kern w:val="0"/>
                <w:sz w:val="21"/>
                <w:szCs w:val="21"/>
              </w:rPr>
            </w:pP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GAD 中草药材及制品</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sz w:val="21"/>
                <w:szCs w:val="21"/>
              </w:rPr>
              <w:t>药贝母、牛蒡子、防风、麻黄、元胡、冬花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14" w:type="dxa"/>
            <w:vMerge w:val="restart"/>
            <w:vAlign w:val="center"/>
          </w:tcPr>
          <w:p>
            <w:pPr>
              <w:ind w:firstLine="0" w:firstLineChars="0"/>
              <w:rPr>
                <w:rFonts w:eastAsia="楷体" w:cs="Times New Roman"/>
                <w:kern w:val="0"/>
                <w:sz w:val="21"/>
                <w:szCs w:val="21"/>
              </w:rPr>
            </w:pPr>
            <w:r>
              <w:rPr>
                <w:rFonts w:eastAsia="楷体" w:cs="Times New Roman"/>
                <w:kern w:val="0"/>
                <w:sz w:val="21"/>
                <w:szCs w:val="21"/>
              </w:rPr>
              <w:t>H 人文活动</w:t>
            </w:r>
          </w:p>
        </w:tc>
        <w:tc>
          <w:tcPr>
            <w:tcW w:w="2221" w:type="dxa"/>
            <w:vAlign w:val="center"/>
          </w:tcPr>
          <w:p>
            <w:pPr>
              <w:spacing w:line="300" w:lineRule="atLeast"/>
              <w:ind w:firstLine="0" w:firstLineChars="0"/>
              <w:rPr>
                <w:rFonts w:eastAsia="楷体" w:cs="Times New Roman"/>
                <w:kern w:val="0"/>
                <w:sz w:val="21"/>
                <w:szCs w:val="21"/>
              </w:rPr>
            </w:pPr>
            <w:r>
              <w:rPr>
                <w:rFonts w:eastAsia="楷体" w:cs="Times New Roman"/>
                <w:kern w:val="0"/>
                <w:sz w:val="21"/>
                <w:szCs w:val="21"/>
              </w:rPr>
              <w:t>HA 人事记录</w:t>
            </w:r>
          </w:p>
        </w:tc>
        <w:tc>
          <w:tcPr>
            <w:tcW w:w="2693" w:type="dxa"/>
            <w:vAlign w:val="center"/>
          </w:tcPr>
          <w:p>
            <w:pPr>
              <w:spacing w:line="300" w:lineRule="atLeast"/>
              <w:ind w:firstLine="0" w:firstLineChars="0"/>
              <w:rPr>
                <w:rFonts w:eastAsia="楷体" w:cs="Times New Roman"/>
                <w:kern w:val="0"/>
                <w:sz w:val="21"/>
                <w:szCs w:val="21"/>
              </w:rPr>
            </w:pPr>
            <w:r>
              <w:rPr>
                <w:rFonts w:eastAsia="楷体" w:cs="Times New Roman"/>
                <w:kern w:val="0"/>
                <w:sz w:val="21"/>
                <w:szCs w:val="21"/>
              </w:rPr>
              <w:t>HAA 人物</w:t>
            </w:r>
          </w:p>
        </w:tc>
        <w:tc>
          <w:tcPr>
            <w:tcW w:w="3171" w:type="dxa"/>
            <w:vAlign w:val="center"/>
          </w:tcPr>
          <w:p>
            <w:pPr>
              <w:spacing w:line="300" w:lineRule="atLeast"/>
              <w:ind w:firstLine="0" w:firstLineChars="0"/>
              <w:rPr>
                <w:rFonts w:eastAsia="楷体" w:cs="Times New Roman"/>
                <w:kern w:val="0"/>
                <w:sz w:val="21"/>
                <w:szCs w:val="21"/>
              </w:rPr>
            </w:pPr>
            <w:r>
              <w:rPr>
                <w:rFonts w:eastAsia="楷体" w:cs="Times New Roman"/>
                <w:kern w:val="0"/>
                <w:sz w:val="21"/>
                <w:szCs w:val="21"/>
              </w:rPr>
              <w:t>玛纳斯历史名人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14" w:type="dxa"/>
            <w:vMerge w:val="continue"/>
            <w:vAlign w:val="center"/>
          </w:tcPr>
          <w:p>
            <w:pPr>
              <w:ind w:firstLine="0" w:firstLineChars="0"/>
              <w:rPr>
                <w:rFonts w:eastAsia="楷体" w:cs="Times New Roman"/>
                <w:sz w:val="21"/>
                <w:szCs w:val="21"/>
              </w:rPr>
            </w:pPr>
          </w:p>
        </w:tc>
        <w:tc>
          <w:tcPr>
            <w:tcW w:w="2221" w:type="dxa"/>
            <w:vMerge w:val="restart"/>
            <w:vAlign w:val="center"/>
          </w:tcPr>
          <w:p>
            <w:pPr>
              <w:spacing w:line="300" w:lineRule="atLeast"/>
              <w:ind w:firstLine="0" w:firstLineChars="0"/>
              <w:rPr>
                <w:rFonts w:eastAsia="楷体" w:cs="Times New Roman"/>
                <w:kern w:val="0"/>
                <w:sz w:val="21"/>
                <w:szCs w:val="21"/>
              </w:rPr>
            </w:pPr>
            <w:r>
              <w:rPr>
                <w:rFonts w:eastAsia="楷体" w:cs="Times New Roman"/>
                <w:kern w:val="0"/>
                <w:sz w:val="21"/>
                <w:szCs w:val="21"/>
              </w:rPr>
              <w:t>HC 民间习俗</w:t>
            </w:r>
          </w:p>
        </w:tc>
        <w:tc>
          <w:tcPr>
            <w:tcW w:w="2693" w:type="dxa"/>
            <w:vAlign w:val="center"/>
          </w:tcPr>
          <w:p>
            <w:pPr>
              <w:spacing w:line="300" w:lineRule="atLeast"/>
              <w:ind w:firstLine="0" w:firstLineChars="0"/>
              <w:rPr>
                <w:rFonts w:eastAsia="楷体" w:cs="Times New Roman"/>
                <w:kern w:val="0"/>
                <w:sz w:val="21"/>
                <w:szCs w:val="21"/>
              </w:rPr>
            </w:pPr>
            <w:r>
              <w:rPr>
                <w:rFonts w:eastAsia="楷体" w:cs="Times New Roman"/>
                <w:kern w:val="0"/>
                <w:sz w:val="21"/>
                <w:szCs w:val="21"/>
              </w:rPr>
              <w:t>HCA 地方风俗与民间礼仪</w:t>
            </w:r>
          </w:p>
        </w:tc>
        <w:tc>
          <w:tcPr>
            <w:tcW w:w="3171" w:type="dxa"/>
            <w:vAlign w:val="center"/>
          </w:tcPr>
          <w:p>
            <w:pPr>
              <w:spacing w:line="300" w:lineRule="atLeast"/>
              <w:ind w:firstLine="0" w:firstLineChars="0"/>
              <w:rPr>
                <w:rFonts w:eastAsia="楷体" w:cs="Times New Roman"/>
                <w:kern w:val="0"/>
                <w:sz w:val="21"/>
                <w:szCs w:val="21"/>
              </w:rPr>
            </w:pPr>
            <w:r>
              <w:rPr>
                <w:rFonts w:eastAsia="楷体" w:cs="Times New Roman"/>
                <w:kern w:val="0"/>
                <w:sz w:val="21"/>
                <w:szCs w:val="21"/>
              </w:rPr>
              <w:t>婚嫁习俗、历史文化传说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kern w:val="0"/>
                <w:sz w:val="21"/>
                <w:szCs w:val="21"/>
              </w:rPr>
            </w:pPr>
          </w:p>
        </w:tc>
        <w:tc>
          <w:tcPr>
            <w:tcW w:w="2221" w:type="dxa"/>
            <w:vMerge w:val="continue"/>
            <w:vAlign w:val="center"/>
          </w:tcPr>
          <w:p>
            <w:pPr>
              <w:widowControl/>
              <w:spacing w:line="300" w:lineRule="atLeast"/>
              <w:ind w:firstLine="0" w:firstLineChars="0"/>
              <w:rPr>
                <w:rFonts w:eastAsia="楷体" w:cs="Times New Roman"/>
                <w:kern w:val="0"/>
                <w:sz w:val="21"/>
                <w:szCs w:val="21"/>
              </w:rPr>
            </w:pP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HCB 民间节庆</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乃玛孜、肉孜节、古尔邦节、纳吾热孜节、庙会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kern w:val="0"/>
                <w:sz w:val="21"/>
                <w:szCs w:val="21"/>
              </w:rPr>
            </w:pPr>
          </w:p>
        </w:tc>
        <w:tc>
          <w:tcPr>
            <w:tcW w:w="2221" w:type="dxa"/>
            <w:vMerge w:val="continue"/>
            <w:vAlign w:val="center"/>
          </w:tcPr>
          <w:p>
            <w:pPr>
              <w:widowControl/>
              <w:spacing w:line="300" w:lineRule="atLeast"/>
              <w:ind w:firstLine="0" w:firstLineChars="0"/>
              <w:rPr>
                <w:rFonts w:eastAsia="楷体" w:cs="Times New Roman"/>
                <w:kern w:val="0"/>
                <w:sz w:val="21"/>
                <w:szCs w:val="21"/>
              </w:rPr>
            </w:pP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 xml:space="preserve">HCC 民间演艺 </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sz w:val="21"/>
                <w:szCs w:val="21"/>
              </w:rPr>
              <w:t>京剧、秦腔、豫剧、花儿弹唱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kern w:val="0"/>
                <w:sz w:val="21"/>
                <w:szCs w:val="21"/>
              </w:rPr>
            </w:pPr>
          </w:p>
        </w:tc>
        <w:tc>
          <w:tcPr>
            <w:tcW w:w="2221" w:type="dxa"/>
            <w:vMerge w:val="continue"/>
            <w:vAlign w:val="center"/>
          </w:tcPr>
          <w:p>
            <w:pPr>
              <w:widowControl/>
              <w:spacing w:line="300" w:lineRule="atLeast"/>
              <w:ind w:firstLine="0" w:firstLineChars="0"/>
              <w:rPr>
                <w:rFonts w:eastAsia="楷体" w:cs="Times New Roman"/>
                <w:kern w:val="0"/>
                <w:sz w:val="21"/>
                <w:szCs w:val="21"/>
              </w:rPr>
            </w:pP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HCF 庙会与民间集会</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玛纳斯庙会、社火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dxa"/>
            <w:vMerge w:val="continue"/>
            <w:vAlign w:val="center"/>
          </w:tcPr>
          <w:p>
            <w:pPr>
              <w:ind w:firstLine="0" w:firstLineChars="0"/>
              <w:rPr>
                <w:rFonts w:eastAsia="楷体" w:cs="Times New Roman"/>
                <w:kern w:val="0"/>
                <w:sz w:val="21"/>
                <w:szCs w:val="21"/>
              </w:rPr>
            </w:pPr>
          </w:p>
        </w:tc>
        <w:tc>
          <w:tcPr>
            <w:tcW w:w="222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HD 现代节庆</w:t>
            </w:r>
          </w:p>
        </w:tc>
        <w:tc>
          <w:tcPr>
            <w:tcW w:w="2693"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HAD 旅游节</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HAB 文化节</w:t>
            </w:r>
          </w:p>
        </w:tc>
        <w:tc>
          <w:tcPr>
            <w:tcW w:w="3171" w:type="dxa"/>
            <w:vAlign w:val="center"/>
          </w:tcPr>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玛纳斯宗教风俗展、玛纳斯碧玉展、玛纳斯湿地传说大赛</w:t>
            </w:r>
          </w:p>
          <w:p>
            <w:pPr>
              <w:widowControl/>
              <w:spacing w:line="300" w:lineRule="atLeast"/>
              <w:ind w:firstLine="0" w:firstLineChars="0"/>
              <w:rPr>
                <w:rFonts w:eastAsia="楷体" w:cs="Times New Roman"/>
                <w:kern w:val="0"/>
                <w:sz w:val="21"/>
                <w:szCs w:val="21"/>
              </w:rPr>
            </w:pPr>
            <w:r>
              <w:rPr>
                <w:rFonts w:eastAsia="楷体" w:cs="Times New Roman"/>
                <w:kern w:val="0"/>
                <w:sz w:val="21"/>
                <w:szCs w:val="21"/>
              </w:rPr>
              <w:t>白龟文化节、书画大赛、</w:t>
            </w:r>
            <w:r>
              <w:rPr>
                <w:rFonts w:eastAsia="楷体" w:cs="Times New Roman"/>
                <w:sz w:val="21"/>
                <w:szCs w:val="21"/>
              </w:rPr>
              <w:t>美丽家乡名人展</w:t>
            </w:r>
          </w:p>
        </w:tc>
      </w:tr>
    </w:tbl>
    <w:p>
      <w:pPr>
        <w:ind w:firstLine="480"/>
      </w:pPr>
      <w:r>
        <w:rPr>
          <w:rFonts w:hint="eastAsia"/>
        </w:rPr>
        <w:t>可见，玛纳斯湿地公园及周边的旅游资源丰富，玛纳斯县位于新疆天山北麓中心地带，准噶尔盆地南缘，是“丝绸之路”新北道的必经之地，是东西方文明交汇之所；清代更是西北三大商埠之一。</w:t>
      </w:r>
    </w:p>
    <w:p>
      <w:pPr>
        <w:ind w:firstLine="480"/>
        <w:rPr>
          <w:rFonts w:eastAsia="黑体" w:cs="Times New Roman"/>
        </w:rPr>
      </w:pPr>
      <w:r>
        <w:rPr>
          <w:rFonts w:hint="eastAsia"/>
        </w:rPr>
        <w:t>玛纳斯国家湿地公园位于玛纳斯县中心地带，连接玛纳斯南北各主要景点，可与清水河风景段、塔西河风景段、五道垭、火烧洼热气泉、莫索湾沙漠、楼南古城、陕西会馆、县大佛寺、多木拉克脱拜古墓群、黑梁湾山庄、烽燧、十户窑风景区等构成多条旅游线路。</w:t>
      </w:r>
    </w:p>
    <w:p>
      <w:pPr>
        <w:pStyle w:val="4"/>
      </w:pPr>
      <w:r>
        <w:rPr>
          <w:rFonts w:hint="eastAsia"/>
        </w:rPr>
        <w:t>二、资源利用方式</w:t>
      </w:r>
    </w:p>
    <w:p>
      <w:pPr>
        <w:ind w:firstLine="480"/>
      </w:pPr>
      <w:r>
        <w:rPr>
          <w:rFonts w:hint="eastAsia"/>
        </w:rPr>
        <w:t>玛纳斯国家湿地公园资源利用方式主要遵循保护自然资源，适度利用的原则合理方式以生态观光、科普教育、休闲游憩为主。从旅游和科普利用的角度可以归结为湿地资源和文化资源两大类，利用方式见表</w:t>
      </w:r>
      <w:r>
        <w:t>9</w:t>
      </w:r>
      <w:r>
        <w:rPr>
          <w:rFonts w:hint="eastAsia"/>
        </w:rPr>
        <w:t>-2。</w:t>
      </w:r>
    </w:p>
    <w:p>
      <w:pPr>
        <w:pStyle w:val="5"/>
      </w:pPr>
      <w:r>
        <w:rPr>
          <w:rFonts w:hint="eastAsia"/>
        </w:rPr>
        <w:t>（一）生态观光</w:t>
      </w:r>
    </w:p>
    <w:p>
      <w:pPr>
        <w:ind w:firstLine="480"/>
      </w:pPr>
      <w:r>
        <w:rPr>
          <w:rFonts w:hint="eastAsia"/>
        </w:rPr>
        <w:t>优美的湿地环境、丰富野动植物资源，为游客提供良好生态观光，为游客提供良好态体验。</w:t>
      </w:r>
    </w:p>
    <w:p>
      <w:pPr>
        <w:pStyle w:val="5"/>
      </w:pPr>
      <w:r>
        <w:rPr>
          <w:rFonts w:hint="eastAsia"/>
        </w:rPr>
        <w:t>（二）科普教育</w:t>
      </w:r>
    </w:p>
    <w:p>
      <w:pPr>
        <w:ind w:firstLine="480"/>
      </w:pPr>
      <w:r>
        <w:rPr>
          <w:rFonts w:hint="eastAsia"/>
        </w:rPr>
        <w:t>湿地公园是进行生态知识及与环境保护的极佳载体。</w:t>
      </w:r>
    </w:p>
    <w:p>
      <w:pPr>
        <w:pStyle w:val="5"/>
      </w:pPr>
      <w:r>
        <w:rPr>
          <w:rFonts w:hint="eastAsia"/>
        </w:rPr>
        <w:t>（三）休闲游憩</w:t>
      </w:r>
    </w:p>
    <w:p>
      <w:pPr>
        <w:ind w:firstLine="480"/>
        <w:rPr>
          <w:rFonts w:ascii="宋体" w:hAnsi="宋体"/>
        </w:rPr>
      </w:pPr>
      <w:r>
        <w:rPr>
          <w:rFonts w:hint="eastAsia"/>
        </w:rPr>
        <w:t>生态敏感度较低的区域开展活动，配套生态旅游基础设施和提供服务。玛纳斯国家湿地公园</w:t>
      </w:r>
      <w:r>
        <w:rPr>
          <w:rFonts w:hint="eastAsia" w:ascii="宋体" w:hAnsi="宋体"/>
        </w:rPr>
        <w:t>资源从旅游和科普角度归结为自然和文化两大类（表</w:t>
      </w:r>
      <w:r>
        <w:rPr>
          <w:rFonts w:ascii="宋体" w:hAnsi="宋体"/>
        </w:rPr>
        <w:t>9</w:t>
      </w:r>
      <w:r>
        <w:rPr>
          <w:rFonts w:hint="eastAsia" w:ascii="宋体" w:hAnsi="宋体"/>
        </w:rPr>
        <w:t>-</w:t>
      </w:r>
      <w:r>
        <w:rPr>
          <w:rFonts w:ascii="宋体" w:hAnsi="宋体"/>
        </w:rPr>
        <w:t>2</w:t>
      </w:r>
      <w:r>
        <w:rPr>
          <w:rFonts w:hint="eastAsia" w:ascii="宋体" w:hAnsi="宋体"/>
        </w:rPr>
        <w:t>）。</w:t>
      </w:r>
    </w:p>
    <w:p>
      <w:pPr>
        <w:pStyle w:val="45"/>
      </w:pPr>
      <w:r>
        <w:rPr>
          <w:rFonts w:hint="eastAsia"/>
        </w:rPr>
        <w:t>表</w:t>
      </w:r>
      <w:r>
        <w:t>9-2 玛纳斯国家湿地公园资源利用方式</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ind w:firstLine="0" w:firstLineChars="0"/>
              <w:jc w:val="left"/>
              <w:rPr>
                <w:rFonts w:eastAsia="楷体" w:cs="Times New Roman"/>
                <w:b/>
                <w:sz w:val="21"/>
                <w:szCs w:val="21"/>
              </w:rPr>
            </w:pPr>
            <w:r>
              <w:rPr>
                <w:rFonts w:eastAsia="楷体" w:cs="Times New Roman"/>
                <w:b/>
                <w:sz w:val="21"/>
                <w:szCs w:val="21"/>
              </w:rPr>
              <w:t>资源类型</w:t>
            </w:r>
          </w:p>
        </w:tc>
        <w:tc>
          <w:tcPr>
            <w:tcW w:w="7280" w:type="dxa"/>
          </w:tcPr>
          <w:p>
            <w:pPr>
              <w:ind w:firstLine="422"/>
              <w:jc w:val="center"/>
              <w:rPr>
                <w:rFonts w:eastAsia="楷体" w:cs="Times New Roman"/>
                <w:b/>
                <w:sz w:val="21"/>
                <w:szCs w:val="21"/>
              </w:rPr>
            </w:pPr>
            <w:r>
              <w:rPr>
                <w:rFonts w:eastAsia="楷体" w:cs="Times New Roman"/>
                <w:b/>
                <w:sz w:val="21"/>
                <w:szCs w:val="21"/>
              </w:rPr>
              <w:t>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ind w:firstLine="0" w:firstLineChars="0"/>
              <w:jc w:val="left"/>
              <w:rPr>
                <w:rFonts w:eastAsia="楷体" w:cs="Times New Roman"/>
                <w:sz w:val="21"/>
                <w:szCs w:val="21"/>
              </w:rPr>
            </w:pPr>
            <w:r>
              <w:rPr>
                <w:rFonts w:eastAsia="楷体" w:cs="Times New Roman"/>
                <w:sz w:val="21"/>
                <w:szCs w:val="21"/>
              </w:rPr>
              <w:t>自然资源</w:t>
            </w:r>
          </w:p>
        </w:tc>
        <w:tc>
          <w:tcPr>
            <w:tcW w:w="7280" w:type="dxa"/>
          </w:tcPr>
          <w:p>
            <w:pPr>
              <w:autoSpaceDE w:val="0"/>
              <w:autoSpaceDN w:val="0"/>
              <w:adjustRightInd w:val="0"/>
              <w:ind w:firstLine="0" w:firstLineChars="0"/>
              <w:rPr>
                <w:rFonts w:eastAsia="楷体" w:cs="Times New Roman"/>
                <w:sz w:val="21"/>
                <w:szCs w:val="21"/>
              </w:rPr>
            </w:pPr>
            <w:r>
              <w:rPr>
                <w:rFonts w:eastAsia="楷体" w:cs="Times New Roman"/>
                <w:sz w:val="21"/>
                <w:szCs w:val="21"/>
              </w:rPr>
              <w:t>1.开展湿地动植物普及、认知竞赛、湿地写生、摄影比赛等；</w:t>
            </w:r>
          </w:p>
          <w:p>
            <w:pPr>
              <w:autoSpaceDE w:val="0"/>
              <w:autoSpaceDN w:val="0"/>
              <w:adjustRightInd w:val="0"/>
              <w:ind w:firstLine="0" w:firstLineChars="0"/>
              <w:rPr>
                <w:rFonts w:eastAsia="楷体" w:cs="Times New Roman"/>
                <w:sz w:val="21"/>
                <w:szCs w:val="21"/>
              </w:rPr>
            </w:pPr>
            <w:r>
              <w:rPr>
                <w:rFonts w:eastAsia="楷体" w:cs="Times New Roman"/>
                <w:sz w:val="21"/>
                <w:szCs w:val="21"/>
              </w:rPr>
              <w:t>2.开设游园路线，欣赏沿途自然景观；</w:t>
            </w:r>
          </w:p>
          <w:p>
            <w:pPr>
              <w:autoSpaceDE w:val="0"/>
              <w:autoSpaceDN w:val="0"/>
              <w:adjustRightInd w:val="0"/>
              <w:ind w:firstLine="0" w:firstLineChars="0"/>
              <w:rPr>
                <w:rFonts w:eastAsia="楷体" w:cs="Times New Roman"/>
                <w:sz w:val="21"/>
                <w:szCs w:val="21"/>
              </w:rPr>
            </w:pPr>
            <w:r>
              <w:rPr>
                <w:rFonts w:eastAsia="楷体" w:cs="Times New Roman"/>
                <w:sz w:val="21"/>
                <w:szCs w:val="21"/>
              </w:rPr>
              <w:t>3.人工繁育具有经济价值的部分湿地动植物物种，促进经济发展；</w:t>
            </w:r>
          </w:p>
          <w:p>
            <w:pPr>
              <w:autoSpaceDE w:val="0"/>
              <w:autoSpaceDN w:val="0"/>
              <w:adjustRightInd w:val="0"/>
              <w:ind w:firstLine="0" w:firstLineChars="0"/>
              <w:rPr>
                <w:rFonts w:eastAsia="楷体" w:cs="Times New Roman"/>
                <w:sz w:val="21"/>
                <w:szCs w:val="21"/>
              </w:rPr>
            </w:pPr>
            <w:r>
              <w:rPr>
                <w:rFonts w:eastAsia="楷体" w:cs="Times New Roman"/>
                <w:sz w:val="21"/>
                <w:szCs w:val="21"/>
              </w:rPr>
              <w:t>4.利用湿地优美的景观资源，优良的环境质量，帮助人们放松心情，陶冶情操。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ind w:firstLine="0" w:firstLineChars="0"/>
              <w:jc w:val="left"/>
              <w:rPr>
                <w:rFonts w:eastAsia="楷体" w:cs="Times New Roman"/>
                <w:sz w:val="21"/>
                <w:szCs w:val="21"/>
              </w:rPr>
            </w:pPr>
            <w:r>
              <w:rPr>
                <w:rFonts w:eastAsia="楷体" w:cs="Times New Roman"/>
                <w:sz w:val="21"/>
                <w:szCs w:val="21"/>
              </w:rPr>
              <w:t>人文资源</w:t>
            </w:r>
          </w:p>
        </w:tc>
        <w:tc>
          <w:tcPr>
            <w:tcW w:w="7280" w:type="dxa"/>
          </w:tcPr>
          <w:p>
            <w:pPr>
              <w:pStyle w:val="41"/>
              <w:spacing w:line="360" w:lineRule="auto"/>
              <w:jc w:val="both"/>
              <w:rPr>
                <w:rFonts w:ascii="Times New Roman" w:eastAsia="楷体" w:cs="Times New Roman"/>
                <w:color w:val="auto"/>
                <w:sz w:val="21"/>
                <w:szCs w:val="21"/>
              </w:rPr>
            </w:pPr>
            <w:r>
              <w:rPr>
                <w:rFonts w:ascii="Times New Roman" w:eastAsia="楷体" w:cs="Times New Roman"/>
                <w:color w:val="auto"/>
                <w:sz w:val="21"/>
                <w:szCs w:val="21"/>
              </w:rPr>
              <w:t>充分结合当地民俗文化、饮食文化，赋予其新的表现形式，避免退出历史舞台。</w:t>
            </w:r>
          </w:p>
        </w:tc>
      </w:tr>
    </w:tbl>
    <w:p>
      <w:pPr>
        <w:pStyle w:val="4"/>
      </w:pPr>
      <w:r>
        <w:rPr>
          <w:rFonts w:hint="eastAsia"/>
        </w:rPr>
        <w:t>三、规划策略</w:t>
      </w:r>
    </w:p>
    <w:p>
      <w:pPr>
        <w:ind w:firstLine="480"/>
      </w:pPr>
      <w:r>
        <w:rPr>
          <w:rFonts w:hint="eastAsia"/>
        </w:rPr>
        <w:t>玛纳斯国家湿地公园是玛纳斯县旅游空间体系的重要组成部分。玛纳斯县在旅游发展规划中，明确了玛纳斯湿地公园重点发展湿地观光、科普教育、生态旅游、休闲游憩等旅游项目。</w:t>
      </w:r>
    </w:p>
    <w:p>
      <w:pPr>
        <w:ind w:firstLine="480"/>
      </w:pPr>
      <w:r>
        <w:rPr>
          <w:rFonts w:hint="eastAsia"/>
        </w:rPr>
        <w:t>（一）加强玛纳斯城区和玛纳斯国家湿地公园的统筹布局和管理，协同建构特色绿洲生态系统和大田园的景观风貌格局，控制城镇建设对湿地公园的影响。</w:t>
      </w:r>
    </w:p>
    <w:p>
      <w:pPr>
        <w:ind w:firstLine="480"/>
      </w:pPr>
      <w:r>
        <w:rPr>
          <w:rFonts w:hint="eastAsia"/>
        </w:rPr>
        <w:t>（二）以生态安全为前提，控制城市北拓，加强湿地核心区外围的生态抚育。</w:t>
      </w:r>
    </w:p>
    <w:p>
      <w:pPr>
        <w:ind w:firstLine="480"/>
      </w:pPr>
      <w:r>
        <w:rPr>
          <w:rFonts w:hint="eastAsia"/>
        </w:rPr>
        <w:t>（三）集聚发展县城，控制湿地与缓冲区的居民点规模，形成以县城为中心，统筹镇、乡、村发展格局。以湿地公园为重点，以玛纳斯县城为服务核心，建构规划区旅游空间体系。</w:t>
      </w:r>
    </w:p>
    <w:p>
      <w:pPr>
        <w:ind w:firstLine="480"/>
      </w:pPr>
      <w:r>
        <w:rPr>
          <w:rFonts w:hint="eastAsia"/>
        </w:rPr>
        <w:t>（四）统筹规划区内公共服务、交通、市政设施的空间布局，提升基本公共服务的均等化水平。</w:t>
      </w:r>
    </w:p>
    <w:p>
      <w:pPr>
        <w:pStyle w:val="3"/>
        <w:ind w:firstLine="643"/>
      </w:pPr>
      <w:bookmarkStart w:id="59" w:name="_Toc130121671"/>
      <w:r>
        <w:rPr>
          <w:rFonts w:hint="eastAsia"/>
        </w:rPr>
        <w:t xml:space="preserve">第二节 </w:t>
      </w:r>
      <w:r>
        <w:t xml:space="preserve"> </w:t>
      </w:r>
      <w:r>
        <w:rPr>
          <w:rFonts w:hint="eastAsia"/>
        </w:rPr>
        <w:t>旅游发展现状</w:t>
      </w:r>
      <w:bookmarkEnd w:id="59"/>
    </w:p>
    <w:p>
      <w:pPr>
        <w:pStyle w:val="4"/>
      </w:pPr>
      <w:r>
        <w:rPr>
          <w:rFonts w:hint="eastAsia"/>
        </w:rPr>
        <w:t>一、发展回顾</w:t>
      </w:r>
    </w:p>
    <w:p>
      <w:pPr>
        <w:ind w:firstLine="480"/>
      </w:pPr>
      <w:r>
        <w:rPr>
          <w:rFonts w:hint="eastAsia"/>
        </w:rPr>
        <w:t>“十三五”期间，玛纳斯县旅游工作以现代文化为引领，成功创建自治区“旅游强县”和国家休闲农业和乡村旅游示范县。</w:t>
      </w:r>
    </w:p>
    <w:p>
      <w:pPr>
        <w:ind w:firstLine="480"/>
      </w:pPr>
      <w:r>
        <w:rPr>
          <w:rFonts w:hint="eastAsia"/>
        </w:rPr>
        <w:t>旅游规划体系和旅游基础设施建设逐步完善。三条由玛纳斯县城进入南部山区的主要通道修通，完成了通往黑梁湾山庄、国家湿地公园道路的改造。葡萄酒公园、中华碧玉园、城市异地候机楼、碧玉和葡萄酒检测中心、源生园葡萄酒庄、玛纳斯迎宾馆等一批旅游服务基础设施项目投入使用。兰州湾镇、塔西河乡、包家店镇成功创建为州级旅游示范乡镇，兰州湾镇兰州湾村、塔西河乡黄台子村成功创建为自治州旅游示范村。</w:t>
      </w:r>
    </w:p>
    <w:p>
      <w:pPr>
        <w:ind w:firstLine="480"/>
      </w:pPr>
      <w:r>
        <w:rPr>
          <w:rFonts w:hint="eastAsia"/>
        </w:rPr>
        <w:t>旅游线路逐渐成熟，节庆活动持续创新，文旅融合不断突破。通过开展专题旅游推介活动，积极打造宣传推介“赏碧玉、游湿地、观天鹅、品美酒、享地热”玛纳斯1～2日游线路。2015年融入伊犁、喀纳斯等北疆旅游环线之中。在玛纳斯冰雪旅游风情节、玛纳斯县民俗文化旅游节、端午文化旅游节、玛纳斯碧玉文化旅游节等重大旅游节庆活动推动下，旅游品牌效益提升。依托玛纳斯碧玉文化艺术品的研发，增加了玛纳斯旅游纪念品的收藏价值和文化内涵。</w:t>
      </w:r>
    </w:p>
    <w:p>
      <w:pPr>
        <w:ind w:firstLine="480"/>
      </w:pPr>
      <w:r>
        <w:rPr>
          <w:rFonts w:hint="eastAsia"/>
        </w:rPr>
        <w:t>玛纳斯县旅游业处于发展初级阶段，旅游人数和旅游收入连年增长（图9-</w:t>
      </w:r>
      <w:r>
        <w:t>1</w:t>
      </w:r>
      <w:r>
        <w:rPr>
          <w:rFonts w:hint="eastAsia"/>
        </w:rPr>
        <w:t>），但是旅游发展以观光产品和餐饮服务为主，旅游相关行业整体水平亟待提升。</w:t>
      </w:r>
    </w:p>
    <w:p>
      <w:pPr>
        <w:ind w:firstLine="0" w:firstLineChars="0"/>
      </w:pPr>
      <w:r>
        <w:drawing>
          <wp:inline distT="0" distB="0" distL="0" distR="0">
            <wp:extent cx="2454275" cy="1438910"/>
            <wp:effectExtent l="0" t="0" r="3175"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2" cstate="print"/>
                    <a:srcRect l="61572" t="24765" r="9195" b="18112"/>
                    <a:stretch>
                      <a:fillRect/>
                    </a:stretch>
                  </pic:blipFill>
                  <pic:spPr>
                    <a:xfrm>
                      <a:off x="0" y="0"/>
                      <a:ext cx="2469508" cy="1447788"/>
                    </a:xfrm>
                    <a:prstGeom prst="rect">
                      <a:avLst/>
                    </a:prstGeom>
                    <a:ln>
                      <a:noFill/>
                    </a:ln>
                  </pic:spPr>
                </pic:pic>
              </a:graphicData>
            </a:graphic>
          </wp:inline>
        </w:drawing>
      </w:r>
      <w:r>
        <w:t xml:space="preserve"> </w:t>
      </w:r>
      <w:r>
        <w:drawing>
          <wp:inline distT="0" distB="0" distL="0" distR="0">
            <wp:extent cx="2494915" cy="1439545"/>
            <wp:effectExtent l="0" t="0" r="63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3" cstate="print"/>
                    <a:srcRect l="61509" t="25797" r="9158" b="17775"/>
                    <a:stretch>
                      <a:fillRect/>
                    </a:stretch>
                  </pic:blipFill>
                  <pic:spPr>
                    <a:xfrm>
                      <a:off x="0" y="0"/>
                      <a:ext cx="2494927" cy="1440000"/>
                    </a:xfrm>
                    <a:prstGeom prst="rect">
                      <a:avLst/>
                    </a:prstGeom>
                    <a:ln>
                      <a:noFill/>
                    </a:ln>
                  </pic:spPr>
                </pic:pic>
              </a:graphicData>
            </a:graphic>
          </wp:inline>
        </w:drawing>
      </w:r>
    </w:p>
    <w:p>
      <w:pPr>
        <w:pStyle w:val="45"/>
      </w:pPr>
      <w:r>
        <w:rPr>
          <w:rFonts w:hint="eastAsia"/>
        </w:rPr>
        <w:t>图9-</w:t>
      </w:r>
      <w:r>
        <w:t>1</w:t>
      </w:r>
      <w:r>
        <w:rPr>
          <w:rFonts w:hint="eastAsia"/>
        </w:rPr>
        <w:t xml:space="preserve"> 玛纳斯县旅游人数和旅游收入</w:t>
      </w:r>
    </w:p>
    <w:p>
      <w:pPr>
        <w:pStyle w:val="4"/>
      </w:pPr>
      <w:r>
        <w:rPr>
          <w:rFonts w:hint="eastAsia"/>
        </w:rPr>
        <w:t>二、存在问题</w:t>
      </w:r>
    </w:p>
    <w:p>
      <w:pPr>
        <w:pStyle w:val="5"/>
      </w:pPr>
      <w:r>
        <w:rPr>
          <w:rFonts w:hint="eastAsia"/>
        </w:rPr>
        <w:t>（一）配套设施有待提升</w:t>
      </w:r>
    </w:p>
    <w:p>
      <w:pPr>
        <w:ind w:firstLine="480"/>
      </w:pPr>
      <w:r>
        <w:rPr>
          <w:rFonts w:hint="eastAsia"/>
        </w:rPr>
        <w:t>旅游交通、旅游通讯、景区环境卫生和旅游安全设施等方面还存在显著不足，目前整体旅游环境还达不到让游客“进得来、出得去、吃得放心、住得舒心、买的称心、玩得开心”的标准。</w:t>
      </w:r>
    </w:p>
    <w:p>
      <w:pPr>
        <w:pStyle w:val="5"/>
      </w:pPr>
      <w:r>
        <w:rPr>
          <w:rFonts w:hint="eastAsia"/>
        </w:rPr>
        <w:t>（二）旅游市场营销未形成成熟体系</w:t>
      </w:r>
    </w:p>
    <w:p>
      <w:pPr>
        <w:ind w:firstLine="480"/>
      </w:pPr>
      <w:r>
        <w:rPr>
          <w:rFonts w:hint="eastAsia"/>
        </w:rPr>
        <w:t>玛纳斯湿地公园生态旅游开发建设处于起步阶段，尚未树立明确、具体的旅游形象，也没有推出相关的精品线路。相应的营销策划还没有专业人员进行系统设计。营销队伍尚未形成，宣传资金有限，营销能力较差，对外宣传薄弱。</w:t>
      </w:r>
    </w:p>
    <w:p>
      <w:pPr>
        <w:pStyle w:val="5"/>
      </w:pPr>
      <w:r>
        <w:rPr>
          <w:rFonts w:hint="eastAsia"/>
        </w:rPr>
        <w:t>（三）生态旅游从业人才缺乏</w:t>
      </w:r>
    </w:p>
    <w:p>
      <w:pPr>
        <w:ind w:firstLine="480"/>
      </w:pPr>
      <w:r>
        <w:rPr>
          <w:rFonts w:hint="eastAsia"/>
        </w:rPr>
        <w:t>旅游从业人员素质不高，生态旅游从业人员尚属空白，急需引进和培养较高层次的生态旅游资源开发建设和管理、服务等人才。</w:t>
      </w:r>
    </w:p>
    <w:p>
      <w:pPr>
        <w:pStyle w:val="5"/>
      </w:pPr>
      <w:r>
        <w:rPr>
          <w:rFonts w:hint="eastAsia"/>
        </w:rPr>
        <w:t>（四）生态旅游参与性项目待突破</w:t>
      </w:r>
    </w:p>
    <w:p>
      <w:pPr>
        <w:ind w:firstLine="480"/>
      </w:pPr>
      <w:r>
        <w:rPr>
          <w:rFonts w:hint="eastAsia"/>
        </w:rPr>
        <w:t>当前玛纳斯湿地公园的客源主要是其周边居民，将湿地公园归入全疆旅游 线路当中，才能较充分扩展客源、提高知名度。玛纳斯国家湿地公园参与性旅游项目几乎处于空白，有组织的参与性旅游项目是生态旅游创收的主要来源之一。</w:t>
      </w:r>
    </w:p>
    <w:p>
      <w:pPr>
        <w:pStyle w:val="3"/>
        <w:ind w:firstLine="643"/>
      </w:pPr>
      <w:bookmarkStart w:id="60" w:name="_Toc130121672"/>
      <w:r>
        <w:rPr>
          <w:rFonts w:hint="eastAsia"/>
        </w:rPr>
        <w:t>第三节  客源市场及游客规模分析</w:t>
      </w:r>
      <w:bookmarkEnd w:id="60"/>
    </w:p>
    <w:p>
      <w:pPr>
        <w:pStyle w:val="4"/>
      </w:pPr>
      <w:r>
        <w:rPr>
          <w:rFonts w:hint="eastAsia"/>
        </w:rPr>
        <w:t>一、玛纳斯国家湿地公园旅游吸引力构成</w:t>
      </w:r>
    </w:p>
    <w:p>
      <w:pPr>
        <w:ind w:firstLine="480"/>
      </w:pPr>
      <w:r>
        <w:t>据统计，2021年新疆接待国内游客19056.7万人，比上年增长20.5%；国内旅游收入1415.69亿元，比上年增长42.7%。新疆旅游资源丰富，随着“旅游兴疆”战略的提出，未来疆内旅游业</w:t>
      </w:r>
      <w:r>
        <w:rPr>
          <w:rFonts w:hint="eastAsia"/>
        </w:rPr>
        <w:t>将</w:t>
      </w:r>
      <w:r>
        <w:t>迎来更好的发展。</w:t>
      </w:r>
      <w:r>
        <w:rPr>
          <w:rFonts w:hint="eastAsia"/>
        </w:rPr>
        <w:t>玛纳斯是北疆旅游路线重要通道，在湿地公园创建5A景区打造生态廊道的同时，借助“文旅融合”的战略政策优势必将带动玛纳斯全域生态旅游的大发展。</w:t>
      </w:r>
    </w:p>
    <w:p>
      <w:pPr>
        <w:pStyle w:val="4"/>
      </w:pPr>
      <w:r>
        <w:rPr>
          <w:rFonts w:hint="eastAsia"/>
        </w:rPr>
        <w:t>二、玛纳斯国家湿地公园目标市场细分</w:t>
      </w:r>
    </w:p>
    <w:p>
      <w:pPr>
        <w:pStyle w:val="5"/>
      </w:pPr>
      <w:r>
        <w:rPr>
          <w:rFonts w:hint="eastAsia"/>
        </w:rPr>
        <w:t>（一）出游方式</w:t>
      </w:r>
    </w:p>
    <w:p>
      <w:pPr>
        <w:ind w:firstLine="480"/>
      </w:pPr>
      <w:r>
        <w:rPr>
          <w:rFonts w:hint="eastAsia"/>
        </w:rPr>
        <w:t>天山北坡经济带是新疆最富活力的经济区，乌鲁木齐、昌吉市、石河子市城市居民具有较高的旅游消费水平，是湿地公园主要的近程客源市场，此外来疆旅游在乌昌地短暂停留的外地游客也是湿地公园不容忽视的重要远程市场。</w:t>
      </w:r>
    </w:p>
    <w:p>
      <w:pPr>
        <w:ind w:firstLine="480"/>
      </w:pPr>
      <w:r>
        <w:rPr>
          <w:rFonts w:hint="eastAsia"/>
        </w:rPr>
        <w:t xml:space="preserve">近些年来，随着自驾时代的到来，乌昌地区市民出游动机己不仅限于传统的观光游览，而是更多地追求休闲度假的体验。返璞归真的体验式生态旅游成为时尚。随着人们出游品味的提升，单纯的以自然田园风光为主的观光方式，将无法满足游客对更高层次文化体验的需求。 </w:t>
      </w:r>
    </w:p>
    <w:p>
      <w:pPr>
        <w:ind w:firstLine="480"/>
      </w:pPr>
      <w:r>
        <w:rPr>
          <w:rFonts w:hint="eastAsia"/>
        </w:rPr>
        <w:t>出游方式上，散客市场得到很大的发展，出现了独自旅游、结伴同游、家庭旅游、群组旅游、自驾旅游、徒步旅游等多种形式。近程旅游往往以自助形式为主，出行主要采取自我服务组织方式，以单位、家庭、亲朋好友为主要团体形式 。</w:t>
      </w:r>
    </w:p>
    <w:p>
      <w:pPr>
        <w:ind w:firstLine="480"/>
      </w:pPr>
      <w:r>
        <w:rPr>
          <w:rFonts w:hint="eastAsia"/>
        </w:rPr>
        <w:t>根据乌鲁木齐市民出游行为规律的市场调查结果推断，玛纳斯国家湿地公园游客出游方式中，个人或亲朋结伴旅游占60%以上，单位组织占30-40%，旅行社组织占</w:t>
      </w:r>
      <w:r>
        <w:t>10</w:t>
      </w:r>
      <w:r>
        <w:rPr>
          <w:rFonts w:hint="eastAsia"/>
        </w:rPr>
        <w:t>%。</w:t>
      </w:r>
    </w:p>
    <w:p>
      <w:pPr>
        <w:pStyle w:val="5"/>
      </w:pPr>
      <w:r>
        <w:rPr>
          <w:rFonts w:hint="eastAsia"/>
        </w:rPr>
        <w:t>（二）消费档次</w:t>
      </w:r>
    </w:p>
    <w:p>
      <w:pPr>
        <w:ind w:firstLine="480"/>
      </w:pPr>
      <w:r>
        <w:rPr>
          <w:rFonts w:hint="eastAsia"/>
        </w:rPr>
        <w:t xml:space="preserve"> 以中档经济型消费档次为主。</w:t>
      </w:r>
    </w:p>
    <w:p>
      <w:pPr>
        <w:pStyle w:val="5"/>
      </w:pPr>
      <w:r>
        <w:rPr>
          <w:rFonts w:hint="eastAsia"/>
        </w:rPr>
        <w:t>（三）客源类型</w:t>
      </w:r>
    </w:p>
    <w:p>
      <w:pPr>
        <w:pStyle w:val="6"/>
        <w:ind w:firstLine="482"/>
      </w:pPr>
      <w:r>
        <w:t>1</w:t>
      </w:r>
      <w:r>
        <w:rPr>
          <w:rFonts w:hint="eastAsia"/>
        </w:rPr>
        <w:t>.</w:t>
      </w:r>
      <w:r>
        <w:t xml:space="preserve"> </w:t>
      </w:r>
      <w:r>
        <w:rPr>
          <w:rFonts w:hint="eastAsia"/>
        </w:rPr>
        <w:t>休闲度假型游客</w:t>
      </w:r>
    </w:p>
    <w:p>
      <w:pPr>
        <w:ind w:firstLine="480"/>
      </w:pPr>
      <w:r>
        <w:rPr>
          <w:rFonts w:hint="eastAsia"/>
        </w:rPr>
        <w:t>乌鲁木齐都市围城市居民休闲度假的需求增长迅速，忙碌于都市的人们越来越喜欢追求亲近自然的“原生态”体验，特别对于乌昌城市的工薪阶层和离退休中老年人 ，常常以家庭 、朋友或群体组织为单位利用周末或假期游山玩水，放松身心。湿地公园应针对这一市场的需求，建立基础旅游设施，设计参与性、趣味性强的体验活动，并以此作为促进当地旅游经济发展的途径。</w:t>
      </w:r>
    </w:p>
    <w:p>
      <w:pPr>
        <w:pStyle w:val="6"/>
        <w:ind w:firstLine="482"/>
      </w:pPr>
      <w:r>
        <w:t>2</w:t>
      </w:r>
      <w:r>
        <w:rPr>
          <w:rFonts w:hint="eastAsia"/>
        </w:rPr>
        <w:t>.</w:t>
      </w:r>
      <w:r>
        <w:t xml:space="preserve"> </w:t>
      </w:r>
      <w:r>
        <w:rPr>
          <w:rFonts w:hint="eastAsia"/>
        </w:rPr>
        <w:t>生态观光型游客</w:t>
      </w:r>
    </w:p>
    <w:p>
      <w:pPr>
        <w:ind w:firstLine="480"/>
      </w:pPr>
      <w:r>
        <w:rPr>
          <w:rFonts w:hint="eastAsia"/>
        </w:rPr>
        <w:t>玛纳斯国家湿地公园的自然条件优越，水网、田园、农庄构成的绿洲风貌清新质朴，很适宜开展生态观光旅游。因此观光型游客将是湿地公园发展旅游业的 一个重要客源。</w:t>
      </w:r>
    </w:p>
    <w:p>
      <w:pPr>
        <w:pStyle w:val="6"/>
        <w:ind w:firstLine="482"/>
      </w:pPr>
      <w:r>
        <w:t>3</w:t>
      </w:r>
      <w:r>
        <w:rPr>
          <w:rFonts w:hint="eastAsia"/>
        </w:rPr>
        <w:t>.</w:t>
      </w:r>
      <w:r>
        <w:t xml:space="preserve"> </w:t>
      </w:r>
      <w:r>
        <w:rPr>
          <w:rFonts w:hint="eastAsia"/>
        </w:rPr>
        <w:t>科普实践型客源</w:t>
      </w:r>
    </w:p>
    <w:p>
      <w:pPr>
        <w:ind w:firstLine="480"/>
      </w:pPr>
      <w:r>
        <w:rPr>
          <w:rFonts w:hint="eastAsia"/>
        </w:rPr>
        <w:t>湿地公园作为自然科普课堂，结合研学旅游教育和生态文化实践基地建设，展示湿地形成与演变、功能价值、环境保护知识，为学生提供开展环保主题活动及科教考察活动的场所。此类客源市场稳定，同时开拓学生市场具有科普教育及环保意识推广的重大意义，应视为湿地公园开发、发展过程中重点之一。</w:t>
      </w:r>
    </w:p>
    <w:p>
      <w:pPr>
        <w:pStyle w:val="6"/>
        <w:ind w:firstLine="482"/>
      </w:pPr>
      <w:r>
        <w:t>4</w:t>
      </w:r>
      <w:r>
        <w:rPr>
          <w:rFonts w:hint="eastAsia"/>
        </w:rPr>
        <w:t>.</w:t>
      </w:r>
      <w:r>
        <w:t xml:space="preserve"> </w:t>
      </w:r>
      <w:r>
        <w:rPr>
          <w:rFonts w:hint="eastAsia"/>
        </w:rPr>
        <w:t>以观鸟、户外爱好者为主的群体</w:t>
      </w:r>
    </w:p>
    <w:p>
      <w:pPr>
        <w:ind w:firstLine="480"/>
      </w:pPr>
      <w:r>
        <w:rPr>
          <w:rFonts w:hint="eastAsia"/>
        </w:rPr>
        <w:t>观鸟者以及植物爱好者及户外运动爱好者往往具有较为浓厚的自然、环保意识及较高的文化水平或专业水平，他们从事的旅游活动更符合严格意义上的生态旅游，吸引该部分游客，将有效提升景区的旅游品位。园内鸟类以及植物种类丰富，适合开展观鸟、植物欣赏等旅游活动。可与一些环保协会、观鸟协会户外运动俱乐部等建立良好的合作关系，吸引更多的生态旅游者。</w:t>
      </w:r>
    </w:p>
    <w:p>
      <w:pPr>
        <w:pStyle w:val="6"/>
        <w:ind w:firstLine="482"/>
      </w:pPr>
      <w:r>
        <w:t>5</w:t>
      </w:r>
      <w:r>
        <w:rPr>
          <w:rFonts w:hint="eastAsia"/>
        </w:rPr>
        <w:t>.</w:t>
      </w:r>
      <w:r>
        <w:t xml:space="preserve"> </w:t>
      </w:r>
      <w:r>
        <w:rPr>
          <w:rFonts w:hint="eastAsia"/>
        </w:rPr>
        <w:t>艺术创作群体</w:t>
      </w:r>
    </w:p>
    <w:p>
      <w:pPr>
        <w:ind w:firstLine="480"/>
      </w:pPr>
      <w:r>
        <w:rPr>
          <w:rFonts w:hint="eastAsia"/>
        </w:rPr>
        <w:t>湿地生态系统为人们提供了良好的视界以及良好的鸟类及水生动植物的   生境。摄影、写生等艺术创作，通过对大自然之美的欣赏和采集，体现了湿地公园的审美价值，也是宣传和推介湿地公园的重要窗口。可以通过一些相关的组织和团体举办摄影大赛、湿地公园艺术展等，一方面丰富了湿地公园内的活动，另一方面树立良好形象，打造一流的国家湿地公园品牌。</w:t>
      </w:r>
    </w:p>
    <w:p>
      <w:pPr>
        <w:pStyle w:val="6"/>
        <w:ind w:firstLine="482"/>
      </w:pPr>
      <w:r>
        <w:rPr>
          <w:rFonts w:hint="eastAsia"/>
        </w:rPr>
        <w:t>6.</w:t>
      </w:r>
      <w:r>
        <w:t xml:space="preserve"> 自驾车、房车群体</w:t>
      </w:r>
    </w:p>
    <w:p>
      <w:pPr>
        <w:ind w:firstLine="480"/>
      </w:pPr>
      <w:r>
        <w:rPr>
          <w:rFonts w:eastAsia="宋体" w:cs="Times New Roman"/>
          <w:kern w:val="0"/>
          <w:szCs w:val="24"/>
        </w:rPr>
        <w:t>客源主要来自</w:t>
      </w:r>
      <w:r>
        <w:rPr>
          <w:rFonts w:hint="eastAsia" w:eastAsia="宋体" w:cs="Times New Roman"/>
          <w:kern w:val="0"/>
          <w:szCs w:val="24"/>
        </w:rPr>
        <w:t>玛纳斯</w:t>
      </w:r>
      <w:r>
        <w:rPr>
          <w:rFonts w:eastAsia="宋体" w:cs="Times New Roman"/>
          <w:kern w:val="0"/>
          <w:szCs w:val="24"/>
        </w:rPr>
        <w:t>周边500km城市圈内的游客，该类游客停留时间较长，消费水平高，重游率高，对配套设施要求一般，但对旅游产品内涵要求较高，偏爱生态休闲类旅游产品，另外需要有相应的自驾车营地服务，同时具有很强的社会影响力和宣传作用。</w:t>
      </w:r>
    </w:p>
    <w:p>
      <w:pPr>
        <w:pStyle w:val="4"/>
      </w:pPr>
      <w:r>
        <w:rPr>
          <w:rFonts w:hint="eastAsia"/>
        </w:rPr>
        <w:t>四、玛纳斯国家湿地公园目标市场定位</w:t>
      </w:r>
    </w:p>
    <w:p>
      <w:pPr>
        <w:pStyle w:val="5"/>
      </w:pPr>
      <w:r>
        <w:rPr>
          <w:rFonts w:hint="eastAsia"/>
        </w:rPr>
        <w:t>（一）主要客源地</w:t>
      </w:r>
    </w:p>
    <w:p>
      <w:pPr>
        <w:pStyle w:val="6"/>
        <w:ind w:firstLine="482"/>
      </w:pPr>
      <w:r>
        <w:rPr>
          <w:rFonts w:hint="eastAsia"/>
        </w:rPr>
        <w:t>1.</w:t>
      </w:r>
      <w:r>
        <w:t xml:space="preserve"> </w:t>
      </w:r>
      <w:r>
        <w:rPr>
          <w:rFonts w:hint="eastAsia"/>
        </w:rPr>
        <w:t>一级市场</w:t>
      </w:r>
    </w:p>
    <w:p>
      <w:pPr>
        <w:ind w:firstLine="480"/>
      </w:pPr>
      <w:r>
        <w:rPr>
          <w:rFonts w:hint="eastAsia"/>
        </w:rPr>
        <w:t>乌鲁木齐都市圈城市居民及来疆旅游的短停游客。玛纳斯国家湿地公园将作为新疆自治区首府经济圈中集生态科普、动植物保护、休闲娱乐于一体的具有地方特色的湿地公园，乌鲁木齐都市圈本地居民将成为该湿地公园的主要客源。乌鲁木齐是新疆的首府城市，全疆的旅游集散地和接待服务基地，中远程客源市场的入疆的第一站，具有较大的客源优势，湿地公园距离乌鲁木齐国际机场仅1</w:t>
      </w:r>
      <w:r>
        <w:t>20</w:t>
      </w:r>
      <w:r>
        <w:rPr>
          <w:rFonts w:hint="eastAsia"/>
        </w:rPr>
        <w:t xml:space="preserve"> km，因此具有独特的地缘优势，可以共享乌鲁木齐的空中门户，因此来疆旅游短暂停留的游客也是湿地公园可以共享的客源市场。 </w:t>
      </w:r>
    </w:p>
    <w:p>
      <w:pPr>
        <w:pStyle w:val="6"/>
        <w:ind w:firstLine="482"/>
      </w:pPr>
      <w:r>
        <w:t>2</w:t>
      </w:r>
      <w:r>
        <w:rPr>
          <w:rFonts w:hint="eastAsia"/>
        </w:rPr>
        <w:t>.</w:t>
      </w:r>
      <w:r>
        <w:t xml:space="preserve"> </w:t>
      </w:r>
      <w:r>
        <w:rPr>
          <w:rFonts w:hint="eastAsia"/>
        </w:rPr>
        <w:t>二级市场</w:t>
      </w:r>
    </w:p>
    <w:p>
      <w:pPr>
        <w:ind w:firstLine="480"/>
      </w:pPr>
      <w:r>
        <w:rPr>
          <w:rFonts w:hint="eastAsia"/>
        </w:rPr>
        <w:t>其它地区游客。主要来自天山北坡经济较发达地区，及南疆、东疆及库尔勒、 吐鲁番及哈密等地区。</w:t>
      </w:r>
    </w:p>
    <w:p>
      <w:pPr>
        <w:pStyle w:val="6"/>
        <w:ind w:firstLine="482"/>
      </w:pPr>
      <w:r>
        <w:rPr>
          <w:rFonts w:hint="eastAsia"/>
        </w:rPr>
        <w:t>3.</w:t>
      </w:r>
      <w:r>
        <w:t xml:space="preserve"> </w:t>
      </w:r>
      <w:r>
        <w:rPr>
          <w:rFonts w:hint="eastAsia"/>
        </w:rPr>
        <w:t>三级市场</w:t>
      </w:r>
    </w:p>
    <w:p>
      <w:pPr>
        <w:ind w:firstLine="480"/>
      </w:pPr>
      <w:r>
        <w:rPr>
          <w:rFonts w:hint="eastAsia"/>
        </w:rPr>
        <w:t>全国其它省市的客源。统计资料显示，疆外国内游客主要来自于北京、天津、上海、浙江、广东、福建、西北五省区，合计约占来疆国内游客的51%。整体来看，有四大疆外客源市场域：以北京为核心的京津唐地区；以上海为核心的沪宁杭地区；以广州为核心的粤、闽、琼地区；以西安为核心的西北邻近省区。</w:t>
      </w:r>
    </w:p>
    <w:p>
      <w:pPr>
        <w:ind w:firstLine="480"/>
      </w:pPr>
      <w:r>
        <w:rPr>
          <w:rFonts w:hint="eastAsia"/>
        </w:rPr>
        <w:t>海外客源市场。海外游客主要来自日本、港澳台、韩国；独联体及中亚国家；西欧和北美；其中国际观鸟游客是玛纳斯湿地公园的主要国际市场。</w:t>
      </w:r>
    </w:p>
    <w:p>
      <w:pPr>
        <w:pStyle w:val="45"/>
      </w:pPr>
      <w:r>
        <w:rPr>
          <w:rFonts w:hint="eastAsia"/>
        </w:rPr>
        <w:t xml:space="preserve">表 </w:t>
      </w:r>
      <w:r>
        <w:t>9</w:t>
      </w:r>
      <w:r>
        <w:rPr>
          <w:rFonts w:hint="eastAsia"/>
        </w:rPr>
        <w:t>-</w:t>
      </w:r>
      <w:r>
        <w:t xml:space="preserve">2 </w:t>
      </w:r>
      <w:r>
        <w:rPr>
          <w:rFonts w:hint="eastAsia"/>
        </w:rPr>
        <w:t>玛纳斯国家湿地公园的客源市场区域细分及定位</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2835"/>
        <w:gridCol w:w="3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pPr>
              <w:autoSpaceDE w:val="0"/>
              <w:autoSpaceDN w:val="0"/>
              <w:adjustRightInd w:val="0"/>
              <w:ind w:firstLine="440"/>
              <w:jc w:val="left"/>
              <w:rPr>
                <w:rFonts w:eastAsia="楷体" w:cs="Times New Roman"/>
                <w:kern w:val="0"/>
                <w:sz w:val="21"/>
                <w:szCs w:val="21"/>
              </w:rPr>
            </w:pPr>
            <w:r>
              <w:rPr>
                <w:rFonts w:eastAsia="楷体" w:cs="Times New Roman"/>
                <w:w w:val="105"/>
                <w:kern w:val="0"/>
                <w:sz w:val="21"/>
                <w:szCs w:val="21"/>
              </w:rPr>
              <w:t>市场等级</w:t>
            </w:r>
          </w:p>
        </w:tc>
        <w:tc>
          <w:tcPr>
            <w:tcW w:w="2835" w:type="dxa"/>
          </w:tcPr>
          <w:p>
            <w:pPr>
              <w:autoSpaceDE w:val="0"/>
              <w:autoSpaceDN w:val="0"/>
              <w:adjustRightInd w:val="0"/>
              <w:ind w:firstLine="440"/>
              <w:jc w:val="left"/>
              <w:rPr>
                <w:rFonts w:eastAsia="楷体" w:cs="Times New Roman"/>
                <w:kern w:val="0"/>
                <w:sz w:val="21"/>
                <w:szCs w:val="21"/>
              </w:rPr>
            </w:pPr>
            <w:r>
              <w:rPr>
                <w:rFonts w:eastAsia="楷体" w:cs="Times New Roman"/>
                <w:w w:val="105"/>
                <w:kern w:val="0"/>
                <w:sz w:val="21"/>
                <w:szCs w:val="21"/>
              </w:rPr>
              <w:t>客源区域</w:t>
            </w:r>
          </w:p>
        </w:tc>
        <w:tc>
          <w:tcPr>
            <w:tcW w:w="3878" w:type="dxa"/>
          </w:tcPr>
          <w:p>
            <w:pPr>
              <w:autoSpaceDE w:val="0"/>
              <w:autoSpaceDN w:val="0"/>
              <w:adjustRightInd w:val="0"/>
              <w:ind w:firstLine="420"/>
              <w:jc w:val="left"/>
              <w:rPr>
                <w:rFonts w:eastAsia="楷体" w:cs="Times New Roman"/>
                <w:kern w:val="0"/>
                <w:sz w:val="21"/>
                <w:szCs w:val="21"/>
              </w:rPr>
            </w:pPr>
            <w:r>
              <w:rPr>
                <w:rFonts w:eastAsia="楷体" w:cs="Times New Roman"/>
                <w:kern w:val="0"/>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pPr>
              <w:ind w:firstLine="0" w:firstLineChars="0"/>
              <w:rPr>
                <w:rFonts w:eastAsia="楷体" w:cs="Times New Roman"/>
                <w:sz w:val="21"/>
                <w:szCs w:val="21"/>
              </w:rPr>
            </w:pPr>
            <w:r>
              <w:rPr>
                <w:rFonts w:eastAsia="楷体" w:cs="Times New Roman"/>
                <w:w w:val="110"/>
                <w:kern w:val="0"/>
                <w:sz w:val="21"/>
                <w:szCs w:val="21"/>
              </w:rPr>
              <w:t>国内客源</w:t>
            </w:r>
          </w:p>
        </w:tc>
        <w:tc>
          <w:tcPr>
            <w:tcW w:w="1275"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一级市场</w:t>
            </w:r>
          </w:p>
        </w:tc>
        <w:tc>
          <w:tcPr>
            <w:tcW w:w="2835"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乌昌</w:t>
            </w:r>
            <w:r>
              <w:rPr>
                <w:rFonts w:hint="eastAsia" w:eastAsia="楷体" w:cs="Times New Roman"/>
                <w:sz w:val="21"/>
                <w:szCs w:val="21"/>
              </w:rPr>
              <w:t>石</w:t>
            </w:r>
            <w:r>
              <w:rPr>
                <w:rFonts w:eastAsia="楷体" w:cs="Times New Roman"/>
                <w:sz w:val="21"/>
                <w:szCs w:val="21"/>
              </w:rPr>
              <w:t>地区城市居民及来疆旅游在本地短停游客。</w:t>
            </w:r>
          </w:p>
        </w:tc>
        <w:tc>
          <w:tcPr>
            <w:tcW w:w="3878"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结合自驾游及户外运动旅游，将乌昌地区市民作为主要目标市场，发展近程散客休闲度假旅游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ind w:firstLine="0" w:firstLineChars="0"/>
              <w:rPr>
                <w:rFonts w:eastAsia="楷体" w:cs="Times New Roman"/>
                <w:sz w:val="21"/>
                <w:szCs w:val="21"/>
              </w:rPr>
            </w:pPr>
          </w:p>
        </w:tc>
        <w:tc>
          <w:tcPr>
            <w:tcW w:w="1275"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二级市场</w:t>
            </w:r>
          </w:p>
        </w:tc>
        <w:tc>
          <w:tcPr>
            <w:tcW w:w="2835"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疆内其它地区的游客</w:t>
            </w:r>
          </w:p>
        </w:tc>
        <w:tc>
          <w:tcPr>
            <w:tcW w:w="3878"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充分利用乌昌、乌奎高速公路</w:t>
            </w:r>
            <w:r>
              <w:rPr>
                <w:rFonts w:hint="eastAsia" w:eastAsia="楷体" w:cs="Times New Roman"/>
                <w:sz w:val="21"/>
                <w:szCs w:val="21"/>
              </w:rPr>
              <w:t>和北疆铁路</w:t>
            </w:r>
            <w:r>
              <w:rPr>
                <w:rFonts w:eastAsia="楷体" w:cs="Times New Roman"/>
                <w:sz w:val="21"/>
                <w:szCs w:val="21"/>
              </w:rPr>
              <w:t>等重要交通设施，大力拓展旅游线路。并利用“小长假”发展地区散客自驾、休闲度假、生态体验游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ind w:firstLine="0" w:firstLineChars="0"/>
              <w:rPr>
                <w:rFonts w:eastAsia="楷体" w:cs="Times New Roman"/>
                <w:sz w:val="21"/>
                <w:szCs w:val="21"/>
              </w:rPr>
            </w:pPr>
          </w:p>
        </w:tc>
        <w:tc>
          <w:tcPr>
            <w:tcW w:w="1275"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三级市场</w:t>
            </w:r>
          </w:p>
        </w:tc>
        <w:tc>
          <w:tcPr>
            <w:tcW w:w="2835"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珠江三角洲、长江三角洲、环渤海经济 带乃至全国其他省市及地区的游客</w:t>
            </w:r>
          </w:p>
        </w:tc>
        <w:tc>
          <w:tcPr>
            <w:tcW w:w="3878"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与传统品牌景区整合营销，形成特色线路，扩大区域影响力和竞争力，吸引沿海经济发达地区</w:t>
            </w:r>
            <w:r>
              <w:rPr>
                <w:rFonts w:hint="eastAsia" w:eastAsia="楷体" w:cs="Times New Roman"/>
                <w:sz w:val="21"/>
                <w:szCs w:val="21"/>
              </w:rPr>
              <w:t>游客</w:t>
            </w:r>
            <w:r>
              <w:rPr>
                <w:rFonts w:eastAsia="楷体" w:cs="Times New Roman"/>
                <w:sz w:val="21"/>
                <w:szCs w:val="21"/>
              </w:rPr>
              <w:t>，完善国内市场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pPr>
              <w:ind w:firstLine="0" w:firstLineChars="0"/>
              <w:rPr>
                <w:rFonts w:eastAsia="楷体" w:cs="Times New Roman"/>
                <w:sz w:val="21"/>
                <w:szCs w:val="21"/>
              </w:rPr>
            </w:pPr>
            <w:r>
              <w:rPr>
                <w:rFonts w:eastAsia="楷体" w:cs="Times New Roman"/>
                <w:sz w:val="21"/>
                <w:szCs w:val="21"/>
              </w:rPr>
              <w:t>境外客源</w:t>
            </w:r>
          </w:p>
        </w:tc>
        <w:tc>
          <w:tcPr>
            <w:tcW w:w="2835"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日本、港澳台 、韩国游客 ：独联体及中亚游客．西欧 和北美游客 ：新马泰游客</w:t>
            </w:r>
          </w:p>
        </w:tc>
        <w:tc>
          <w:tcPr>
            <w:tcW w:w="3878" w:type="dxa"/>
          </w:tcPr>
          <w:p>
            <w:pPr>
              <w:autoSpaceDE w:val="0"/>
              <w:autoSpaceDN w:val="0"/>
              <w:adjustRightInd w:val="0"/>
              <w:ind w:firstLine="0" w:firstLineChars="0"/>
              <w:jc w:val="left"/>
              <w:rPr>
                <w:rFonts w:eastAsia="楷体" w:cs="Times New Roman"/>
                <w:sz w:val="21"/>
                <w:szCs w:val="21"/>
              </w:rPr>
            </w:pPr>
            <w:r>
              <w:rPr>
                <w:rFonts w:eastAsia="楷体" w:cs="Times New Roman"/>
                <w:sz w:val="21"/>
                <w:szCs w:val="21"/>
              </w:rPr>
              <w:t>乌鲁木齐国际市场辐射而来的，近期境外游客的主要市场是国际观鸟游客</w:t>
            </w:r>
          </w:p>
        </w:tc>
      </w:tr>
    </w:tbl>
    <w:p>
      <w:pPr>
        <w:pStyle w:val="3"/>
        <w:ind w:firstLine="643"/>
      </w:pPr>
      <w:bookmarkStart w:id="61" w:name="_Toc130121673"/>
      <w:r>
        <w:rPr>
          <w:rFonts w:hint="eastAsia"/>
        </w:rPr>
        <w:t>第四节</w:t>
      </w:r>
      <w:r>
        <w:t xml:space="preserve">  </w:t>
      </w:r>
      <w:r>
        <w:rPr>
          <w:rFonts w:hint="eastAsia"/>
        </w:rPr>
        <w:t>环境容量及游客容量预测</w:t>
      </w:r>
      <w:bookmarkEnd w:id="61"/>
    </w:p>
    <w:p>
      <w:pPr>
        <w:pStyle w:val="4"/>
      </w:pPr>
      <w:r>
        <w:rPr>
          <w:rFonts w:hint="eastAsia"/>
        </w:rPr>
        <w:t>一、环境容量</w:t>
      </w:r>
    </w:p>
    <w:p>
      <w:pPr>
        <w:pStyle w:val="42"/>
        <w:ind w:firstLine="480"/>
        <w:rPr>
          <w:rFonts w:ascii="Times New Roman" w:hAnsi="Times New Roman"/>
        </w:rPr>
      </w:pPr>
      <w:r>
        <w:rPr>
          <w:rFonts w:hint="eastAsia" w:ascii="Times New Roman" w:hAnsi="Times New Roman"/>
        </w:rPr>
        <w:t>基本空间标准取决于旅游活动的性质和类型。根据《风景名胜区总体规划规范》（GB 50298—1999）中游憩用地生态容量标准（表9.3）。</w:t>
      </w:r>
    </w:p>
    <w:p>
      <w:pPr>
        <w:pStyle w:val="45"/>
      </w:pPr>
      <w:r>
        <w:rPr>
          <w:rFonts w:hint="eastAsia"/>
        </w:rPr>
        <w:t>表9-3  游憩用地生态容量标准（中国）</w:t>
      </w:r>
    </w:p>
    <w:tbl>
      <w:tblPr>
        <w:tblStyle w:val="25"/>
        <w:tblW w:w="7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412"/>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vMerge w:val="restart"/>
            <w:shd w:val="clear" w:color="auto" w:fill="auto"/>
            <w:vAlign w:val="center"/>
          </w:tcPr>
          <w:p>
            <w:pPr>
              <w:ind w:firstLine="422"/>
              <w:rPr>
                <w:rFonts w:eastAsia="楷体" w:cs="Times New Roman"/>
                <w:b/>
                <w:bCs/>
                <w:sz w:val="21"/>
                <w:szCs w:val="21"/>
              </w:rPr>
            </w:pPr>
            <w:r>
              <w:rPr>
                <w:rFonts w:eastAsia="楷体" w:cs="Times New Roman"/>
                <w:b/>
                <w:bCs/>
                <w:sz w:val="21"/>
                <w:szCs w:val="21"/>
              </w:rPr>
              <w:t>用地类型</w:t>
            </w:r>
          </w:p>
        </w:tc>
        <w:tc>
          <w:tcPr>
            <w:tcW w:w="5472" w:type="dxa"/>
            <w:gridSpan w:val="2"/>
            <w:shd w:val="clear" w:color="auto" w:fill="auto"/>
            <w:vAlign w:val="center"/>
          </w:tcPr>
          <w:p>
            <w:pPr>
              <w:ind w:firstLine="422"/>
              <w:jc w:val="center"/>
              <w:rPr>
                <w:rFonts w:eastAsia="楷体" w:cs="Times New Roman"/>
                <w:b/>
                <w:bCs/>
                <w:sz w:val="21"/>
                <w:szCs w:val="21"/>
              </w:rPr>
            </w:pPr>
            <w:r>
              <w:rPr>
                <w:rFonts w:eastAsia="楷体" w:cs="Times New Roman"/>
                <w:b/>
                <w:bCs/>
                <w:sz w:val="21"/>
                <w:szCs w:val="21"/>
              </w:rPr>
              <w:t>允许容量和用地指标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vMerge w:val="continue"/>
            <w:shd w:val="clear" w:color="auto" w:fill="auto"/>
            <w:vAlign w:val="center"/>
          </w:tcPr>
          <w:p>
            <w:pPr>
              <w:ind w:firstLine="422"/>
              <w:jc w:val="center"/>
              <w:rPr>
                <w:rFonts w:eastAsia="楷体" w:cs="Times New Roman"/>
                <w:b/>
                <w:bCs/>
                <w:sz w:val="21"/>
                <w:szCs w:val="21"/>
              </w:rPr>
            </w:pPr>
          </w:p>
        </w:tc>
        <w:tc>
          <w:tcPr>
            <w:tcW w:w="2412" w:type="dxa"/>
            <w:shd w:val="clear" w:color="auto" w:fill="auto"/>
            <w:vAlign w:val="center"/>
          </w:tcPr>
          <w:p>
            <w:pPr>
              <w:ind w:firstLine="422"/>
              <w:jc w:val="center"/>
              <w:rPr>
                <w:rFonts w:eastAsia="楷体" w:cs="Times New Roman"/>
                <w:b/>
                <w:bCs/>
                <w:sz w:val="21"/>
                <w:szCs w:val="21"/>
              </w:rPr>
            </w:pPr>
            <w:r>
              <w:rPr>
                <w:rFonts w:eastAsia="楷体" w:cs="Times New Roman"/>
                <w:b/>
                <w:bCs/>
                <w:sz w:val="21"/>
                <w:szCs w:val="21"/>
              </w:rPr>
              <w:t>人/h</w:t>
            </w:r>
            <w:r>
              <w:rPr>
                <w:rFonts w:eastAsia="楷体" w:cs="Times New Roman"/>
                <w:b/>
                <w:sz w:val="21"/>
                <w:szCs w:val="21"/>
              </w:rPr>
              <w:t>m</w:t>
            </w:r>
            <w:r>
              <w:rPr>
                <w:rFonts w:eastAsia="楷体" w:cs="Times New Roman"/>
                <w:b/>
                <w:sz w:val="21"/>
                <w:szCs w:val="21"/>
                <w:vertAlign w:val="superscript"/>
              </w:rPr>
              <w:t>2</w:t>
            </w:r>
          </w:p>
        </w:tc>
        <w:tc>
          <w:tcPr>
            <w:tcW w:w="3060" w:type="dxa"/>
            <w:shd w:val="clear" w:color="auto" w:fill="auto"/>
            <w:vAlign w:val="center"/>
          </w:tcPr>
          <w:p>
            <w:pPr>
              <w:ind w:firstLine="422"/>
              <w:jc w:val="center"/>
              <w:rPr>
                <w:rFonts w:eastAsia="楷体" w:cs="Times New Roman"/>
                <w:b/>
                <w:bCs/>
                <w:sz w:val="21"/>
                <w:szCs w:val="21"/>
              </w:rPr>
            </w:pPr>
            <w:r>
              <w:rPr>
                <w:rFonts w:eastAsia="楷体" w:cs="Times New Roman"/>
                <w:b/>
                <w:sz w:val="21"/>
                <w:szCs w:val="21"/>
              </w:rPr>
              <w:t>m</w:t>
            </w:r>
            <w:r>
              <w:rPr>
                <w:rFonts w:eastAsia="楷体" w:cs="Times New Roman"/>
                <w:b/>
                <w:sz w:val="21"/>
                <w:szCs w:val="21"/>
                <w:vertAlign w:val="superscript"/>
              </w:rPr>
              <w:t>2</w:t>
            </w:r>
            <w:r>
              <w:rPr>
                <w:rFonts w:eastAsia="楷体" w:cs="Times New Roman"/>
                <w:b/>
                <w:bCs/>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针叶林地</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2—3</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5000—3300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阔叶林地</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4—8</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2500—1250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森林公园</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&lt;15—20</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&gt;660—500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疏叶林地</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20—25</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500—400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草地公园</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&lt;70</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&gt;140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城镇公园</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30—200</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330—50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专用浴场</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&lt;500</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&gt;20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浴场水域</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1000—2000</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268" w:type="dxa"/>
            <w:vAlign w:val="center"/>
          </w:tcPr>
          <w:p>
            <w:pPr>
              <w:ind w:firstLine="420"/>
              <w:rPr>
                <w:rFonts w:eastAsia="楷体" w:cs="Times New Roman"/>
                <w:bCs/>
                <w:sz w:val="21"/>
                <w:szCs w:val="21"/>
              </w:rPr>
            </w:pPr>
            <w:r>
              <w:rPr>
                <w:rFonts w:eastAsia="楷体" w:cs="Times New Roman"/>
                <w:bCs/>
                <w:sz w:val="21"/>
                <w:szCs w:val="21"/>
              </w:rPr>
              <w:t>浴场沙滩</w:t>
            </w:r>
          </w:p>
        </w:tc>
        <w:tc>
          <w:tcPr>
            <w:tcW w:w="2412" w:type="dxa"/>
            <w:vAlign w:val="center"/>
          </w:tcPr>
          <w:p>
            <w:pPr>
              <w:ind w:firstLine="420"/>
              <w:jc w:val="center"/>
              <w:rPr>
                <w:rFonts w:eastAsia="楷体" w:cs="Times New Roman"/>
                <w:bCs/>
                <w:sz w:val="21"/>
                <w:szCs w:val="21"/>
              </w:rPr>
            </w:pPr>
            <w:r>
              <w:rPr>
                <w:rFonts w:eastAsia="楷体" w:cs="Times New Roman"/>
                <w:bCs/>
                <w:sz w:val="21"/>
                <w:szCs w:val="21"/>
              </w:rPr>
              <w:t>1000—2000</w:t>
            </w:r>
          </w:p>
        </w:tc>
        <w:tc>
          <w:tcPr>
            <w:tcW w:w="3060" w:type="dxa"/>
            <w:vAlign w:val="center"/>
          </w:tcPr>
          <w:p>
            <w:pPr>
              <w:ind w:firstLine="420"/>
              <w:jc w:val="center"/>
              <w:rPr>
                <w:rFonts w:eastAsia="楷体" w:cs="Times New Roman"/>
                <w:bCs/>
                <w:sz w:val="21"/>
                <w:szCs w:val="21"/>
              </w:rPr>
            </w:pPr>
            <w:r>
              <w:rPr>
                <w:rFonts w:eastAsia="楷体" w:cs="Times New Roman"/>
                <w:bCs/>
                <w:sz w:val="21"/>
                <w:szCs w:val="21"/>
              </w:rPr>
              <w:t>10—5</w:t>
            </w:r>
          </w:p>
        </w:tc>
      </w:tr>
    </w:tbl>
    <w:p>
      <w:pPr>
        <w:ind w:firstLine="480"/>
      </w:pPr>
      <w:r>
        <w:rPr>
          <w:rFonts w:hint="eastAsia"/>
        </w:rPr>
        <w:t>按照湿地保护要求，玛纳斯国家湿地公园对游人容量实行分区控制。根据功能分区与布局结构，规划分为两大类区域：限入区和一般控制区。限入区为非游览区，除少数必要的科研活动外，禁止其他人类活动，主要范围主要是生态保育区；范围包括湿地一般保育区、观鸟区等，为公园生态敏感度较低的区域，允许游人进入，但需控制游人量，可安排一定规模的游览活动。</w:t>
      </w:r>
    </w:p>
    <w:p>
      <w:pPr>
        <w:ind w:firstLine="480"/>
      </w:pPr>
      <w:r>
        <w:t>在本次规划中，规划重点是湿地的保护与生态恢复，因此需要严格控制游客的规模。结合表9-3中的数据，依据该湿地公园的实际情况，仅对合理利用区用地指标（1488.72 hm</w:t>
      </w:r>
      <w:r>
        <w:rPr>
          <w:vertAlign w:val="superscript"/>
        </w:rPr>
        <w:t>2</w:t>
      </w:r>
      <w:r>
        <w:t>）进行估算。采用1500 m</w:t>
      </w:r>
      <w:r>
        <w:rPr>
          <w:vertAlign w:val="superscript"/>
        </w:rPr>
        <w:t>2</w:t>
      </w:r>
      <w:r>
        <w:t>/人的标准进行估算，玛纳斯国家湿地公园环境容量约0</w:t>
      </w:r>
      <w:r>
        <w:rPr>
          <w:rFonts w:hint="eastAsia"/>
        </w:rPr>
        <w:t>.</w:t>
      </w:r>
      <w:r>
        <w:t>99万人/日。</w:t>
      </w:r>
    </w:p>
    <w:p>
      <w:pPr>
        <w:pStyle w:val="4"/>
      </w:pPr>
      <w:r>
        <w:rPr>
          <w:rFonts w:hint="eastAsia"/>
        </w:rPr>
        <w:t>二、游客容量</w:t>
      </w:r>
    </w:p>
    <w:p>
      <w:pPr>
        <w:ind w:firstLine="480"/>
      </w:pPr>
      <w:r>
        <w:rPr>
          <w:rFonts w:hint="eastAsia"/>
        </w:rPr>
        <w:t>游客日容量是指在特定条件下，游客一天最佳游览时间内景区所能容纳的旅游者的能力。一般等于或小于日环境容量。</w:t>
      </w:r>
    </w:p>
    <w:p>
      <w:pPr>
        <w:ind w:firstLine="480"/>
      </w:pPr>
      <w:r>
        <w:rPr>
          <w:rFonts w:hint="eastAsia"/>
        </w:rPr>
        <w:t>G</w:t>
      </w:r>
      <w:r>
        <w:t xml:space="preserve"> </w:t>
      </w:r>
      <w:r>
        <w:rPr>
          <w:rFonts w:hint="eastAsia"/>
        </w:rPr>
        <w:t>=</w:t>
      </w:r>
      <w:r>
        <w:t xml:space="preserve"> </w:t>
      </w:r>
      <w:r>
        <w:rPr>
          <w:rFonts w:hint="eastAsia"/>
        </w:rPr>
        <w:t>t</w:t>
      </w:r>
      <w:r>
        <w:t>/</w:t>
      </w:r>
      <w:r>
        <w:rPr>
          <w:rFonts w:hint="eastAsia"/>
        </w:rPr>
        <w:t>T</w:t>
      </w:r>
      <w:r>
        <w:t xml:space="preserve"> </w:t>
      </w:r>
      <w:r>
        <w:rPr>
          <w:rFonts w:hint="eastAsia"/>
        </w:rPr>
        <w:t>×</w:t>
      </w:r>
      <w:r>
        <w:t xml:space="preserve"> C</w:t>
      </w:r>
    </w:p>
    <w:p>
      <w:pPr>
        <w:ind w:firstLine="480"/>
      </w:pPr>
      <w:r>
        <w:t>G</w:t>
      </w:r>
      <w:r>
        <w:rPr>
          <w:rFonts w:hint="eastAsia"/>
        </w:rPr>
        <w:t>——日游客容量</w:t>
      </w:r>
    </w:p>
    <w:p>
      <w:pPr>
        <w:ind w:firstLine="480"/>
      </w:pPr>
      <w:r>
        <w:rPr>
          <w:rFonts w:hint="eastAsia"/>
        </w:rPr>
        <w:t>t</w:t>
      </w:r>
      <w:r>
        <w:t xml:space="preserve"> </w:t>
      </w:r>
      <w:r>
        <w:rPr>
          <w:rFonts w:hint="eastAsia"/>
        </w:rPr>
        <w:t>——游完某景区或游线所需时间，这里取</w:t>
      </w:r>
      <w:r>
        <w:t>4</w:t>
      </w:r>
      <w:r>
        <w:rPr>
          <w:rFonts w:hint="eastAsia"/>
        </w:rPr>
        <w:t>小时</w:t>
      </w:r>
    </w:p>
    <w:p>
      <w:pPr>
        <w:ind w:firstLine="480"/>
      </w:pPr>
      <w:r>
        <w:rPr>
          <w:rFonts w:hint="eastAsia"/>
        </w:rPr>
        <w:t>T</w:t>
      </w:r>
      <w:r>
        <w:t xml:space="preserve"> </w:t>
      </w:r>
      <w:r>
        <w:rPr>
          <w:rFonts w:hint="eastAsia"/>
        </w:rPr>
        <w:t>——游客每天游览最舒适合理的时间，取7小时</w:t>
      </w:r>
    </w:p>
    <w:p>
      <w:pPr>
        <w:ind w:firstLine="480"/>
      </w:pPr>
      <w:r>
        <w:rPr>
          <w:rFonts w:hint="eastAsia"/>
        </w:rPr>
        <w:t>C</w:t>
      </w:r>
      <w:r>
        <w:t xml:space="preserve"> </w:t>
      </w:r>
      <w:r>
        <w:rPr>
          <w:rFonts w:hint="eastAsia"/>
        </w:rPr>
        <w:t>——某景区或游线的日环境容量</w:t>
      </w:r>
    </w:p>
    <w:p>
      <w:pPr>
        <w:ind w:firstLine="480"/>
      </w:pPr>
      <w:r>
        <w:rPr>
          <w:rFonts w:hint="eastAsia"/>
        </w:rPr>
        <w:t>经过测算，按照每年</w:t>
      </w:r>
      <w:r>
        <w:t>300</w:t>
      </w:r>
      <w:r>
        <w:rPr>
          <w:rFonts w:hint="eastAsia"/>
        </w:rPr>
        <w:t>天计算，玛纳斯国家湿地公园年游客量</w:t>
      </w:r>
      <w:r>
        <w:t>298</w:t>
      </w:r>
      <w:r>
        <w:rPr>
          <w:rFonts w:hint="eastAsia"/>
        </w:rPr>
        <w:t>万人。为确保生态环境容量，年游客人数控制在不超过</w:t>
      </w:r>
      <w:r>
        <w:t>170</w:t>
      </w:r>
      <w:r>
        <w:rPr>
          <w:rFonts w:hint="eastAsia"/>
        </w:rPr>
        <w:t>万人为宜。</w:t>
      </w:r>
    </w:p>
    <w:p>
      <w:pPr>
        <w:pStyle w:val="3"/>
        <w:ind w:firstLine="643"/>
      </w:pPr>
      <w:bookmarkStart w:id="62" w:name="_Toc130121674"/>
      <w:r>
        <w:rPr>
          <w:rFonts w:hint="eastAsia"/>
        </w:rPr>
        <w:t>第五节</w:t>
      </w:r>
      <w:r>
        <w:t xml:space="preserve">  </w:t>
      </w:r>
      <w:r>
        <w:rPr>
          <w:rFonts w:hint="eastAsia"/>
        </w:rPr>
        <w:t>旅游项目规划</w:t>
      </w:r>
      <w:bookmarkEnd w:id="62"/>
    </w:p>
    <w:p>
      <w:pPr>
        <w:ind w:firstLine="480"/>
      </w:pPr>
      <w:r>
        <w:rPr>
          <w:rFonts w:hint="eastAsia"/>
        </w:rPr>
        <w:t>玛纳斯国家湿地公园旅游规划，应以湿地资源为基础，以生态旅游消费需求为导向，增强生态旅游产品的多样性与个性鲜明性，设计出不同的生态旅游产品。规划构筑四大生态旅游产品体系：湿地生态观光度假、湿地生态文化体验、湿地生态科普宣教、湿地生态康养。重点打造八个生态旅游品牌：乐水玛纳斯、时尚玛纳斯、七彩玛纳斯、智慧玛纳斯、爱鸟玛纳斯、双养玛纳斯、健康玛纳斯、野趣玛纳斯。</w:t>
      </w:r>
    </w:p>
    <w:p>
      <w:pPr>
        <w:pStyle w:val="4"/>
      </w:pPr>
      <w:r>
        <w:rPr>
          <w:rFonts w:hint="eastAsia"/>
        </w:rPr>
        <w:t>一、湿地</w:t>
      </w:r>
      <w:bookmarkStart w:id="63" w:name="OLE_LINK3"/>
      <w:r>
        <w:rPr>
          <w:rFonts w:hint="eastAsia"/>
        </w:rPr>
        <w:t>生态观光度假系列</w:t>
      </w:r>
      <w:bookmarkEnd w:id="63"/>
      <w:r>
        <w:rPr>
          <w:rFonts w:hint="eastAsia"/>
        </w:rPr>
        <w:t>产品</w:t>
      </w:r>
    </w:p>
    <w:p>
      <w:pPr>
        <w:ind w:firstLine="480"/>
      </w:pPr>
      <w:r>
        <w:rPr>
          <w:rFonts w:hint="eastAsia"/>
        </w:rPr>
        <w:t>湿地生态观光度假游系列产品以高端市场为核心，以会展酒店、湿地生境游 赏带的建设为重点，打造新疆天山北坡经济带度假旅游新典范。湿地生态观光度假游系列包含“乐水玛纳斯”、“时尚玛纳斯”。</w:t>
      </w:r>
    </w:p>
    <w:p>
      <w:pPr>
        <w:pStyle w:val="5"/>
      </w:pPr>
      <w:r>
        <w:rPr>
          <w:rFonts w:hint="eastAsia"/>
        </w:rPr>
        <w:t>（一）乐水玛纳斯</w:t>
      </w:r>
    </w:p>
    <w:p>
      <w:pPr>
        <w:ind w:firstLine="480"/>
      </w:pPr>
      <w:r>
        <w:rPr>
          <w:rFonts w:hint="eastAsia"/>
        </w:rPr>
        <w:t>以水文化为特色，注重湿地生境游赏带两侧周边环境整治，打造具有水特色的旅游产品，设有碧湖泛舟、湖畔垂钓、湿地漫步等景区，举办亲水乐园、童趣港湾场等休闲活动。依托水文化品牌，宣传生态保护，形成人人关心水、爱惜水、 保护水、崇尚水的氛围。</w:t>
      </w:r>
    </w:p>
    <w:p>
      <w:pPr>
        <w:pStyle w:val="5"/>
      </w:pPr>
      <w:r>
        <w:rPr>
          <w:rFonts w:hint="eastAsia"/>
        </w:rPr>
        <w:t>（二）时尚玛纳斯</w:t>
      </w:r>
    </w:p>
    <w:p>
      <w:pPr>
        <w:ind w:firstLine="480"/>
      </w:pPr>
      <w:r>
        <w:rPr>
          <w:rFonts w:hint="eastAsia"/>
        </w:rPr>
        <w:t>与现有玛纳斯县旅游体系结合，依托“玛河碧玉”玉石文化平台，打造时尚玛纳斯旅游产品。体现东方气质、高雅环境、个性独特、高效便捷的玛纳斯商务会展文化。注重顶级酒店管理机构的引进，构建高水平的高端旅游接待体系。</w:t>
      </w:r>
    </w:p>
    <w:p>
      <w:pPr>
        <w:pStyle w:val="4"/>
      </w:pPr>
      <w:r>
        <w:rPr>
          <w:rFonts w:hint="eastAsia"/>
        </w:rPr>
        <w:t>二、湿地生态文化体验系列产品</w:t>
      </w:r>
    </w:p>
    <w:p>
      <w:pPr>
        <w:ind w:firstLine="480"/>
      </w:pPr>
      <w:r>
        <w:rPr>
          <w:rFonts w:hint="eastAsia"/>
        </w:rPr>
        <w:t>湿地生态文化体验品牌产品充实文化内涵，提升基础设施，完善服务设施，打造具有玛纳斯特色的“七彩玛纳斯”和“野趣玛纳斯”生态文化体验品牌。</w:t>
      </w:r>
    </w:p>
    <w:p>
      <w:pPr>
        <w:pStyle w:val="5"/>
      </w:pPr>
      <w:r>
        <w:rPr>
          <w:rFonts w:hint="eastAsia"/>
        </w:rPr>
        <w:t>（一）七彩玛纳斯</w:t>
      </w:r>
    </w:p>
    <w:p>
      <w:pPr>
        <w:ind w:firstLine="480"/>
      </w:pPr>
      <w:r>
        <w:rPr>
          <w:rFonts w:hint="eastAsia"/>
        </w:rPr>
        <w:t>设有摄影家村落、艺术工厂、大学生写生基地等艺术创作区域，采用自营或联营方式，鼓励艺术家、作家、文化工作者等入驻从事文化创意产业。同时加强湿地自然景观的维护，倡导艺术村居住环境的植物艺术化种植。此外，也有民族手工研习馆、湿地工坊等景点迎合普通游客对艺术的热爱。</w:t>
      </w:r>
    </w:p>
    <w:p>
      <w:pPr>
        <w:pStyle w:val="5"/>
      </w:pPr>
      <w:r>
        <w:rPr>
          <w:rFonts w:hint="eastAsia"/>
        </w:rPr>
        <w:t>（二）野趣玛纳斯</w:t>
      </w:r>
    </w:p>
    <w:p>
      <w:pPr>
        <w:ind w:firstLine="480"/>
      </w:pPr>
      <w:r>
        <w:rPr>
          <w:rFonts w:hint="eastAsia"/>
        </w:rPr>
        <w:t>湿地生态娱乐休闲系列产品以观光游憩休闲带为重点，通过绿道建设和自驾营地基础设施建设，注重运用创意手法和高新技术手段增强游客体验的愉悦感，打造“野趣玛纳斯”品牌。</w:t>
      </w:r>
    </w:p>
    <w:p>
      <w:pPr>
        <w:pStyle w:val="4"/>
      </w:pPr>
      <w:r>
        <w:rPr>
          <w:rFonts w:hint="eastAsia"/>
        </w:rPr>
        <w:t>三、湿地生态科普宣教系列产品</w:t>
      </w:r>
    </w:p>
    <w:p>
      <w:pPr>
        <w:ind w:firstLine="480"/>
      </w:pPr>
      <w:r>
        <w:rPr>
          <w:rFonts w:hint="eastAsia"/>
        </w:rPr>
        <w:t>依托湿地的资源优势，注重湿地知识与科普教育、旅游服务的结合，建设以湿地文化教育为核心内涵的“智慧玛纳斯”“爱鸟玛纳斯”系列产品。</w:t>
      </w:r>
    </w:p>
    <w:p>
      <w:pPr>
        <w:pStyle w:val="5"/>
      </w:pPr>
      <w:r>
        <w:rPr>
          <w:rFonts w:hint="eastAsia"/>
        </w:rPr>
        <w:t>（一）智慧玛纳斯</w:t>
      </w:r>
    </w:p>
    <w:p>
      <w:pPr>
        <w:ind w:firstLine="480"/>
      </w:pPr>
      <w:r>
        <w:rPr>
          <w:rFonts w:hint="eastAsia"/>
        </w:rPr>
        <w:t>依托科普教育中心、湿地功能展示园、湿地植物园、药用植物园等科教景点，以研学旅行教育基地为特色，打造青少年的野外教育课堂。注重参与性与体验性，开展主题为湿地的科普夏令营、知识竞赛、玛纳斯湿地征文、兴趣试验小组、重要湿地（或环保等）节日宣传等科普活动。</w:t>
      </w:r>
    </w:p>
    <w:p>
      <w:pPr>
        <w:pStyle w:val="5"/>
      </w:pPr>
      <w:r>
        <w:rPr>
          <w:rFonts w:hint="eastAsia"/>
        </w:rPr>
        <w:t>（二）爱鸟玛纳斯</w:t>
      </w:r>
    </w:p>
    <w:p>
      <w:pPr>
        <w:ind w:firstLine="480"/>
      </w:pPr>
      <w:r>
        <w:rPr>
          <w:rFonts w:hint="eastAsia"/>
        </w:rPr>
        <w:t>以观鸟活动为主。公园内有5处鸟类观测点。为喜爱观鸟的游客提供环境良好、角度适直的观测点和摄影处，同时有效地避免了游人对鸟类栖息地的影响。定期举办鸟类摄影大赛，激发游客摄影的热情。重点打造一条科普观鸟游线，拟定在夹河子、老海子、小海子、新户坪水库周边。</w:t>
      </w:r>
    </w:p>
    <w:p>
      <w:pPr>
        <w:ind w:firstLine="480"/>
      </w:pPr>
    </w:p>
    <w:p>
      <w:pPr>
        <w:pStyle w:val="4"/>
      </w:pPr>
      <w:r>
        <w:rPr>
          <w:rFonts w:hint="eastAsia"/>
        </w:rPr>
        <w:t>四、湿地生态康养系列产品</w:t>
      </w:r>
    </w:p>
    <w:p>
      <w:pPr>
        <w:ind w:firstLine="480"/>
      </w:pPr>
      <w:r>
        <w:rPr>
          <w:rFonts w:hint="eastAsia"/>
        </w:rPr>
        <w:t>以玛纳斯湿地优良的自然资源本底为基础，融入“康体养生，悠然自得”的理念，打造“双养玛纳斯”、“健康玛纳斯”两大品牌。</w:t>
      </w:r>
    </w:p>
    <w:p>
      <w:pPr>
        <w:pStyle w:val="5"/>
      </w:pPr>
      <w:r>
        <w:rPr>
          <w:rFonts w:hint="eastAsia"/>
        </w:rPr>
        <w:t>（一）双养玛纳斯</w:t>
      </w:r>
    </w:p>
    <w:p>
      <w:pPr>
        <w:ind w:firstLine="480"/>
      </w:pPr>
      <w:r>
        <w:rPr>
          <w:rFonts w:hint="eastAsia"/>
        </w:rPr>
        <w:t>产品面向高端人群的养老养生需求，重点发展国学文化研习、道教养心、佛家静修、中医诊疗、慈善公益活动等产品。邀请高僧大德、国学大师、著名中医等知名人士举办专项活动，将宗教文化、传统文化与社会热点问题相结合开展公益活动，扩大品牌影响力，提升社会美誉度。同时加快建设药膳作坊、荷庭养生馆、养心花艺馆、 禅茶园等项目建设。</w:t>
      </w:r>
    </w:p>
    <w:p>
      <w:pPr>
        <w:pStyle w:val="5"/>
      </w:pPr>
      <w:r>
        <w:rPr>
          <w:rFonts w:hint="eastAsia"/>
        </w:rPr>
        <w:t>（二）健康玛纳斯</w:t>
      </w:r>
    </w:p>
    <w:p>
      <w:pPr>
        <w:ind w:firstLine="480"/>
      </w:pPr>
      <w:r>
        <w:rPr>
          <w:rFonts w:hint="eastAsia"/>
        </w:rPr>
        <w:t>主要依托湿地公园蜿蜒曲折的湿地道路和周围优美的环境景观，开展形式 多样的湿地漫步健身活动。加快湿地慢行廊道和自行车绿道的建设，完善救援保障设施建设，并制定周密的安全救助预案。慢行系统应与规划区内的城市公共交通、公路客运交通等常规交通系统有效衔接。</w:t>
      </w:r>
    </w:p>
    <w:p>
      <w:pPr>
        <w:pStyle w:val="3"/>
        <w:ind w:firstLine="643"/>
      </w:pPr>
      <w:bookmarkStart w:id="64" w:name="_Toc130121675"/>
      <w:r>
        <w:rPr>
          <w:rFonts w:hint="eastAsia"/>
        </w:rPr>
        <w:t xml:space="preserve">第六节 </w:t>
      </w:r>
      <w:r>
        <w:t xml:space="preserve"> </w:t>
      </w:r>
      <w:r>
        <w:rPr>
          <w:rFonts w:hint="eastAsia"/>
        </w:rPr>
        <w:t>游线与旅游设施规划</w:t>
      </w:r>
      <w:bookmarkEnd w:id="64"/>
    </w:p>
    <w:p>
      <w:pPr>
        <w:pStyle w:val="4"/>
      </w:pPr>
      <w:r>
        <w:rPr>
          <w:rFonts w:hint="eastAsia"/>
        </w:rPr>
        <w:t>一、游览方式</w:t>
      </w:r>
    </w:p>
    <w:p>
      <w:pPr>
        <w:ind w:firstLine="480"/>
      </w:pPr>
      <w:r>
        <w:rPr>
          <w:rFonts w:hint="eastAsia"/>
        </w:rPr>
        <w:t>针对不同的风景游览资源，其游览方式也各不相同，按交通方式的不同，可分以下几类：</w:t>
      </w:r>
    </w:p>
    <w:p>
      <w:pPr>
        <w:pStyle w:val="5"/>
      </w:pPr>
      <w:r>
        <w:rPr>
          <w:rFonts w:hint="eastAsia"/>
        </w:rPr>
        <w:t>（一）综合游览</w:t>
      </w:r>
    </w:p>
    <w:p>
      <w:pPr>
        <w:ind w:firstLine="480"/>
      </w:pPr>
      <w:r>
        <w:rPr>
          <w:rFonts w:hint="eastAsia"/>
        </w:rPr>
        <w:t>以车行、自行车等方式相互结合，游览感受丰富，是广泛采用的游览方式。</w:t>
      </w:r>
    </w:p>
    <w:p>
      <w:pPr>
        <w:pStyle w:val="5"/>
      </w:pPr>
      <w:r>
        <w:rPr>
          <w:rFonts w:hint="eastAsia"/>
        </w:rPr>
        <w:t>（二）步行游览</w:t>
      </w:r>
    </w:p>
    <w:p>
      <w:pPr>
        <w:ind w:firstLine="480"/>
      </w:pPr>
      <w:r>
        <w:rPr>
          <w:rFonts w:hint="eastAsia"/>
        </w:rPr>
        <w:t>徒步是一种最贴近自然的游览方式，主要在各个亚区和景点内部，打造兴趣点和服务设施。</w:t>
      </w:r>
    </w:p>
    <w:p>
      <w:pPr>
        <w:pStyle w:val="5"/>
      </w:pPr>
      <w:r>
        <w:rPr>
          <w:rFonts w:hint="eastAsia"/>
        </w:rPr>
        <w:t>（三）自行车游览</w:t>
      </w:r>
    </w:p>
    <w:p>
      <w:pPr>
        <w:ind w:firstLine="480"/>
      </w:pPr>
      <w:r>
        <w:rPr>
          <w:rFonts w:hint="eastAsia"/>
        </w:rPr>
        <w:t>湿地公园内主要以乡村道路为主，亲切自然、风景秀丽、可游面积较大，适合开展自行车游览，且停且行，方便快捷，随意性强。</w:t>
      </w:r>
    </w:p>
    <w:p>
      <w:pPr>
        <w:pStyle w:val="5"/>
      </w:pPr>
      <w:r>
        <w:rPr>
          <w:rFonts w:hint="eastAsia"/>
        </w:rPr>
        <w:t>（四）水上游览</w:t>
      </w:r>
    </w:p>
    <w:p>
      <w:pPr>
        <w:ind w:firstLine="480"/>
      </w:pPr>
      <w:r>
        <w:rPr>
          <w:rFonts w:hint="eastAsia"/>
        </w:rPr>
        <w:t xml:space="preserve">主要位于新户坪水上博览园和老海子—小海子区域。 </w:t>
      </w:r>
    </w:p>
    <w:p>
      <w:pPr>
        <w:pStyle w:val="4"/>
      </w:pPr>
      <w:r>
        <w:rPr>
          <w:rFonts w:hint="eastAsia"/>
        </w:rPr>
        <w:t>二、游览线路</w:t>
      </w:r>
    </w:p>
    <w:p>
      <w:pPr>
        <w:ind w:firstLine="480"/>
      </w:pPr>
      <w:r>
        <w:rPr>
          <w:rFonts w:hint="eastAsia"/>
        </w:rPr>
        <w:t>充分利用玛纳斯国家湿地公园的特点，结合不同的客源市场，不同的游客群体开展丰富多彩的旅游活动，主要分为综合游览、专项游览两大项。</w:t>
      </w:r>
    </w:p>
    <w:p>
      <w:pPr>
        <w:pStyle w:val="5"/>
      </w:pPr>
      <w:r>
        <w:rPr>
          <w:rFonts w:hint="eastAsia"/>
        </w:rPr>
        <w:t>（一）综合游览组织</w:t>
      </w:r>
    </w:p>
    <w:p>
      <w:pPr>
        <w:ind w:firstLine="480"/>
      </w:pPr>
      <w:r>
        <w:rPr>
          <w:rFonts w:hint="eastAsia"/>
        </w:rPr>
        <w:t>适合于各年龄段的人群及团队和散客的游览，通过提供不同的游览线路，使游人充分领略到玛纳斯湿地公园的自然风光和人文历史的魅力。综合游览线路组织可分为一日游、二日游和三日游。</w:t>
      </w:r>
    </w:p>
    <w:p>
      <w:pPr>
        <w:pStyle w:val="6"/>
        <w:ind w:firstLine="482"/>
      </w:pPr>
      <w:r>
        <w:rPr>
          <w:rFonts w:hint="eastAsia"/>
        </w:rPr>
        <w:t>1.</w:t>
      </w:r>
      <w:r>
        <w:t xml:space="preserve"> </w:t>
      </w:r>
      <w:r>
        <w:rPr>
          <w:rFonts w:hint="eastAsia"/>
        </w:rPr>
        <w:t>一日游</w:t>
      </w:r>
    </w:p>
    <w:p>
      <w:pPr>
        <w:ind w:firstLine="480"/>
      </w:pPr>
      <w:r>
        <w:rPr>
          <w:rFonts w:hint="eastAsia"/>
        </w:rPr>
        <w:t>A线：县城——跳鱼岛景区——小海子生态农业旅游服务区</w:t>
      </w:r>
    </w:p>
    <w:p>
      <w:pPr>
        <w:ind w:firstLine="480"/>
      </w:pPr>
      <w:r>
        <w:rPr>
          <w:rFonts w:hint="eastAsia"/>
        </w:rPr>
        <w:t>B线：八家户塞外渔村体验区——夹河子科普宣教区——小李庄军垦文化 体验点——大湾子胡杨林观赏点</w:t>
      </w:r>
    </w:p>
    <w:p>
      <w:pPr>
        <w:pStyle w:val="6"/>
        <w:ind w:firstLine="482"/>
      </w:pPr>
      <w:r>
        <w:rPr>
          <w:rFonts w:hint="eastAsia"/>
        </w:rPr>
        <w:t>2.</w:t>
      </w:r>
      <w:r>
        <w:t xml:space="preserve"> </w:t>
      </w:r>
      <w:r>
        <w:rPr>
          <w:rFonts w:hint="eastAsia"/>
        </w:rPr>
        <w:t>二日游</w:t>
      </w:r>
    </w:p>
    <w:p>
      <w:pPr>
        <w:ind w:firstLine="480"/>
      </w:pPr>
      <w:r>
        <w:rPr>
          <w:rFonts w:hint="eastAsia"/>
        </w:rPr>
        <w:t>第一日：跳鱼岛景区——小海子生态农业旅游服务区</w:t>
      </w:r>
    </w:p>
    <w:p>
      <w:pPr>
        <w:ind w:firstLine="480"/>
      </w:pPr>
      <w:r>
        <w:rPr>
          <w:rFonts w:hint="eastAsia"/>
        </w:rPr>
        <w:t>第二日：红柳公园——夹河子科普宣教区——八家户塞外渔村体验区——小李庄军垦文化体验点——大湾子胡杨林观赏点</w:t>
      </w:r>
    </w:p>
    <w:p>
      <w:pPr>
        <w:pStyle w:val="6"/>
        <w:ind w:firstLine="482"/>
      </w:pPr>
      <w:r>
        <w:rPr>
          <w:rFonts w:hint="eastAsia"/>
        </w:rPr>
        <w:t>3.</w:t>
      </w:r>
      <w:r>
        <w:t xml:space="preserve"> </w:t>
      </w:r>
      <w:r>
        <w:rPr>
          <w:rFonts w:hint="eastAsia"/>
        </w:rPr>
        <w:t>三日游</w:t>
      </w:r>
    </w:p>
    <w:p>
      <w:pPr>
        <w:ind w:firstLine="480"/>
      </w:pPr>
      <w:r>
        <w:rPr>
          <w:rFonts w:hint="eastAsia"/>
        </w:rPr>
        <w:t>第一日：跳鱼岛景区——小海子生态农业旅游服务区</w:t>
      </w:r>
    </w:p>
    <w:p>
      <w:pPr>
        <w:ind w:firstLine="480"/>
      </w:pPr>
      <w:r>
        <w:rPr>
          <w:rFonts w:hint="eastAsia"/>
        </w:rPr>
        <w:t>第二日：红柳公园——夹河子科普宣教区——八家户塞外渔村体验区——小李庄军垦文化体验点——大湾子胡杨林观赏点</w:t>
      </w:r>
    </w:p>
    <w:p>
      <w:pPr>
        <w:ind w:firstLine="480"/>
      </w:pPr>
      <w:r>
        <w:rPr>
          <w:rFonts w:hint="eastAsia"/>
        </w:rPr>
        <w:t>第三日：天山森林公园——塔西河上库</w:t>
      </w:r>
    </w:p>
    <w:p>
      <w:pPr>
        <w:pStyle w:val="5"/>
      </w:pPr>
      <w:r>
        <w:rPr>
          <w:rFonts w:hint="eastAsia"/>
        </w:rPr>
        <w:t>（二）专项游览</w:t>
      </w:r>
    </w:p>
    <w:p>
      <w:pPr>
        <w:ind w:firstLine="480"/>
      </w:pPr>
      <w:r>
        <w:rPr>
          <w:rFonts w:hint="eastAsia"/>
        </w:rPr>
        <w:t>湿地科普游：县城——湿地公园雁飞台景区</w:t>
      </w:r>
    </w:p>
    <w:p>
      <w:pPr>
        <w:ind w:firstLine="480"/>
      </w:pPr>
      <w:r>
        <w:rPr>
          <w:rFonts w:hint="eastAsia"/>
        </w:rPr>
        <w:t>湿地观鸟深度游：县城——红柳公园——夹河子科普宣教亚区——锦水湾南侧观鸟点、若干散点布置观鸟点——大湾子胡杨林景观点</w:t>
      </w:r>
    </w:p>
    <w:p>
      <w:pPr>
        <w:ind w:firstLine="480"/>
      </w:pPr>
      <w:r>
        <w:rPr>
          <w:rFonts w:hint="eastAsia"/>
        </w:rPr>
        <w:t>塞外水乡文化游线：小海子生态农业旅游服务区——八家户塞外渔村体验区——小李庄军垦文化体验点——小李庄农场旅游接待点</w:t>
      </w:r>
    </w:p>
    <w:p>
      <w:pPr>
        <w:ind w:firstLine="480"/>
      </w:pPr>
      <w:r>
        <w:rPr>
          <w:rFonts w:hint="eastAsia"/>
        </w:rPr>
        <w:t>湿地休闲游赏游：天山森林公园——塔西河上库。</w:t>
      </w:r>
    </w:p>
    <w:p>
      <w:pPr>
        <w:pStyle w:val="4"/>
      </w:pPr>
      <w:r>
        <w:rPr>
          <w:rFonts w:hint="eastAsia"/>
        </w:rPr>
        <w:t>三、节事庆典规划</w:t>
      </w:r>
    </w:p>
    <w:p>
      <w:pPr>
        <w:ind w:right="-4" w:firstLine="480" w:firstLineChars="0"/>
        <w:rPr>
          <w:rFonts w:eastAsia="宋体" w:cs="Times New Roman"/>
          <w:kern w:val="0"/>
          <w:szCs w:val="20"/>
        </w:rPr>
      </w:pPr>
      <w:r>
        <w:rPr>
          <w:rFonts w:eastAsia="宋体" w:cs="Times New Roman"/>
          <w:kern w:val="0"/>
          <w:szCs w:val="20"/>
        </w:rPr>
        <w:t>为丰富</w:t>
      </w:r>
      <w:r>
        <w:rPr>
          <w:rFonts w:hint="eastAsia" w:eastAsia="宋体" w:cs="Times New Roman"/>
          <w:kern w:val="0"/>
          <w:szCs w:val="20"/>
        </w:rPr>
        <w:t>玛纳斯国家湿地公园</w:t>
      </w:r>
      <w:r>
        <w:rPr>
          <w:rFonts w:eastAsia="宋体" w:cs="Times New Roman"/>
          <w:kern w:val="0"/>
          <w:szCs w:val="20"/>
        </w:rPr>
        <w:t>旅游项目和内容，可设计一系列节事庆典活动，既可以向公众传达湿地生态保护理念，又可以扩大湿地公园的知名度和影响力，促进旅游业的发展。</w:t>
      </w:r>
    </w:p>
    <w:p>
      <w:pPr>
        <w:ind w:right="-4" w:firstLine="480" w:firstLineChars="0"/>
        <w:rPr>
          <w:rFonts w:eastAsia="宋体" w:cs="Times New Roman"/>
          <w:kern w:val="0"/>
          <w:szCs w:val="20"/>
        </w:rPr>
      </w:pPr>
      <w:r>
        <w:rPr>
          <w:rFonts w:eastAsia="宋体" w:cs="Times New Roman"/>
          <w:kern w:val="0"/>
          <w:szCs w:val="20"/>
        </w:rPr>
        <w:t>节庆产品要充分结合</w:t>
      </w:r>
      <w:r>
        <w:rPr>
          <w:rFonts w:hint="eastAsia" w:eastAsia="宋体" w:cs="Times New Roman"/>
          <w:kern w:val="0"/>
          <w:szCs w:val="20"/>
        </w:rPr>
        <w:t>玛纳斯</w:t>
      </w:r>
      <w:r>
        <w:rPr>
          <w:rFonts w:eastAsia="宋体" w:cs="Times New Roman"/>
          <w:kern w:val="0"/>
          <w:szCs w:val="20"/>
        </w:rPr>
        <w:t>国家湿地公园的湿地动植物特色以及</w:t>
      </w:r>
      <w:r>
        <w:rPr>
          <w:rFonts w:hint="eastAsia" w:eastAsia="宋体" w:cs="Times New Roman"/>
          <w:kern w:val="0"/>
          <w:szCs w:val="20"/>
        </w:rPr>
        <w:t>玛纳斯</w:t>
      </w:r>
      <w:r>
        <w:rPr>
          <w:rFonts w:eastAsia="宋体" w:cs="Times New Roman"/>
          <w:kern w:val="0"/>
          <w:szCs w:val="20"/>
        </w:rPr>
        <w:t>文化</w:t>
      </w:r>
      <w:r>
        <w:rPr>
          <w:rFonts w:hint="eastAsia" w:eastAsia="宋体" w:cs="Times New Roman"/>
          <w:kern w:val="0"/>
          <w:szCs w:val="20"/>
        </w:rPr>
        <w:t>旅游</w:t>
      </w:r>
      <w:r>
        <w:rPr>
          <w:rFonts w:eastAsia="宋体" w:cs="Times New Roman"/>
          <w:kern w:val="0"/>
          <w:szCs w:val="20"/>
        </w:rPr>
        <w:t>项目，设计的基本理念应是集自然、生态、科普、创意、趣味于一身，对于提高景区的知名度具有良好的效果。此类产品要尽力使游客在得到快乐的同时获得知识，强化其湿地生态理念，并最终得到难忘的体验经历。在公园发展的中后期视具体情况每年举办或隔年举办一次，应常变常新，注重创意策划。追求质量，形成特色品牌，以维持恒久的吸引力。</w:t>
      </w:r>
    </w:p>
    <w:p>
      <w:pPr>
        <w:pStyle w:val="5"/>
      </w:pPr>
      <w:r>
        <w:rPr>
          <w:rFonts w:hint="eastAsia"/>
        </w:rPr>
        <w:t>（一）</w:t>
      </w:r>
      <w:r>
        <w:t>科普宣教节事活动</w:t>
      </w:r>
    </w:p>
    <w:p>
      <w:pPr>
        <w:ind w:right="-4" w:firstLine="480" w:firstLineChars="0"/>
        <w:rPr>
          <w:rFonts w:eastAsia="宋体" w:cs="Times New Roman"/>
          <w:kern w:val="0"/>
          <w:szCs w:val="20"/>
        </w:rPr>
      </w:pPr>
      <w:r>
        <w:rPr>
          <w:rFonts w:eastAsia="宋体" w:cs="Times New Roman"/>
          <w:kern w:val="0"/>
          <w:szCs w:val="20"/>
        </w:rPr>
        <w:t>在一些重要的国际或国内有关湿地及环保的节日开展丰富的科普宣传活动，使之成为系列节庆活动。把这些主题节日庆典串联一起，联合宣传策划，向人们介绍湿地保护的重要性，体现</w:t>
      </w:r>
      <w:r>
        <w:rPr>
          <w:rFonts w:hint="eastAsia" w:eastAsia="宋体" w:cs="Times New Roman"/>
          <w:kern w:val="0"/>
          <w:szCs w:val="20"/>
        </w:rPr>
        <w:t>玛纳斯国家湿地公园</w:t>
      </w:r>
      <w:r>
        <w:rPr>
          <w:rFonts w:eastAsia="宋体" w:cs="Times New Roman"/>
          <w:kern w:val="0"/>
          <w:szCs w:val="20"/>
        </w:rPr>
        <w:t>科普宣教理念。</w:t>
      </w:r>
    </w:p>
    <w:p>
      <w:pPr>
        <w:ind w:right="-4" w:firstLine="480" w:firstLineChars="0"/>
        <w:rPr>
          <w:rFonts w:eastAsia="宋体" w:cs="Times New Roman"/>
          <w:kern w:val="0"/>
          <w:szCs w:val="20"/>
        </w:rPr>
      </w:pPr>
      <w:r>
        <w:rPr>
          <w:rFonts w:eastAsia="宋体" w:cs="Times New Roman"/>
          <w:kern w:val="0"/>
          <w:szCs w:val="20"/>
        </w:rPr>
        <w:t>主要相关节日有：</w:t>
      </w:r>
    </w:p>
    <w:p>
      <w:pPr>
        <w:ind w:right="-4" w:firstLine="480" w:firstLineChars="0"/>
        <w:rPr>
          <w:rFonts w:eastAsia="宋体" w:cs="Times New Roman"/>
          <w:kern w:val="0"/>
          <w:szCs w:val="20"/>
        </w:rPr>
      </w:pPr>
      <w:r>
        <w:rPr>
          <w:rFonts w:eastAsia="宋体" w:cs="Times New Roman"/>
          <w:kern w:val="0"/>
          <w:szCs w:val="20"/>
        </w:rPr>
        <w:t>2月2日“世界湿地日”</w:t>
      </w:r>
    </w:p>
    <w:p>
      <w:pPr>
        <w:ind w:right="-4" w:firstLine="480" w:firstLineChars="0"/>
        <w:rPr>
          <w:rFonts w:eastAsia="宋体" w:cs="Times New Roman"/>
          <w:kern w:val="0"/>
          <w:szCs w:val="20"/>
        </w:rPr>
      </w:pPr>
      <w:r>
        <w:rPr>
          <w:rFonts w:eastAsia="宋体" w:cs="Times New Roman"/>
          <w:kern w:val="0"/>
          <w:szCs w:val="20"/>
        </w:rPr>
        <w:t>3月22日“世界水日”</w:t>
      </w:r>
    </w:p>
    <w:p>
      <w:pPr>
        <w:ind w:right="-4" w:firstLine="480" w:firstLineChars="0"/>
        <w:rPr>
          <w:rFonts w:eastAsia="宋体" w:cs="Times New Roman"/>
          <w:kern w:val="0"/>
          <w:szCs w:val="20"/>
        </w:rPr>
      </w:pPr>
      <w:r>
        <w:rPr>
          <w:rFonts w:eastAsia="宋体" w:cs="Times New Roman"/>
          <w:kern w:val="0"/>
          <w:szCs w:val="20"/>
        </w:rPr>
        <w:t>4月1日至7日“爱鸟周”</w:t>
      </w:r>
    </w:p>
    <w:p>
      <w:pPr>
        <w:ind w:right="-4" w:firstLine="480" w:firstLineChars="0"/>
        <w:rPr>
          <w:rFonts w:eastAsia="宋体" w:cs="Times New Roman"/>
          <w:kern w:val="0"/>
          <w:szCs w:val="20"/>
        </w:rPr>
      </w:pPr>
      <w:r>
        <w:rPr>
          <w:rFonts w:eastAsia="宋体" w:cs="Times New Roman"/>
          <w:kern w:val="0"/>
          <w:szCs w:val="20"/>
        </w:rPr>
        <w:t>4月22日“世界地球日”</w:t>
      </w:r>
    </w:p>
    <w:p>
      <w:pPr>
        <w:ind w:right="-4" w:firstLine="480" w:firstLineChars="0"/>
        <w:rPr>
          <w:rFonts w:eastAsia="宋体" w:cs="Times New Roman"/>
          <w:kern w:val="0"/>
          <w:szCs w:val="20"/>
        </w:rPr>
      </w:pPr>
      <w:r>
        <w:rPr>
          <w:rFonts w:eastAsia="宋体" w:cs="Times New Roman"/>
          <w:kern w:val="0"/>
          <w:szCs w:val="20"/>
        </w:rPr>
        <w:t>6月5日“世界环境日”</w:t>
      </w:r>
    </w:p>
    <w:p>
      <w:pPr>
        <w:ind w:right="-4" w:firstLine="480" w:firstLineChars="0"/>
        <w:rPr>
          <w:rFonts w:eastAsia="宋体" w:cs="Times New Roman"/>
          <w:kern w:val="0"/>
          <w:szCs w:val="20"/>
        </w:rPr>
      </w:pPr>
      <w:r>
        <w:rPr>
          <w:rFonts w:eastAsia="宋体" w:cs="Times New Roman"/>
          <w:kern w:val="0"/>
          <w:szCs w:val="20"/>
        </w:rPr>
        <w:t>9月第三周的公休日“全国科普日”</w:t>
      </w:r>
    </w:p>
    <w:p>
      <w:pPr>
        <w:ind w:right="-4" w:firstLine="480" w:firstLineChars="0"/>
        <w:rPr>
          <w:rFonts w:eastAsia="宋体" w:cs="Times New Roman"/>
          <w:kern w:val="0"/>
          <w:szCs w:val="20"/>
        </w:rPr>
      </w:pPr>
      <w:r>
        <w:rPr>
          <w:rFonts w:eastAsia="宋体" w:cs="Times New Roman"/>
          <w:kern w:val="0"/>
          <w:szCs w:val="20"/>
        </w:rPr>
        <w:t>10月4日“国际动物日”</w:t>
      </w:r>
    </w:p>
    <w:p>
      <w:pPr>
        <w:ind w:right="-4" w:firstLine="480" w:firstLineChars="0"/>
        <w:rPr>
          <w:rFonts w:eastAsia="宋体" w:cs="Times New Roman"/>
          <w:kern w:val="0"/>
          <w:szCs w:val="20"/>
        </w:rPr>
      </w:pPr>
      <w:r>
        <w:rPr>
          <w:rFonts w:eastAsia="宋体" w:cs="Times New Roman"/>
          <w:kern w:val="0"/>
          <w:szCs w:val="20"/>
        </w:rPr>
        <w:t>12月29日“生物多样化国际日”。</w:t>
      </w:r>
    </w:p>
    <w:p>
      <w:pPr>
        <w:pStyle w:val="5"/>
      </w:pPr>
      <w:r>
        <w:rPr>
          <w:rFonts w:hint="eastAsia"/>
        </w:rPr>
        <w:t>（二）</w:t>
      </w:r>
      <w:r>
        <w:t>传统民俗节日</w:t>
      </w:r>
    </w:p>
    <w:p>
      <w:pPr>
        <w:ind w:right="-4" w:firstLine="480" w:firstLineChars="0"/>
        <w:rPr>
          <w:rFonts w:eastAsia="宋体" w:cs="Times New Roman"/>
          <w:kern w:val="0"/>
          <w:szCs w:val="20"/>
        </w:rPr>
      </w:pPr>
      <w:r>
        <w:rPr>
          <w:rFonts w:eastAsia="宋体" w:cs="Times New Roman"/>
          <w:kern w:val="0"/>
          <w:szCs w:val="20"/>
        </w:rPr>
        <w:t>在一些重要民俗节日开展丰富的科普宣传活动，联合宣传策划，宣传介绍湿地保护的重要性，体现</w:t>
      </w:r>
      <w:r>
        <w:rPr>
          <w:rFonts w:hint="eastAsia" w:eastAsia="宋体" w:cs="Times New Roman"/>
          <w:kern w:val="0"/>
          <w:szCs w:val="20"/>
        </w:rPr>
        <w:t>玛纳斯国家湿地公园</w:t>
      </w:r>
      <w:r>
        <w:rPr>
          <w:rFonts w:eastAsia="宋体" w:cs="Times New Roman"/>
          <w:kern w:val="0"/>
          <w:szCs w:val="20"/>
        </w:rPr>
        <w:t>科普宣教理念。</w:t>
      </w:r>
    </w:p>
    <w:p>
      <w:pPr>
        <w:ind w:right="-4" w:firstLine="480" w:firstLineChars="0"/>
        <w:rPr>
          <w:rFonts w:eastAsia="宋体" w:cs="Times New Roman"/>
          <w:kern w:val="0"/>
          <w:szCs w:val="20"/>
        </w:rPr>
      </w:pPr>
      <w:r>
        <w:rPr>
          <w:rFonts w:eastAsia="宋体" w:cs="Times New Roman"/>
          <w:kern w:val="0"/>
          <w:szCs w:val="20"/>
        </w:rPr>
        <w:t>主要相关节日有：</w:t>
      </w:r>
    </w:p>
    <w:p>
      <w:pPr>
        <w:ind w:right="-4" w:firstLine="480" w:firstLineChars="0"/>
        <w:rPr>
          <w:rFonts w:eastAsia="宋体" w:cs="Times New Roman"/>
          <w:kern w:val="0"/>
          <w:szCs w:val="20"/>
        </w:rPr>
      </w:pPr>
      <w:r>
        <w:rPr>
          <w:rFonts w:eastAsia="宋体" w:cs="Times New Roman"/>
          <w:kern w:val="0"/>
          <w:szCs w:val="20"/>
        </w:rPr>
        <w:t>公历3月2</w:t>
      </w:r>
      <w:r>
        <w:rPr>
          <w:rFonts w:hint="eastAsia" w:eastAsia="宋体" w:cs="Times New Roman"/>
          <w:kern w:val="0"/>
          <w:szCs w:val="20"/>
        </w:rPr>
        <w:t>2</w:t>
      </w:r>
      <w:r>
        <w:rPr>
          <w:rFonts w:eastAsia="宋体" w:cs="Times New Roman"/>
          <w:kern w:val="0"/>
          <w:szCs w:val="20"/>
        </w:rPr>
        <w:t>日，哈萨克族</w:t>
      </w:r>
      <w:r>
        <w:rPr>
          <w:rFonts w:hint="eastAsia" w:eastAsia="宋体" w:cs="Times New Roman"/>
          <w:kern w:val="0"/>
          <w:szCs w:val="20"/>
        </w:rPr>
        <w:t>纳</w:t>
      </w:r>
      <w:r>
        <w:rPr>
          <w:rFonts w:eastAsia="宋体" w:cs="Times New Roman"/>
          <w:kern w:val="0"/>
          <w:szCs w:val="20"/>
        </w:rPr>
        <w:t>吾</w:t>
      </w:r>
      <w:r>
        <w:rPr>
          <w:rFonts w:hint="eastAsia" w:eastAsia="宋体" w:cs="Times New Roman"/>
          <w:kern w:val="0"/>
          <w:szCs w:val="20"/>
        </w:rPr>
        <w:t>肉</w:t>
      </w:r>
      <w:r>
        <w:rPr>
          <w:rFonts w:eastAsia="宋体" w:cs="Times New Roman"/>
          <w:kern w:val="0"/>
          <w:szCs w:val="20"/>
        </w:rPr>
        <w:t>孜节；</w:t>
      </w:r>
    </w:p>
    <w:p>
      <w:pPr>
        <w:ind w:right="-4" w:firstLine="480" w:firstLineChars="0"/>
        <w:rPr>
          <w:rFonts w:eastAsia="宋体" w:cs="Times New Roman"/>
          <w:kern w:val="0"/>
          <w:szCs w:val="20"/>
        </w:rPr>
      </w:pPr>
      <w:r>
        <w:rPr>
          <w:rFonts w:hint="eastAsia" w:eastAsia="宋体" w:cs="Times New Roman"/>
          <w:kern w:val="0"/>
          <w:szCs w:val="20"/>
        </w:rPr>
        <w:t>农历</w:t>
      </w:r>
      <w:r>
        <w:rPr>
          <w:rFonts w:eastAsia="宋体" w:cs="Times New Roman"/>
          <w:kern w:val="0"/>
          <w:szCs w:val="20"/>
        </w:rPr>
        <w:t>5</w:t>
      </w:r>
      <w:r>
        <w:rPr>
          <w:rFonts w:hint="eastAsia" w:eastAsia="宋体" w:cs="Times New Roman"/>
          <w:kern w:val="0"/>
          <w:szCs w:val="20"/>
        </w:rPr>
        <w:t>月5日，端午节；</w:t>
      </w:r>
    </w:p>
    <w:p>
      <w:pPr>
        <w:ind w:right="-4" w:firstLine="480" w:firstLineChars="0"/>
        <w:rPr>
          <w:rFonts w:eastAsia="宋体" w:cs="Times New Roman"/>
          <w:kern w:val="0"/>
          <w:szCs w:val="20"/>
        </w:rPr>
      </w:pPr>
      <w:r>
        <w:rPr>
          <w:rFonts w:hint="eastAsia" w:eastAsia="宋体" w:cs="Times New Roman"/>
          <w:kern w:val="0"/>
          <w:szCs w:val="20"/>
        </w:rPr>
        <w:t>农历秋分，中国农民丰收节；</w:t>
      </w:r>
    </w:p>
    <w:p>
      <w:pPr>
        <w:ind w:right="-4" w:firstLine="480" w:firstLineChars="0"/>
        <w:rPr>
          <w:rFonts w:eastAsia="宋体" w:cs="Times New Roman"/>
          <w:kern w:val="0"/>
          <w:szCs w:val="20"/>
        </w:rPr>
      </w:pPr>
      <w:r>
        <w:rPr>
          <w:rFonts w:eastAsia="宋体" w:cs="Times New Roman"/>
          <w:kern w:val="0"/>
          <w:szCs w:val="20"/>
        </w:rPr>
        <w:t>伊斯兰教历10月1日，肉孜节；</w:t>
      </w:r>
    </w:p>
    <w:p>
      <w:pPr>
        <w:ind w:right="-4" w:firstLine="480" w:firstLineChars="0"/>
        <w:rPr>
          <w:rFonts w:eastAsia="宋体" w:cs="Times New Roman"/>
          <w:kern w:val="0"/>
          <w:szCs w:val="20"/>
        </w:rPr>
      </w:pPr>
      <w:r>
        <w:rPr>
          <w:rFonts w:eastAsia="宋体" w:cs="Times New Roman"/>
          <w:kern w:val="0"/>
          <w:szCs w:val="20"/>
        </w:rPr>
        <w:t>伊斯兰教历12月10日，古尔邦节。</w:t>
      </w:r>
    </w:p>
    <w:p>
      <w:pPr>
        <w:pStyle w:val="5"/>
      </w:pPr>
      <w:r>
        <w:rPr>
          <w:rFonts w:hint="eastAsia"/>
        </w:rPr>
        <w:t>（三）</w:t>
      </w:r>
      <w:r>
        <w:t>民族体育表演节日</w:t>
      </w:r>
    </w:p>
    <w:p>
      <w:pPr>
        <w:ind w:right="-4" w:firstLine="480" w:firstLineChars="0"/>
        <w:rPr>
          <w:rFonts w:eastAsia="宋体" w:cs="Times New Roman"/>
          <w:kern w:val="0"/>
          <w:szCs w:val="20"/>
        </w:rPr>
      </w:pPr>
      <w:r>
        <w:rPr>
          <w:rFonts w:hint="eastAsia" w:eastAsia="宋体" w:cs="Times New Roman"/>
          <w:kern w:val="0"/>
          <w:szCs w:val="20"/>
        </w:rPr>
        <w:t>玛纳斯</w:t>
      </w:r>
      <w:r>
        <w:rPr>
          <w:rFonts w:eastAsia="宋体" w:cs="Times New Roman"/>
          <w:kern w:val="0"/>
          <w:szCs w:val="20"/>
        </w:rPr>
        <w:t>国家湿地公园定期举办民族传统体育节，届时将邀请各民族团体展演民族特色文化，如哈萨克族的小伙们展示哈萨克族传统体育项目，如姑娘追、摔跤、叼羊等</w:t>
      </w:r>
      <w:r>
        <w:rPr>
          <w:rFonts w:eastAsia="宋体" w:cs="Times New Roman"/>
          <w:b/>
          <w:kern w:val="0"/>
          <w:szCs w:val="20"/>
        </w:rPr>
        <w:t>，</w:t>
      </w:r>
      <w:r>
        <w:rPr>
          <w:rFonts w:eastAsia="宋体" w:cs="Times New Roman"/>
          <w:kern w:val="0"/>
          <w:szCs w:val="20"/>
        </w:rPr>
        <w:t>并摆放一些擂台，鼓励大众的参与，获胜者可获得国家湿地公园提供的民族特色纪念品。</w:t>
      </w:r>
    </w:p>
    <w:p>
      <w:pPr>
        <w:pStyle w:val="5"/>
      </w:pPr>
      <w:r>
        <w:rPr>
          <w:rFonts w:hint="eastAsia"/>
        </w:rPr>
        <w:t>（四）</w:t>
      </w:r>
      <w:r>
        <w:t>举办</w:t>
      </w:r>
      <w:r>
        <w:rPr>
          <w:rFonts w:hint="eastAsia"/>
        </w:rPr>
        <w:t>玛纳斯</w:t>
      </w:r>
      <w:r>
        <w:t>四季节庆</w:t>
      </w:r>
    </w:p>
    <w:p>
      <w:pPr>
        <w:ind w:firstLine="480" w:firstLineChars="0"/>
        <w:rPr>
          <w:rFonts w:eastAsia="宋体" w:cs="Times New Roman"/>
          <w:szCs w:val="24"/>
        </w:rPr>
      </w:pPr>
      <w:r>
        <w:rPr>
          <w:rFonts w:eastAsia="宋体" w:cs="Times New Roman"/>
          <w:szCs w:val="24"/>
        </w:rPr>
        <w:t>在“</w:t>
      </w:r>
      <w:r>
        <w:rPr>
          <w:rFonts w:hint="eastAsia" w:eastAsia="宋体" w:cs="Times New Roman"/>
          <w:szCs w:val="24"/>
        </w:rPr>
        <w:t>玛纳斯湿地</w:t>
      </w:r>
      <w:r>
        <w:rPr>
          <w:rFonts w:eastAsia="宋体" w:cs="Times New Roman"/>
          <w:szCs w:val="24"/>
        </w:rPr>
        <w:t>文化旅游节”大概念的统领下，结合县域产业分布现状，打造四季节庆活动链：</w:t>
      </w:r>
    </w:p>
    <w:p>
      <w:pPr>
        <w:ind w:firstLine="480" w:firstLineChars="0"/>
        <w:rPr>
          <w:rFonts w:eastAsia="宋体" w:cs="Times New Roman"/>
          <w:szCs w:val="24"/>
        </w:rPr>
      </w:pPr>
      <w:r>
        <w:rPr>
          <w:rFonts w:eastAsia="宋体" w:cs="Times New Roman"/>
          <w:szCs w:val="24"/>
        </w:rPr>
        <w:t>春之恋——</w:t>
      </w:r>
      <w:r>
        <w:rPr>
          <w:rFonts w:hint="eastAsia" w:eastAsia="宋体" w:cs="Times New Roman"/>
          <w:szCs w:val="24"/>
        </w:rPr>
        <w:t>赏花</w:t>
      </w:r>
      <w:r>
        <w:rPr>
          <w:rFonts w:eastAsia="宋体" w:cs="Times New Roman"/>
          <w:szCs w:val="24"/>
        </w:rPr>
        <w:t>节、庙会</w:t>
      </w:r>
    </w:p>
    <w:p>
      <w:pPr>
        <w:ind w:firstLine="480" w:firstLineChars="0"/>
        <w:rPr>
          <w:rFonts w:eastAsia="宋体" w:cs="Times New Roman"/>
          <w:szCs w:val="24"/>
        </w:rPr>
      </w:pPr>
      <w:r>
        <w:rPr>
          <w:rFonts w:eastAsia="宋体" w:cs="Times New Roman"/>
          <w:szCs w:val="24"/>
        </w:rPr>
        <w:t>夏之漂——</w:t>
      </w:r>
      <w:r>
        <w:rPr>
          <w:rFonts w:hint="eastAsia" w:eastAsia="宋体" w:cs="Times New Roman"/>
          <w:szCs w:val="24"/>
        </w:rPr>
        <w:t>野营</w:t>
      </w:r>
      <w:r>
        <w:rPr>
          <w:rFonts w:eastAsia="宋体" w:cs="Times New Roman"/>
          <w:szCs w:val="24"/>
        </w:rPr>
        <w:t>节、牧民转场节</w:t>
      </w:r>
    </w:p>
    <w:p>
      <w:pPr>
        <w:ind w:firstLine="480" w:firstLineChars="0"/>
        <w:rPr>
          <w:rFonts w:eastAsia="宋体" w:cs="Times New Roman"/>
          <w:szCs w:val="24"/>
        </w:rPr>
      </w:pPr>
      <w:r>
        <w:rPr>
          <w:rFonts w:eastAsia="宋体" w:cs="Times New Roman"/>
          <w:szCs w:val="24"/>
        </w:rPr>
        <w:t>秋之语——营地摄影节、民族歌谣会、</w:t>
      </w:r>
      <w:r>
        <w:rPr>
          <w:rFonts w:hint="eastAsia" w:eastAsia="宋体" w:cs="Times New Roman"/>
          <w:szCs w:val="24"/>
        </w:rPr>
        <w:t>玉石文化交流</w:t>
      </w:r>
      <w:r>
        <w:rPr>
          <w:rFonts w:eastAsia="宋体" w:cs="Times New Roman"/>
          <w:szCs w:val="24"/>
        </w:rPr>
        <w:t>会</w:t>
      </w:r>
    </w:p>
    <w:p>
      <w:pPr>
        <w:ind w:firstLine="480" w:firstLineChars="0"/>
        <w:rPr>
          <w:rFonts w:eastAsia="宋体" w:cs="Times New Roman"/>
          <w:szCs w:val="24"/>
        </w:rPr>
      </w:pPr>
      <w:r>
        <w:rPr>
          <w:rFonts w:eastAsia="宋体" w:cs="Times New Roman"/>
          <w:szCs w:val="24"/>
        </w:rPr>
        <w:t>冬之韵——膳食节、温泉养生节、</w:t>
      </w:r>
      <w:r>
        <w:rPr>
          <w:rFonts w:hint="eastAsia" w:eastAsia="宋体" w:cs="Times New Roman"/>
          <w:szCs w:val="24"/>
        </w:rPr>
        <w:t>冰雪</w:t>
      </w:r>
      <w:r>
        <w:rPr>
          <w:rFonts w:eastAsia="宋体" w:cs="Times New Roman"/>
          <w:szCs w:val="24"/>
        </w:rPr>
        <w:t>节</w:t>
      </w:r>
    </w:p>
    <w:p>
      <w:pPr>
        <w:ind w:firstLine="480" w:firstLineChars="0"/>
      </w:pPr>
      <w:r>
        <w:rPr>
          <w:rFonts w:eastAsia="宋体" w:cs="Times New Roman"/>
          <w:szCs w:val="24"/>
        </w:rPr>
        <w:t>充分利用自然、人文、产业等多方面的优势，将</w:t>
      </w:r>
      <w:r>
        <w:rPr>
          <w:rFonts w:hint="eastAsia" w:eastAsia="宋体" w:cs="Times New Roman"/>
          <w:szCs w:val="24"/>
        </w:rPr>
        <w:t>玛纳斯国家湿地公园</w:t>
      </w:r>
      <w:r>
        <w:rPr>
          <w:rFonts w:eastAsia="宋体" w:cs="Times New Roman"/>
          <w:szCs w:val="24"/>
        </w:rPr>
        <w:t>景区建设成为</w:t>
      </w:r>
      <w:r>
        <w:rPr>
          <w:rFonts w:hint="eastAsia" w:eastAsia="宋体" w:cs="Times New Roman"/>
          <w:szCs w:val="24"/>
        </w:rPr>
        <w:t>天山北坡</w:t>
      </w:r>
      <w:r>
        <w:rPr>
          <w:rFonts w:eastAsia="宋体" w:cs="Times New Roman"/>
          <w:szCs w:val="24"/>
        </w:rPr>
        <w:t>淡旺季之分的休闲度假胜地。</w:t>
      </w:r>
    </w:p>
    <w:p>
      <w:pPr>
        <w:pStyle w:val="4"/>
      </w:pPr>
      <w:r>
        <w:rPr>
          <w:rFonts w:hint="eastAsia"/>
        </w:rPr>
        <w:t>四、旅游基础设施</w:t>
      </w:r>
    </w:p>
    <w:p>
      <w:pPr>
        <w:pStyle w:val="5"/>
      </w:pPr>
      <w:bookmarkStart w:id="65" w:name="_Toc117586916"/>
      <w:bookmarkStart w:id="66" w:name="_Toc100459579"/>
      <w:bookmarkStart w:id="67" w:name="_Toc100461075"/>
      <w:bookmarkStart w:id="68" w:name="_Toc103134091"/>
      <w:bookmarkStart w:id="69" w:name="_Toc96865109"/>
      <w:bookmarkStart w:id="70" w:name="_Toc117688762"/>
      <w:bookmarkStart w:id="71" w:name="_Toc117688874"/>
      <w:bookmarkStart w:id="72" w:name="_Toc117688429"/>
      <w:bookmarkStart w:id="73" w:name="_Toc117739508"/>
      <w:bookmarkStart w:id="74" w:name="_Toc117688168"/>
      <w:bookmarkStart w:id="75" w:name="_Toc117687997"/>
      <w:bookmarkStart w:id="76" w:name="_Toc117687742"/>
      <w:bookmarkStart w:id="77" w:name="_Toc117586919"/>
      <w:bookmarkStart w:id="78" w:name="_Toc100461078"/>
      <w:bookmarkStart w:id="79" w:name="_Toc117739512"/>
      <w:bookmarkStart w:id="80" w:name="_Toc117688433"/>
      <w:bookmarkStart w:id="81" w:name="_Toc117687746"/>
      <w:bookmarkStart w:id="82" w:name="_Toc117688172"/>
      <w:bookmarkStart w:id="83" w:name="_Toc96865112"/>
      <w:bookmarkStart w:id="84" w:name="_Toc117688001"/>
      <w:bookmarkStart w:id="85" w:name="_Toc117688878"/>
      <w:bookmarkStart w:id="86" w:name="_Toc103134094"/>
      <w:bookmarkStart w:id="87" w:name="_Toc117688766"/>
      <w:bookmarkStart w:id="88" w:name="_Toc100459582"/>
      <w:r>
        <w:t>（一）餐饮</w:t>
      </w:r>
      <w:bookmarkEnd w:id="65"/>
      <w:bookmarkEnd w:id="66"/>
      <w:bookmarkEnd w:id="67"/>
      <w:bookmarkEnd w:id="68"/>
      <w:bookmarkEnd w:id="69"/>
      <w:r>
        <w:t>设施规划</w:t>
      </w:r>
      <w:bookmarkEnd w:id="70"/>
      <w:bookmarkEnd w:id="71"/>
      <w:bookmarkEnd w:id="72"/>
      <w:bookmarkEnd w:id="73"/>
      <w:bookmarkEnd w:id="74"/>
      <w:bookmarkEnd w:id="75"/>
      <w:bookmarkEnd w:id="76"/>
    </w:p>
    <w:p>
      <w:pPr>
        <w:ind w:firstLine="480"/>
        <w:rPr>
          <w:rFonts w:eastAsia="宋体" w:cs="Times New Roman"/>
          <w:szCs w:val="21"/>
        </w:rPr>
      </w:pPr>
      <w:r>
        <w:rPr>
          <w:rFonts w:eastAsia="宋体" w:cs="Times New Roman"/>
          <w:szCs w:val="21"/>
        </w:rPr>
        <w:t>湿地公园内部不提供大型餐饮服务，在旅游热点区域局部设少量便民点，主要餐饮在县城和周边社区规划建设。</w:t>
      </w:r>
    </w:p>
    <w:p>
      <w:pPr>
        <w:pStyle w:val="5"/>
      </w:pPr>
      <w:bookmarkStart w:id="89" w:name="_Toc100459580"/>
      <w:bookmarkStart w:id="90" w:name="_Toc96865110"/>
      <w:bookmarkStart w:id="91" w:name="_Toc100461076"/>
      <w:bookmarkStart w:id="92" w:name="_Toc117586917"/>
      <w:bookmarkStart w:id="93" w:name="_Toc103134092"/>
      <w:bookmarkStart w:id="94" w:name="_Toc117688169"/>
      <w:bookmarkStart w:id="95" w:name="_Toc117687998"/>
      <w:bookmarkStart w:id="96" w:name="_Toc117688875"/>
      <w:bookmarkStart w:id="97" w:name="_Toc117688763"/>
      <w:bookmarkStart w:id="98" w:name="_Toc117688430"/>
      <w:bookmarkStart w:id="99" w:name="_Toc117739509"/>
      <w:bookmarkStart w:id="100" w:name="_Toc117687743"/>
      <w:r>
        <w:t>（二）住宿</w:t>
      </w:r>
      <w:bookmarkEnd w:id="89"/>
      <w:bookmarkEnd w:id="90"/>
      <w:bookmarkEnd w:id="91"/>
      <w:bookmarkEnd w:id="92"/>
      <w:bookmarkEnd w:id="93"/>
      <w:r>
        <w:t>设施规划</w:t>
      </w:r>
      <w:bookmarkEnd w:id="94"/>
      <w:bookmarkEnd w:id="95"/>
      <w:bookmarkEnd w:id="96"/>
      <w:bookmarkEnd w:id="97"/>
      <w:bookmarkEnd w:id="98"/>
      <w:bookmarkEnd w:id="99"/>
      <w:bookmarkEnd w:id="100"/>
    </w:p>
    <w:p>
      <w:pPr>
        <w:ind w:firstLine="480"/>
        <w:rPr>
          <w:rFonts w:eastAsia="宋体" w:cs="Times New Roman"/>
          <w:szCs w:val="21"/>
        </w:rPr>
      </w:pPr>
      <w:r>
        <w:rPr>
          <w:rFonts w:eastAsia="宋体" w:cs="Times New Roman"/>
          <w:szCs w:val="21"/>
        </w:rPr>
        <w:t>规划区内部不增加住宿设施，</w:t>
      </w:r>
      <w:bookmarkStart w:id="101" w:name="_Toc117688765"/>
      <w:bookmarkStart w:id="102" w:name="_Toc117688000"/>
      <w:bookmarkStart w:id="103" w:name="_Toc117688432"/>
      <w:bookmarkStart w:id="104" w:name="_Toc117688877"/>
      <w:bookmarkStart w:id="105" w:name="_Toc117687745"/>
      <w:bookmarkStart w:id="106" w:name="_Toc117739511"/>
      <w:bookmarkStart w:id="107" w:name="_Toc117688171"/>
      <w:r>
        <w:rPr>
          <w:rFonts w:eastAsia="宋体" w:cs="Times New Roman"/>
          <w:szCs w:val="21"/>
        </w:rPr>
        <w:t>仅设少量野外露营和房车特色营地，主体住宿设施与县旅游总体规划</w:t>
      </w:r>
      <w:r>
        <w:rPr>
          <w:rFonts w:hint="eastAsia" w:eastAsia="宋体" w:cs="Times New Roman"/>
          <w:szCs w:val="21"/>
        </w:rPr>
        <w:t>和乡村振兴规划</w:t>
      </w:r>
      <w:r>
        <w:rPr>
          <w:rFonts w:eastAsia="宋体" w:cs="Times New Roman"/>
          <w:szCs w:val="21"/>
        </w:rPr>
        <w:t>结合，在县城和周边社区进行规划建设。</w:t>
      </w:r>
    </w:p>
    <w:bookmarkEnd w:id="101"/>
    <w:bookmarkEnd w:id="102"/>
    <w:bookmarkEnd w:id="103"/>
    <w:bookmarkEnd w:id="104"/>
    <w:bookmarkEnd w:id="105"/>
    <w:bookmarkEnd w:id="106"/>
    <w:bookmarkEnd w:id="107"/>
    <w:p>
      <w:pPr>
        <w:pStyle w:val="5"/>
      </w:pPr>
      <w:r>
        <w:t>（三）医疗设施规划</w:t>
      </w:r>
    </w:p>
    <w:p>
      <w:pPr>
        <w:ind w:firstLine="480"/>
        <w:rPr>
          <w:rFonts w:eastAsia="宋体" w:cs="Times New Roman"/>
          <w:szCs w:val="21"/>
        </w:rPr>
      </w:pPr>
      <w:r>
        <w:rPr>
          <w:rFonts w:eastAsia="宋体" w:cs="Times New Roman"/>
          <w:szCs w:val="21"/>
        </w:rPr>
        <w:t>规划设立医疗紧急救护室，配备医务人员和常规药品，并且与</w:t>
      </w:r>
      <w:r>
        <w:rPr>
          <w:rFonts w:hint="eastAsia" w:eastAsia="宋体" w:cs="Times New Roman"/>
          <w:szCs w:val="21"/>
        </w:rPr>
        <w:t>周边</w:t>
      </w:r>
      <w:r>
        <w:rPr>
          <w:rFonts w:eastAsia="宋体" w:cs="Times New Roman"/>
          <w:szCs w:val="21"/>
        </w:rPr>
        <w:t>医院建立服务联系网，确保在突发疾病和发生意外事故时能够及时得到初步救治</w:t>
      </w:r>
      <w:r>
        <w:rPr>
          <w:rFonts w:hint="eastAsia" w:eastAsia="宋体" w:cs="Times New Roman"/>
          <w:szCs w:val="21"/>
        </w:rPr>
        <w:t>。</w:t>
      </w:r>
    </w:p>
    <w:p>
      <w:pPr>
        <w:pStyle w:val="5"/>
      </w:pPr>
      <w:r>
        <w:t>（四）导游标识</w:t>
      </w:r>
    </w:p>
    <w:p>
      <w:pPr>
        <w:ind w:firstLine="480"/>
        <w:rPr>
          <w:rFonts w:eastAsia="宋体" w:cs="Times New Roman"/>
          <w:szCs w:val="21"/>
        </w:rPr>
      </w:pPr>
      <w:r>
        <w:rPr>
          <w:rFonts w:eastAsia="宋体" w:cs="Times New Roman"/>
          <w:szCs w:val="21"/>
        </w:rPr>
        <w:t>规划设立导游标志，用</w:t>
      </w:r>
      <w:r>
        <w:rPr>
          <w:rFonts w:hint="eastAsia" w:eastAsia="宋体" w:cs="Times New Roman"/>
          <w:szCs w:val="21"/>
        </w:rPr>
        <w:t>多</w:t>
      </w:r>
      <w:r>
        <w:rPr>
          <w:rFonts w:eastAsia="宋体" w:cs="Times New Roman"/>
          <w:szCs w:val="21"/>
        </w:rPr>
        <w:t>种语言文字标注</w:t>
      </w:r>
      <w:r>
        <w:rPr>
          <w:rFonts w:hint="eastAsia" w:eastAsia="宋体" w:cs="Times New Roman"/>
          <w:szCs w:val="21"/>
        </w:rPr>
        <w:t>，</w:t>
      </w:r>
      <w:r>
        <w:rPr>
          <w:rFonts w:eastAsia="宋体" w:cs="Times New Roman"/>
          <w:szCs w:val="21"/>
        </w:rPr>
        <w:t>方便游览</w:t>
      </w:r>
      <w:r>
        <w:rPr>
          <w:rFonts w:hint="eastAsia" w:eastAsia="宋体" w:cs="Times New Roman"/>
          <w:szCs w:val="21"/>
        </w:rPr>
        <w:t>、强化</w:t>
      </w:r>
      <w:r>
        <w:rPr>
          <w:rFonts w:eastAsia="宋体" w:cs="Times New Roman"/>
          <w:szCs w:val="21"/>
        </w:rPr>
        <w:t>宣传。在汽车站、火车站等处建立大型导游标牌，并配上湿地公园照片和简要解说词。在与国道、省道的交界处的公路上建跨路横幅。在主要公路接口悬挂公园导游图</w:t>
      </w:r>
      <w:r>
        <w:rPr>
          <w:rFonts w:hint="eastAsia" w:eastAsia="宋体" w:cs="Times New Roman"/>
          <w:szCs w:val="21"/>
        </w:rPr>
        <w:t>，</w:t>
      </w:r>
      <w:r>
        <w:rPr>
          <w:rFonts w:eastAsia="宋体" w:cs="Times New Roman"/>
          <w:szCs w:val="21"/>
        </w:rPr>
        <w:t>在园内主要岔道路口设立永久性指示牌，注明景点名称、方位、距离、线路等。</w:t>
      </w:r>
    </w:p>
    <w:p>
      <w:pPr>
        <w:pStyle w:val="5"/>
      </w:pPr>
      <w:r>
        <w:t>（五）生态休闲点</w:t>
      </w:r>
    </w:p>
    <w:p>
      <w:pPr>
        <w:ind w:firstLine="480"/>
        <w:rPr>
          <w:rFonts w:eastAsia="宋体" w:cs="Times New Roman"/>
          <w:szCs w:val="21"/>
        </w:rPr>
      </w:pPr>
      <w:r>
        <w:rPr>
          <w:rFonts w:eastAsia="宋体" w:cs="Times New Roman"/>
          <w:szCs w:val="21"/>
        </w:rPr>
        <w:t>规划建设生态休闲点10个。修建观景平台，方便游客欣赏优美自然风光和拍照、摄影。对观景平台进行安全防护，保证每个观景平台能够停车。同时，每个生态休闲点提供简易的环卫、商店设施。</w:t>
      </w:r>
    </w:p>
    <w:bookmarkEnd w:id="77"/>
    <w:bookmarkEnd w:id="78"/>
    <w:bookmarkEnd w:id="79"/>
    <w:bookmarkEnd w:id="80"/>
    <w:bookmarkEnd w:id="81"/>
    <w:bookmarkEnd w:id="82"/>
    <w:bookmarkEnd w:id="83"/>
    <w:bookmarkEnd w:id="84"/>
    <w:bookmarkEnd w:id="85"/>
    <w:bookmarkEnd w:id="86"/>
    <w:bookmarkEnd w:id="87"/>
    <w:bookmarkEnd w:id="88"/>
    <w:p>
      <w:pPr>
        <w:pStyle w:val="5"/>
      </w:pPr>
      <w:r>
        <w:t>（六）环卫设施</w:t>
      </w:r>
    </w:p>
    <w:p>
      <w:pPr>
        <w:ind w:firstLine="480"/>
        <w:rPr>
          <w:rFonts w:eastAsia="宋体" w:cs="Times New Roman"/>
          <w:szCs w:val="21"/>
        </w:rPr>
      </w:pPr>
      <w:r>
        <w:rPr>
          <w:rFonts w:eastAsia="宋体" w:cs="Times New Roman"/>
          <w:szCs w:val="21"/>
        </w:rPr>
        <w:t>垃圾箱设置于游览线两侧及景点附近，间距为70-100</w:t>
      </w:r>
      <w:r>
        <w:rPr>
          <w:rFonts w:hint="eastAsia" w:eastAsia="宋体" w:cs="Times New Roman"/>
          <w:szCs w:val="21"/>
        </w:rPr>
        <w:t>m，</w:t>
      </w:r>
      <w:r>
        <w:rPr>
          <w:rFonts w:eastAsia="宋体" w:cs="Times New Roman"/>
          <w:szCs w:val="21"/>
        </w:rPr>
        <w:t>设立垃圾集中收集点5个</w:t>
      </w:r>
      <w:r>
        <w:rPr>
          <w:rFonts w:hint="eastAsia" w:eastAsia="宋体" w:cs="Times New Roman"/>
          <w:szCs w:val="21"/>
        </w:rPr>
        <w:t>，及时</w:t>
      </w:r>
      <w:r>
        <w:rPr>
          <w:rFonts w:eastAsia="宋体" w:cs="Times New Roman"/>
          <w:szCs w:val="21"/>
        </w:rPr>
        <w:t>清运</w:t>
      </w:r>
      <w:r>
        <w:rPr>
          <w:rFonts w:hint="eastAsia" w:eastAsia="宋体" w:cs="Times New Roman"/>
          <w:szCs w:val="21"/>
        </w:rPr>
        <w:t>、</w:t>
      </w:r>
      <w:r>
        <w:rPr>
          <w:rFonts w:eastAsia="宋体" w:cs="Times New Roman"/>
          <w:szCs w:val="21"/>
        </w:rPr>
        <w:t>无害化处理。对公厕进行统一规划、管理，热点区域增设，位置和数量满足需求，建筑形式与周围景观协调，实现无水免冲型生态厕所。</w:t>
      </w:r>
    </w:p>
    <w:p>
      <w:pPr>
        <w:pStyle w:val="5"/>
      </w:pPr>
      <w:r>
        <w:t>（七）其它游览设施</w:t>
      </w:r>
    </w:p>
    <w:p>
      <w:pPr>
        <w:ind w:firstLine="480"/>
        <w:rPr>
          <w:rFonts w:eastAsia="黑体"/>
          <w:b/>
          <w:bCs/>
          <w:kern w:val="44"/>
          <w:sz w:val="36"/>
          <w:szCs w:val="44"/>
        </w:rPr>
      </w:pPr>
      <w:r>
        <w:rPr>
          <w:rFonts w:eastAsia="宋体" w:cs="Times New Roman"/>
          <w:szCs w:val="21"/>
        </w:rPr>
        <w:t>规划建设湿地公园各景区内交通、治安、防火、护林、信息等设施。</w:t>
      </w:r>
      <w:r>
        <w:br w:type="page"/>
      </w:r>
    </w:p>
    <w:p>
      <w:pPr>
        <w:pStyle w:val="2"/>
        <w:ind w:firstLine="0" w:firstLineChars="0"/>
      </w:pPr>
      <w:bookmarkStart w:id="108" w:name="_Toc130121676"/>
      <w:r>
        <w:rPr>
          <w:rFonts w:hint="eastAsia"/>
        </w:rPr>
        <w:t>第十章</w:t>
      </w:r>
      <w:r>
        <w:t xml:space="preserve">  </w:t>
      </w:r>
      <w:r>
        <w:rPr>
          <w:rFonts w:hint="eastAsia"/>
        </w:rPr>
        <w:t>灾害防御规划</w:t>
      </w:r>
      <w:bookmarkEnd w:id="108"/>
    </w:p>
    <w:p>
      <w:pPr>
        <w:pStyle w:val="3"/>
        <w:ind w:firstLine="643"/>
      </w:pPr>
      <w:bookmarkStart w:id="109" w:name="_Toc130121677"/>
      <w:r>
        <w:rPr>
          <w:rFonts w:hint="eastAsia"/>
        </w:rPr>
        <w:t>第一节</w:t>
      </w:r>
      <w:r>
        <w:t xml:space="preserve">  </w:t>
      </w:r>
      <w:r>
        <w:rPr>
          <w:rFonts w:hint="eastAsia"/>
        </w:rPr>
        <w:t>地质灾害防治规划</w:t>
      </w:r>
      <w:bookmarkEnd w:id="109"/>
    </w:p>
    <w:p>
      <w:pPr>
        <w:pStyle w:val="4"/>
      </w:pPr>
      <w:r>
        <w:rPr>
          <w:rFonts w:hint="eastAsia"/>
          <w:w w:val="110"/>
        </w:rPr>
        <w:t>一、玛纳斯县地质灾害基本概况</w:t>
      </w:r>
    </w:p>
    <w:p>
      <w:pPr>
        <w:ind w:firstLine="480"/>
      </w:pPr>
      <w:r>
        <w:rPr>
          <w:rFonts w:hint="eastAsia"/>
        </w:rPr>
        <w:t>玛纳斯全县地势呈南高北低、自东南向西北倾斜，地形南北长、东西窄，呈长条状展布。按成因及形态特征，可划分为冰川作用高山—极高山区、侵蚀中山区、剥蚀低山丘陵区、冲洪积砾质平原区、冲积细土平原区和风积沙区</w:t>
      </w:r>
      <w:r>
        <w:t>6</w:t>
      </w:r>
      <w:r>
        <w:rPr>
          <w:rFonts w:hint="eastAsia"/>
        </w:rPr>
        <w:t>种地貌单元。通过对玛纳斯县实地调查、访问，县境内地质灾害类型主要有泥石流、崩塌、地面塌陷和滑坡四种。</w:t>
      </w:r>
    </w:p>
    <w:p>
      <w:pPr>
        <w:pStyle w:val="4"/>
      </w:pPr>
      <w:r>
        <w:rPr>
          <w:rFonts w:hint="eastAsia"/>
          <w:w w:val="110"/>
        </w:rPr>
        <w:t>二、玛纳斯湿地公园地质灾害情况</w:t>
      </w:r>
    </w:p>
    <w:p>
      <w:pPr>
        <w:ind w:firstLine="480"/>
      </w:pPr>
      <w:r>
        <w:rPr>
          <w:rFonts w:hint="eastAsia"/>
        </w:rPr>
        <w:t>根据《新疆维吾尔自治区玛纳斯县地质灾害防治规划》，玛纳斯湿地公园位于地质灾害不易发区。区域内基本无地质灾害，湿地公园西北侧的平原区兰州湾镇的大湾子村水库东岸、拱拜村夹河子水库中部为崩塌、地面塌陷灾害重点防治亚区。大湾子村水库东岸的防空洞长期受雨（雪）水浸泡，形成的地面塌陷坑洞己造成房屋墙体开裂。另外，受水库蓄水、农灌水以及人类工程经济活动影响，库岸己发生小规模的崩塌，对附近居民构成较大威胁</w:t>
      </w:r>
      <w:r>
        <w:t xml:space="preserve"> </w:t>
      </w:r>
      <w:r>
        <w:rPr>
          <w:rFonts w:hint="eastAsia"/>
        </w:rPr>
        <w:t>。</w:t>
      </w:r>
    </w:p>
    <w:p>
      <w:pPr>
        <w:pStyle w:val="4"/>
      </w:pPr>
      <w:r>
        <w:rPr>
          <w:rFonts w:hint="eastAsia"/>
          <w:w w:val="110"/>
        </w:rPr>
        <w:t>三、地质灾害预防规划</w:t>
      </w:r>
    </w:p>
    <w:p>
      <w:pPr>
        <w:ind w:firstLine="480"/>
      </w:pPr>
      <w:r>
        <w:rPr>
          <w:rFonts w:hint="eastAsia"/>
        </w:rPr>
        <w:t>地质灾害防治是一项系统工程，涉及面广，建立健全地质灾害防治管理体制</w:t>
      </w:r>
      <w:r>
        <w:t xml:space="preserve"> </w:t>
      </w:r>
      <w:r>
        <w:rPr>
          <w:rFonts w:hint="eastAsia"/>
        </w:rPr>
        <w:t>是灾害防治工作成功与否的关键。做好建设用地的地质灾害危险性评估工作，预防地质灾害对工程建设带来巨大的损失，并防止因工程建设引发或加剧较大规模地质灾害的发生。对一些危险性大、危害较重的地质灾害（隐患）点应考虑进行工程勘察治理。</w:t>
      </w:r>
    </w:p>
    <w:p>
      <w:pPr>
        <w:ind w:firstLine="480"/>
      </w:pPr>
      <w:r>
        <w:rPr>
          <w:rFonts w:hint="eastAsia"/>
        </w:rPr>
        <w:t>地质灾害的防治工作应突出动态管理、实时控制的特点，将各类地质灾害（隐患）点进行信息化管理，随时掌握县境内地质灾害的时空变化特征。同时加强法制建设，使地质灾害防治工作有法可依、依法防治，大力宣传谁引发地质灾害谁承担治理、谁受益谁合理负担的防灾意识。</w:t>
      </w:r>
    </w:p>
    <w:p>
      <w:pPr>
        <w:ind w:firstLine="480"/>
      </w:pPr>
      <w:r>
        <w:rPr>
          <w:rFonts w:hint="eastAsia"/>
        </w:rPr>
        <w:t>由县一级成立监测预警中心，建立县级监测网（一级网），各乡（镇）成立监测站，建立乡（镇）级监测网（二级网），各地质灾害（隐患）点所在村成立监测组，建立村级监测网（三级网），实行分级管理，逐级上报灾情。对每处地质灾害（隐患）点监测责任到人，县、乡（镇）、村逐级签订责任书。建立健全汛期检查制度、灾情速报制度及灾后防治制度，实行汛期</w:t>
      </w:r>
      <w:r>
        <w:t xml:space="preserve"> 24h</w:t>
      </w:r>
      <w:r>
        <w:rPr>
          <w:rFonts w:hint="eastAsia"/>
        </w:rPr>
        <w:t>电话值班。</w:t>
      </w:r>
    </w:p>
    <w:p>
      <w:pPr>
        <w:pStyle w:val="3"/>
        <w:ind w:firstLine="643"/>
      </w:pPr>
      <w:bookmarkStart w:id="110" w:name="_Toc130121678"/>
      <w:r>
        <w:rPr>
          <w:rFonts w:hint="eastAsia"/>
        </w:rPr>
        <w:t>第二节</w:t>
      </w:r>
      <w:r>
        <w:t xml:space="preserve">  </w:t>
      </w:r>
      <w:r>
        <w:rPr>
          <w:rFonts w:hint="eastAsia"/>
        </w:rPr>
        <w:t>洪涝防治规划</w:t>
      </w:r>
      <w:bookmarkEnd w:id="110"/>
    </w:p>
    <w:p>
      <w:pPr>
        <w:pStyle w:val="4"/>
      </w:pPr>
      <w:r>
        <w:rPr>
          <w:rFonts w:hint="eastAsia"/>
        </w:rPr>
        <w:t>一、洪水来源分析</w:t>
      </w:r>
    </w:p>
    <w:p>
      <w:pPr>
        <w:pStyle w:val="5"/>
      </w:pPr>
      <w:r>
        <w:rPr>
          <w:rFonts w:hint="eastAsia"/>
        </w:rPr>
        <w:t>（一）玛纳斯河</w:t>
      </w:r>
    </w:p>
    <w:p>
      <w:pPr>
        <w:ind w:firstLine="480"/>
      </w:pPr>
      <w:r>
        <w:rPr>
          <w:rFonts w:hint="eastAsia"/>
        </w:rPr>
        <w:t>玛纳斯河洪水主要集中于每年7、8 月份的汛期，占总数的 85% 以上。以高温期的冰川及积雪融化为主，降水为辅。玛纳斯河洪水可以分为三种类型：</w:t>
      </w:r>
    </w:p>
    <w:p>
      <w:pPr>
        <w:pStyle w:val="6"/>
        <w:ind w:firstLine="482"/>
      </w:pPr>
      <w:r>
        <w:rPr>
          <w:rFonts w:hint="eastAsia"/>
        </w:rPr>
        <w:t>1.</w:t>
      </w:r>
      <w:r>
        <w:t xml:space="preserve"> </w:t>
      </w:r>
      <w:r>
        <w:rPr>
          <w:rFonts w:hint="eastAsia"/>
        </w:rPr>
        <w:t>冰雪融水洪水</w:t>
      </w:r>
    </w:p>
    <w:p>
      <w:pPr>
        <w:ind w:firstLine="480"/>
      </w:pPr>
      <w:r>
        <w:rPr>
          <w:rFonts w:hint="eastAsia"/>
        </w:rPr>
        <w:t>在整个汛期 ，这类洪水水量所占比重较大 。</w:t>
      </w:r>
    </w:p>
    <w:p>
      <w:pPr>
        <w:pStyle w:val="6"/>
        <w:ind w:firstLine="482"/>
      </w:pPr>
      <w:r>
        <w:t>2</w:t>
      </w:r>
      <w:r>
        <w:rPr>
          <w:rFonts w:hint="eastAsia"/>
        </w:rPr>
        <w:t>.</w:t>
      </w:r>
      <w:r>
        <w:t xml:space="preserve"> </w:t>
      </w:r>
      <w:r>
        <w:rPr>
          <w:rFonts w:hint="eastAsia"/>
        </w:rPr>
        <w:t>暴雨洪水</w:t>
      </w:r>
    </w:p>
    <w:p>
      <w:pPr>
        <w:ind w:firstLine="480"/>
      </w:pPr>
      <w:r>
        <w:rPr>
          <w:rFonts w:hint="eastAsia"/>
        </w:rPr>
        <w:t>一般发生在中低山区 。所形成的暴雨洪水常是 陡涨陡落，历时较短 ， 在数小时内即可完成 ，峰高而量不大 。</w:t>
      </w:r>
    </w:p>
    <w:p>
      <w:pPr>
        <w:pStyle w:val="6"/>
        <w:ind w:firstLine="482"/>
      </w:pPr>
      <w:r>
        <w:rPr>
          <w:rFonts w:hint="eastAsia"/>
        </w:rPr>
        <w:t>3.</w:t>
      </w:r>
      <w:r>
        <w:t xml:space="preserve"> </w:t>
      </w:r>
      <w:r>
        <w:rPr>
          <w:rFonts w:hint="eastAsia"/>
        </w:rPr>
        <w:t>雨雪混合洪水</w:t>
      </w:r>
    </w:p>
    <w:p>
      <w:pPr>
        <w:ind w:firstLine="480"/>
      </w:pPr>
      <w:r>
        <w:rPr>
          <w:rFonts w:hint="eastAsia"/>
        </w:rPr>
        <w:t>主要发生于7月和8月。由高山区融雪（冰）和中低山区暴雨洪水叠加而形成。特点是洪峰、洪水量大，历时长。这类洪水是水利工程的重点防护对象。</w:t>
      </w:r>
    </w:p>
    <w:p>
      <w:pPr>
        <w:pStyle w:val="5"/>
      </w:pPr>
      <w:r>
        <w:rPr>
          <w:rFonts w:hint="eastAsia"/>
        </w:rPr>
        <w:t>（二）塔西河</w:t>
      </w:r>
    </w:p>
    <w:p>
      <w:pPr>
        <w:ind w:firstLine="480"/>
      </w:pPr>
      <w:r>
        <w:rPr>
          <w:rFonts w:hint="eastAsia"/>
        </w:rPr>
        <w:t>洪水成因有冰川融雪、降雨和融雪降雨混合型三种，以消融型与混合型成因居多。洪水受气候影响有明显日变化，来势凶猛，持续时间长，影响面积大。</w:t>
      </w:r>
    </w:p>
    <w:p>
      <w:pPr>
        <w:pStyle w:val="5"/>
      </w:pPr>
      <w:r>
        <w:rPr>
          <w:rFonts w:hint="eastAsia"/>
        </w:rPr>
        <w:t>（三）城区南部坡面汇流</w:t>
      </w:r>
    </w:p>
    <w:p>
      <w:pPr>
        <w:ind w:firstLine="480"/>
      </w:pPr>
      <w:r>
        <w:rPr>
          <w:rFonts w:hint="eastAsia"/>
        </w:rPr>
        <w:t>汇流春季融雪洪水和暴雨洪水，水流顺着地势流入路边的引水渠涌向县城方向，造成威胁。</w:t>
      </w:r>
    </w:p>
    <w:p>
      <w:pPr>
        <w:pStyle w:val="4"/>
      </w:pPr>
      <w:r>
        <w:rPr>
          <w:rFonts w:hint="eastAsia"/>
        </w:rPr>
        <w:t>二、防洪工程现状</w:t>
      </w:r>
    </w:p>
    <w:p>
      <w:pPr>
        <w:ind w:firstLine="480"/>
      </w:pPr>
      <w:r>
        <w:rPr>
          <w:rFonts w:hint="eastAsia"/>
        </w:rPr>
        <w:t>现有工程标准低、隐患多，如玛河东岸防洪堤乌伊公路以北至玛纳斯发电 厂段，对玛纳斯县西工业园区安全影响较大。防洪工程体系建设滞后，如沙河和塔西河。头二三宫渠和团结路行洪泥沙渠淤积严重，工程失修，行洪能力差。</w:t>
      </w:r>
    </w:p>
    <w:p>
      <w:pPr>
        <w:pStyle w:val="4"/>
      </w:pPr>
      <w:r>
        <w:rPr>
          <w:rFonts w:hint="eastAsia"/>
        </w:rPr>
        <w:t>三、防洪保护对象及防洪标准</w:t>
      </w:r>
    </w:p>
    <w:p>
      <w:pPr>
        <w:ind w:firstLine="480"/>
      </w:pPr>
      <w:r>
        <w:rPr>
          <w:rFonts w:hint="eastAsia"/>
        </w:rPr>
        <w:t>根据《防洪标准》（GB50201 -94），玛纳斯县城市防洪标准为 20 年一遇。根据《新疆玛纳斯河防洪规划》，玛纳斯河东岸的玛纳斯县西工业园区、玛纳斯县经济技术开发区的防洪堤的防洪标准为 30 年一遇；东岸大渠的防洪标准为50年一遇；兰州湾镇的防洪标准为10 年一遇（见表1</w:t>
      </w:r>
      <w:r>
        <w:t>0</w:t>
      </w:r>
      <w:r>
        <w:rPr>
          <w:rFonts w:hint="eastAsia"/>
        </w:rPr>
        <w:t>-1）。</w:t>
      </w:r>
    </w:p>
    <w:p>
      <w:pPr>
        <w:pStyle w:val="45"/>
      </w:pPr>
      <w:r>
        <w:rPr>
          <w:rFonts w:hint="eastAsia"/>
        </w:rPr>
        <w:t>表</w:t>
      </w:r>
      <w:r>
        <w:t xml:space="preserve"> 10-1  </w:t>
      </w:r>
      <w:r>
        <w:rPr>
          <w:rFonts w:hint="eastAsia"/>
        </w:rPr>
        <w:t>玛纳斯河东岸防洪保护对象名称及防洪标准</w:t>
      </w:r>
    </w:p>
    <w:tbl>
      <w:tblPr>
        <w:tblStyle w:val="25"/>
        <w:tblW w:w="8005" w:type="dxa"/>
        <w:tblInd w:w="5" w:type="dxa"/>
        <w:tblLayout w:type="fixed"/>
        <w:tblCellMar>
          <w:top w:w="0" w:type="dxa"/>
          <w:left w:w="0" w:type="dxa"/>
          <w:bottom w:w="0" w:type="dxa"/>
          <w:right w:w="0" w:type="dxa"/>
        </w:tblCellMar>
      </w:tblPr>
      <w:tblGrid>
        <w:gridCol w:w="3402"/>
        <w:gridCol w:w="4603"/>
      </w:tblGrid>
      <w:tr>
        <w:tblPrEx>
          <w:tblCellMar>
            <w:top w:w="0" w:type="dxa"/>
            <w:left w:w="0" w:type="dxa"/>
            <w:bottom w:w="0" w:type="dxa"/>
            <w:right w:w="0" w:type="dxa"/>
          </w:tblCellMar>
        </w:tblPrEx>
        <w:trPr>
          <w:trHeight w:val="340" w:hRule="exact"/>
        </w:trPr>
        <w:tc>
          <w:tcPr>
            <w:tcW w:w="3402" w:type="dxa"/>
            <w:tcBorders>
              <w:top w:val="single" w:color="4B4B4B" w:sz="4" w:space="0"/>
              <w:left w:val="single" w:color="3F3F3F" w:sz="4" w:space="0"/>
              <w:bottom w:val="single" w:color="484848" w:sz="4" w:space="0"/>
              <w:right w:val="single" w:color="4F4F4F" w:sz="4" w:space="0"/>
            </w:tcBorders>
          </w:tcPr>
          <w:p>
            <w:pPr>
              <w:autoSpaceDE w:val="0"/>
              <w:autoSpaceDN w:val="0"/>
              <w:adjustRightInd w:val="0"/>
              <w:spacing w:line="240" w:lineRule="auto"/>
              <w:ind w:firstLine="0" w:firstLineChars="0"/>
              <w:jc w:val="left"/>
              <w:rPr>
                <w:rFonts w:eastAsia="楷体" w:cs="Times New Roman"/>
                <w:b/>
                <w:sz w:val="21"/>
                <w:szCs w:val="21"/>
              </w:rPr>
            </w:pPr>
            <w:r>
              <w:rPr>
                <w:rFonts w:eastAsia="楷体" w:cs="Times New Roman"/>
                <w:b/>
                <w:sz w:val="21"/>
                <w:szCs w:val="21"/>
              </w:rPr>
              <w:t>防洪保护对象名称</w:t>
            </w:r>
          </w:p>
        </w:tc>
        <w:tc>
          <w:tcPr>
            <w:tcW w:w="4603" w:type="dxa"/>
            <w:tcBorders>
              <w:top w:val="single" w:color="4B4B4B" w:sz="4" w:space="0"/>
              <w:left w:val="single" w:color="4F4F4F" w:sz="4" w:space="0"/>
              <w:bottom w:val="single" w:color="484848" w:sz="4" w:space="0"/>
              <w:right w:val="single" w:color="575757" w:sz="4" w:space="0"/>
            </w:tcBorders>
          </w:tcPr>
          <w:p>
            <w:pPr>
              <w:autoSpaceDE w:val="0"/>
              <w:autoSpaceDN w:val="0"/>
              <w:adjustRightInd w:val="0"/>
              <w:spacing w:line="240" w:lineRule="auto"/>
              <w:ind w:firstLine="0" w:firstLineChars="0"/>
              <w:jc w:val="center"/>
              <w:rPr>
                <w:rFonts w:eastAsia="楷体" w:cs="Times New Roman"/>
                <w:b/>
                <w:sz w:val="21"/>
                <w:szCs w:val="21"/>
              </w:rPr>
            </w:pPr>
            <w:r>
              <w:rPr>
                <w:rFonts w:eastAsia="楷体" w:cs="Times New Roman"/>
                <w:b/>
                <w:sz w:val="21"/>
                <w:szCs w:val="21"/>
              </w:rPr>
              <w:t>防洪标准</w:t>
            </w:r>
          </w:p>
        </w:tc>
      </w:tr>
      <w:tr>
        <w:tblPrEx>
          <w:tblCellMar>
            <w:top w:w="0" w:type="dxa"/>
            <w:left w:w="0" w:type="dxa"/>
            <w:bottom w:w="0" w:type="dxa"/>
            <w:right w:w="0" w:type="dxa"/>
          </w:tblCellMar>
        </w:tblPrEx>
        <w:trPr>
          <w:trHeight w:val="340" w:hRule="exact"/>
        </w:trPr>
        <w:tc>
          <w:tcPr>
            <w:tcW w:w="3402" w:type="dxa"/>
            <w:tcBorders>
              <w:top w:val="single" w:color="484848" w:sz="4" w:space="0"/>
              <w:left w:val="single" w:color="3F3F3F" w:sz="4" w:space="0"/>
              <w:bottom w:val="single" w:color="4B4B4B" w:sz="4" w:space="0"/>
              <w:right w:val="single" w:color="4F4F4F" w:sz="4" w:space="0"/>
            </w:tcBorders>
          </w:tcPr>
          <w:p>
            <w:pPr>
              <w:autoSpaceDE w:val="0"/>
              <w:autoSpaceDN w:val="0"/>
              <w:adjustRightInd w:val="0"/>
              <w:spacing w:line="240" w:lineRule="auto"/>
              <w:ind w:firstLine="0" w:firstLineChars="0"/>
              <w:jc w:val="left"/>
              <w:rPr>
                <w:rFonts w:eastAsia="楷体" w:cs="Times New Roman"/>
                <w:sz w:val="21"/>
                <w:szCs w:val="21"/>
              </w:rPr>
            </w:pPr>
            <w:r>
              <w:rPr>
                <w:rFonts w:eastAsia="楷体" w:cs="Times New Roman"/>
                <w:sz w:val="21"/>
                <w:szCs w:val="21"/>
              </w:rPr>
              <w:t>四级水电站</w:t>
            </w:r>
          </w:p>
        </w:tc>
        <w:tc>
          <w:tcPr>
            <w:tcW w:w="4603" w:type="dxa"/>
            <w:tcBorders>
              <w:top w:val="single" w:color="484848" w:sz="4" w:space="0"/>
              <w:left w:val="single" w:color="4F4F4F" w:sz="4" w:space="0"/>
              <w:bottom w:val="single" w:color="4B4B4B" w:sz="4" w:space="0"/>
              <w:right w:val="single" w:color="575757" w:sz="4" w:space="0"/>
            </w:tcBorders>
          </w:tcPr>
          <w:p>
            <w:pPr>
              <w:autoSpaceDE w:val="0"/>
              <w:autoSpaceDN w:val="0"/>
              <w:adjustRightInd w:val="0"/>
              <w:spacing w:line="240" w:lineRule="auto"/>
              <w:ind w:firstLine="0" w:firstLineChars="0"/>
              <w:jc w:val="center"/>
              <w:rPr>
                <w:rFonts w:eastAsia="楷体" w:cs="Times New Roman"/>
                <w:sz w:val="21"/>
                <w:szCs w:val="21"/>
              </w:rPr>
            </w:pPr>
            <w:r>
              <w:rPr>
                <w:rFonts w:eastAsia="楷体" w:cs="Times New Roman"/>
                <w:sz w:val="21"/>
                <w:szCs w:val="21"/>
              </w:rPr>
              <w:t>30 年一遇</w:t>
            </w:r>
          </w:p>
        </w:tc>
      </w:tr>
      <w:tr>
        <w:tblPrEx>
          <w:tblCellMar>
            <w:top w:w="0" w:type="dxa"/>
            <w:left w:w="0" w:type="dxa"/>
            <w:bottom w:w="0" w:type="dxa"/>
            <w:right w:w="0" w:type="dxa"/>
          </w:tblCellMar>
        </w:tblPrEx>
        <w:trPr>
          <w:trHeight w:val="340" w:hRule="exact"/>
        </w:trPr>
        <w:tc>
          <w:tcPr>
            <w:tcW w:w="3402" w:type="dxa"/>
            <w:tcBorders>
              <w:top w:val="single" w:color="4B4B4B" w:sz="4" w:space="0"/>
              <w:left w:val="single" w:color="3F3F3F" w:sz="4" w:space="0"/>
              <w:bottom w:val="single" w:color="4B4B4B" w:sz="4" w:space="0"/>
              <w:right w:val="single" w:color="4F4F4F" w:sz="4" w:space="0"/>
            </w:tcBorders>
          </w:tcPr>
          <w:p>
            <w:pPr>
              <w:autoSpaceDE w:val="0"/>
              <w:autoSpaceDN w:val="0"/>
              <w:adjustRightInd w:val="0"/>
              <w:spacing w:line="240" w:lineRule="auto"/>
              <w:ind w:firstLine="0" w:firstLineChars="0"/>
              <w:jc w:val="left"/>
              <w:rPr>
                <w:rFonts w:eastAsia="楷体" w:cs="Times New Roman"/>
                <w:sz w:val="21"/>
                <w:szCs w:val="21"/>
              </w:rPr>
            </w:pPr>
            <w:r>
              <w:rPr>
                <w:rFonts w:eastAsia="楷体" w:cs="Times New Roman"/>
                <w:sz w:val="21"/>
                <w:szCs w:val="21"/>
              </w:rPr>
              <w:t>五级水电站</w:t>
            </w:r>
          </w:p>
        </w:tc>
        <w:tc>
          <w:tcPr>
            <w:tcW w:w="4603" w:type="dxa"/>
            <w:tcBorders>
              <w:top w:val="single" w:color="4B4B4B" w:sz="4" w:space="0"/>
              <w:left w:val="single" w:color="4F4F4F" w:sz="4" w:space="0"/>
              <w:bottom w:val="single" w:color="4B4B4B" w:sz="4" w:space="0"/>
              <w:right w:val="single" w:color="575757" w:sz="4" w:space="0"/>
            </w:tcBorders>
          </w:tcPr>
          <w:p>
            <w:pPr>
              <w:autoSpaceDE w:val="0"/>
              <w:autoSpaceDN w:val="0"/>
              <w:adjustRightInd w:val="0"/>
              <w:spacing w:line="240" w:lineRule="auto"/>
              <w:ind w:firstLine="0" w:firstLineChars="0"/>
              <w:jc w:val="center"/>
              <w:rPr>
                <w:rFonts w:eastAsia="楷体" w:cs="Times New Roman"/>
                <w:sz w:val="21"/>
                <w:szCs w:val="21"/>
              </w:rPr>
            </w:pPr>
            <w:r>
              <w:rPr>
                <w:rFonts w:eastAsia="楷体" w:cs="Times New Roman"/>
                <w:sz w:val="21"/>
                <w:szCs w:val="21"/>
              </w:rPr>
              <w:t>30 年一遇</w:t>
            </w:r>
          </w:p>
        </w:tc>
      </w:tr>
      <w:tr>
        <w:tblPrEx>
          <w:tblCellMar>
            <w:top w:w="0" w:type="dxa"/>
            <w:left w:w="0" w:type="dxa"/>
            <w:bottom w:w="0" w:type="dxa"/>
            <w:right w:w="0" w:type="dxa"/>
          </w:tblCellMar>
        </w:tblPrEx>
        <w:trPr>
          <w:trHeight w:val="340" w:hRule="exact"/>
        </w:trPr>
        <w:tc>
          <w:tcPr>
            <w:tcW w:w="3402" w:type="dxa"/>
            <w:tcBorders>
              <w:top w:val="single" w:color="4B4B4B" w:sz="4" w:space="0"/>
              <w:left w:val="single" w:color="3F3F3F" w:sz="4" w:space="0"/>
              <w:bottom w:val="single" w:color="484848" w:sz="4" w:space="0"/>
              <w:right w:val="single" w:color="4F4F4F" w:sz="4" w:space="0"/>
            </w:tcBorders>
          </w:tcPr>
          <w:p>
            <w:pPr>
              <w:autoSpaceDE w:val="0"/>
              <w:autoSpaceDN w:val="0"/>
              <w:adjustRightInd w:val="0"/>
              <w:spacing w:line="240" w:lineRule="auto"/>
              <w:ind w:firstLine="0" w:firstLineChars="0"/>
              <w:jc w:val="left"/>
              <w:rPr>
                <w:rFonts w:eastAsia="楷体" w:cs="Times New Roman"/>
                <w:sz w:val="21"/>
                <w:szCs w:val="21"/>
              </w:rPr>
            </w:pPr>
            <w:r>
              <w:rPr>
                <w:rFonts w:eastAsia="楷体" w:cs="Times New Roman"/>
                <w:sz w:val="21"/>
                <w:szCs w:val="21"/>
              </w:rPr>
              <w:t>东岸大渠</w:t>
            </w:r>
          </w:p>
        </w:tc>
        <w:tc>
          <w:tcPr>
            <w:tcW w:w="4603" w:type="dxa"/>
            <w:tcBorders>
              <w:top w:val="single" w:color="4B4B4B" w:sz="4" w:space="0"/>
              <w:left w:val="single" w:color="4F4F4F" w:sz="4" w:space="0"/>
              <w:bottom w:val="single" w:color="484848" w:sz="4" w:space="0"/>
              <w:right w:val="single" w:color="575757" w:sz="4" w:space="0"/>
            </w:tcBorders>
          </w:tcPr>
          <w:p>
            <w:pPr>
              <w:autoSpaceDE w:val="0"/>
              <w:autoSpaceDN w:val="0"/>
              <w:adjustRightInd w:val="0"/>
              <w:spacing w:line="240" w:lineRule="auto"/>
              <w:ind w:firstLine="0" w:firstLineChars="0"/>
              <w:jc w:val="center"/>
              <w:rPr>
                <w:rFonts w:eastAsia="楷体" w:cs="Times New Roman"/>
                <w:sz w:val="21"/>
                <w:szCs w:val="21"/>
              </w:rPr>
            </w:pPr>
            <w:r>
              <w:rPr>
                <w:rFonts w:eastAsia="楷体" w:cs="Times New Roman"/>
                <w:sz w:val="21"/>
                <w:szCs w:val="21"/>
              </w:rPr>
              <w:t>50 年一遇</w:t>
            </w:r>
          </w:p>
        </w:tc>
      </w:tr>
      <w:tr>
        <w:tblPrEx>
          <w:tblCellMar>
            <w:top w:w="0" w:type="dxa"/>
            <w:left w:w="0" w:type="dxa"/>
            <w:bottom w:w="0" w:type="dxa"/>
            <w:right w:w="0" w:type="dxa"/>
          </w:tblCellMar>
        </w:tblPrEx>
        <w:trPr>
          <w:trHeight w:val="340" w:hRule="exact"/>
        </w:trPr>
        <w:tc>
          <w:tcPr>
            <w:tcW w:w="3402" w:type="dxa"/>
            <w:tcBorders>
              <w:top w:val="single" w:color="484848" w:sz="4" w:space="0"/>
              <w:left w:val="single" w:color="3F3F3F" w:sz="4" w:space="0"/>
              <w:bottom w:val="single" w:color="484848" w:sz="4" w:space="0"/>
              <w:right w:val="single" w:color="4F4F4F" w:sz="4" w:space="0"/>
            </w:tcBorders>
          </w:tcPr>
          <w:p>
            <w:pPr>
              <w:autoSpaceDE w:val="0"/>
              <w:autoSpaceDN w:val="0"/>
              <w:adjustRightInd w:val="0"/>
              <w:spacing w:line="240" w:lineRule="auto"/>
              <w:ind w:firstLine="0" w:firstLineChars="0"/>
              <w:jc w:val="left"/>
              <w:rPr>
                <w:rFonts w:eastAsia="楷体" w:cs="Times New Roman"/>
                <w:sz w:val="21"/>
                <w:szCs w:val="21"/>
              </w:rPr>
            </w:pPr>
            <w:r>
              <w:rPr>
                <w:rFonts w:eastAsia="楷体" w:cs="Times New Roman"/>
                <w:sz w:val="21"/>
                <w:szCs w:val="21"/>
              </w:rPr>
              <w:t>玛纳斯县开发区</w:t>
            </w:r>
          </w:p>
        </w:tc>
        <w:tc>
          <w:tcPr>
            <w:tcW w:w="4603" w:type="dxa"/>
            <w:tcBorders>
              <w:top w:val="single" w:color="484848" w:sz="4" w:space="0"/>
              <w:left w:val="single" w:color="4F4F4F" w:sz="4" w:space="0"/>
              <w:bottom w:val="single" w:color="484848" w:sz="4" w:space="0"/>
              <w:right w:val="single" w:color="575757" w:sz="4" w:space="0"/>
            </w:tcBorders>
          </w:tcPr>
          <w:p>
            <w:pPr>
              <w:autoSpaceDE w:val="0"/>
              <w:autoSpaceDN w:val="0"/>
              <w:adjustRightInd w:val="0"/>
              <w:spacing w:line="240" w:lineRule="auto"/>
              <w:ind w:firstLine="0" w:firstLineChars="0"/>
              <w:jc w:val="center"/>
              <w:rPr>
                <w:rFonts w:eastAsia="楷体" w:cs="Times New Roman"/>
                <w:sz w:val="21"/>
                <w:szCs w:val="21"/>
              </w:rPr>
            </w:pPr>
            <w:r>
              <w:rPr>
                <w:rFonts w:eastAsia="楷体" w:cs="Times New Roman"/>
                <w:sz w:val="21"/>
                <w:szCs w:val="21"/>
              </w:rPr>
              <w:t>30 年一遇</w:t>
            </w:r>
          </w:p>
        </w:tc>
      </w:tr>
      <w:tr>
        <w:tblPrEx>
          <w:tblCellMar>
            <w:top w:w="0" w:type="dxa"/>
            <w:left w:w="0" w:type="dxa"/>
            <w:bottom w:w="0" w:type="dxa"/>
            <w:right w:w="0" w:type="dxa"/>
          </w:tblCellMar>
        </w:tblPrEx>
        <w:trPr>
          <w:trHeight w:val="340" w:hRule="exact"/>
        </w:trPr>
        <w:tc>
          <w:tcPr>
            <w:tcW w:w="3402" w:type="dxa"/>
            <w:tcBorders>
              <w:top w:val="single" w:color="484848" w:sz="4" w:space="0"/>
              <w:left w:val="single" w:color="3F3F3F" w:sz="4" w:space="0"/>
              <w:bottom w:val="single" w:color="4B4B4B" w:sz="4" w:space="0"/>
              <w:right w:val="single" w:color="4F4F4F" w:sz="4" w:space="0"/>
            </w:tcBorders>
          </w:tcPr>
          <w:p>
            <w:pPr>
              <w:autoSpaceDE w:val="0"/>
              <w:autoSpaceDN w:val="0"/>
              <w:adjustRightInd w:val="0"/>
              <w:spacing w:line="240" w:lineRule="auto"/>
              <w:ind w:firstLine="0" w:firstLineChars="0"/>
              <w:jc w:val="left"/>
              <w:rPr>
                <w:rFonts w:eastAsia="楷体" w:cs="Times New Roman"/>
                <w:sz w:val="21"/>
                <w:szCs w:val="21"/>
              </w:rPr>
            </w:pPr>
            <w:r>
              <w:rPr>
                <w:rFonts w:eastAsia="楷体" w:cs="Times New Roman"/>
                <w:sz w:val="21"/>
                <w:szCs w:val="21"/>
              </w:rPr>
              <w:t>玛纳斯火电厂</w:t>
            </w:r>
          </w:p>
        </w:tc>
        <w:tc>
          <w:tcPr>
            <w:tcW w:w="4603" w:type="dxa"/>
            <w:tcBorders>
              <w:top w:val="single" w:color="484848" w:sz="4" w:space="0"/>
              <w:left w:val="single" w:color="4F4F4F" w:sz="4" w:space="0"/>
              <w:bottom w:val="single" w:color="4B4B4B" w:sz="4" w:space="0"/>
              <w:right w:val="single" w:color="575757" w:sz="4" w:space="0"/>
            </w:tcBorders>
          </w:tcPr>
          <w:p>
            <w:pPr>
              <w:autoSpaceDE w:val="0"/>
              <w:autoSpaceDN w:val="0"/>
              <w:adjustRightInd w:val="0"/>
              <w:spacing w:line="240" w:lineRule="auto"/>
              <w:ind w:firstLine="0" w:firstLineChars="0"/>
              <w:jc w:val="center"/>
              <w:rPr>
                <w:rFonts w:eastAsia="楷体" w:cs="Times New Roman"/>
                <w:sz w:val="21"/>
                <w:szCs w:val="21"/>
              </w:rPr>
            </w:pPr>
            <w:r>
              <w:rPr>
                <w:rFonts w:eastAsia="楷体" w:cs="Times New Roman"/>
                <w:sz w:val="21"/>
                <w:szCs w:val="21"/>
              </w:rPr>
              <w:t>100 年一遇</w:t>
            </w:r>
          </w:p>
        </w:tc>
      </w:tr>
      <w:tr>
        <w:tblPrEx>
          <w:tblCellMar>
            <w:top w:w="0" w:type="dxa"/>
            <w:left w:w="0" w:type="dxa"/>
            <w:bottom w:w="0" w:type="dxa"/>
            <w:right w:w="0" w:type="dxa"/>
          </w:tblCellMar>
        </w:tblPrEx>
        <w:trPr>
          <w:trHeight w:val="340" w:hRule="exact"/>
        </w:trPr>
        <w:tc>
          <w:tcPr>
            <w:tcW w:w="3402" w:type="dxa"/>
            <w:tcBorders>
              <w:top w:val="single" w:color="4B4B4B" w:sz="4" w:space="0"/>
              <w:left w:val="single" w:color="3F3F3F" w:sz="4" w:space="0"/>
              <w:bottom w:val="single" w:color="4B4B4B" w:sz="4" w:space="0"/>
              <w:right w:val="single" w:color="4F4F4F" w:sz="4" w:space="0"/>
            </w:tcBorders>
          </w:tcPr>
          <w:p>
            <w:pPr>
              <w:autoSpaceDE w:val="0"/>
              <w:autoSpaceDN w:val="0"/>
              <w:adjustRightInd w:val="0"/>
              <w:spacing w:line="240" w:lineRule="auto"/>
              <w:ind w:firstLine="0" w:firstLineChars="0"/>
              <w:jc w:val="left"/>
              <w:rPr>
                <w:rFonts w:eastAsia="楷体" w:cs="Times New Roman"/>
                <w:sz w:val="21"/>
                <w:szCs w:val="21"/>
              </w:rPr>
            </w:pPr>
            <w:r>
              <w:rPr>
                <w:rFonts w:eastAsia="楷体" w:cs="Times New Roman"/>
                <w:sz w:val="21"/>
                <w:szCs w:val="21"/>
              </w:rPr>
              <w:t>玛纳斯火电厂灰坝</w:t>
            </w:r>
          </w:p>
        </w:tc>
        <w:tc>
          <w:tcPr>
            <w:tcW w:w="4603" w:type="dxa"/>
            <w:tcBorders>
              <w:top w:val="single" w:color="4B4B4B" w:sz="4" w:space="0"/>
              <w:left w:val="single" w:color="4F4F4F" w:sz="4" w:space="0"/>
              <w:bottom w:val="single" w:color="4B4B4B" w:sz="4" w:space="0"/>
              <w:right w:val="single" w:color="575757" w:sz="4" w:space="0"/>
            </w:tcBorders>
          </w:tcPr>
          <w:p>
            <w:pPr>
              <w:autoSpaceDE w:val="0"/>
              <w:autoSpaceDN w:val="0"/>
              <w:adjustRightInd w:val="0"/>
              <w:spacing w:line="240" w:lineRule="auto"/>
              <w:ind w:firstLine="0" w:firstLineChars="0"/>
              <w:jc w:val="center"/>
              <w:rPr>
                <w:rFonts w:eastAsia="楷体" w:cs="Times New Roman"/>
                <w:sz w:val="21"/>
                <w:szCs w:val="21"/>
              </w:rPr>
            </w:pPr>
            <w:r>
              <w:rPr>
                <w:rFonts w:eastAsia="楷体" w:cs="Times New Roman"/>
                <w:sz w:val="21"/>
                <w:szCs w:val="21"/>
              </w:rPr>
              <w:t>30 年一遇</w:t>
            </w:r>
          </w:p>
        </w:tc>
      </w:tr>
      <w:tr>
        <w:tblPrEx>
          <w:tblCellMar>
            <w:top w:w="0" w:type="dxa"/>
            <w:left w:w="0" w:type="dxa"/>
            <w:bottom w:w="0" w:type="dxa"/>
            <w:right w:w="0" w:type="dxa"/>
          </w:tblCellMar>
        </w:tblPrEx>
        <w:trPr>
          <w:trHeight w:val="340" w:hRule="exact"/>
        </w:trPr>
        <w:tc>
          <w:tcPr>
            <w:tcW w:w="3402" w:type="dxa"/>
            <w:tcBorders>
              <w:top w:val="single" w:color="4B4B4B" w:sz="4" w:space="0"/>
              <w:left w:val="single" w:color="3F3F3F" w:sz="4" w:space="0"/>
              <w:bottom w:val="single" w:color="4B4B4B" w:sz="4" w:space="0"/>
              <w:right w:val="single" w:color="4F4F4F" w:sz="4" w:space="0"/>
            </w:tcBorders>
          </w:tcPr>
          <w:p>
            <w:pPr>
              <w:autoSpaceDE w:val="0"/>
              <w:autoSpaceDN w:val="0"/>
              <w:adjustRightInd w:val="0"/>
              <w:spacing w:line="240" w:lineRule="auto"/>
              <w:ind w:firstLine="0" w:firstLineChars="0"/>
              <w:jc w:val="left"/>
              <w:rPr>
                <w:rFonts w:eastAsia="楷体" w:cs="Times New Roman"/>
                <w:sz w:val="21"/>
                <w:szCs w:val="21"/>
              </w:rPr>
            </w:pPr>
            <w:r>
              <w:rPr>
                <w:rFonts w:eastAsia="楷体" w:cs="Times New Roman"/>
                <w:sz w:val="21"/>
                <w:szCs w:val="21"/>
              </w:rPr>
              <w:t>兰州湾镇</w:t>
            </w:r>
          </w:p>
        </w:tc>
        <w:tc>
          <w:tcPr>
            <w:tcW w:w="4603" w:type="dxa"/>
            <w:tcBorders>
              <w:top w:val="single" w:color="4B4B4B" w:sz="4" w:space="0"/>
              <w:left w:val="single" w:color="4F4F4F" w:sz="4" w:space="0"/>
              <w:bottom w:val="single" w:color="4B4B4B" w:sz="4" w:space="0"/>
              <w:right w:val="single" w:color="575757" w:sz="4" w:space="0"/>
            </w:tcBorders>
          </w:tcPr>
          <w:p>
            <w:pPr>
              <w:autoSpaceDE w:val="0"/>
              <w:autoSpaceDN w:val="0"/>
              <w:adjustRightInd w:val="0"/>
              <w:spacing w:line="240" w:lineRule="auto"/>
              <w:ind w:firstLine="0" w:firstLineChars="0"/>
              <w:jc w:val="center"/>
              <w:rPr>
                <w:rFonts w:eastAsia="楷体" w:cs="Times New Roman"/>
                <w:sz w:val="21"/>
                <w:szCs w:val="21"/>
              </w:rPr>
            </w:pPr>
            <w:r>
              <w:rPr>
                <w:rFonts w:eastAsia="楷体" w:cs="Times New Roman"/>
                <w:sz w:val="21"/>
                <w:szCs w:val="21"/>
              </w:rPr>
              <w:t>10 年一遇</w:t>
            </w:r>
          </w:p>
        </w:tc>
      </w:tr>
    </w:tbl>
    <w:p>
      <w:pPr>
        <w:ind w:firstLine="480"/>
      </w:pPr>
      <w:r>
        <w:rPr>
          <w:rFonts w:hint="eastAsia"/>
        </w:rPr>
        <w:t>塔西河防洪河段大部分属于农业灌溉区，沿河及灌区内渠网密布，防洪工程的主要对象为渠首、渠道、水库等水利设施 。</w:t>
      </w:r>
    </w:p>
    <w:p>
      <w:pPr>
        <w:ind w:firstLine="480"/>
      </w:pPr>
      <w:r>
        <w:rPr>
          <w:rFonts w:hint="eastAsia"/>
        </w:rPr>
        <w:t>塔西河上水库，库容747万m</w:t>
      </w:r>
      <w:r>
        <w:rPr>
          <w:vertAlign w:val="superscript"/>
        </w:rPr>
        <w:t>3</w:t>
      </w:r>
      <w:r>
        <w:rPr>
          <w:rFonts w:hint="eastAsia"/>
        </w:rPr>
        <w:t>，为小I型水库，设计防洪标准为20年一遇，校核防洪标准为 100 年一遇。新户坪水库，库容 1630 万m</w:t>
      </w:r>
      <w:r>
        <w:rPr>
          <w:vertAlign w:val="superscript"/>
        </w:rPr>
        <w:t>3</w:t>
      </w:r>
      <w:r>
        <w:rPr>
          <w:rFonts w:hint="eastAsia"/>
        </w:rPr>
        <w:t>，设计防洪标准为50年一遇，校核防洪标准为300年一遇。塔西河防洪保护区内最重要的城镇为塔西乡镇</w:t>
      </w:r>
      <w:r>
        <w:rPr>
          <w:rFonts w:hint="eastAsia"/>
          <w:lang w:val="en-US" w:eastAsia="zh-CN"/>
        </w:rPr>
        <w:t>政</w:t>
      </w:r>
      <w:bookmarkStart w:id="182" w:name="_GoBack"/>
      <w:bookmarkEnd w:id="182"/>
      <w:r>
        <w:rPr>
          <w:rFonts w:hint="eastAsia"/>
        </w:rPr>
        <w:t>府，人口小于 20万人，耕地面积小于30万亩，防洪标准为10年一遇。</w:t>
      </w:r>
    </w:p>
    <w:p>
      <w:pPr>
        <w:ind w:firstLine="0" w:firstLineChars="0"/>
        <w:jc w:val="center"/>
      </w:pPr>
      <w:r>
        <w:drawing>
          <wp:inline distT="0" distB="0" distL="0" distR="0">
            <wp:extent cx="2000250" cy="251904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4" cstate="print">
                      <a:extLst>
                        <a:ext uri="{28A0092B-C50C-407E-A947-70E740481C1C}">
                          <a14:useLocalDpi xmlns:a14="http://schemas.microsoft.com/office/drawing/2010/main" val="0"/>
                        </a:ext>
                      </a:extLst>
                    </a:blip>
                    <a:srcRect t="2422" r="7946" b="2405"/>
                    <a:stretch>
                      <a:fillRect/>
                    </a:stretch>
                  </pic:blipFill>
                  <pic:spPr>
                    <a:xfrm>
                      <a:off x="0" y="0"/>
                      <a:ext cx="2007475" cy="2528647"/>
                    </a:xfrm>
                    <a:prstGeom prst="rect">
                      <a:avLst/>
                    </a:prstGeom>
                    <a:noFill/>
                    <a:ln>
                      <a:noFill/>
                    </a:ln>
                  </pic:spPr>
                </pic:pic>
              </a:graphicData>
            </a:graphic>
          </wp:inline>
        </w:drawing>
      </w:r>
    </w:p>
    <w:p>
      <w:pPr>
        <w:pStyle w:val="45"/>
        <w:rPr>
          <w:w w:val="105"/>
        </w:rPr>
      </w:pPr>
      <w:r>
        <w:rPr>
          <w:rFonts w:hint="eastAsia"/>
          <w:w w:val="105"/>
          <w:sz w:val="20"/>
          <w:szCs w:val="20"/>
        </w:rPr>
        <w:t>图</w:t>
      </w:r>
      <w:r>
        <w:rPr>
          <w:w w:val="105"/>
          <w:szCs w:val="21"/>
        </w:rPr>
        <w:t xml:space="preserve">10-3 </w:t>
      </w:r>
      <w:r>
        <w:rPr>
          <w:spacing w:val="9"/>
          <w:w w:val="105"/>
          <w:szCs w:val="21"/>
        </w:rPr>
        <w:t xml:space="preserve"> </w:t>
      </w:r>
      <w:r>
        <w:rPr>
          <w:rFonts w:hint="eastAsia"/>
          <w:w w:val="105"/>
        </w:rPr>
        <w:t>各河渠防洪标准</w:t>
      </w:r>
    </w:p>
    <w:p>
      <w:pPr>
        <w:pStyle w:val="4"/>
      </w:pPr>
      <w:r>
        <w:rPr>
          <w:rFonts w:hint="eastAsia"/>
        </w:rPr>
        <w:t>四、防洪规划措施</w:t>
      </w:r>
    </w:p>
    <w:p>
      <w:pPr>
        <w:pStyle w:val="5"/>
      </w:pPr>
      <w:r>
        <w:rPr>
          <w:rFonts w:hint="eastAsia"/>
        </w:rPr>
        <w:t>（一）总体思路</w:t>
      </w:r>
    </w:p>
    <w:p>
      <w:pPr>
        <w:ind w:firstLine="480"/>
      </w:pPr>
      <w:r>
        <w:rPr>
          <w:rFonts w:hint="eastAsia"/>
        </w:rPr>
        <w:t>上游山区兴建拦河水库，调蓄洪水，削弱洪峰。中下游加强河道防洪，增加河道安全泄量。下游整治河道、结合引洪灌溉，安排好洪水出路。形成蓄、防、泄一体的防洪工程体系。</w:t>
      </w:r>
    </w:p>
    <w:p>
      <w:pPr>
        <w:pStyle w:val="5"/>
      </w:pPr>
      <w:r>
        <w:rPr>
          <w:rFonts w:hint="eastAsia"/>
        </w:rPr>
        <w:t>（二）河道整治</w:t>
      </w:r>
    </w:p>
    <w:p>
      <w:pPr>
        <w:pStyle w:val="6"/>
        <w:ind w:firstLine="482"/>
      </w:pPr>
      <w:r>
        <w:rPr>
          <w:rFonts w:hint="eastAsia"/>
        </w:rPr>
        <w:t>1.</w:t>
      </w:r>
      <w:r>
        <w:t xml:space="preserve"> </w:t>
      </w:r>
      <w:r>
        <w:rPr>
          <w:rFonts w:hint="eastAsia"/>
        </w:rPr>
        <w:t>玛纳斯河</w:t>
      </w:r>
    </w:p>
    <w:p>
      <w:pPr>
        <w:ind w:firstLine="480"/>
      </w:pPr>
      <w:r>
        <w:rPr>
          <w:rFonts w:hint="eastAsia"/>
        </w:rPr>
        <w:t>上游新建肯斯瓦特水库增加调蓄能力，东岸建设提防工程 27.33 km ，满足防洪设计标准 。</w:t>
      </w:r>
    </w:p>
    <w:p>
      <w:pPr>
        <w:pStyle w:val="6"/>
        <w:ind w:firstLine="482"/>
      </w:pPr>
      <w:r>
        <w:rPr>
          <w:rFonts w:hint="eastAsia"/>
        </w:rPr>
        <w:t>2.</w:t>
      </w:r>
      <w:r>
        <w:t xml:space="preserve"> </w:t>
      </w:r>
      <w:r>
        <w:rPr>
          <w:rFonts w:hint="eastAsia"/>
        </w:rPr>
        <w:t>塔西河</w:t>
      </w:r>
    </w:p>
    <w:p>
      <w:pPr>
        <w:ind w:firstLine="480"/>
      </w:pPr>
      <w:r>
        <w:rPr>
          <w:rFonts w:hint="eastAsia"/>
        </w:rPr>
        <w:t>上游石门子水库和红沙湾水库可以将 100 年一遇的洪水削减到下游河道安 全泄量。平原和浅丘区修筑护岸防洪堤坝工程，满足防洪设计标准 。</w:t>
      </w:r>
    </w:p>
    <w:p>
      <w:pPr>
        <w:pStyle w:val="5"/>
      </w:pPr>
      <w:r>
        <w:rPr>
          <w:rFonts w:hint="eastAsia"/>
        </w:rPr>
        <w:t>（三）渠道沿岸保护与控制</w:t>
      </w:r>
    </w:p>
    <w:p>
      <w:pPr>
        <w:ind w:firstLine="480"/>
      </w:pPr>
      <w:r>
        <w:rPr>
          <w:rFonts w:hint="eastAsia"/>
        </w:rPr>
        <w:t>结合河长制工作要求，在河道管理范围内，禁止修建阻水障碍物，已经修建的应彻底拆除。 禁止在河道管理范围内倾倒垃圾、渣土，从事影响河床稳定，危害堤防安全和其他妨碍河道行洪的活动。禁止围垦河道，修筑渔塘。禁止在河道内随意采矿、取土、开采砂石料 。</w:t>
      </w:r>
    </w:p>
    <w:p>
      <w:pPr>
        <w:pStyle w:val="5"/>
      </w:pPr>
      <w:r>
        <w:rPr>
          <w:rFonts w:hint="eastAsia"/>
        </w:rPr>
        <w:t>（四）非工程措施</w:t>
      </w:r>
    </w:p>
    <w:p>
      <w:pPr>
        <w:ind w:firstLine="480"/>
      </w:pPr>
      <w:r>
        <w:rPr>
          <w:rFonts w:hint="eastAsia"/>
        </w:rPr>
        <w:t>建立、健全防汛指挥系统；建设防洪预警预报系统；建设山洪沟灾害防治预警预报系统；编制防洪预案，加强防洪机构和管理设施建设 。</w:t>
      </w:r>
    </w:p>
    <w:p>
      <w:pPr>
        <w:pStyle w:val="5"/>
      </w:pPr>
      <w:r>
        <w:rPr>
          <w:rFonts w:hint="eastAsia"/>
        </w:rPr>
        <w:t>（五）防洪景观设计要求</w:t>
      </w:r>
    </w:p>
    <w:p>
      <w:pPr>
        <w:ind w:firstLine="480"/>
      </w:pPr>
      <w:r>
        <w:rPr>
          <w:rFonts w:hint="eastAsia"/>
        </w:rPr>
        <w:t>在满足玛纳斯县城市防洪需要前提下，尽量保护玛纳斯河河床、河岸的自然形态， 特别是山前平原河流自然游荡的自然形态。河岸游览步道除城区河段外，应避免采用水泥、柏油等建筑材料；合理利用区的景观适量改造，可结合防止河流侧向侵蚀、保护自然河岸的要求，利用原有砂石作部分堆沙、浅滩及水洼处理，但应尽量避免对河道、河床作大规模的工程改造 。</w:t>
      </w:r>
    </w:p>
    <w:p>
      <w:pPr>
        <w:ind w:firstLine="480"/>
      </w:pPr>
      <w:r>
        <w:rPr>
          <w:rFonts w:hint="eastAsia"/>
        </w:rPr>
        <w:t>在小李庄及其周边的纪念性建筑、管理设施、活动设施均在夹河子水库历 年最高水位以上，避免受洪水影响。规划设计的水道、池塘、沼泽和湿地植物园等都将在现有岸滩上建设。岸滩有水涨而没、水退则出的特点。在水岸带的设施，应以木质或其他轻便材料为主，易于搬运，以便在可能发生大洪水时将这些设施转至安全地带。</w:t>
      </w:r>
    </w:p>
    <w:p>
      <w:pPr>
        <w:pStyle w:val="3"/>
        <w:ind w:firstLine="643"/>
      </w:pPr>
      <w:bookmarkStart w:id="111" w:name="_Toc130121679"/>
      <w:r>
        <w:rPr>
          <w:rFonts w:hint="eastAsia"/>
        </w:rPr>
        <w:t>第三节</w:t>
      </w:r>
      <w:r>
        <w:t xml:space="preserve">  </w:t>
      </w:r>
      <w:r>
        <w:rPr>
          <w:rFonts w:hint="eastAsia"/>
        </w:rPr>
        <w:t>防火规划</w:t>
      </w:r>
      <w:bookmarkEnd w:id="111"/>
    </w:p>
    <w:p>
      <w:pPr>
        <w:ind w:firstLine="480"/>
      </w:pPr>
      <w:r>
        <w:rPr>
          <w:rFonts w:hint="eastAsia"/>
        </w:rPr>
        <w:t>遵循《中华人民共和国消防法》、《建筑设计防火规范》（GB50016-2006）、《北京市消防条例》、《森林防火条例》，坚持“预防为主、防治结合、因害设防、突出重点”原则，于湿地公园入口处、主要建筑设施、游人集中区域设立防火标志，落实责任，提高警惕，加强防范。</w:t>
      </w:r>
    </w:p>
    <w:p>
      <w:pPr>
        <w:pStyle w:val="4"/>
      </w:pPr>
      <w:r>
        <w:rPr>
          <w:rFonts w:hint="eastAsia"/>
        </w:rPr>
        <w:t>一、湿地公园火灾预防系统</w:t>
      </w:r>
    </w:p>
    <w:p>
      <w:pPr>
        <w:ind w:firstLine="480"/>
      </w:pPr>
      <w:r>
        <w:rPr>
          <w:rFonts w:hint="eastAsia"/>
        </w:rPr>
        <w:t>（一）落实责任，分区到人，每年定期召开湿地防火工作会议。</w:t>
      </w:r>
    </w:p>
    <w:p>
      <w:pPr>
        <w:ind w:firstLine="480"/>
      </w:pPr>
      <w:r>
        <w:rPr>
          <w:rFonts w:hint="eastAsia"/>
        </w:rPr>
        <w:t>（二）重要节日，重点盯防，做好扑火器械的准备，检查及值班工作。</w:t>
      </w:r>
    </w:p>
    <w:p>
      <w:pPr>
        <w:ind w:firstLine="480"/>
      </w:pPr>
      <w:r>
        <w:rPr>
          <w:rFonts w:hint="eastAsia"/>
        </w:rPr>
        <w:t>（三）对承租单位明确消防责任，签订合同应有消防安全内容。</w:t>
      </w:r>
    </w:p>
    <w:p>
      <w:pPr>
        <w:ind w:firstLine="480"/>
      </w:pPr>
      <w:r>
        <w:rPr>
          <w:rFonts w:hint="eastAsia"/>
        </w:rPr>
        <w:t>（四）园内主要建筑设施、游人集中区域设立防火固定宣传牌或警示牌。</w:t>
      </w:r>
    </w:p>
    <w:p>
      <w:pPr>
        <w:pStyle w:val="4"/>
      </w:pPr>
      <w:r>
        <w:rPr>
          <w:rFonts w:hint="eastAsia"/>
        </w:rPr>
        <w:t>二、湿地公园防火设施</w:t>
      </w:r>
    </w:p>
    <w:p>
      <w:pPr>
        <w:ind w:firstLine="480"/>
      </w:pPr>
      <w:r>
        <w:rPr>
          <w:rFonts w:hint="eastAsia"/>
        </w:rPr>
        <w:t>（一）设置专项经费用于消费设施购买、维护；</w:t>
      </w:r>
    </w:p>
    <w:p>
      <w:pPr>
        <w:ind w:firstLine="480"/>
      </w:pPr>
      <w:r>
        <w:rPr>
          <w:rFonts w:hint="eastAsia"/>
        </w:rPr>
        <w:t>（二）在湿地公园内公园设立永久性瞭望塔配备防火设施及扑火设备；</w:t>
      </w:r>
    </w:p>
    <w:p>
      <w:pPr>
        <w:ind w:firstLine="480"/>
      </w:pPr>
      <w:r>
        <w:rPr>
          <w:rFonts w:hint="eastAsia"/>
        </w:rPr>
        <w:t>（三）主要建筑耐火级别按二级设计，配备一定数量防火设施及扑火设备；</w:t>
      </w:r>
    </w:p>
    <w:p>
      <w:pPr>
        <w:ind w:firstLine="480"/>
      </w:pPr>
      <w:r>
        <w:rPr>
          <w:rFonts w:hint="eastAsia"/>
        </w:rPr>
        <w:t>（四）在建筑密集区域，设置给水和消防两套管网，并设置消防栓；</w:t>
      </w:r>
    </w:p>
    <w:p>
      <w:pPr>
        <w:ind w:firstLine="480"/>
      </w:pPr>
      <w:r>
        <w:rPr>
          <w:rFonts w:hint="eastAsia"/>
        </w:rPr>
        <w:t>（五）科学建设游客安全疏散通道，便于引导和快速撤离火灾现场。</w:t>
      </w:r>
    </w:p>
    <w:p>
      <w:pPr>
        <w:pStyle w:val="3"/>
        <w:ind w:firstLine="643"/>
      </w:pPr>
      <w:bookmarkStart w:id="112" w:name="_Toc130121680"/>
      <w:r>
        <w:rPr>
          <w:rFonts w:hint="eastAsia"/>
        </w:rPr>
        <w:t>第四节</w:t>
      </w:r>
      <w:r>
        <w:t xml:space="preserve">  </w:t>
      </w:r>
      <w:r>
        <w:rPr>
          <w:rFonts w:hint="eastAsia"/>
        </w:rPr>
        <w:t>应急救援安全规划</w:t>
      </w:r>
      <w:bookmarkEnd w:id="112"/>
    </w:p>
    <w:p>
      <w:pPr>
        <w:ind w:firstLine="480"/>
      </w:pPr>
      <w:r>
        <w:rPr>
          <w:rFonts w:hint="eastAsia"/>
        </w:rPr>
        <w:t>主要包括针对突发性、威胁到游客人身安全、财产安全的危险事件及湿地公园发生的严重污染事件所做出的保障性措施规划。主要措施包括：</w:t>
      </w:r>
    </w:p>
    <w:p>
      <w:pPr>
        <w:pStyle w:val="4"/>
      </w:pPr>
      <w:r>
        <w:rPr>
          <w:rFonts w:hint="eastAsia"/>
        </w:rPr>
        <w:t>一、建立应急救援领导机构</w:t>
      </w:r>
    </w:p>
    <w:p>
      <w:pPr>
        <w:ind w:firstLine="480"/>
      </w:pPr>
      <w:r>
        <w:rPr>
          <w:rFonts w:hint="eastAsia"/>
        </w:rPr>
        <w:t>针对湿地公园内可能发生的突发性事件，成立应对突发事件的领导小组，由湿地公园管理委员会主要领导任组长，全面负责处理各种应急安全事件。</w:t>
      </w:r>
    </w:p>
    <w:p>
      <w:pPr>
        <w:pStyle w:val="4"/>
      </w:pPr>
      <w:r>
        <w:rPr>
          <w:rFonts w:hint="eastAsia"/>
        </w:rPr>
        <w:t>二、成立应急救援工作小组</w:t>
      </w:r>
    </w:p>
    <w:p>
      <w:pPr>
        <w:ind w:firstLine="480"/>
      </w:pPr>
      <w:r>
        <w:rPr>
          <w:rFonts w:hint="eastAsia"/>
        </w:rPr>
        <w:t>配置救护设备，加强对全体工作人员的安全教育和救援培训，从容应对突发应急救援事件。救援范围包括水上运动安全救援、火灾抢险救援、地质灾害抢险救援、医疗救援和突发污染事件救援等，力求第一时间发现、第一时间救援，把突发事件的破环降低到最低程度。</w:t>
      </w:r>
    </w:p>
    <w:p>
      <w:pPr>
        <w:pStyle w:val="4"/>
      </w:pPr>
      <w:r>
        <w:rPr>
          <w:rFonts w:hint="eastAsia"/>
        </w:rPr>
        <w:t>三、建设安全监控防护系统</w:t>
      </w:r>
    </w:p>
    <w:p>
      <w:pPr>
        <w:ind w:firstLine="480"/>
      </w:pPr>
      <w:r>
        <w:rPr>
          <w:rFonts w:hint="eastAsia"/>
        </w:rPr>
        <w:t>安全监控系统主要针对湿地公园游客及地质、生态灾害进行安全监测与评估，从而快速反应。主要措施包括：</w:t>
      </w:r>
    </w:p>
    <w:p>
      <w:pPr>
        <w:ind w:firstLine="480"/>
      </w:pPr>
      <w:r>
        <w:rPr>
          <w:rFonts w:hint="eastAsia"/>
        </w:rPr>
        <w:t>（一）湿地公园内危险区域设置各种警示牌，提醒游客注意事项；</w:t>
      </w:r>
    </w:p>
    <w:p>
      <w:pPr>
        <w:ind w:firstLine="480"/>
      </w:pPr>
      <w:r>
        <w:rPr>
          <w:rFonts w:hint="eastAsia"/>
        </w:rPr>
        <w:t>（二）景点以及建筑物或构筑物配置各种消防设施，设立明显标志；</w:t>
      </w:r>
    </w:p>
    <w:p>
      <w:pPr>
        <w:ind w:firstLine="480"/>
      </w:pPr>
      <w:r>
        <w:rPr>
          <w:rFonts w:hint="eastAsia"/>
        </w:rPr>
        <w:t>（三）湿地出入水口处设置紧急闸门，防止未经处理的污水进入公园水体；</w:t>
      </w:r>
    </w:p>
    <w:p>
      <w:pPr>
        <w:ind w:firstLine="480"/>
      </w:pPr>
      <w:r>
        <w:rPr>
          <w:rFonts w:hint="eastAsia"/>
        </w:rPr>
        <w:t>（四）建设安全监控系统，监测游客、地质、生态安全状况。</w:t>
      </w:r>
    </w:p>
    <w:p>
      <w:pPr>
        <w:pStyle w:val="3"/>
        <w:ind w:firstLine="643"/>
      </w:pPr>
      <w:bookmarkStart w:id="113" w:name="_Toc130121681"/>
      <w:r>
        <w:rPr>
          <w:rFonts w:hint="eastAsia"/>
        </w:rPr>
        <w:t>第五节  有害生物防治规划</w:t>
      </w:r>
      <w:bookmarkEnd w:id="113"/>
    </w:p>
    <w:p>
      <w:pPr>
        <w:pStyle w:val="4"/>
      </w:pPr>
      <w:r>
        <w:t>一、防范性控制</w:t>
      </w:r>
    </w:p>
    <w:p>
      <w:pPr>
        <w:ind w:firstLine="480"/>
        <w:rPr>
          <w:rFonts w:ascii="宋体" w:hAnsi="宋体"/>
        </w:rPr>
      </w:pPr>
      <w:r>
        <w:rPr>
          <w:rFonts w:ascii="宋体" w:hAnsi="宋体"/>
        </w:rPr>
        <w:t>防范性控制是从源头上杜绝外来有害物种的入侵，在进行物种引进前，要经过专家严格论证和病虫害检疫，从源头上杜绝外来有害物种和病源、虫源的侵入。同时，对恶意引进有害物种的行为要进行严厉的惩罚。加强当地物种的种植资源的挖掘研究，强化当地物种的可持续利用。</w:t>
      </w:r>
    </w:p>
    <w:p>
      <w:pPr>
        <w:pStyle w:val="4"/>
      </w:pPr>
      <w:r>
        <w:t>二、实时控制</w:t>
      </w:r>
    </w:p>
    <w:p>
      <w:pPr>
        <w:ind w:firstLine="480"/>
        <w:rPr>
          <w:rFonts w:ascii="宋体" w:hAnsi="宋体"/>
        </w:rPr>
      </w:pPr>
      <w:r>
        <w:rPr>
          <w:rFonts w:ascii="宋体" w:hAnsi="宋体"/>
        </w:rPr>
        <w:t>在本地湿地资源调查和动态检测过程中，对发现已有的外来物种，必须进行环境效应和危害性评价，对具有危害的外来物种进行实时控制。主要以生态控制手段为主、工程控制为辅，最大程度地控制外来有害物种的入侵与危害。</w:t>
      </w:r>
    </w:p>
    <w:p>
      <w:pPr>
        <w:pStyle w:val="4"/>
      </w:pPr>
      <w:r>
        <w:t>三、建立入侵种预警系统</w:t>
      </w:r>
    </w:p>
    <w:p>
      <w:pPr>
        <w:ind w:firstLine="480"/>
        <w:rPr>
          <w:rFonts w:ascii="宋体" w:hAnsi="宋体"/>
        </w:rPr>
      </w:pPr>
      <w:r>
        <w:rPr>
          <w:rFonts w:ascii="宋体" w:hAnsi="宋体"/>
        </w:rPr>
        <w:t>加强与</w:t>
      </w:r>
      <w:r>
        <w:rPr>
          <w:rFonts w:hint="eastAsia" w:ascii="宋体" w:hAnsi="宋体"/>
        </w:rPr>
        <w:t>新疆高校、科研院所</w:t>
      </w:r>
      <w:r>
        <w:rPr>
          <w:rFonts w:ascii="宋体" w:hAnsi="宋体"/>
        </w:rPr>
        <w:t>、</w:t>
      </w:r>
      <w:r>
        <w:rPr>
          <w:rFonts w:hint="eastAsia" w:ascii="宋体" w:hAnsi="宋体"/>
        </w:rPr>
        <w:t>民间保护组织</w:t>
      </w:r>
      <w:r>
        <w:rPr>
          <w:rFonts w:ascii="宋体" w:hAnsi="宋体"/>
        </w:rPr>
        <w:t>机构的横向联系，建立并健全外来物种信息系统；在共享信息和经验的基础上建立全球信息系统；建立和更新最危险的入侵物种名录，并建立公约限制这些物种的扩散</w:t>
      </w:r>
      <w:r>
        <w:rPr>
          <w:rFonts w:hint="eastAsia" w:ascii="宋体" w:hAnsi="宋体"/>
        </w:rPr>
        <w:t>。</w:t>
      </w:r>
    </w:p>
    <w:p>
      <w:pPr>
        <w:ind w:firstLine="480"/>
        <w:rPr>
          <w:rFonts w:ascii="宋体" w:hAnsi="宋体"/>
        </w:rPr>
        <w:sectPr>
          <w:pgSz w:w="11906" w:h="16838"/>
          <w:pgMar w:top="1440" w:right="1800" w:bottom="1440" w:left="1800" w:header="851" w:footer="992" w:gutter="0"/>
          <w:cols w:space="425" w:num="1"/>
          <w:docGrid w:type="lines" w:linePitch="312" w:charSpace="0"/>
        </w:sectPr>
      </w:pPr>
    </w:p>
    <w:p>
      <w:pPr>
        <w:pStyle w:val="2"/>
        <w:ind w:firstLine="723"/>
      </w:pPr>
      <w:bookmarkStart w:id="114" w:name="_Toc130121682"/>
      <w:r>
        <w:rPr>
          <w:rFonts w:hint="eastAsia"/>
        </w:rPr>
        <w:t>第十一章</w:t>
      </w:r>
      <w:r>
        <w:t xml:space="preserve">  </w:t>
      </w:r>
      <w:r>
        <w:rPr>
          <w:rFonts w:hint="eastAsia"/>
        </w:rPr>
        <w:t>区域协调与社区共建规划</w:t>
      </w:r>
      <w:bookmarkEnd w:id="114"/>
    </w:p>
    <w:p>
      <w:pPr>
        <w:pStyle w:val="3"/>
        <w:ind w:firstLine="643"/>
      </w:pPr>
      <w:bookmarkStart w:id="115" w:name="_Toc130121683"/>
      <w:r>
        <w:rPr>
          <w:rFonts w:hint="eastAsia"/>
        </w:rPr>
        <w:t>第一节</w:t>
      </w:r>
      <w:r>
        <w:t xml:space="preserve">  </w:t>
      </w:r>
      <w:r>
        <w:rPr>
          <w:rFonts w:hint="eastAsia"/>
        </w:rPr>
        <w:t>土地利用协调规划</w:t>
      </w:r>
      <w:bookmarkEnd w:id="115"/>
    </w:p>
    <w:p>
      <w:pPr>
        <w:pStyle w:val="5"/>
      </w:pPr>
      <w:r>
        <w:t>（一）土地利用原则</w:t>
      </w:r>
    </w:p>
    <w:p>
      <w:pPr>
        <w:ind w:firstLine="480"/>
      </w:pPr>
      <w:r>
        <w:t>从</w:t>
      </w:r>
      <w:r>
        <w:rPr>
          <w:rFonts w:hint="eastAsia"/>
        </w:rPr>
        <w:t>玛纳斯国家湿地公园</w:t>
      </w:r>
      <w:r>
        <w:t>规划区的环境营造出发，在土地利用规划方面，应当重点保护处于湿地体系核心地位的沼泽、</w:t>
      </w:r>
      <w:r>
        <w:rPr>
          <w:rFonts w:hint="eastAsia"/>
        </w:rPr>
        <w:t>水系</w:t>
      </w:r>
      <w:r>
        <w:t>，因地制宜地合理调整土地利用结构，发展符合生态湿地特征的土地利用方式与结构，突出湿地公园土地利用的特色与重点，保护和扩大湿地</w:t>
      </w:r>
      <w:r>
        <w:rPr>
          <w:rFonts w:hint="eastAsia"/>
        </w:rPr>
        <w:t>保护</w:t>
      </w:r>
      <w:r>
        <w:t>用地。</w:t>
      </w:r>
    </w:p>
    <w:p>
      <w:pPr>
        <w:pStyle w:val="5"/>
      </w:pPr>
      <w:r>
        <w:t>（二）土地利用分配与调整</w:t>
      </w:r>
    </w:p>
    <w:p>
      <w:pPr>
        <w:ind w:firstLine="480"/>
      </w:pPr>
      <w:r>
        <w:t>为了更好地保护湿地生态系统，在保护的基础上进行科普宣教、科研监测和适度的生态旅游，实现湿地公园</w:t>
      </w:r>
      <w:r>
        <w:rPr>
          <w:rFonts w:hint="eastAsia"/>
        </w:rPr>
        <w:t>“</w:t>
      </w:r>
      <w:r>
        <w:t>保护优先，适度利用，生态效益、社会效益和经济效益相协调</w:t>
      </w:r>
      <w:r>
        <w:rPr>
          <w:rFonts w:hint="eastAsia"/>
        </w:rPr>
        <w:t>”</w:t>
      </w:r>
      <w:r>
        <w:t>的目标，对湿地公园的土地利用结构与模式进行一定调整。</w:t>
      </w:r>
    </w:p>
    <w:p>
      <w:pPr>
        <w:pStyle w:val="6"/>
        <w:ind w:firstLine="482"/>
      </w:pPr>
      <w:r>
        <w:t>1. 严格保护湿地面积，提高湿地质量</w:t>
      </w:r>
    </w:p>
    <w:p>
      <w:pPr>
        <w:ind w:firstLine="480"/>
      </w:pPr>
      <w:r>
        <w:t>湿地保护和恢复是湿地公园建设的首要任务。通过采取严格措施，保证现有湿地不减少情况，通过适度修复措施增加湿地，为湿地动植物提供了更好生境。</w:t>
      </w:r>
    </w:p>
    <w:p>
      <w:pPr>
        <w:pStyle w:val="6"/>
        <w:ind w:firstLine="482"/>
      </w:pPr>
      <w:r>
        <w:t>2. 保护次生林，打造湿地森林景观</w:t>
      </w:r>
    </w:p>
    <w:p>
      <w:pPr>
        <w:ind w:firstLine="480"/>
      </w:pPr>
      <w:r>
        <w:rPr>
          <w:rFonts w:hint="eastAsia"/>
        </w:rPr>
        <w:t>柽柳灌木林地</w:t>
      </w:r>
      <w:r>
        <w:t>是湿地公园内重要的生态过滤器和景观载体。规划除必要的道路建设、公共管理与服务建设需要占用之外，对现有的</w:t>
      </w:r>
      <w:r>
        <w:rPr>
          <w:rFonts w:hint="eastAsia"/>
        </w:rPr>
        <w:t>柽柳</w:t>
      </w:r>
      <w:r>
        <w:t>次生林严格保护。完善湿地生态系统的生态屏障，并打造良好的水岸景观带。</w:t>
      </w:r>
    </w:p>
    <w:p>
      <w:pPr>
        <w:pStyle w:val="6"/>
        <w:ind w:firstLine="482"/>
      </w:pPr>
      <w:r>
        <w:t>3.适当增加公共管理用地，完善基础设施建设</w:t>
      </w:r>
    </w:p>
    <w:p>
      <w:pPr>
        <w:ind w:firstLine="480"/>
      </w:pPr>
      <w:r>
        <w:t>通过进行保护管理站、科研监测站、气象观测站、水文、水质监测站点等建设，提高湿地公园保护管理和科研监测能力。通过改善区域交通条件，除对目前部分道路进行改造外，完善交通网络。通过新建旅游接待服务设施，为游客提供清新、高雅、舒适的旅游环境，改善旅游环境。</w:t>
      </w:r>
    </w:p>
    <w:p>
      <w:pPr>
        <w:pStyle w:val="45"/>
      </w:pPr>
      <w:r>
        <w:t xml:space="preserve">表11-2  </w:t>
      </w:r>
      <w:r>
        <w:rPr>
          <w:rFonts w:hint="eastAsia"/>
        </w:rPr>
        <w:t>玛纳斯国家湿地公园</w:t>
      </w:r>
      <w:r>
        <w:t>土地利用规划表</w:t>
      </w:r>
    </w:p>
    <w:tbl>
      <w:tblPr>
        <w:tblStyle w:val="25"/>
        <w:tblW w:w="8720" w:type="dxa"/>
        <w:tblInd w:w="0" w:type="dxa"/>
        <w:tblLayout w:type="fixed"/>
        <w:tblCellMar>
          <w:top w:w="0" w:type="dxa"/>
          <w:left w:w="108" w:type="dxa"/>
          <w:bottom w:w="0" w:type="dxa"/>
          <w:right w:w="108" w:type="dxa"/>
        </w:tblCellMar>
      </w:tblPr>
      <w:tblGrid>
        <w:gridCol w:w="1100"/>
        <w:gridCol w:w="2245"/>
        <w:gridCol w:w="1617"/>
        <w:gridCol w:w="1880"/>
        <w:gridCol w:w="1878"/>
      </w:tblGrid>
      <w:tr>
        <w:tblPrEx>
          <w:tblCellMar>
            <w:top w:w="0" w:type="dxa"/>
            <w:left w:w="108" w:type="dxa"/>
            <w:bottom w:w="0" w:type="dxa"/>
            <w:right w:w="108" w:type="dxa"/>
          </w:tblCellMar>
        </w:tblPrEx>
        <w:trPr>
          <w:trHeight w:val="264" w:hRule="atLeast"/>
        </w:trPr>
        <w:tc>
          <w:tcPr>
            <w:tcW w:w="33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b/>
                <w:bCs/>
                <w:sz w:val="22"/>
              </w:rPr>
            </w:pPr>
            <w:r>
              <w:rPr>
                <w:rFonts w:cs="Times New Roman"/>
                <w:b/>
                <w:bCs/>
                <w:sz w:val="22"/>
              </w:rPr>
              <w:t>一级类</w:t>
            </w:r>
          </w:p>
        </w:tc>
        <w:tc>
          <w:tcPr>
            <w:tcW w:w="3497" w:type="dxa"/>
            <w:gridSpan w:val="2"/>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b/>
                <w:bCs/>
                <w:sz w:val="22"/>
              </w:rPr>
            </w:pPr>
            <w:r>
              <w:rPr>
                <w:rFonts w:cs="Times New Roman"/>
                <w:b/>
                <w:bCs/>
                <w:sz w:val="22"/>
              </w:rPr>
              <w:t>二级类</w:t>
            </w:r>
          </w:p>
        </w:tc>
        <w:tc>
          <w:tcPr>
            <w:tcW w:w="1878" w:type="dxa"/>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b/>
                <w:bCs/>
                <w:sz w:val="22"/>
              </w:rPr>
            </w:pPr>
            <w:r>
              <w:rPr>
                <w:rFonts w:cs="Times New Roman"/>
                <w:b/>
                <w:bCs/>
                <w:sz w:val="22"/>
              </w:rPr>
              <w:t>面积</w:t>
            </w:r>
          </w:p>
        </w:tc>
      </w:tr>
      <w:tr>
        <w:tblPrEx>
          <w:tblCellMar>
            <w:top w:w="0" w:type="dxa"/>
            <w:left w:w="108" w:type="dxa"/>
            <w:bottom w:w="0" w:type="dxa"/>
            <w:right w:w="108" w:type="dxa"/>
          </w:tblCellMar>
        </w:tblPrEx>
        <w:trPr>
          <w:trHeight w:val="264" w:hRule="atLeast"/>
        </w:trPr>
        <w:tc>
          <w:tcPr>
            <w:tcW w:w="1100" w:type="dxa"/>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b/>
                <w:bCs/>
                <w:sz w:val="22"/>
              </w:rPr>
            </w:pPr>
            <w:r>
              <w:rPr>
                <w:rFonts w:cs="Times New Roman"/>
                <w:b/>
                <w:bCs/>
                <w:sz w:val="22"/>
              </w:rPr>
              <w:t>编码</w:t>
            </w:r>
          </w:p>
        </w:tc>
        <w:tc>
          <w:tcPr>
            <w:tcW w:w="2245"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b/>
                <w:bCs/>
                <w:sz w:val="22"/>
              </w:rPr>
            </w:pPr>
            <w:r>
              <w:rPr>
                <w:rFonts w:cs="Times New Roman"/>
                <w:b/>
                <w:bCs/>
                <w:sz w:val="22"/>
              </w:rPr>
              <w:t>名称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b/>
                <w:bCs/>
                <w:sz w:val="22"/>
              </w:rPr>
            </w:pPr>
            <w:r>
              <w:rPr>
                <w:rFonts w:cs="Times New Roman"/>
                <w:b/>
                <w:bCs/>
                <w:sz w:val="22"/>
              </w:rPr>
              <w:t>编码</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b/>
                <w:bCs/>
                <w:sz w:val="22"/>
              </w:rPr>
            </w:pPr>
            <w:r>
              <w:rPr>
                <w:rFonts w:cs="Times New Roman"/>
                <w:b/>
                <w:bCs/>
                <w:sz w:val="22"/>
              </w:rPr>
              <w:t>名称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b/>
                <w:bCs/>
                <w:sz w:val="22"/>
              </w:rPr>
            </w:pPr>
            <w:r>
              <w:rPr>
                <w:rFonts w:cs="Times New Roman"/>
                <w:b/>
                <w:bCs/>
                <w:sz w:val="22"/>
              </w:rPr>
              <w:t>　</w:t>
            </w:r>
          </w:p>
        </w:tc>
      </w:tr>
      <w:tr>
        <w:tblPrEx>
          <w:tblCellMar>
            <w:top w:w="0" w:type="dxa"/>
            <w:left w:w="108" w:type="dxa"/>
            <w:bottom w:w="0" w:type="dxa"/>
            <w:right w:w="108" w:type="dxa"/>
          </w:tblCellMar>
        </w:tblPrEx>
        <w:trPr>
          <w:trHeight w:val="264" w:hRule="atLeast"/>
        </w:trPr>
        <w:tc>
          <w:tcPr>
            <w:tcW w:w="1100" w:type="dxa"/>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01</w:t>
            </w:r>
          </w:p>
        </w:tc>
        <w:tc>
          <w:tcPr>
            <w:tcW w:w="2245"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耕地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0102</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水浇地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hint="eastAsia" w:cs="Times New Roman"/>
                <w:sz w:val="22"/>
              </w:rPr>
              <w:t>1</w:t>
            </w:r>
            <w:r>
              <w:rPr>
                <w:rFonts w:cs="Times New Roman"/>
                <w:sz w:val="22"/>
              </w:rPr>
              <w:t>56.96</w:t>
            </w:r>
          </w:p>
        </w:tc>
      </w:tr>
      <w:tr>
        <w:tblPrEx>
          <w:tblCellMar>
            <w:top w:w="0" w:type="dxa"/>
            <w:left w:w="108" w:type="dxa"/>
            <w:bottom w:w="0" w:type="dxa"/>
            <w:right w:w="108" w:type="dxa"/>
          </w:tblCellMar>
        </w:tblPrEx>
        <w:trPr>
          <w:trHeight w:val="264" w:hRule="atLeast"/>
        </w:trPr>
        <w:tc>
          <w:tcPr>
            <w:tcW w:w="1100"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02</w:t>
            </w:r>
          </w:p>
        </w:tc>
        <w:tc>
          <w:tcPr>
            <w:tcW w:w="2245"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园地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0201</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果园</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1.33</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0204</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其他园地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0.61</w:t>
            </w:r>
          </w:p>
        </w:tc>
      </w:tr>
      <w:tr>
        <w:tblPrEx>
          <w:tblCellMar>
            <w:top w:w="0" w:type="dxa"/>
            <w:left w:w="108" w:type="dxa"/>
            <w:bottom w:w="0" w:type="dxa"/>
            <w:right w:w="108" w:type="dxa"/>
          </w:tblCellMar>
        </w:tblPrEx>
        <w:trPr>
          <w:trHeight w:val="264" w:hRule="atLeast"/>
        </w:trPr>
        <w:tc>
          <w:tcPr>
            <w:tcW w:w="1100"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03</w:t>
            </w:r>
          </w:p>
        </w:tc>
        <w:tc>
          <w:tcPr>
            <w:tcW w:w="2245"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林地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0301</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乔木林地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32.23</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0305</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灌木林地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133.9</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0307</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其他林地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59.92</w:t>
            </w:r>
          </w:p>
        </w:tc>
      </w:tr>
      <w:tr>
        <w:tblPrEx>
          <w:tblCellMar>
            <w:top w:w="0" w:type="dxa"/>
            <w:left w:w="108" w:type="dxa"/>
            <w:bottom w:w="0" w:type="dxa"/>
            <w:right w:w="108" w:type="dxa"/>
          </w:tblCellMar>
        </w:tblPrEx>
        <w:trPr>
          <w:trHeight w:val="264" w:hRule="atLeast"/>
        </w:trPr>
        <w:tc>
          <w:tcPr>
            <w:tcW w:w="1100"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04</w:t>
            </w:r>
          </w:p>
        </w:tc>
        <w:tc>
          <w:tcPr>
            <w:tcW w:w="2245"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草地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0402</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沼泽草地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124.69</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0404</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其他草地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429.02</w:t>
            </w:r>
          </w:p>
        </w:tc>
      </w:tr>
      <w:tr>
        <w:tblPrEx>
          <w:tblCellMar>
            <w:top w:w="0" w:type="dxa"/>
            <w:left w:w="108" w:type="dxa"/>
            <w:bottom w:w="0" w:type="dxa"/>
            <w:right w:w="108" w:type="dxa"/>
          </w:tblCellMar>
        </w:tblPrEx>
        <w:trPr>
          <w:trHeight w:val="264" w:hRule="atLeast"/>
        </w:trPr>
        <w:tc>
          <w:tcPr>
            <w:tcW w:w="1100"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05</w:t>
            </w:r>
          </w:p>
        </w:tc>
        <w:tc>
          <w:tcPr>
            <w:tcW w:w="2245"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商业服务业用地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0508</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物流仓储用地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0.27</w:t>
            </w:r>
          </w:p>
        </w:tc>
      </w:tr>
      <w:tr>
        <w:tblPrEx>
          <w:tblCellMar>
            <w:top w:w="0" w:type="dxa"/>
            <w:left w:w="108" w:type="dxa"/>
            <w:bottom w:w="0" w:type="dxa"/>
            <w:right w:w="108" w:type="dxa"/>
          </w:tblCellMar>
        </w:tblPrEx>
        <w:trPr>
          <w:trHeight w:val="50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05H1</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hint="eastAsia" w:cs="Times New Roman" w:eastAsiaTheme="minorEastAsia"/>
                <w:sz w:val="22"/>
                <w:lang w:eastAsia="zh-CN"/>
              </w:rPr>
            </w:pPr>
            <w:r>
              <w:rPr>
                <w:rFonts w:cs="Times New Roman"/>
                <w:sz w:val="22"/>
              </w:rPr>
              <w:t>商业服务业设</w:t>
            </w:r>
          </w:p>
          <w:p>
            <w:pPr>
              <w:spacing w:line="312" w:lineRule="auto"/>
              <w:ind w:firstLine="0" w:firstLineChars="0"/>
              <w:jc w:val="center"/>
              <w:rPr>
                <w:rFonts w:cs="Times New Roman"/>
                <w:sz w:val="22"/>
              </w:rPr>
            </w:pPr>
            <w:r>
              <w:rPr>
                <w:rFonts w:cs="Times New Roman"/>
                <w:sz w:val="22"/>
              </w:rPr>
              <w:t>施用地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2.99</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0602</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采矿用地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167.43</w:t>
            </w:r>
          </w:p>
        </w:tc>
      </w:tr>
      <w:tr>
        <w:tblPrEx>
          <w:tblCellMar>
            <w:top w:w="0" w:type="dxa"/>
            <w:left w:w="108" w:type="dxa"/>
            <w:bottom w:w="0" w:type="dxa"/>
            <w:right w:w="108" w:type="dxa"/>
          </w:tblCellMar>
        </w:tblPrEx>
        <w:trPr>
          <w:trHeight w:val="264" w:hRule="atLeast"/>
        </w:trPr>
        <w:tc>
          <w:tcPr>
            <w:tcW w:w="1100" w:type="dxa"/>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w:t>
            </w:r>
            <w:r>
              <w:rPr>
                <w:rFonts w:hint="eastAsia" w:cs="Times New Roman"/>
                <w:sz w:val="22"/>
              </w:rPr>
              <w:t>6</w:t>
            </w:r>
          </w:p>
        </w:tc>
        <w:tc>
          <w:tcPr>
            <w:tcW w:w="2245"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住宅用地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0702</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农村宅基地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8.1</w:t>
            </w:r>
          </w:p>
        </w:tc>
      </w:tr>
      <w:tr>
        <w:tblPrEx>
          <w:tblCellMar>
            <w:top w:w="0" w:type="dxa"/>
            <w:left w:w="108" w:type="dxa"/>
            <w:bottom w:w="0" w:type="dxa"/>
            <w:right w:w="108" w:type="dxa"/>
          </w:tblCellMar>
        </w:tblPrEx>
        <w:trPr>
          <w:trHeight w:val="264" w:hRule="atLeast"/>
        </w:trPr>
        <w:tc>
          <w:tcPr>
            <w:tcW w:w="1100"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w:t>
            </w:r>
            <w:r>
              <w:rPr>
                <w:rFonts w:hint="eastAsia" w:cs="Times New Roman"/>
                <w:sz w:val="22"/>
              </w:rPr>
              <w:t>7</w:t>
            </w:r>
          </w:p>
        </w:tc>
        <w:tc>
          <w:tcPr>
            <w:tcW w:w="2245"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公共管理与公共服务用地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0809</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公用设施用地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8.37</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0810</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公园与绿地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0.77</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08H2</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科教文卫用地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1.17</w:t>
            </w:r>
          </w:p>
        </w:tc>
      </w:tr>
      <w:tr>
        <w:tblPrEx>
          <w:tblCellMar>
            <w:top w:w="0" w:type="dxa"/>
            <w:left w:w="108" w:type="dxa"/>
            <w:bottom w:w="0" w:type="dxa"/>
            <w:right w:w="108" w:type="dxa"/>
          </w:tblCellMar>
        </w:tblPrEx>
        <w:trPr>
          <w:trHeight w:val="264" w:hRule="atLeast"/>
        </w:trPr>
        <w:tc>
          <w:tcPr>
            <w:tcW w:w="1100" w:type="dxa"/>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w:t>
            </w:r>
            <w:r>
              <w:rPr>
                <w:rFonts w:hint="eastAsia" w:cs="Times New Roman"/>
                <w:sz w:val="22"/>
              </w:rPr>
              <w:t>8</w:t>
            </w:r>
          </w:p>
        </w:tc>
        <w:tc>
          <w:tcPr>
            <w:tcW w:w="2245"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特殊用地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09</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特殊用地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14.09</w:t>
            </w:r>
          </w:p>
        </w:tc>
      </w:tr>
      <w:tr>
        <w:tblPrEx>
          <w:tblCellMar>
            <w:top w:w="0" w:type="dxa"/>
            <w:left w:w="108" w:type="dxa"/>
            <w:bottom w:w="0" w:type="dxa"/>
            <w:right w:w="108" w:type="dxa"/>
          </w:tblCellMar>
        </w:tblPrEx>
        <w:trPr>
          <w:trHeight w:val="264" w:hRule="atLeast"/>
        </w:trPr>
        <w:tc>
          <w:tcPr>
            <w:tcW w:w="1100"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hint="eastAsia" w:cs="Times New Roman"/>
                <w:sz w:val="22"/>
              </w:rPr>
              <w:t>9</w:t>
            </w:r>
          </w:p>
        </w:tc>
        <w:tc>
          <w:tcPr>
            <w:tcW w:w="2245"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交通运输用地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1003</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公路用地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28.83</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1004</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城镇村道路用地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0.49</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1005</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交通服务场站用地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0.06</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1006</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农村道路</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41.74</w:t>
            </w:r>
          </w:p>
        </w:tc>
      </w:tr>
      <w:tr>
        <w:tblPrEx>
          <w:tblCellMar>
            <w:top w:w="0" w:type="dxa"/>
            <w:left w:w="108" w:type="dxa"/>
            <w:bottom w:w="0" w:type="dxa"/>
            <w:right w:w="108" w:type="dxa"/>
          </w:tblCellMar>
        </w:tblPrEx>
        <w:trPr>
          <w:trHeight w:val="264" w:hRule="atLeast"/>
        </w:trPr>
        <w:tc>
          <w:tcPr>
            <w:tcW w:w="1100"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w:t>
            </w:r>
            <w:r>
              <w:rPr>
                <w:rFonts w:hint="eastAsia" w:cs="Times New Roman"/>
                <w:sz w:val="22"/>
              </w:rPr>
              <w:t>0</w:t>
            </w:r>
          </w:p>
        </w:tc>
        <w:tc>
          <w:tcPr>
            <w:tcW w:w="2245" w:type="dxa"/>
            <w:vMerge w:val="restart"/>
            <w:tcBorders>
              <w:top w:val="nil"/>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水域及水利设施用地</w:t>
            </w: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1101</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河流水面</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198.08</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1103</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水库水面</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1683.2</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1104</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坑塘水面</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45.43</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1104A</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可划为坑塘水面</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84.41</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1106</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内陆滩涂</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227.09</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1107</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沟渠</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58.68</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1107A</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可划为沟渠</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41</w:t>
            </w:r>
          </w:p>
        </w:tc>
      </w:tr>
      <w:tr>
        <w:tblPrEx>
          <w:tblCellMar>
            <w:top w:w="0" w:type="dxa"/>
            <w:left w:w="108" w:type="dxa"/>
            <w:bottom w:w="0" w:type="dxa"/>
            <w:right w:w="108" w:type="dxa"/>
          </w:tblCellMar>
        </w:tblPrEx>
        <w:trPr>
          <w:trHeight w:val="264" w:hRule="atLeast"/>
        </w:trPr>
        <w:tc>
          <w:tcPr>
            <w:tcW w:w="1100"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nil"/>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1109</w:t>
            </w:r>
          </w:p>
        </w:tc>
        <w:tc>
          <w:tcPr>
            <w:tcW w:w="1880"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水工建筑用地</w:t>
            </w:r>
          </w:p>
        </w:tc>
        <w:tc>
          <w:tcPr>
            <w:tcW w:w="1878" w:type="dxa"/>
            <w:tcBorders>
              <w:top w:val="nil"/>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50.1</w:t>
            </w:r>
          </w:p>
        </w:tc>
      </w:tr>
      <w:tr>
        <w:tblPrEx>
          <w:tblCellMar>
            <w:top w:w="0" w:type="dxa"/>
            <w:left w:w="108" w:type="dxa"/>
            <w:bottom w:w="0" w:type="dxa"/>
            <w:right w:w="108" w:type="dxa"/>
          </w:tblCellMar>
        </w:tblPrEx>
        <w:trPr>
          <w:trHeight w:val="264" w:hRule="atLeast"/>
        </w:trPr>
        <w:tc>
          <w:tcPr>
            <w:tcW w:w="11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w:t>
            </w:r>
            <w:r>
              <w:rPr>
                <w:rFonts w:hint="eastAsia" w:cs="Times New Roman"/>
                <w:sz w:val="22"/>
              </w:rPr>
              <w:t>1</w:t>
            </w:r>
          </w:p>
        </w:tc>
        <w:tc>
          <w:tcPr>
            <w:tcW w:w="22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其他土地</w:t>
            </w:r>
          </w:p>
        </w:tc>
        <w:tc>
          <w:tcPr>
            <w:tcW w:w="1617" w:type="dxa"/>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1202</w:t>
            </w:r>
          </w:p>
        </w:tc>
        <w:tc>
          <w:tcPr>
            <w:tcW w:w="1880" w:type="dxa"/>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空闲地</w:t>
            </w:r>
          </w:p>
        </w:tc>
        <w:tc>
          <w:tcPr>
            <w:tcW w:w="1878" w:type="dxa"/>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hint="eastAsia" w:cs="Times New Roman"/>
                <w:sz w:val="22"/>
              </w:rPr>
              <w:t>109</w:t>
            </w:r>
            <w:r>
              <w:rPr>
                <w:rFonts w:cs="Times New Roman"/>
                <w:sz w:val="22"/>
              </w:rPr>
              <w:t>.4</w:t>
            </w:r>
          </w:p>
        </w:tc>
      </w:tr>
      <w:tr>
        <w:tblPrEx>
          <w:tblCellMar>
            <w:top w:w="0" w:type="dxa"/>
            <w:left w:w="108" w:type="dxa"/>
            <w:bottom w:w="0" w:type="dxa"/>
            <w:right w:w="108" w:type="dxa"/>
          </w:tblCellMar>
        </w:tblPrEx>
        <w:trPr>
          <w:trHeight w:val="264" w:hRule="atLeast"/>
        </w:trPr>
        <w:tc>
          <w:tcPr>
            <w:tcW w:w="1100" w:type="dxa"/>
            <w:vMerge w:val="continue"/>
            <w:tcBorders>
              <w:top w:val="single" w:color="auto" w:sz="4" w:space="0"/>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2245" w:type="dxa"/>
            <w:vMerge w:val="continue"/>
            <w:tcBorders>
              <w:top w:val="single" w:color="auto" w:sz="4" w:space="0"/>
              <w:left w:val="single" w:color="auto" w:sz="4" w:space="0"/>
              <w:bottom w:val="single" w:color="auto" w:sz="4" w:space="0"/>
              <w:right w:val="single" w:color="auto" w:sz="4" w:space="0"/>
            </w:tcBorders>
            <w:vAlign w:val="center"/>
          </w:tcPr>
          <w:p>
            <w:pPr>
              <w:spacing w:line="312" w:lineRule="auto"/>
              <w:ind w:firstLine="0" w:firstLineChars="0"/>
              <w:jc w:val="left"/>
              <w:rPr>
                <w:rFonts w:cs="Times New Roman"/>
                <w:sz w:val="22"/>
              </w:rPr>
            </w:pPr>
          </w:p>
        </w:tc>
        <w:tc>
          <w:tcPr>
            <w:tcW w:w="1617" w:type="dxa"/>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1206</w:t>
            </w:r>
          </w:p>
        </w:tc>
        <w:tc>
          <w:tcPr>
            <w:tcW w:w="1880" w:type="dxa"/>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裸土地</w:t>
            </w:r>
          </w:p>
        </w:tc>
        <w:tc>
          <w:tcPr>
            <w:tcW w:w="1878" w:type="dxa"/>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cs="Times New Roman"/>
                <w:sz w:val="22"/>
              </w:rPr>
              <w:t>0.79</w:t>
            </w:r>
          </w:p>
        </w:tc>
      </w:tr>
      <w:tr>
        <w:tblPrEx>
          <w:tblCellMar>
            <w:top w:w="0" w:type="dxa"/>
            <w:left w:w="108" w:type="dxa"/>
            <w:bottom w:w="0" w:type="dxa"/>
            <w:right w:w="108" w:type="dxa"/>
          </w:tblCellMar>
        </w:tblPrEx>
        <w:trPr>
          <w:trHeight w:val="264" w:hRule="atLeast"/>
        </w:trPr>
        <w:tc>
          <w:tcPr>
            <w:tcW w:w="6842" w:type="dxa"/>
            <w:gridSpan w:val="4"/>
            <w:tcBorders>
              <w:top w:val="single" w:color="auto" w:sz="4" w:space="0"/>
              <w:left w:val="single" w:color="auto" w:sz="4" w:space="0"/>
              <w:bottom w:val="single" w:color="auto" w:sz="4" w:space="0"/>
              <w:right w:val="single" w:color="auto" w:sz="4" w:space="0"/>
            </w:tcBorders>
            <w:vAlign w:val="center"/>
          </w:tcPr>
          <w:p>
            <w:pPr>
              <w:spacing w:line="312" w:lineRule="auto"/>
              <w:ind w:firstLine="0" w:firstLineChars="0"/>
              <w:jc w:val="center"/>
              <w:rPr>
                <w:rFonts w:cs="Times New Roman"/>
                <w:sz w:val="22"/>
              </w:rPr>
            </w:pPr>
            <w:r>
              <w:rPr>
                <w:rFonts w:hint="eastAsia" w:cs="Times New Roman"/>
                <w:sz w:val="22"/>
              </w:rPr>
              <w:t>合计</w:t>
            </w:r>
          </w:p>
        </w:tc>
        <w:tc>
          <w:tcPr>
            <w:tcW w:w="1878" w:type="dxa"/>
            <w:tcBorders>
              <w:top w:val="single" w:color="auto" w:sz="4" w:space="0"/>
              <w:left w:val="nil"/>
              <w:bottom w:val="single" w:color="auto" w:sz="4" w:space="0"/>
              <w:right w:val="single" w:color="auto" w:sz="4" w:space="0"/>
            </w:tcBorders>
            <w:shd w:val="clear" w:color="auto" w:fill="auto"/>
            <w:vAlign w:val="center"/>
          </w:tcPr>
          <w:p>
            <w:pPr>
              <w:spacing w:line="312" w:lineRule="auto"/>
              <w:ind w:firstLine="0" w:firstLineChars="0"/>
              <w:jc w:val="center"/>
              <w:rPr>
                <w:rFonts w:cs="Times New Roman"/>
                <w:sz w:val="22"/>
              </w:rPr>
            </w:pPr>
            <w:r>
              <w:rPr>
                <w:rFonts w:eastAsia="等线" w:cs="Times New Roman"/>
                <w:color w:val="000000"/>
                <w:kern w:val="0"/>
                <w:sz w:val="22"/>
                <w:lang w:bidi="ar"/>
              </w:rPr>
              <w:t>3611.76</w:t>
            </w:r>
          </w:p>
        </w:tc>
      </w:tr>
    </w:tbl>
    <w:p>
      <w:pPr>
        <w:pStyle w:val="3"/>
        <w:ind w:firstLine="643"/>
      </w:pPr>
      <w:bookmarkStart w:id="116" w:name="_Toc130121684"/>
      <w:r>
        <w:rPr>
          <w:rFonts w:hint="eastAsia"/>
        </w:rPr>
        <w:t xml:space="preserve">第二节 </w:t>
      </w:r>
      <w:r>
        <w:t xml:space="preserve"> </w:t>
      </w:r>
      <w:r>
        <w:rPr>
          <w:rFonts w:hint="eastAsia"/>
        </w:rPr>
        <w:t>周边环境空间管控</w:t>
      </w:r>
      <w:bookmarkEnd w:id="116"/>
    </w:p>
    <w:p>
      <w:pPr>
        <w:pStyle w:val="4"/>
      </w:pPr>
      <w:r>
        <w:rPr>
          <w:rFonts w:hint="eastAsia"/>
        </w:rPr>
        <w:t>一、水资源保护</w:t>
      </w:r>
    </w:p>
    <w:p>
      <w:pPr>
        <w:ind w:firstLine="480"/>
      </w:pPr>
      <w:r>
        <w:rPr>
          <w:rFonts w:hint="eastAsia"/>
        </w:rPr>
        <w:t>玛纳斯湿地公园地处天山北坡泉水溢出带，在泉水溢出带以上地区渠系和河流渗漏是地下水主要补给源。它起着涵养、增加地下水可开采资源量功能。长期以来，由于玛纳斯河渠首引水量的增加，使玛纳斯河道流量减少，加之渠道防渗能力逐年提高，地下水的补给量逐渐减少。因此，应有目的的适度增加地表水对地下水的转化量，如通过渗渠和渗坑，在丰水季节对地下水进行人工补给。</w:t>
      </w:r>
    </w:p>
    <w:p>
      <w:pPr>
        <w:ind w:firstLine="480"/>
      </w:pPr>
      <w:r>
        <w:rPr>
          <w:rFonts w:hint="eastAsia"/>
        </w:rPr>
        <w:t>水源涵养区的保护工作重点在水源涵养林的保护。应把水资源永续利用同湿地的生态效益结合起来，着重综合效益。本区地下水保护的远近期战略为严格限制开采地下水，严禁建设对水源产生污染的生产、生活项目，必须取用地下水时，应先进行取水论证工作。</w:t>
      </w:r>
    </w:p>
    <w:p>
      <w:pPr>
        <w:pStyle w:val="4"/>
      </w:pPr>
      <w:r>
        <w:rPr>
          <w:rFonts w:hint="eastAsia"/>
        </w:rPr>
        <w:t>二、土壤环境修复</w:t>
      </w:r>
    </w:p>
    <w:p>
      <w:pPr>
        <w:ind w:firstLine="480"/>
      </w:pPr>
      <w:r>
        <w:rPr>
          <w:rFonts w:hint="eastAsia"/>
        </w:rPr>
        <w:t>植被恢复是改善土壤盐碱化的重要生态策略。利用树木蒸腾代替地表蒸发，降低地下水位治理盐碱，发挥植被改良土壤的作用。在干旱区盐碱地上植被恢复的关键是植物材料的选择，坚持宜林则林、宜灌则灌、宜草则草的原则，以下两项指标可用作选择的依据：一是植物材料耐盐情况；二是植物材料的耐寒能力。因此，建议采用乡土植物材料如柽柳、梭梭等进行植被恢复，。</w:t>
      </w:r>
    </w:p>
    <w:p>
      <w:pPr>
        <w:pStyle w:val="4"/>
      </w:pPr>
      <w:r>
        <w:rPr>
          <w:rFonts w:hint="eastAsia"/>
        </w:rPr>
        <w:t>三、环境污染的防控</w:t>
      </w:r>
    </w:p>
    <w:p>
      <w:pPr>
        <w:pStyle w:val="5"/>
      </w:pPr>
      <w:r>
        <w:rPr>
          <w:rFonts w:hint="eastAsia"/>
        </w:rPr>
        <w:t>（一）噪音的控制</w:t>
      </w:r>
    </w:p>
    <w:p>
      <w:pPr>
        <w:ind w:firstLine="480"/>
      </w:pPr>
      <w:r>
        <w:rPr>
          <w:rFonts w:hint="eastAsia"/>
        </w:rPr>
        <w:t>玛纳斯湿地公园周边噪音主要来自周边道路噪音。因此本规划主要研究周边道路噪音的控制：</w:t>
      </w:r>
    </w:p>
    <w:p>
      <w:pPr>
        <w:ind w:firstLine="480"/>
      </w:pPr>
      <w:r>
        <w:t>1</w:t>
      </w:r>
      <w:r>
        <w:rPr>
          <w:rFonts w:hint="eastAsia"/>
        </w:rPr>
        <w:t>．种植防护林，建设降噪绿化带。规划建议道路湿地一侧宜建设50~100m的水陆交错的保护带。</w:t>
      </w:r>
    </w:p>
    <w:p>
      <w:pPr>
        <w:ind w:firstLine="480"/>
      </w:pPr>
      <w:r>
        <w:t>2</w:t>
      </w:r>
      <w:r>
        <w:rPr>
          <w:rFonts w:hint="eastAsia"/>
        </w:rPr>
        <w:t>．对湿地主要的敏感物种的栖息地进行避让，避让距离至少保持在50m。</w:t>
      </w:r>
    </w:p>
    <w:p>
      <w:pPr>
        <w:ind w:firstLine="480"/>
      </w:pPr>
      <w:r>
        <w:t>3</w:t>
      </w:r>
      <w:r>
        <w:rPr>
          <w:rFonts w:hint="eastAsia"/>
        </w:rPr>
        <w:t>．在水鸟栖息地等关键区域附近设立交通警示标志，严禁鸣笛和超速，以降低交通噪声强。</w:t>
      </w:r>
    </w:p>
    <w:p>
      <w:pPr>
        <w:ind w:firstLine="480"/>
      </w:pPr>
      <w:r>
        <w:rPr>
          <w:rFonts w:hint="eastAsia"/>
        </w:rPr>
        <w:t>4．设置强制减速带来限速、禁鸣、游人行为限制和禁止停车等措施。</w:t>
      </w:r>
    </w:p>
    <w:p>
      <w:pPr>
        <w:ind w:firstLine="480"/>
      </w:pPr>
      <w:r>
        <w:rPr>
          <w:rFonts w:hint="eastAsia"/>
        </w:rPr>
        <w:t>5．保护区内道路应修筑降噪路面。</w:t>
      </w:r>
    </w:p>
    <w:p>
      <w:pPr>
        <w:ind w:firstLine="480"/>
      </w:pPr>
      <w:r>
        <w:rPr>
          <w:rFonts w:hint="eastAsia"/>
        </w:rPr>
        <w:t>6．广泛宣传保护鸟类的政策和措施，候鸟越冬期、营巢期、孵化期时在靠近重要区域禁止施工 。</w:t>
      </w:r>
    </w:p>
    <w:p>
      <w:pPr>
        <w:pStyle w:val="5"/>
      </w:pPr>
      <w:r>
        <w:t xml:space="preserve"> </w:t>
      </w:r>
      <w:r>
        <w:rPr>
          <w:rFonts w:hint="eastAsia"/>
        </w:rPr>
        <w:t>（二）大气污染控制</w:t>
      </w:r>
    </w:p>
    <w:p>
      <w:pPr>
        <w:pStyle w:val="6"/>
        <w:ind w:firstLine="482"/>
      </w:pPr>
      <w:r>
        <w:t>1</w:t>
      </w:r>
      <w:r>
        <w:rPr>
          <w:rFonts w:hint="eastAsia"/>
        </w:rPr>
        <w:t>.</w:t>
      </w:r>
      <w:r>
        <w:t xml:space="preserve"> </w:t>
      </w:r>
      <w:r>
        <w:rPr>
          <w:rFonts w:hint="eastAsia"/>
        </w:rPr>
        <w:t xml:space="preserve">工业废气排放现状 </w:t>
      </w:r>
    </w:p>
    <w:p>
      <w:pPr>
        <w:ind w:firstLine="480"/>
      </w:pPr>
      <w:r>
        <w:rPr>
          <w:rFonts w:hint="eastAsia"/>
        </w:rPr>
        <w:t>玛纳斯县工业废气污染源主要分布在电力热力的生产和供应业、化学纤维制造业、非金属矿物制品业、石油加工、炼焦及核燃料加工行业。</w:t>
      </w:r>
    </w:p>
    <w:p>
      <w:pPr>
        <w:pStyle w:val="6"/>
        <w:ind w:firstLine="482"/>
      </w:pPr>
      <w:r>
        <w:t>2</w:t>
      </w:r>
      <w:r>
        <w:rPr>
          <w:rFonts w:hint="eastAsia"/>
        </w:rPr>
        <w:t>.</w:t>
      </w:r>
      <w:r>
        <w:t xml:space="preserve"> </w:t>
      </w:r>
      <w:r>
        <w:rPr>
          <w:rFonts w:hint="eastAsia"/>
        </w:rPr>
        <w:t>控制措施</w:t>
      </w:r>
    </w:p>
    <w:p>
      <w:pPr>
        <w:ind w:firstLine="480"/>
      </w:pPr>
      <w:r>
        <w:rPr>
          <w:rFonts w:hint="eastAsia"/>
        </w:rPr>
        <w:t>企业和锅炉引进废气治理设施和除尘设施，严格控制工业重点源废气排放 量。调整产业布局，加快淘汰落后技术和产能的装备。通过多种形式的联合重组，形成资源配置合理、污染物排放达标的绿色发展模式 。</w:t>
      </w:r>
    </w:p>
    <w:p>
      <w:pPr>
        <w:ind w:firstLine="480"/>
      </w:pPr>
      <w:r>
        <w:rPr>
          <w:rFonts w:hint="eastAsia"/>
        </w:rPr>
        <w:t>建议企业环境影响评价增加对湿地公园鸟类影响的分析，在大气污染企业 1500 m范围内采取相应的环保措施。</w:t>
      </w:r>
    </w:p>
    <w:p>
      <w:pPr>
        <w:pStyle w:val="5"/>
      </w:pPr>
      <w:r>
        <w:rPr>
          <w:rFonts w:hint="eastAsia"/>
        </w:rPr>
        <w:t>（三）光污染的控制</w:t>
      </w:r>
    </w:p>
    <w:p>
      <w:pPr>
        <w:ind w:firstLine="480"/>
      </w:pPr>
      <w:r>
        <w:rPr>
          <w:rFonts w:hint="eastAsia"/>
        </w:rPr>
        <w:t>玛纳斯湿地公园西侧的石问子工业园区正处于开发建设中，建议该园区项目环评应考虑建设项目的建设中和运行中的夜晚灯光对玛纳斯湿地公园鸟类的影响，并采取相应的防护措施 。</w:t>
      </w:r>
    </w:p>
    <w:p>
      <w:pPr>
        <w:pStyle w:val="3"/>
        <w:ind w:firstLine="643"/>
      </w:pPr>
      <w:bookmarkStart w:id="117" w:name="_Toc130121685"/>
      <w:r>
        <w:rPr>
          <w:rFonts w:hint="eastAsia"/>
        </w:rPr>
        <w:t>第三节</w:t>
      </w:r>
      <w:r>
        <w:t xml:space="preserve">  </w:t>
      </w:r>
      <w:r>
        <w:rPr>
          <w:rFonts w:hint="eastAsia"/>
        </w:rPr>
        <w:t>社区共建规划</w:t>
      </w:r>
      <w:bookmarkEnd w:id="117"/>
    </w:p>
    <w:p>
      <w:pPr>
        <w:pStyle w:val="4"/>
      </w:pPr>
      <w:r>
        <w:rPr>
          <w:rFonts w:hint="eastAsia"/>
        </w:rPr>
        <w:t>一、社区协调规划的必要性</w:t>
      </w:r>
    </w:p>
    <w:p>
      <w:pPr>
        <w:ind w:firstLine="480"/>
      </w:pPr>
      <w:r>
        <w:rPr>
          <w:rFonts w:hint="eastAsia"/>
        </w:rPr>
        <w:t>湿地公园在相关法律法规的约束下，湿地保护和修复客观上限制了生产活动空间以及传统的资源利用方式，短期内可能会给玛纳斯湿地公园范围周边的村庄发展带来明显影响。世界自然基金会在全世界各类自然保护区内推广“社区共管”模式，可为有效缓解这些矛盾，实现湿地公园与当地社区的共同、可持续发展提供借鉴，在我国的很多湿地保护区中得到了广泛应用。</w:t>
      </w:r>
    </w:p>
    <w:p>
      <w:pPr>
        <w:ind w:firstLine="480"/>
      </w:pPr>
      <w:r>
        <w:rPr>
          <w:rFonts w:hint="eastAsia"/>
        </w:rPr>
        <w:t>规划实施基于保护的社区经济发展项目和联合参与式保护的社区共管项目1项，重视周边社区经济发展。选择和确定社区共管项目要在全面了解问题与威胁，掌握相关方面的现状，系统分析影响资源保护和制约社区经济发展的主要因素的基础上，梳理相关利益者关系，正确选择和确定社区共管项目。</w:t>
      </w:r>
    </w:p>
    <w:p>
      <w:pPr>
        <w:pStyle w:val="4"/>
      </w:pPr>
      <w:r>
        <w:rPr>
          <w:rFonts w:hint="eastAsia"/>
        </w:rPr>
        <w:t>二、社区协调规划</w:t>
      </w:r>
    </w:p>
    <w:p>
      <w:pPr>
        <w:pStyle w:val="5"/>
      </w:pPr>
      <w:r>
        <w:rPr>
          <w:rFonts w:hint="eastAsia"/>
        </w:rPr>
        <w:t>（一）成立玛纳斯国家湿地公园社区共管委员会</w:t>
      </w:r>
    </w:p>
    <w:p>
      <w:pPr>
        <w:ind w:firstLine="480"/>
      </w:pPr>
      <w:r>
        <w:rPr>
          <w:rFonts w:hint="eastAsia"/>
        </w:rPr>
        <w:t>由利益相关主体人员组成共管委员会，提出和规定共管目标，制定共管方案和共管协议，形成共管监督机制，利于湿地资源恢复和保护的发展。</w:t>
      </w:r>
    </w:p>
    <w:p>
      <w:pPr>
        <w:pStyle w:val="5"/>
      </w:pPr>
      <w:r>
        <w:rPr>
          <w:rFonts w:hint="eastAsia"/>
        </w:rPr>
        <w:t>（二） 社区培训</w:t>
      </w:r>
    </w:p>
    <w:p>
      <w:pPr>
        <w:pStyle w:val="6"/>
        <w:ind w:firstLine="482"/>
      </w:pPr>
      <w:r>
        <w:rPr>
          <w:rFonts w:hint="eastAsia"/>
        </w:rPr>
        <w:t>1.</w:t>
      </w:r>
      <w:r>
        <w:t xml:space="preserve"> </w:t>
      </w:r>
      <w:r>
        <w:rPr>
          <w:rFonts w:hint="eastAsia"/>
        </w:rPr>
        <w:t>湿地保护和生态文明教育培训</w:t>
      </w:r>
    </w:p>
    <w:p>
      <w:pPr>
        <w:ind w:firstLine="480"/>
      </w:pPr>
      <w:r>
        <w:rPr>
          <w:rFonts w:hint="eastAsia"/>
        </w:rPr>
        <w:t>主要对社区群众进行环境保护和湿地保护相关内容的培训，以提高居民环境保护的思想觉悟，自发地参与到湿地保护中来。</w:t>
      </w:r>
    </w:p>
    <w:p>
      <w:pPr>
        <w:pStyle w:val="6"/>
        <w:ind w:firstLine="482"/>
      </w:pPr>
      <w:r>
        <w:rPr>
          <w:rFonts w:hint="eastAsia"/>
        </w:rPr>
        <w:t>2.</w:t>
      </w:r>
      <w:r>
        <w:t xml:space="preserve"> </w:t>
      </w:r>
      <w:r>
        <w:rPr>
          <w:rFonts w:hint="eastAsia"/>
        </w:rPr>
        <w:t>生产经营与管理培训</w:t>
      </w:r>
    </w:p>
    <w:p>
      <w:pPr>
        <w:ind w:firstLine="480"/>
      </w:pPr>
      <w:r>
        <w:rPr>
          <w:rFonts w:hint="eastAsia"/>
        </w:rPr>
        <w:t>把一些先进的生产经营和管理理念、思路引进给社区群众，以期改变群众的观念，用比较先进的理念、思路来武装社区群众。把一些先进的、实用的和具体的生产技术、技能传授给社区群众。</w:t>
      </w:r>
    </w:p>
    <w:p>
      <w:pPr>
        <w:pStyle w:val="6"/>
        <w:ind w:firstLine="482"/>
      </w:pPr>
      <w:r>
        <w:t>3</w:t>
      </w:r>
      <w:r>
        <w:rPr>
          <w:rFonts w:hint="eastAsia"/>
        </w:rPr>
        <w:t>.</w:t>
      </w:r>
      <w:r>
        <w:t xml:space="preserve"> </w:t>
      </w:r>
      <w:r>
        <w:rPr>
          <w:rFonts w:hint="eastAsia"/>
        </w:rPr>
        <w:t>生态旅游培训</w:t>
      </w:r>
    </w:p>
    <w:p>
      <w:pPr>
        <w:ind w:firstLine="480"/>
      </w:pPr>
      <w:r>
        <w:rPr>
          <w:rFonts w:hint="eastAsia"/>
        </w:rPr>
        <w:t>进行生态旅游培训，以创造良好的旅游环境和形成可持续发展的旅游产业。</w:t>
      </w:r>
    </w:p>
    <w:p>
      <w:pPr>
        <w:pStyle w:val="5"/>
      </w:pPr>
      <w:r>
        <w:rPr>
          <w:rFonts w:hint="eastAsia"/>
        </w:rPr>
        <w:t>（三）促进居民就业方式的转变</w:t>
      </w:r>
    </w:p>
    <w:p>
      <w:pPr>
        <w:ind w:firstLine="480"/>
      </w:pPr>
      <w:r>
        <w:rPr>
          <w:rFonts w:hint="eastAsia"/>
        </w:rPr>
        <w:t>湿地公园在实行全面保护的前提下，通过合理科学的规划，为周边社区村民寻找合适的替代工作岗位，比如从事湿地公园内的生态旅游服务行业，湿地公园的监控、维护、管理工作。</w:t>
      </w:r>
    </w:p>
    <w:p>
      <w:pPr>
        <w:pStyle w:val="5"/>
      </w:pPr>
      <w:r>
        <w:rPr>
          <w:rFonts w:hint="eastAsia"/>
        </w:rPr>
        <w:t>（四）建立社区居民保障体系</w:t>
      </w:r>
    </w:p>
    <w:p>
      <w:pPr>
        <w:ind w:firstLine="480"/>
      </w:pPr>
      <w:r>
        <w:rPr>
          <w:rFonts w:hint="eastAsia"/>
        </w:rPr>
        <w:t>社区共管模式的建立，可以使保护区最主要的利益相关者——周边社区村民的态度、知识和行为发生积极的转变：从对立到共存的态度转变，从单纯资源利用到与尊重生态协调、持续利用以及科学合理的选择生产生活方式。建立一整套长期的覆盖各类人群的社会保障系统，从就业、住房、上学、医疗等各方面予以保障，促进村民的利益能够在湿地公园的建设中实现共赢。关注周边农田可持续发展，发展生态农业，有利于减少面源污染对湿地公园影响。</w:t>
      </w:r>
    </w:p>
    <w:p>
      <w:pPr>
        <w:ind w:firstLine="480"/>
        <w:rPr>
          <w:rFonts w:eastAsia="黑体"/>
          <w:b/>
          <w:bCs/>
          <w:kern w:val="44"/>
          <w:sz w:val="36"/>
          <w:szCs w:val="44"/>
        </w:rPr>
      </w:pPr>
      <w:r>
        <w:br w:type="page"/>
      </w:r>
    </w:p>
    <w:p>
      <w:pPr>
        <w:pStyle w:val="2"/>
        <w:ind w:firstLine="723"/>
      </w:pPr>
      <w:bookmarkStart w:id="118" w:name="_Toc130121686"/>
      <w:r>
        <w:rPr>
          <w:rFonts w:hint="eastAsia"/>
        </w:rPr>
        <w:t>第十二章</w:t>
      </w:r>
      <w:r>
        <w:t xml:space="preserve">  </w:t>
      </w:r>
      <w:r>
        <w:rPr>
          <w:rFonts w:hint="eastAsia"/>
        </w:rPr>
        <w:t>基础工程规划</w:t>
      </w:r>
      <w:bookmarkEnd w:id="118"/>
    </w:p>
    <w:p>
      <w:pPr>
        <w:pStyle w:val="3"/>
        <w:ind w:firstLine="643"/>
      </w:pPr>
      <w:bookmarkStart w:id="119" w:name="_Toc130121687"/>
      <w:r>
        <w:rPr>
          <w:rFonts w:hint="eastAsia"/>
        </w:rPr>
        <w:t>第一节</w:t>
      </w:r>
      <w:r>
        <w:t xml:space="preserve">  </w:t>
      </w:r>
      <w:r>
        <w:rPr>
          <w:rFonts w:hint="eastAsia"/>
        </w:rPr>
        <w:t>道路交通规划</w:t>
      </w:r>
      <w:bookmarkEnd w:id="119"/>
    </w:p>
    <w:p>
      <w:pPr>
        <w:pStyle w:val="4"/>
      </w:pPr>
      <w:r>
        <w:t>一、道路交通现状</w:t>
      </w:r>
    </w:p>
    <w:p>
      <w:pPr>
        <w:pStyle w:val="5"/>
      </w:pPr>
      <w:r>
        <w:t>（一）外部交通</w:t>
      </w:r>
    </w:p>
    <w:p>
      <w:pPr>
        <w:pStyle w:val="6"/>
        <w:ind w:firstLine="482"/>
      </w:pPr>
      <w:r>
        <w:t>1. 公路交通</w:t>
      </w:r>
    </w:p>
    <w:p>
      <w:pPr>
        <w:ind w:firstLine="480"/>
      </w:pPr>
      <w:r>
        <w:rPr>
          <w:rFonts w:hint="eastAsia"/>
        </w:rPr>
        <w:t>公路初步形成以国道、高速公路、省道为主骨架，以农村公路网为脉络的“两纵五横三联络”的公路网结构。其中县道X158，X155，X894南北贯穿规划区，省道S201东西向绕过规划区北界，国道G312与G30高速已高架形式穿过规划区南端，且已为其预留建设通道，不影响道路运行及原址改建。玛纳斯县率先在全疆实现城乡公交标准化运营。</w:t>
      </w:r>
    </w:p>
    <w:p>
      <w:pPr>
        <w:pStyle w:val="6"/>
        <w:ind w:firstLine="482"/>
      </w:pPr>
      <w:r>
        <w:t>2. 机场</w:t>
      </w:r>
    </w:p>
    <w:p>
      <w:pPr>
        <w:ind w:firstLine="480"/>
      </w:pPr>
      <w:r>
        <w:rPr>
          <w:rFonts w:hint="eastAsia"/>
        </w:rPr>
        <w:t>玛纳斯</w:t>
      </w:r>
      <w:r>
        <w:t>县最近的机场为</w:t>
      </w:r>
      <w:r>
        <w:rPr>
          <w:rFonts w:hint="eastAsia"/>
        </w:rPr>
        <w:t>石河子花园</w:t>
      </w:r>
      <w:r>
        <w:t>机场</w:t>
      </w:r>
      <w:r>
        <w:rPr>
          <w:rFonts w:hint="eastAsia"/>
        </w:rPr>
        <w:t>，距离3</w:t>
      </w:r>
      <w:r>
        <w:t>0</w:t>
      </w:r>
      <w:r>
        <w:rPr>
          <w:rFonts w:hint="eastAsia"/>
        </w:rPr>
        <w:t>km，距离乌鲁木齐地窝堡国际机场1</w:t>
      </w:r>
      <w:r>
        <w:t>20</w:t>
      </w:r>
      <w:r>
        <w:rPr>
          <w:rFonts w:hint="eastAsia"/>
        </w:rPr>
        <w:t>km</w:t>
      </w:r>
      <w:r>
        <w:t>。为满足旅游产业发展和未来通勤需要，同时作为交通应急保障工具，结合风景旅游区建设小型直升机场。</w:t>
      </w:r>
    </w:p>
    <w:p>
      <w:pPr>
        <w:pStyle w:val="6"/>
        <w:ind w:firstLine="482"/>
      </w:pPr>
      <w:r>
        <w:t>3. 铁路</w:t>
      </w:r>
    </w:p>
    <w:p>
      <w:pPr>
        <w:ind w:firstLine="480"/>
      </w:pPr>
      <w:r>
        <w:rPr>
          <w:rFonts w:hint="eastAsia"/>
        </w:rPr>
        <w:t>北疆铁路从玛纳斯县城南部东西向穿过，在县城南部设有玛纳斯火车站。</w:t>
      </w:r>
    </w:p>
    <w:p>
      <w:pPr>
        <w:pStyle w:val="5"/>
      </w:pPr>
      <w:r>
        <w:t>（二）内部交通</w:t>
      </w:r>
    </w:p>
    <w:p>
      <w:pPr>
        <w:ind w:firstLine="480"/>
      </w:pPr>
      <w:r>
        <w:t>规划中合理利用区的景区内部已经修建道路，目前完成了部分路网的改造和新建工程，部分区域已经建立与</w:t>
      </w:r>
      <w:r>
        <w:rPr>
          <w:rFonts w:hint="eastAsia"/>
        </w:rPr>
        <w:t>主要道路</w:t>
      </w:r>
      <w:r>
        <w:t>的连接，构建了项目区外部观景平台等。</w:t>
      </w:r>
    </w:p>
    <w:p>
      <w:pPr>
        <w:ind w:firstLine="480"/>
      </w:pPr>
      <w:r>
        <w:t>项目区其它区域范围内，</w:t>
      </w:r>
      <w:r>
        <w:rPr>
          <w:rFonts w:hint="eastAsia"/>
        </w:rPr>
        <w:t>主要由农村道路进行连接，</w:t>
      </w:r>
      <w:r>
        <w:t>部分区域具备了基本的巡护道路条件，</w:t>
      </w:r>
      <w:r>
        <w:rPr>
          <w:rFonts w:hint="eastAsia"/>
        </w:rPr>
        <w:t>缺少</w:t>
      </w:r>
      <w:r>
        <w:t>系统的道路交通规划。</w:t>
      </w:r>
    </w:p>
    <w:p>
      <w:pPr>
        <w:pStyle w:val="4"/>
      </w:pPr>
      <w:r>
        <w:t>二、发展目标</w:t>
      </w:r>
    </w:p>
    <w:p>
      <w:pPr>
        <w:ind w:firstLine="480"/>
      </w:pPr>
      <w:r>
        <w:t>根据分区规划与项目布置，在合理利用区的建立与外部交通干线的连接并设立公园出入口，规划区范围内的巡护道路，通过公园内生态旅游线路组织并优化湿地公园的内部交通网络，使项目区交通结构合理化，建立较完善的交通体系。</w:t>
      </w:r>
    </w:p>
    <w:p>
      <w:pPr>
        <w:pStyle w:val="4"/>
      </w:pPr>
      <w:r>
        <w:t>三、项目区道路交通规划</w:t>
      </w:r>
    </w:p>
    <w:p>
      <w:pPr>
        <w:pStyle w:val="5"/>
      </w:pPr>
      <w:r>
        <w:t>（一）外部交通规划</w:t>
      </w:r>
    </w:p>
    <w:p>
      <w:pPr>
        <w:ind w:firstLine="480"/>
      </w:pPr>
      <w:r>
        <w:t>建立项目区与</w:t>
      </w:r>
      <w:r>
        <w:rPr>
          <w:rFonts w:hint="eastAsia"/>
        </w:rPr>
        <w:t>省道</w:t>
      </w:r>
      <w:r>
        <w:t>以及附近的城市交通主干道的有机连接，</w:t>
      </w:r>
      <w:r>
        <w:rPr>
          <w:rFonts w:hint="eastAsia"/>
        </w:rPr>
        <w:t>G312线穿过莫和渠，</w:t>
      </w:r>
      <w:r>
        <w:t>使湿地公园与周边的道路联系更加便捷，方便游客出入。</w:t>
      </w:r>
    </w:p>
    <w:p>
      <w:pPr>
        <w:ind w:firstLine="480"/>
      </w:pPr>
      <w:r>
        <w:t>联合旅游、交通部门组织成立游客集散中心，</w:t>
      </w:r>
      <w:r>
        <w:rPr>
          <w:kern w:val="0"/>
        </w:rPr>
        <w:t>打造多功能“旅游超市”，为游客提供旅游线路、自助组合、旅游信息，并提供舒适的各档次的旅游交通服务。</w:t>
      </w:r>
    </w:p>
    <w:p>
      <w:pPr>
        <w:pStyle w:val="5"/>
      </w:pPr>
      <w:r>
        <w:t>（二）内部交通规划</w:t>
      </w:r>
    </w:p>
    <w:p>
      <w:pPr>
        <w:pStyle w:val="6"/>
        <w:ind w:firstLine="482"/>
      </w:pPr>
      <w:r>
        <w:t>1. 停车场</w:t>
      </w:r>
    </w:p>
    <w:p>
      <w:pPr>
        <w:ind w:firstLine="480"/>
      </w:pPr>
      <w:r>
        <w:t>（1）生态停车场</w:t>
      </w:r>
    </w:p>
    <w:p>
      <w:pPr>
        <w:ind w:firstLine="480"/>
      </w:pPr>
      <w:r>
        <w:t>在公园出入口处及游客集散区域设置相应规模的停车场</w:t>
      </w:r>
      <w:r>
        <w:rPr>
          <w:rFonts w:hint="eastAsia"/>
        </w:rPr>
        <w:t>3处</w:t>
      </w:r>
      <w:r>
        <w:t>，停车场根据车辆性质分区设置。停车场以生态性建设为主，采用小砂砾等自然材质。在停车场外围及分车带栽植树木，既美化环境又起到了相应的分隔作用。</w:t>
      </w:r>
    </w:p>
    <w:p>
      <w:pPr>
        <w:ind w:firstLine="480"/>
      </w:pPr>
      <w:r>
        <w:t>（2）营地停车</w:t>
      </w:r>
    </w:p>
    <w:p>
      <w:pPr>
        <w:ind w:firstLine="480"/>
      </w:pPr>
      <w:r>
        <w:t>设立房车、自驾体验游营地</w:t>
      </w:r>
      <w:r>
        <w:rPr>
          <w:rFonts w:hint="eastAsia"/>
        </w:rPr>
        <w:t>2处</w:t>
      </w:r>
      <w:r>
        <w:t>。房车营地满足“房”的补给，专用停车位、饮用水、照明电补给、排污及安全等服务。停靠式营地做到提供简单的房车补给即可，如生活用电、上下水、排污等，作为人们旅程中的补给、短暂休息的场所。</w:t>
      </w:r>
    </w:p>
    <w:p>
      <w:pPr>
        <w:pStyle w:val="6"/>
        <w:ind w:firstLine="482"/>
      </w:pPr>
      <w:r>
        <w:t>2. 车行道</w:t>
      </w:r>
    </w:p>
    <w:p>
      <w:pPr>
        <w:ind w:firstLine="480"/>
      </w:pPr>
      <w:r>
        <w:rPr>
          <w:rFonts w:hint="eastAsia"/>
        </w:rPr>
        <w:t>建设车行道3km。</w:t>
      </w:r>
      <w:r>
        <w:t>结合管理服务设置停车场，在合理利用区规划完善的路网系统，车行道以单行为主，便于电瓶车行走，路宽3~4m。在园区兴趣点附近增设停靠驿站。设置专门的环卫车辆和消防车辆通道，宽度4~6m。</w:t>
      </w:r>
    </w:p>
    <w:p>
      <w:pPr>
        <w:pStyle w:val="6"/>
        <w:ind w:firstLine="482"/>
      </w:pPr>
      <w:r>
        <w:t>3. 人行道</w:t>
      </w:r>
    </w:p>
    <w:p>
      <w:pPr>
        <w:ind w:firstLine="480"/>
      </w:pPr>
      <w:r>
        <w:t>（1）木栈道</w:t>
      </w:r>
    </w:p>
    <w:p>
      <w:pPr>
        <w:ind w:firstLine="480"/>
      </w:pPr>
      <w:r>
        <w:rPr>
          <w:rFonts w:hint="eastAsia"/>
        </w:rPr>
        <w:t>建设木栈道1</w:t>
      </w:r>
      <w:r>
        <w:t xml:space="preserve">0 </w:t>
      </w:r>
      <w:r>
        <w:rPr>
          <w:rFonts w:hint="eastAsia"/>
        </w:rPr>
        <w:t>km。</w:t>
      </w:r>
      <w:r>
        <w:t>内部交通除了电瓶车道路，以观景栈道为主连接各兴趣点，以木栈道、生态步道结合的形式，不影响河道行洪和水文贯通，设计宽度1.5~2.0m。交通汇集的地方设计安全岛，适当扩大活动空间。设立休息驿站</w:t>
      </w:r>
      <w:r>
        <w:rPr>
          <w:rFonts w:hint="eastAsia"/>
        </w:rPr>
        <w:t>1</w:t>
      </w:r>
      <w:r>
        <w:t>0</w:t>
      </w:r>
      <w:r>
        <w:rPr>
          <w:rFonts w:hint="eastAsia"/>
        </w:rPr>
        <w:t>处</w:t>
      </w:r>
      <w:r>
        <w:t>。</w:t>
      </w:r>
    </w:p>
    <w:p>
      <w:pPr>
        <w:ind w:firstLine="480"/>
      </w:pPr>
      <w:r>
        <w:t>（2）健身步道</w:t>
      </w:r>
    </w:p>
    <w:p>
      <w:pPr>
        <w:ind w:firstLine="480"/>
      </w:pPr>
      <w:r>
        <w:rPr>
          <w:rFonts w:hint="eastAsia"/>
        </w:rPr>
        <w:t>建设健身步道2</w:t>
      </w:r>
      <w:r>
        <w:t xml:space="preserve">0 </w:t>
      </w:r>
      <w:r>
        <w:rPr>
          <w:rFonts w:hint="eastAsia"/>
        </w:rPr>
        <w:t>km。</w:t>
      </w:r>
      <w:r>
        <w:t>鼓励游客以低碳方式参与园区旅游，设定不同形式和距离的健身步道。</w:t>
      </w:r>
    </w:p>
    <w:p>
      <w:pPr>
        <w:pStyle w:val="6"/>
        <w:ind w:firstLine="482"/>
      </w:pPr>
      <w:r>
        <w:t>3. 巡护道路</w:t>
      </w:r>
    </w:p>
    <w:p>
      <w:pPr>
        <w:ind w:firstLine="480"/>
      </w:pPr>
      <w:r>
        <w:rPr>
          <w:rFonts w:hint="eastAsia"/>
        </w:rPr>
        <w:t>巡护道路提升</w:t>
      </w:r>
      <w:r>
        <w:t xml:space="preserve">24 </w:t>
      </w:r>
      <w:r>
        <w:rPr>
          <w:rFonts w:hint="eastAsia"/>
        </w:rPr>
        <w:t>km。</w:t>
      </w:r>
      <w:r>
        <w:t>在项目区周边设置巡护道，规划建设巡护道路，不额外占用土地，尽量利用现状道路，根据各区域的实际情况和交通工具，设计不同宽度，以方便公园管理人员能够及时掌握项目区的情况，便于管理。</w:t>
      </w:r>
    </w:p>
    <w:p>
      <w:pPr>
        <w:pStyle w:val="6"/>
        <w:ind w:firstLine="482"/>
      </w:pPr>
      <w:r>
        <w:t>4. 水上交通</w:t>
      </w:r>
    </w:p>
    <w:p>
      <w:pPr>
        <w:ind w:firstLine="480"/>
      </w:pPr>
      <w:r>
        <w:t>利用相对开阔的水面在合理利用区规划水上游览线路，开展生态旅游体验、探险等参与式活动，水上交通工具（游船、独木舟、皮划艇等）的环保准入标准、规格、使用条件、安全措施、应急反应机制等按照相关规定执行。</w:t>
      </w:r>
    </w:p>
    <w:p>
      <w:pPr>
        <w:pStyle w:val="6"/>
        <w:ind w:firstLine="482"/>
      </w:pPr>
      <w:r>
        <w:t>5. 交通工具</w:t>
      </w:r>
    </w:p>
    <w:p>
      <w:pPr>
        <w:ind w:firstLine="480"/>
      </w:pPr>
      <w:r>
        <w:t>到达</w:t>
      </w:r>
      <w:r>
        <w:rPr>
          <w:rFonts w:hint="eastAsia"/>
        </w:rPr>
        <w:t>规划</w:t>
      </w:r>
      <w:r>
        <w:t>区的交通工具多样化，旅游巴士主要针对旅游团体，轿车、自行车用于旅行散客的车辆租赁、自驾游等，划定区域用于房车客源的深度体验。换乘园区内部交通工具电瓶车、脚踏车、马匹、船舶（电动船、皮划艇、独木舟）等，满足不同人群和管理的个性需求。园区内部的巡护采用摩托车、电动车、马匹等。</w:t>
      </w:r>
    </w:p>
    <w:p>
      <w:pPr>
        <w:pStyle w:val="3"/>
        <w:ind w:firstLine="643"/>
      </w:pPr>
      <w:bookmarkStart w:id="120" w:name="_Toc18146"/>
      <w:bookmarkStart w:id="121" w:name="_Toc130121688"/>
      <w:r>
        <w:t>第二节  电力</w:t>
      </w:r>
      <w:r>
        <w:rPr>
          <w:rFonts w:hint="eastAsia"/>
        </w:rPr>
        <w:t>、</w:t>
      </w:r>
      <w:r>
        <w:t>电信工程规划</w:t>
      </w:r>
      <w:bookmarkEnd w:id="120"/>
      <w:bookmarkEnd w:id="121"/>
    </w:p>
    <w:p>
      <w:pPr>
        <w:ind w:firstLine="480"/>
      </w:pPr>
      <w:r>
        <w:t>规划区内用电主要包括科普展示教育场馆、</w:t>
      </w:r>
      <w:r>
        <w:rPr>
          <w:rFonts w:hint="eastAsia"/>
        </w:rPr>
        <w:t>科研中心、</w:t>
      </w:r>
      <w:r>
        <w:t>生态旅游休闲活动场所、餐饮饭店、商业零售场所等服务设施和</w:t>
      </w:r>
      <w:r>
        <w:rPr>
          <w:rFonts w:hint="eastAsia"/>
        </w:rPr>
        <w:t>保护</w:t>
      </w:r>
      <w:r>
        <w:t>管理办公场所、游客服务中心等配套服务场所的用电，以及湿地公园内广场、道路照明用电等。</w:t>
      </w:r>
    </w:p>
    <w:p>
      <w:pPr>
        <w:ind w:firstLine="480"/>
      </w:pPr>
      <w:r>
        <w:t>湿地公园的用电量负荷要求，引自相邻的变电所（站）。根据规划区内的用电量负荷预测情况，在公园的接待服务设施用地区域内，设置园区配电所及开关站，从园区近邻变电所（站）引入供电电源。</w:t>
      </w:r>
      <w:r>
        <w:rPr>
          <w:rFonts w:hint="eastAsia"/>
        </w:rPr>
        <w:t>不能引入的地方，安装太阳能灯具等清洁能源。</w:t>
      </w:r>
      <w:r>
        <w:t>同时考虑与园区其他附属配套建筑合建，建筑形式特别注意考虑与周围景观环境的协调统一，并适当提高建筑标准。供电线路敷设，采用电缆管孔排管埋地敷设，沿园区现有或规划道路一侧埋设电力电缆管孔数按湿地公园最大用电负荷需求量决定，并根据不同规划期限，考虑近远期结合和分期实施的要求，预留容量，一次埋入。</w:t>
      </w:r>
    </w:p>
    <w:p>
      <w:pPr>
        <w:ind w:firstLine="480"/>
      </w:pPr>
      <w:r>
        <w:rPr>
          <w:rFonts w:hint="eastAsia"/>
        </w:rPr>
        <w:t>新建4个通信铁塔：（1）玛纳斯县老海子游客集散中心（经度E:86.280858 纬度N:44.397185），（2）玛纳斯县天鹅园管护站（经度E:86.146744，纬度：44.412710）          （3）玛纳斯县植物园（经度E:86.128405，纬度N:44.397203），（4）玛纳斯湿地雁飞台（经度E</w:t>
      </w:r>
      <w:r>
        <w:t>:</w:t>
      </w:r>
      <w:r>
        <w:rPr>
          <w:rFonts w:hint="eastAsia"/>
        </w:rPr>
        <w:t>86.174940，纬度</w:t>
      </w:r>
      <w:r>
        <w:t>N:</w:t>
      </w:r>
      <w:r>
        <w:rPr>
          <w:rFonts w:hint="eastAsia"/>
        </w:rPr>
        <w:t>44.427543）。</w:t>
      </w:r>
    </w:p>
    <w:p>
      <w:pPr>
        <w:pStyle w:val="3"/>
        <w:ind w:firstLine="643"/>
      </w:pPr>
      <w:bookmarkStart w:id="122" w:name="_Toc130121689"/>
      <w:bookmarkStart w:id="123" w:name="_Toc2463"/>
      <w:r>
        <w:t>第三节  给排水工程规划</w:t>
      </w:r>
      <w:bookmarkEnd w:id="122"/>
      <w:bookmarkEnd w:id="123"/>
    </w:p>
    <w:p>
      <w:pPr>
        <w:ind w:firstLine="480"/>
      </w:pPr>
      <w:r>
        <w:rPr>
          <w:rFonts w:hint="eastAsia"/>
        </w:rPr>
        <w:t>玛纳斯国家湿地公园</w:t>
      </w:r>
      <w:r>
        <w:t>内的用水需求按用水类型划分，主要包括生活用水、市政用水和消防用水三大类，规划区内各场馆、设施用水量需求预测指标，参照《城市给水工程规划规范》(</w:t>
      </w:r>
      <w:r>
        <w:rPr>
          <w:rFonts w:hint="eastAsia"/>
        </w:rPr>
        <w:t>GB50282－2016</w:t>
      </w:r>
      <w:r>
        <w:t>)、《室外给水设计规范》(GB50013-2006)等相关</w:t>
      </w:r>
      <w:r>
        <w:rPr>
          <w:rFonts w:hint="eastAsia"/>
        </w:rPr>
        <w:t>规范和标准</w:t>
      </w:r>
      <w:r>
        <w:t>，并结合</w:t>
      </w:r>
      <w:r>
        <w:rPr>
          <w:rFonts w:hint="eastAsia"/>
        </w:rPr>
        <w:t>玛纳斯县</w:t>
      </w:r>
      <w:r>
        <w:t>城镇用水量标准情况确定。</w:t>
      </w:r>
    </w:p>
    <w:p>
      <w:pPr>
        <w:pStyle w:val="4"/>
      </w:pPr>
      <w:r>
        <w:t>一、给水工程规划</w:t>
      </w:r>
    </w:p>
    <w:p>
      <w:pPr>
        <w:pStyle w:val="5"/>
      </w:pPr>
      <w:r>
        <w:rPr>
          <w:rFonts w:hint="eastAsia"/>
        </w:rPr>
        <w:t>（一）生态用水</w:t>
      </w:r>
    </w:p>
    <w:p>
      <w:pPr>
        <w:pStyle w:val="6"/>
        <w:ind w:firstLine="482"/>
      </w:pPr>
      <w:r>
        <w:rPr>
          <w:rFonts w:hint="eastAsia"/>
        </w:rPr>
        <w:t>1.</w:t>
      </w:r>
      <w:r>
        <w:t xml:space="preserve"> </w:t>
      </w:r>
      <w:r>
        <w:rPr>
          <w:rFonts w:hint="eastAsia"/>
        </w:rPr>
        <w:t>灌渠补水</w:t>
      </w:r>
    </w:p>
    <w:p>
      <w:pPr>
        <w:ind w:firstLine="480"/>
      </w:pPr>
      <w:r>
        <w:rPr>
          <w:rFonts w:hint="eastAsia"/>
        </w:rPr>
        <w:t>六阜渠、莫合渠是库塘湿地的引水渠，对周边绿洲稳定性具有重要作用，加上规划区内原有的自然河道，对于规划区的地下水补充具有重要作用。注重对引水渠系的保护，在水质方面进行空间管控的同时，发挥其水资源输运和调蓄功能，满足规划区生态用水水量。</w:t>
      </w:r>
    </w:p>
    <w:p>
      <w:pPr>
        <w:pStyle w:val="6"/>
        <w:ind w:firstLine="482"/>
      </w:pPr>
      <w:r>
        <w:rPr>
          <w:rFonts w:hint="eastAsia"/>
        </w:rPr>
        <w:t>2.</w:t>
      </w:r>
      <w:r>
        <w:t xml:space="preserve"> </w:t>
      </w:r>
      <w:r>
        <w:rPr>
          <w:rFonts w:hint="eastAsia"/>
        </w:rPr>
        <w:t>泉水补充</w:t>
      </w:r>
    </w:p>
    <w:p>
      <w:pPr>
        <w:ind w:firstLine="480"/>
      </w:pPr>
      <w:r>
        <w:rPr>
          <w:rFonts w:hint="eastAsia"/>
        </w:rPr>
        <w:t>规划区地处天山北坡泉水溢出带，地下水资源丰富，在对地下水开采进行有序管理的同时，在干旱季节通过对泉水补充溢出口的泉水导流，进入玛纳斯湿地补充生态需水需求。</w:t>
      </w:r>
    </w:p>
    <w:p>
      <w:pPr>
        <w:pStyle w:val="5"/>
      </w:pPr>
      <w:r>
        <w:rPr>
          <w:rFonts w:hint="eastAsia"/>
        </w:rPr>
        <w:t>（二）生活用水</w:t>
      </w:r>
    </w:p>
    <w:p>
      <w:pPr>
        <w:ind w:firstLine="480"/>
        <w:rPr>
          <w:rFonts w:ascii="宋体" w:hAnsi="宋体"/>
        </w:rPr>
      </w:pPr>
      <w:r>
        <w:rPr>
          <w:rFonts w:ascii="宋体" w:hAnsi="宋体"/>
        </w:rPr>
        <w:t>根据</w:t>
      </w:r>
      <w:r>
        <w:rPr>
          <w:rFonts w:hint="eastAsia" w:ascii="宋体" w:hAnsi="宋体"/>
        </w:rPr>
        <w:t>玛纳斯国家湿地公园</w:t>
      </w:r>
      <w:r>
        <w:rPr>
          <w:rFonts w:ascii="宋体" w:hAnsi="宋体"/>
        </w:rPr>
        <w:t>所在地供水设施规划建设情况，规划期内湿地公园的用水量需求引自规划区城市市政供水管网、供水水质符合国家《生活饮用水卫生标准》(GB5749-85)要求；供水管道管径按湿地公园最高日用水需求量确定，</w:t>
      </w:r>
      <w:bookmarkStart w:id="124" w:name="page96"/>
      <w:bookmarkEnd w:id="124"/>
      <w:r>
        <w:rPr>
          <w:rFonts w:ascii="宋体" w:hAnsi="宋体"/>
        </w:rPr>
        <w:t>并根据不同规划期限，考虑近远期结合分期实施的要求。供水干管管径为DN100—DN150。管道沿现有或规划道路敷设，埋深（管顶覆土厚度）根据本地气候、水文地质条件和地面荷载情况，按照规范要求采用不同的埋深。</w:t>
      </w:r>
    </w:p>
    <w:p>
      <w:pPr>
        <w:pStyle w:val="4"/>
      </w:pPr>
      <w:r>
        <w:t>二、排水工程规划</w:t>
      </w:r>
    </w:p>
    <w:p>
      <w:pPr>
        <w:ind w:firstLine="480"/>
        <w:rPr>
          <w:rFonts w:ascii="宋体" w:hAnsi="宋体"/>
        </w:rPr>
      </w:pPr>
      <w:r>
        <w:rPr>
          <w:rFonts w:hint="eastAsia"/>
        </w:rPr>
        <w:t>靠近城市建设</w:t>
      </w:r>
      <w:r>
        <w:t>区所产生的全部生活污水，经污水管道收集后，进入公园外围市政排水管道，统一排至城市污水处理厂进行集中处理。</w:t>
      </w:r>
      <w:r>
        <w:rPr>
          <w:rFonts w:ascii="宋体" w:hAnsi="宋体"/>
        </w:rPr>
        <w:t>周边</w:t>
      </w:r>
      <w:r>
        <w:rPr>
          <w:rFonts w:hint="eastAsia" w:ascii="宋体" w:hAnsi="宋体"/>
        </w:rPr>
        <w:t>社区的污水收集应进行统一规划，结合乡村振兴规划相关标准，规划污水收集管网和污水处理设施，在</w:t>
      </w:r>
      <w:r>
        <w:rPr>
          <w:rFonts w:ascii="宋体" w:hAnsi="宋体"/>
        </w:rPr>
        <w:t>村庄附近规划人工湿地污水处理设施，满足周边村庄生活污水的净化处理功能。</w:t>
      </w:r>
    </w:p>
    <w:p>
      <w:pPr>
        <w:ind w:firstLine="480"/>
        <w:rPr>
          <w:rFonts w:ascii="宋体" w:hAnsi="宋体"/>
        </w:rPr>
      </w:pPr>
      <w:r>
        <w:rPr>
          <w:rFonts w:ascii="宋体" w:hAnsi="宋体"/>
        </w:rPr>
        <w:t>规划污水管管径采用 DN150-DN200。管道布置充分利用地形坡度条件，沿规划道路布置；管材采用新型塑料排水管。</w:t>
      </w:r>
    </w:p>
    <w:p>
      <w:pPr>
        <w:ind w:firstLine="480"/>
        <w:rPr>
          <w:rFonts w:ascii="宋体" w:hAnsi="宋体"/>
        </w:rPr>
      </w:pPr>
      <w:r>
        <w:rPr>
          <w:rFonts w:ascii="宋体" w:hAnsi="宋体"/>
        </w:rPr>
        <w:t>湿地公园内的雨水排除，充分利用地形条件，按照高水高排、低水低排的原则，就近排入邻近的河湖沼泽湿地等规划区的天然或人工水体，不需进行处理。雨水可采取溢流式管井或地表径流先汇入集水域，经过湿地植物的净化及沉淀后进入湿地水系循环系统。</w:t>
      </w:r>
    </w:p>
    <w:p>
      <w:pPr>
        <w:pStyle w:val="3"/>
        <w:spacing w:before="156" w:beforeLines="50" w:after="156" w:afterLines="50" w:line="360" w:lineRule="auto"/>
        <w:ind w:firstLine="643"/>
        <w:rPr>
          <w:rFonts w:ascii="Times New Roman" w:hAnsi="Times New Roman"/>
        </w:rPr>
      </w:pPr>
      <w:bookmarkStart w:id="125" w:name="_Toc130121690"/>
      <w:bookmarkStart w:id="126" w:name="_Toc7068"/>
      <w:r>
        <w:rPr>
          <w:rFonts w:ascii="Times New Roman" w:hAnsi="Times New Roman"/>
        </w:rPr>
        <w:t>第四节  供热</w:t>
      </w:r>
      <w:r>
        <w:rPr>
          <w:rFonts w:hint="eastAsia" w:ascii="Times New Roman" w:hAnsi="Times New Roman"/>
        </w:rPr>
        <w:t>和燃气</w:t>
      </w:r>
      <w:r>
        <w:rPr>
          <w:rFonts w:ascii="Times New Roman" w:hAnsi="Times New Roman"/>
        </w:rPr>
        <w:t>工程规划</w:t>
      </w:r>
      <w:bookmarkEnd w:id="125"/>
      <w:bookmarkEnd w:id="126"/>
    </w:p>
    <w:p>
      <w:pPr>
        <w:pStyle w:val="4"/>
      </w:pPr>
      <w:r>
        <w:t>一、规划原则</w:t>
      </w:r>
    </w:p>
    <w:p>
      <w:pPr>
        <w:ind w:firstLine="480"/>
      </w:pPr>
      <w:r>
        <w:t>冬季属于湿地公园旅游的淡季，考虑游客及景区管理服务人员对供暖的</w:t>
      </w:r>
      <w:r>
        <w:rPr>
          <w:rFonts w:hint="eastAsia"/>
        </w:rPr>
        <w:t>需求</w:t>
      </w:r>
      <w:r>
        <w:t>，尽可能减少供暖设施以及能源浪费，同时降低工程实施对环境与景观的影响。</w:t>
      </w:r>
    </w:p>
    <w:p>
      <w:pPr>
        <w:pStyle w:val="4"/>
      </w:pPr>
      <w:r>
        <w:t>二、供热布局</w:t>
      </w:r>
    </w:p>
    <w:p>
      <w:pPr>
        <w:ind w:firstLine="480"/>
      </w:pPr>
      <w:r>
        <w:t>主要采暖区域为合理利用区的旅游服务设施以及管理办公设施，可以采用分散供暖方式，布设地源热泵等清洁环保的供热设备，供热管线应沿公园主干道与支路布设。在供热需求量较少有分布不集中的供热单位可采用太阳能、电能供暖。</w:t>
      </w:r>
      <w:bookmarkStart w:id="127" w:name="page97"/>
      <w:bookmarkEnd w:id="127"/>
    </w:p>
    <w:p>
      <w:pPr>
        <w:pStyle w:val="4"/>
      </w:pPr>
      <w:r>
        <w:rPr>
          <w:rFonts w:hint="eastAsia"/>
        </w:rPr>
        <w:t>三</w:t>
      </w:r>
      <w:r>
        <w:t>、</w:t>
      </w:r>
      <w:r>
        <w:rPr>
          <w:rFonts w:hint="eastAsia"/>
        </w:rPr>
        <w:t>燃气</w:t>
      </w:r>
      <w:r>
        <w:t>布局</w:t>
      </w:r>
    </w:p>
    <w:p>
      <w:pPr>
        <w:ind w:firstLine="480"/>
        <w:rPr>
          <w:rFonts w:eastAsia="黑体"/>
          <w:b/>
          <w:bCs/>
          <w:kern w:val="44"/>
          <w:sz w:val="36"/>
          <w:szCs w:val="44"/>
        </w:rPr>
      </w:pPr>
      <w:r>
        <w:rPr>
          <w:rFonts w:ascii="宋体" w:hAnsi="宋体"/>
        </w:rPr>
        <w:t>燃气使用单位主要是旅游服务设施，用气单位少且用气总量小</w:t>
      </w:r>
      <w:r>
        <w:rPr>
          <w:rFonts w:hint="eastAsia" w:ascii="宋体" w:hAnsi="宋体"/>
        </w:rPr>
        <w:t>且</w:t>
      </w:r>
      <w:r>
        <w:rPr>
          <w:rFonts w:ascii="宋体" w:hAnsi="宋体"/>
        </w:rPr>
        <w:t>时段</w:t>
      </w:r>
      <w:r>
        <w:rPr>
          <w:rFonts w:hint="eastAsia" w:ascii="宋体" w:hAnsi="宋体"/>
        </w:rPr>
        <w:t>、</w:t>
      </w:r>
      <w:r>
        <w:rPr>
          <w:rFonts w:ascii="宋体" w:hAnsi="宋体"/>
        </w:rPr>
        <w:t>布局分布分散。规划在湿地公园内使用</w:t>
      </w:r>
      <w:r>
        <w:rPr>
          <w:rFonts w:hint="eastAsia" w:ascii="宋体" w:hAnsi="宋体"/>
        </w:rPr>
        <w:t>罐</w:t>
      </w:r>
      <w:r>
        <w:rPr>
          <w:rFonts w:ascii="宋体" w:hAnsi="宋体"/>
        </w:rPr>
        <w:t>装液化石油气，结合</w:t>
      </w:r>
      <w:r>
        <w:rPr>
          <w:rFonts w:hint="eastAsia" w:ascii="宋体" w:hAnsi="宋体"/>
        </w:rPr>
        <w:t>周边社区</w:t>
      </w:r>
      <w:r>
        <w:rPr>
          <w:rFonts w:ascii="宋体" w:hAnsi="宋体"/>
        </w:rPr>
        <w:t>居民点设置</w:t>
      </w:r>
      <w:r>
        <w:rPr>
          <w:rFonts w:hint="eastAsia" w:ascii="宋体" w:hAnsi="宋体"/>
        </w:rPr>
        <w:t>罐</w:t>
      </w:r>
      <w:r>
        <w:rPr>
          <w:rFonts w:ascii="宋体" w:hAnsi="宋体"/>
        </w:rPr>
        <w:t>装液化气供应点。随着</w:t>
      </w:r>
      <w:r>
        <w:rPr>
          <w:rFonts w:hint="eastAsia" w:ascii="宋体" w:hAnsi="宋体"/>
        </w:rPr>
        <w:t>玛纳斯县</w:t>
      </w:r>
      <w:r>
        <w:rPr>
          <w:rFonts w:ascii="宋体" w:hAnsi="宋体"/>
        </w:rPr>
        <w:t>燃气管网的普及，以及公园内用气量需求的增加，可以在距离城市管网较近的片区铺设燃气管道，使用市政统一供气。</w:t>
      </w:r>
      <w:r>
        <w:br w:type="page"/>
      </w:r>
    </w:p>
    <w:p>
      <w:pPr>
        <w:pStyle w:val="2"/>
        <w:ind w:firstLine="723"/>
      </w:pPr>
      <w:bookmarkStart w:id="128" w:name="_Toc130121691"/>
      <w:r>
        <w:rPr>
          <w:rFonts w:hint="eastAsia"/>
        </w:rPr>
        <w:t>第十三章</w:t>
      </w:r>
      <w:r>
        <w:t xml:space="preserve">  </w:t>
      </w:r>
      <w:r>
        <w:rPr>
          <w:rFonts w:hint="eastAsia"/>
        </w:rPr>
        <w:t>投资估算与效益评价</w:t>
      </w:r>
      <w:bookmarkEnd w:id="128"/>
    </w:p>
    <w:p>
      <w:pPr>
        <w:pStyle w:val="3"/>
        <w:ind w:firstLine="643"/>
      </w:pPr>
      <w:bookmarkStart w:id="129" w:name="_Toc130121692"/>
      <w:r>
        <w:rPr>
          <w:rFonts w:hint="eastAsia"/>
        </w:rPr>
        <w:t>第一节</w:t>
      </w:r>
      <w:r>
        <w:t xml:space="preserve">  </w:t>
      </w:r>
      <w:r>
        <w:rPr>
          <w:rFonts w:hint="eastAsia"/>
        </w:rPr>
        <w:t>投资估算编制说明</w:t>
      </w:r>
      <w:bookmarkEnd w:id="129"/>
    </w:p>
    <w:p>
      <w:pPr>
        <w:ind w:firstLine="480"/>
        <w:rPr>
          <w:rFonts w:ascii="宋体" w:hAnsi="宋体"/>
        </w:rPr>
      </w:pPr>
      <w:r>
        <w:rPr>
          <w:rFonts w:hint="eastAsia" w:ascii="宋体" w:hAnsi="宋体"/>
        </w:rPr>
        <w:t>新疆玛纳斯国家湿地公园</w:t>
      </w:r>
      <w:r>
        <w:rPr>
          <w:rFonts w:ascii="宋体" w:hAnsi="宋体"/>
        </w:rPr>
        <w:t>的投资估算以“全面规划，分期实施，重点投放，经济合理”为原则，参照国内类似工程建设的费用标准和当地的物价水平，同时考虑建设条件对工程投资带来的影响等综合因素，各类费用估算依据具体如下：</w:t>
      </w:r>
    </w:p>
    <w:p>
      <w:pPr>
        <w:ind w:firstLine="480"/>
        <w:rPr>
          <w:rFonts w:ascii="宋体" w:hAnsi="宋体"/>
        </w:rPr>
      </w:pPr>
      <w:r>
        <w:rPr>
          <w:rFonts w:hint="eastAsia" w:ascii="宋体" w:hAnsi="宋体"/>
        </w:rPr>
        <w:t>（1）中华人民共和国国家标准《建设工程工程量清单计价规范》（2013年）；</w:t>
      </w:r>
    </w:p>
    <w:p>
      <w:pPr>
        <w:ind w:firstLine="480"/>
        <w:rPr>
          <w:rFonts w:ascii="宋体" w:hAnsi="宋体"/>
        </w:rPr>
      </w:pPr>
      <w:r>
        <w:rPr>
          <w:rFonts w:hint="eastAsia" w:ascii="宋体" w:hAnsi="宋体"/>
        </w:rPr>
        <w:t>（2）国家发改委《投资项目可行性研究指南》（2002）；</w:t>
      </w:r>
    </w:p>
    <w:p>
      <w:pPr>
        <w:ind w:firstLine="480"/>
        <w:rPr>
          <w:rFonts w:ascii="宋体" w:hAnsi="宋体"/>
        </w:rPr>
      </w:pPr>
      <w:r>
        <w:rPr>
          <w:rFonts w:hint="eastAsia" w:ascii="宋体" w:hAnsi="宋体"/>
        </w:rPr>
        <w:t>（3）国家发改委，建设部《建设项目经济评价方法与参数》（2006年）；</w:t>
      </w:r>
    </w:p>
    <w:p>
      <w:pPr>
        <w:ind w:firstLine="480"/>
        <w:rPr>
          <w:rFonts w:ascii="宋体" w:hAnsi="宋体"/>
        </w:rPr>
      </w:pPr>
      <w:r>
        <w:rPr>
          <w:rFonts w:hint="eastAsia" w:ascii="宋体" w:hAnsi="宋体"/>
        </w:rPr>
        <w:t>（4）国家林业局《自然保护区工程项目建设标准》（2002）；</w:t>
      </w:r>
    </w:p>
    <w:p>
      <w:pPr>
        <w:ind w:firstLine="480"/>
        <w:rPr>
          <w:rFonts w:ascii="宋体" w:hAnsi="宋体"/>
        </w:rPr>
      </w:pPr>
      <w:r>
        <w:rPr>
          <w:rFonts w:hint="eastAsia" w:ascii="宋体" w:hAnsi="宋体"/>
        </w:rPr>
        <w:t>（5）国家林业局《湿地恢复工程项目建设标准（试行）》（2007）；</w:t>
      </w:r>
    </w:p>
    <w:p>
      <w:pPr>
        <w:ind w:firstLine="480"/>
        <w:rPr>
          <w:rFonts w:ascii="宋体" w:hAnsi="宋体"/>
        </w:rPr>
      </w:pPr>
      <w:r>
        <w:rPr>
          <w:rFonts w:hint="eastAsia" w:ascii="宋体" w:hAnsi="宋体"/>
        </w:rPr>
        <w:t>（6）国家已经实施的其它生态建设工程技术经济指标及新疆自治区社会经济和工程建设实际；</w:t>
      </w:r>
    </w:p>
    <w:p>
      <w:pPr>
        <w:ind w:firstLine="480"/>
        <w:rPr>
          <w:rFonts w:ascii="宋体" w:hAnsi="宋体"/>
        </w:rPr>
      </w:pPr>
      <w:r>
        <w:rPr>
          <w:rFonts w:hint="eastAsia" w:ascii="宋体" w:hAnsi="宋体"/>
        </w:rPr>
        <w:t>（7）规划、勘测、设计费按建设工程费用的3.5%估算；工程监理费按建设工程费用的2%估算,招投标费按建设工程费用的1%计，建设单位管理费按建设工程费用的1.5%计，基本预备费按工程费用和间接费用和的5%计。</w:t>
      </w:r>
    </w:p>
    <w:p>
      <w:pPr>
        <w:pStyle w:val="3"/>
        <w:ind w:firstLine="643"/>
      </w:pPr>
      <w:bookmarkStart w:id="130" w:name="_Toc130121693"/>
      <w:r>
        <w:rPr>
          <w:rFonts w:hint="eastAsia"/>
        </w:rPr>
        <w:t>第二节</w:t>
      </w:r>
      <w:r>
        <w:t xml:space="preserve">  </w:t>
      </w:r>
      <w:r>
        <w:rPr>
          <w:rFonts w:hint="eastAsia"/>
        </w:rPr>
        <w:t>投资估算</w:t>
      </w:r>
      <w:bookmarkEnd w:id="130"/>
    </w:p>
    <w:p>
      <w:pPr>
        <w:pStyle w:val="4"/>
      </w:pPr>
      <w:r>
        <w:t>一、估算说明</w:t>
      </w:r>
    </w:p>
    <w:p>
      <w:pPr>
        <w:ind w:firstLine="480"/>
        <w:rPr>
          <w:rFonts w:ascii="宋体" w:hAnsi="宋体"/>
        </w:rPr>
      </w:pPr>
      <w:r>
        <w:rPr>
          <w:rFonts w:ascii="宋体" w:hAnsi="宋体"/>
        </w:rPr>
        <w:t>各项建设工程投资估算指标见湿地公园投资估算表（附表1），估算投资中其他费用说明：</w:t>
      </w:r>
      <w:bookmarkStart w:id="131" w:name="page103"/>
      <w:bookmarkEnd w:id="131"/>
    </w:p>
    <w:p>
      <w:pPr>
        <w:ind w:firstLine="480"/>
        <w:rPr>
          <w:rFonts w:ascii="宋体" w:hAnsi="宋体"/>
        </w:rPr>
      </w:pPr>
      <w:r>
        <w:rPr>
          <w:rFonts w:ascii="宋体" w:hAnsi="宋体"/>
        </w:rPr>
        <w:t>1.可行性研究费的取费标准按工程费用的0.5%概算；</w:t>
      </w:r>
    </w:p>
    <w:p>
      <w:pPr>
        <w:ind w:firstLine="480"/>
        <w:rPr>
          <w:rFonts w:ascii="宋体" w:hAnsi="宋体"/>
        </w:rPr>
      </w:pPr>
      <w:r>
        <w:rPr>
          <w:rFonts w:ascii="宋体" w:hAnsi="宋体"/>
        </w:rPr>
        <w:t>2.勘查设计费取费标准按工程费用的1.5%概算；</w:t>
      </w:r>
    </w:p>
    <w:p>
      <w:pPr>
        <w:ind w:firstLine="480"/>
        <w:rPr>
          <w:rFonts w:ascii="宋体" w:hAnsi="宋体"/>
        </w:rPr>
      </w:pPr>
      <w:r>
        <w:rPr>
          <w:rFonts w:ascii="宋体" w:hAnsi="宋体"/>
        </w:rPr>
        <w:t>3.招投标费用取费标准按工程费用的0.5%概算；</w:t>
      </w:r>
    </w:p>
    <w:p>
      <w:pPr>
        <w:ind w:firstLine="480"/>
        <w:rPr>
          <w:rFonts w:ascii="宋体" w:hAnsi="宋体"/>
        </w:rPr>
      </w:pPr>
      <w:r>
        <w:rPr>
          <w:rFonts w:ascii="宋体" w:hAnsi="宋体"/>
        </w:rPr>
        <w:t>4.建设单位管理费和工程监理费取费标准按工程费用的2.0%概算；</w:t>
      </w:r>
    </w:p>
    <w:p>
      <w:pPr>
        <w:ind w:firstLine="480"/>
        <w:rPr>
          <w:rFonts w:eastAsia="Times New Roman"/>
          <w:b/>
        </w:rPr>
      </w:pPr>
      <w:r>
        <w:rPr>
          <w:rFonts w:ascii="宋体" w:hAnsi="宋体"/>
        </w:rPr>
        <w:t>5.预备费按各项费用造价</w:t>
      </w:r>
      <w:r>
        <w:rPr>
          <w:rFonts w:hint="eastAsia" w:ascii="宋体" w:hAnsi="宋体"/>
        </w:rPr>
        <w:t>的</w:t>
      </w:r>
      <w:r>
        <w:rPr>
          <w:rFonts w:ascii="宋体" w:hAnsi="宋体"/>
        </w:rPr>
        <w:t>5%计算。</w:t>
      </w:r>
    </w:p>
    <w:p>
      <w:pPr>
        <w:pStyle w:val="4"/>
      </w:pPr>
      <w:r>
        <w:t>二、估算结果</w:t>
      </w:r>
    </w:p>
    <w:p>
      <w:pPr>
        <w:ind w:firstLine="480"/>
        <w:rPr>
          <w:rFonts w:ascii="宋体" w:hAnsi="宋体"/>
        </w:rPr>
      </w:pPr>
      <w:r>
        <w:rPr>
          <w:rFonts w:ascii="宋体" w:hAnsi="宋体"/>
        </w:rPr>
        <w:t>经初步估算，</w:t>
      </w:r>
      <w:r>
        <w:rPr>
          <w:rFonts w:hint="eastAsia" w:ascii="宋体" w:hAnsi="宋体"/>
        </w:rPr>
        <w:t>新疆玛纳斯国家湿地公园</w:t>
      </w:r>
      <w:r>
        <w:rPr>
          <w:rFonts w:ascii="宋体" w:hAnsi="宋体"/>
        </w:rPr>
        <w:t>建设项目总投资预计为</w:t>
      </w:r>
      <w:r>
        <w:rPr>
          <w:rFonts w:hint="eastAsia" w:ascii="宋体" w:hAnsi="宋体"/>
        </w:rPr>
        <w:t>2.</w:t>
      </w:r>
      <w:r>
        <w:rPr>
          <w:rFonts w:ascii="宋体" w:hAnsi="宋体"/>
        </w:rPr>
        <w:t>36</w:t>
      </w:r>
      <w:r>
        <w:rPr>
          <w:rFonts w:hint="eastAsia" w:ascii="宋体" w:hAnsi="宋体"/>
        </w:rPr>
        <w:t>亿元</w:t>
      </w:r>
      <w:r>
        <w:rPr>
          <w:rFonts w:ascii="宋体" w:hAnsi="宋体"/>
        </w:rPr>
        <w:t>。资金来源按照公益性事业以政府投入为主，经营性项目以自筹为主的原则，统筹安排本规划的资金渠道。投资具体见表13</w:t>
      </w:r>
      <w:r>
        <w:rPr>
          <w:rFonts w:hint="eastAsia" w:ascii="宋体" w:hAnsi="宋体"/>
        </w:rPr>
        <w:t>-</w:t>
      </w:r>
      <w:r>
        <w:rPr>
          <w:rFonts w:ascii="宋体" w:hAnsi="宋体"/>
        </w:rPr>
        <w:t>1。</w:t>
      </w:r>
    </w:p>
    <w:p>
      <w:pPr>
        <w:pStyle w:val="45"/>
        <w:spacing w:line="240" w:lineRule="auto"/>
      </w:pPr>
      <w:r>
        <w:t>表13</w:t>
      </w:r>
      <w:r>
        <w:rPr>
          <w:rFonts w:hint="eastAsia"/>
        </w:rPr>
        <w:t>-</w:t>
      </w:r>
      <w:r>
        <w:t>1</w:t>
      </w:r>
      <w:r>
        <w:rPr>
          <w:rFonts w:hint="eastAsia"/>
        </w:rPr>
        <w:t xml:space="preserve"> 玛纳斯国家湿地公园</w:t>
      </w:r>
      <w:r>
        <w:t>投资估算表</w:t>
      </w:r>
    </w:p>
    <w:p>
      <w:pPr>
        <w:ind w:left="6660" w:firstLine="422"/>
        <w:rPr>
          <w:rFonts w:ascii="宋体" w:hAnsi="宋体"/>
          <w:b/>
          <w:sz w:val="21"/>
        </w:rPr>
      </w:pPr>
      <w:r>
        <w:rPr>
          <w:rFonts w:ascii="宋体" w:hAnsi="宋体"/>
          <w:b/>
          <w:sz w:val="21"/>
        </w:rPr>
        <w:t>单位：万元</w:t>
      </w:r>
    </w:p>
    <w:tbl>
      <w:tblPr>
        <w:tblStyle w:val="25"/>
        <w:tblW w:w="8752" w:type="dxa"/>
        <w:tblInd w:w="-34" w:type="dxa"/>
        <w:tblLayout w:type="fixed"/>
        <w:tblCellMar>
          <w:top w:w="0" w:type="dxa"/>
          <w:left w:w="108" w:type="dxa"/>
          <w:bottom w:w="0" w:type="dxa"/>
          <w:right w:w="108" w:type="dxa"/>
        </w:tblCellMar>
      </w:tblPr>
      <w:tblGrid>
        <w:gridCol w:w="2694"/>
        <w:gridCol w:w="1004"/>
        <w:gridCol w:w="1004"/>
        <w:gridCol w:w="899"/>
        <w:gridCol w:w="899"/>
        <w:gridCol w:w="1126"/>
        <w:gridCol w:w="1126"/>
      </w:tblGrid>
      <w:tr>
        <w:tblPrEx>
          <w:tblCellMar>
            <w:top w:w="0" w:type="dxa"/>
            <w:left w:w="108" w:type="dxa"/>
            <w:bottom w:w="0" w:type="dxa"/>
            <w:right w:w="108" w:type="dxa"/>
          </w:tblCellMar>
        </w:tblPrEx>
        <w:trPr>
          <w:trHeight w:val="288" w:hRule="atLeast"/>
        </w:trPr>
        <w:tc>
          <w:tcPr>
            <w:tcW w:w="2694" w:type="dxa"/>
            <w:vMerge w:val="restart"/>
            <w:tcBorders>
              <w:top w:val="single" w:color="auto" w:sz="4" w:space="0"/>
              <w:left w:val="single" w:color="auto" w:sz="4" w:space="0"/>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建设内容</w:t>
            </w:r>
          </w:p>
        </w:tc>
        <w:tc>
          <w:tcPr>
            <w:tcW w:w="1004" w:type="dxa"/>
            <w:vMerge w:val="restart"/>
            <w:tcBorders>
              <w:top w:val="single" w:color="auto" w:sz="4" w:space="0"/>
              <w:left w:val="single" w:color="auto" w:sz="4" w:space="0"/>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投资额</w:t>
            </w:r>
          </w:p>
        </w:tc>
        <w:tc>
          <w:tcPr>
            <w:tcW w:w="2802" w:type="dxa"/>
            <w:gridSpan w:val="3"/>
            <w:tcBorders>
              <w:top w:val="single" w:color="auto" w:sz="4" w:space="0"/>
              <w:left w:val="nil"/>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投资构成</w:t>
            </w:r>
          </w:p>
        </w:tc>
        <w:tc>
          <w:tcPr>
            <w:tcW w:w="2252" w:type="dxa"/>
            <w:gridSpan w:val="2"/>
            <w:tcBorders>
              <w:top w:val="single" w:color="auto" w:sz="4" w:space="0"/>
              <w:left w:val="nil"/>
              <w:bottom w:val="single" w:color="auto" w:sz="4" w:space="0"/>
              <w:right w:val="single" w:color="000000"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投资期限</w:t>
            </w:r>
          </w:p>
        </w:tc>
      </w:tr>
      <w:tr>
        <w:tblPrEx>
          <w:tblCellMar>
            <w:top w:w="0" w:type="dxa"/>
            <w:left w:w="108" w:type="dxa"/>
            <w:bottom w:w="0" w:type="dxa"/>
            <w:right w:w="108" w:type="dxa"/>
          </w:tblCellMar>
        </w:tblPrEx>
        <w:trPr>
          <w:trHeight w:val="288" w:hRule="atLeast"/>
        </w:trPr>
        <w:tc>
          <w:tcPr>
            <w:tcW w:w="2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eastAsia="宋体" w:cs="Times New Roman"/>
                <w:b/>
                <w:bCs/>
                <w:kern w:val="0"/>
                <w:sz w:val="21"/>
                <w:szCs w:val="21"/>
              </w:rPr>
            </w:pPr>
          </w:p>
        </w:tc>
        <w:tc>
          <w:tcPr>
            <w:tcW w:w="100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eastAsia="宋体" w:cs="Times New Roman"/>
                <w:b/>
                <w:bCs/>
                <w:kern w:val="0"/>
                <w:sz w:val="21"/>
                <w:szCs w:val="21"/>
              </w:rPr>
            </w:pPr>
          </w:p>
        </w:tc>
        <w:tc>
          <w:tcPr>
            <w:tcW w:w="1004" w:type="dxa"/>
            <w:vMerge w:val="restart"/>
            <w:tcBorders>
              <w:top w:val="nil"/>
              <w:left w:val="single" w:color="auto" w:sz="4" w:space="0"/>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建安费</w:t>
            </w:r>
          </w:p>
        </w:tc>
        <w:tc>
          <w:tcPr>
            <w:tcW w:w="899" w:type="dxa"/>
            <w:vMerge w:val="restart"/>
            <w:tcBorders>
              <w:top w:val="nil"/>
              <w:left w:val="single" w:color="auto" w:sz="4" w:space="0"/>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设备费</w:t>
            </w:r>
          </w:p>
        </w:tc>
        <w:tc>
          <w:tcPr>
            <w:tcW w:w="899" w:type="dxa"/>
            <w:vMerge w:val="restart"/>
            <w:tcBorders>
              <w:top w:val="nil"/>
              <w:left w:val="single" w:color="auto" w:sz="4" w:space="0"/>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其他</w:t>
            </w:r>
          </w:p>
        </w:tc>
        <w:tc>
          <w:tcPr>
            <w:tcW w:w="1126" w:type="dxa"/>
            <w:tcBorders>
              <w:top w:val="nil"/>
              <w:left w:val="nil"/>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前期</w:t>
            </w:r>
          </w:p>
        </w:tc>
        <w:tc>
          <w:tcPr>
            <w:tcW w:w="1126" w:type="dxa"/>
            <w:tcBorders>
              <w:top w:val="nil"/>
              <w:left w:val="nil"/>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后期</w:t>
            </w:r>
          </w:p>
        </w:tc>
      </w:tr>
      <w:tr>
        <w:tblPrEx>
          <w:tblCellMar>
            <w:top w:w="0" w:type="dxa"/>
            <w:left w:w="108" w:type="dxa"/>
            <w:bottom w:w="0" w:type="dxa"/>
            <w:right w:w="108" w:type="dxa"/>
          </w:tblCellMar>
        </w:tblPrEx>
        <w:trPr>
          <w:trHeight w:val="288" w:hRule="atLeast"/>
        </w:trPr>
        <w:tc>
          <w:tcPr>
            <w:tcW w:w="2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eastAsia="宋体" w:cs="Times New Roman"/>
                <w:b/>
                <w:bCs/>
                <w:kern w:val="0"/>
                <w:sz w:val="21"/>
                <w:szCs w:val="21"/>
              </w:rPr>
            </w:pPr>
          </w:p>
        </w:tc>
        <w:tc>
          <w:tcPr>
            <w:tcW w:w="100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eastAsia="宋体" w:cs="Times New Roman"/>
                <w:b/>
                <w:bCs/>
                <w:kern w:val="0"/>
                <w:sz w:val="21"/>
                <w:szCs w:val="21"/>
              </w:rPr>
            </w:pPr>
          </w:p>
        </w:tc>
        <w:tc>
          <w:tcPr>
            <w:tcW w:w="1004"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eastAsia="宋体" w:cs="Times New Roman"/>
                <w:b/>
                <w:bCs/>
                <w:kern w:val="0"/>
                <w:sz w:val="21"/>
                <w:szCs w:val="21"/>
              </w:rPr>
            </w:pPr>
          </w:p>
        </w:tc>
        <w:tc>
          <w:tcPr>
            <w:tcW w:w="89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eastAsia="宋体" w:cs="Times New Roman"/>
                <w:b/>
                <w:bCs/>
                <w:kern w:val="0"/>
                <w:sz w:val="21"/>
                <w:szCs w:val="21"/>
              </w:rPr>
            </w:pPr>
          </w:p>
        </w:tc>
        <w:tc>
          <w:tcPr>
            <w:tcW w:w="89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eastAsia="宋体" w:cs="Times New Roman"/>
                <w:b/>
                <w:bCs/>
                <w:kern w:val="0"/>
                <w:sz w:val="21"/>
                <w:szCs w:val="21"/>
              </w:rPr>
            </w:pPr>
          </w:p>
        </w:tc>
        <w:tc>
          <w:tcPr>
            <w:tcW w:w="1126" w:type="dxa"/>
            <w:tcBorders>
              <w:top w:val="nil"/>
              <w:left w:val="nil"/>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2019-2020</w:t>
            </w:r>
          </w:p>
        </w:tc>
        <w:tc>
          <w:tcPr>
            <w:tcW w:w="1126" w:type="dxa"/>
            <w:tcBorders>
              <w:top w:val="nil"/>
              <w:left w:val="nil"/>
              <w:bottom w:val="single" w:color="auto" w:sz="4" w:space="0"/>
              <w:right w:val="single" w:color="auto" w:sz="4" w:space="0"/>
            </w:tcBorders>
            <w:shd w:val="clear" w:color="000000" w:fill="C0C0C0"/>
            <w:vAlign w:val="center"/>
          </w:tcPr>
          <w:p>
            <w:pPr>
              <w:widowControl/>
              <w:spacing w:line="240" w:lineRule="auto"/>
              <w:ind w:firstLine="0" w:firstLineChars="0"/>
              <w:jc w:val="center"/>
              <w:rPr>
                <w:rFonts w:eastAsia="宋体" w:cs="Times New Roman"/>
                <w:b/>
                <w:bCs/>
                <w:kern w:val="0"/>
                <w:sz w:val="21"/>
                <w:szCs w:val="21"/>
              </w:rPr>
            </w:pPr>
            <w:r>
              <w:rPr>
                <w:rFonts w:eastAsia="宋体" w:cs="Times New Roman"/>
                <w:b/>
                <w:bCs/>
                <w:kern w:val="0"/>
                <w:sz w:val="21"/>
                <w:szCs w:val="21"/>
              </w:rPr>
              <w:t>2021-2025</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b/>
                <w:bCs/>
                <w:kern w:val="0"/>
                <w:sz w:val="21"/>
                <w:szCs w:val="21"/>
              </w:rPr>
            </w:pPr>
            <w:r>
              <w:rPr>
                <w:rFonts w:eastAsia="宋体" w:cs="Times New Roman"/>
                <w:b/>
                <w:bCs/>
                <w:kern w:val="0"/>
                <w:sz w:val="21"/>
                <w:szCs w:val="21"/>
              </w:rPr>
              <w:t>项目总投资</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23595.14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16383.00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3044.00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4168.14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14627.32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8967.82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b/>
                <w:bCs/>
                <w:kern w:val="0"/>
                <w:sz w:val="21"/>
                <w:szCs w:val="21"/>
              </w:rPr>
            </w:pPr>
            <w:r>
              <w:rPr>
                <w:rFonts w:eastAsia="宋体" w:cs="Times New Roman"/>
                <w:b/>
                <w:bCs/>
                <w:kern w:val="0"/>
                <w:sz w:val="21"/>
                <w:szCs w:val="21"/>
              </w:rPr>
              <w:t>1、工程费用</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20807.00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16383.00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3044.00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1380.00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12891.00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7916.00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kern w:val="0"/>
                <w:sz w:val="21"/>
                <w:szCs w:val="21"/>
              </w:rPr>
            </w:pPr>
            <w:r>
              <w:rPr>
                <w:rFonts w:eastAsia="宋体" w:cs="Times New Roman"/>
                <w:kern w:val="0"/>
                <w:sz w:val="21"/>
                <w:szCs w:val="21"/>
              </w:rPr>
              <w:t>1.1生态保护</w:t>
            </w:r>
            <w:r>
              <w:rPr>
                <w:rFonts w:hint="eastAsia" w:eastAsia="宋体" w:cs="Times New Roman"/>
                <w:kern w:val="0"/>
                <w:sz w:val="21"/>
                <w:szCs w:val="21"/>
              </w:rPr>
              <w:t>工程</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7051.00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6657.00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94.00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300.00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4535.00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2516.00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kern w:val="0"/>
                <w:sz w:val="21"/>
                <w:szCs w:val="21"/>
              </w:rPr>
            </w:pPr>
            <w:r>
              <w:rPr>
                <w:rFonts w:eastAsia="宋体" w:cs="Times New Roman"/>
                <w:kern w:val="0"/>
                <w:sz w:val="21"/>
                <w:szCs w:val="21"/>
              </w:rPr>
              <w:t>1.2科普宣教</w:t>
            </w:r>
            <w:r>
              <w:rPr>
                <w:rFonts w:hint="eastAsia" w:eastAsia="宋体" w:cs="Times New Roman"/>
                <w:kern w:val="0"/>
                <w:sz w:val="21"/>
                <w:szCs w:val="21"/>
              </w:rPr>
              <w:t>工程</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1460.00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1390.00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70.00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1172.00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288.00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kern w:val="0"/>
                <w:sz w:val="21"/>
                <w:szCs w:val="21"/>
              </w:rPr>
            </w:pPr>
            <w:r>
              <w:rPr>
                <w:rFonts w:eastAsia="宋体" w:cs="Times New Roman"/>
                <w:kern w:val="0"/>
                <w:sz w:val="21"/>
                <w:szCs w:val="21"/>
              </w:rPr>
              <w:t>1.3科研监测</w:t>
            </w:r>
            <w:r>
              <w:rPr>
                <w:rFonts w:hint="eastAsia" w:eastAsia="宋体" w:cs="Times New Roman"/>
                <w:kern w:val="0"/>
                <w:sz w:val="21"/>
                <w:szCs w:val="21"/>
              </w:rPr>
              <w:t>工程</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1155.00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60.00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425.00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670.00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775.00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380.00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kern w:val="0"/>
                <w:sz w:val="21"/>
                <w:szCs w:val="21"/>
              </w:rPr>
            </w:pPr>
            <w:r>
              <w:rPr>
                <w:rFonts w:eastAsia="宋体" w:cs="Times New Roman"/>
                <w:kern w:val="0"/>
                <w:sz w:val="21"/>
                <w:szCs w:val="21"/>
              </w:rPr>
              <w:t>1.4合理利用</w:t>
            </w:r>
            <w:r>
              <w:rPr>
                <w:rFonts w:hint="eastAsia" w:eastAsia="宋体" w:cs="Times New Roman"/>
                <w:kern w:val="0"/>
                <w:sz w:val="21"/>
                <w:szCs w:val="21"/>
              </w:rPr>
              <w:t>工程</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4760.00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4470.00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290.00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2708.00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2052.00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kern w:val="0"/>
                <w:sz w:val="21"/>
                <w:szCs w:val="21"/>
              </w:rPr>
            </w:pPr>
            <w:r>
              <w:rPr>
                <w:rFonts w:eastAsia="宋体" w:cs="Times New Roman"/>
                <w:kern w:val="0"/>
                <w:sz w:val="21"/>
                <w:szCs w:val="21"/>
              </w:rPr>
              <w:t>1.5防灾御灾</w:t>
            </w:r>
            <w:r>
              <w:rPr>
                <w:rFonts w:hint="eastAsia" w:eastAsia="宋体" w:cs="Times New Roman"/>
                <w:kern w:val="0"/>
                <w:sz w:val="21"/>
                <w:szCs w:val="21"/>
              </w:rPr>
              <w:t>工程</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1870.00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1870.00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1140.00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730.00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kern w:val="0"/>
                <w:sz w:val="21"/>
                <w:szCs w:val="21"/>
              </w:rPr>
            </w:pPr>
            <w:r>
              <w:rPr>
                <w:rFonts w:eastAsia="宋体" w:cs="Times New Roman"/>
                <w:kern w:val="0"/>
                <w:sz w:val="21"/>
                <w:szCs w:val="21"/>
              </w:rPr>
              <w:t>1.6区域协调与社区</w:t>
            </w:r>
            <w:r>
              <w:rPr>
                <w:rFonts w:hint="eastAsia" w:eastAsia="宋体" w:cs="Times New Roman"/>
                <w:kern w:val="0"/>
                <w:sz w:val="21"/>
                <w:szCs w:val="21"/>
              </w:rPr>
              <w:t>工程</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860.00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500.00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360.00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290.00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570.00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kern w:val="0"/>
                <w:sz w:val="21"/>
                <w:szCs w:val="21"/>
              </w:rPr>
            </w:pPr>
            <w:r>
              <w:rPr>
                <w:rFonts w:eastAsia="宋体" w:cs="Times New Roman"/>
                <w:kern w:val="0"/>
                <w:sz w:val="21"/>
                <w:szCs w:val="21"/>
              </w:rPr>
              <w:t>1.7保护管理基础能力建设</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330.00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280.00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50.00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240.00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90.00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kern w:val="0"/>
                <w:sz w:val="21"/>
                <w:szCs w:val="21"/>
              </w:rPr>
            </w:pPr>
            <w:r>
              <w:rPr>
                <w:rFonts w:eastAsia="宋体" w:cs="Times New Roman"/>
                <w:kern w:val="0"/>
                <w:sz w:val="21"/>
                <w:szCs w:val="21"/>
              </w:rPr>
              <w:t>1.8基础</w:t>
            </w:r>
            <w:r>
              <w:rPr>
                <w:rFonts w:hint="eastAsia" w:eastAsia="宋体" w:cs="Times New Roman"/>
                <w:kern w:val="0"/>
                <w:sz w:val="21"/>
                <w:szCs w:val="21"/>
              </w:rPr>
              <w:t>设施建设</w:t>
            </w:r>
            <w:r>
              <w:rPr>
                <w:rFonts w:eastAsia="宋体" w:cs="Times New Roman"/>
                <w:kern w:val="0"/>
                <w:sz w:val="21"/>
                <w:szCs w:val="21"/>
              </w:rPr>
              <w:t>工程</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3321.00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3026.00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295.00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2031.00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1290.00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b/>
                <w:bCs/>
                <w:kern w:val="0"/>
                <w:sz w:val="21"/>
                <w:szCs w:val="21"/>
              </w:rPr>
            </w:pPr>
            <w:r>
              <w:rPr>
                <w:rFonts w:eastAsia="宋体" w:cs="Times New Roman"/>
                <w:b/>
                <w:bCs/>
                <w:kern w:val="0"/>
                <w:sz w:val="21"/>
                <w:szCs w:val="21"/>
              </w:rPr>
              <w:t>2、其它费用</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1664.56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1664.56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1236.32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428.25 </w:t>
            </w:r>
          </w:p>
        </w:tc>
      </w:tr>
      <w:tr>
        <w:tblPrEx>
          <w:tblCellMar>
            <w:top w:w="0" w:type="dxa"/>
            <w:left w:w="108" w:type="dxa"/>
            <w:bottom w:w="0" w:type="dxa"/>
            <w:right w:w="108" w:type="dxa"/>
          </w:tblCellMar>
        </w:tblPrEx>
        <w:trPr>
          <w:trHeight w:val="288" w:hRule="atLeast"/>
        </w:trPr>
        <w:tc>
          <w:tcPr>
            <w:tcW w:w="26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eastAsia="宋体" w:cs="Times New Roman"/>
                <w:b/>
                <w:bCs/>
                <w:kern w:val="0"/>
                <w:sz w:val="21"/>
                <w:szCs w:val="21"/>
              </w:rPr>
            </w:pPr>
            <w:r>
              <w:rPr>
                <w:rFonts w:eastAsia="宋体" w:cs="Times New Roman"/>
                <w:b/>
                <w:bCs/>
                <w:kern w:val="0"/>
                <w:sz w:val="21"/>
                <w:szCs w:val="21"/>
              </w:rPr>
              <w:t>3、预备费</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1123.58 </w:t>
            </w:r>
          </w:p>
        </w:tc>
        <w:tc>
          <w:tcPr>
            <w:tcW w:w="100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0.00 </w:t>
            </w:r>
          </w:p>
        </w:tc>
        <w:tc>
          <w:tcPr>
            <w:tcW w:w="89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1123.58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500.00 </w:t>
            </w:r>
          </w:p>
        </w:tc>
        <w:tc>
          <w:tcPr>
            <w:tcW w:w="112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right"/>
              <w:rPr>
                <w:rFonts w:eastAsia="宋体" w:cs="Times New Roman"/>
                <w:kern w:val="0"/>
                <w:sz w:val="21"/>
                <w:szCs w:val="21"/>
              </w:rPr>
            </w:pPr>
            <w:r>
              <w:rPr>
                <w:rFonts w:eastAsia="宋体" w:cs="Times New Roman"/>
                <w:kern w:val="0"/>
                <w:sz w:val="21"/>
                <w:szCs w:val="21"/>
              </w:rPr>
              <w:t xml:space="preserve">623.58 </w:t>
            </w:r>
          </w:p>
        </w:tc>
      </w:tr>
    </w:tbl>
    <w:p>
      <w:pPr>
        <w:ind w:firstLine="480"/>
      </w:pPr>
      <w:r>
        <w:rPr>
          <w:rFonts w:hint="eastAsia"/>
        </w:rPr>
        <w:t>总投资中，工程费用</w:t>
      </w:r>
      <w:r>
        <w:t>20807</w:t>
      </w:r>
      <w:r>
        <w:rPr>
          <w:rFonts w:hint="eastAsia"/>
        </w:rPr>
        <w:t>万元，包括生态保护工程7</w:t>
      </w:r>
      <w:r>
        <w:t>051</w:t>
      </w:r>
      <w:r>
        <w:rPr>
          <w:rFonts w:hint="eastAsia"/>
        </w:rPr>
        <w:t>万元、科普宣教工程1</w:t>
      </w:r>
      <w:r>
        <w:t>460</w:t>
      </w:r>
      <w:r>
        <w:rPr>
          <w:rFonts w:hint="eastAsia"/>
        </w:rPr>
        <w:t>万元、科研监测工程1</w:t>
      </w:r>
      <w:r>
        <w:t>155</w:t>
      </w:r>
      <w:r>
        <w:rPr>
          <w:rFonts w:hint="eastAsia"/>
        </w:rPr>
        <w:t>万元、合理利用工程4</w:t>
      </w:r>
      <w:r>
        <w:t>760</w:t>
      </w:r>
      <w:r>
        <w:rPr>
          <w:rFonts w:hint="eastAsia"/>
        </w:rPr>
        <w:t>万元、灾害防御1</w:t>
      </w:r>
      <w:r>
        <w:t>870</w:t>
      </w:r>
      <w:r>
        <w:rPr>
          <w:rFonts w:hint="eastAsia"/>
        </w:rPr>
        <w:t>万元、区域协调发展工程8</w:t>
      </w:r>
      <w:r>
        <w:t>60</w:t>
      </w:r>
      <w:r>
        <w:rPr>
          <w:rFonts w:hint="eastAsia"/>
        </w:rPr>
        <w:t>万元、保护基础能力建设3</w:t>
      </w:r>
      <w:r>
        <w:t>30</w:t>
      </w:r>
      <w:r>
        <w:rPr>
          <w:rFonts w:hint="eastAsia"/>
        </w:rPr>
        <w:t>万元以及基础设施建设3</w:t>
      </w:r>
      <w:r>
        <w:t>321</w:t>
      </w:r>
      <w:r>
        <w:rPr>
          <w:rFonts w:hint="eastAsia"/>
        </w:rPr>
        <w:t>万元；其他费用为</w:t>
      </w:r>
      <w:r>
        <w:t>1664</w:t>
      </w:r>
      <w:r>
        <w:rPr>
          <w:rFonts w:hint="eastAsia"/>
        </w:rPr>
        <w:t>.</w:t>
      </w:r>
      <w:r>
        <w:t>56</w:t>
      </w:r>
      <w:r>
        <w:rPr>
          <w:rFonts w:hint="eastAsia"/>
        </w:rPr>
        <w:t>万元，预备费1</w:t>
      </w:r>
      <w:r>
        <w:t>123</w:t>
      </w:r>
      <w:r>
        <w:rPr>
          <w:rFonts w:hint="eastAsia"/>
        </w:rPr>
        <w:t>.</w:t>
      </w:r>
      <w:r>
        <w:t>58</w:t>
      </w:r>
      <w:r>
        <w:rPr>
          <w:rFonts w:hint="eastAsia"/>
        </w:rPr>
        <w:t>万元。</w:t>
      </w:r>
    </w:p>
    <w:p>
      <w:pPr>
        <w:ind w:firstLine="480"/>
      </w:pPr>
      <w:r>
        <w:rPr>
          <w:rFonts w:hint="eastAsia"/>
        </w:rPr>
        <w:t>前期（2023-2025年）建设资金约1.</w:t>
      </w:r>
      <w:r>
        <w:t>46</w:t>
      </w:r>
      <w:r>
        <w:rPr>
          <w:rFonts w:hint="eastAsia"/>
        </w:rPr>
        <w:t>亿元，后期建设资金投入</w:t>
      </w:r>
      <w:r>
        <w:t>0</w:t>
      </w:r>
      <w:r>
        <w:rPr>
          <w:rFonts w:hint="eastAsia"/>
        </w:rPr>
        <w:t>.</w:t>
      </w:r>
      <w:r>
        <w:t>90</w:t>
      </w:r>
      <w:r>
        <w:rPr>
          <w:rFonts w:hint="eastAsia"/>
        </w:rPr>
        <w:t>亿元。</w:t>
      </w:r>
    </w:p>
    <w:p>
      <w:pPr>
        <w:pStyle w:val="3"/>
        <w:ind w:firstLine="643"/>
      </w:pPr>
      <w:bookmarkStart w:id="132" w:name="_Toc130121694"/>
      <w:r>
        <w:rPr>
          <w:rFonts w:hint="eastAsia"/>
        </w:rPr>
        <w:t>第三节</w:t>
      </w:r>
      <w:r>
        <w:t xml:space="preserve">  </w:t>
      </w:r>
      <w:r>
        <w:rPr>
          <w:rFonts w:hint="eastAsia"/>
        </w:rPr>
        <w:t>投资筹措</w:t>
      </w:r>
      <w:bookmarkEnd w:id="132"/>
    </w:p>
    <w:p>
      <w:pPr>
        <w:ind w:firstLine="480"/>
      </w:pPr>
      <w:r>
        <w:rPr>
          <w:rFonts w:hint="eastAsia"/>
        </w:rPr>
        <w:t>玛纳斯国家湿地公园的建设</w:t>
      </w:r>
      <w:r>
        <w:t>属自然资源保护公益事业，湿地保护</w:t>
      </w:r>
      <w:r>
        <w:rPr>
          <w:rFonts w:hint="eastAsia"/>
        </w:rPr>
        <w:t>与</w:t>
      </w:r>
      <w:r>
        <w:t>恢复</w:t>
      </w:r>
      <w:r>
        <w:rPr>
          <w:rFonts w:hint="eastAsia"/>
        </w:rPr>
        <w:t>工程、科普</w:t>
      </w:r>
      <w:r>
        <w:t>宣教</w:t>
      </w:r>
      <w:r>
        <w:rPr>
          <w:rFonts w:hint="eastAsia"/>
        </w:rPr>
        <w:t>及科研监测工程、合理利用工程、防御</w:t>
      </w:r>
      <w:r>
        <w:t>灾害</w:t>
      </w:r>
      <w:r>
        <w:rPr>
          <w:rFonts w:hint="eastAsia"/>
        </w:rPr>
        <w:t>工程、区域</w:t>
      </w:r>
      <w:r>
        <w:t>协调与社区共建</w:t>
      </w:r>
      <w:r>
        <w:rPr>
          <w:rFonts w:hint="eastAsia"/>
        </w:rPr>
        <w:t>工程等</w:t>
      </w:r>
      <w:r>
        <w:t>，所需建设资金</w:t>
      </w:r>
      <w:r>
        <w:rPr>
          <w:rFonts w:hint="eastAsia"/>
        </w:rPr>
        <w:t>通过多种方式</w:t>
      </w:r>
      <w:r>
        <w:t>进行筹集。</w:t>
      </w:r>
    </w:p>
    <w:p>
      <w:pPr>
        <w:pStyle w:val="4"/>
      </w:pPr>
      <w:r>
        <w:rPr>
          <w:rFonts w:hint="eastAsia"/>
        </w:rPr>
        <w:t>一、申请国家生态环境保护与恢复专项资金</w:t>
      </w:r>
    </w:p>
    <w:p>
      <w:pPr>
        <w:ind w:firstLine="480"/>
        <w:rPr>
          <w:szCs w:val="24"/>
        </w:rPr>
      </w:pPr>
      <w:r>
        <w:rPr>
          <w:rFonts w:hint="eastAsia"/>
          <w:szCs w:val="24"/>
        </w:rPr>
        <w:t>申请国家生态环境保护与恢复专项资金，主要</w:t>
      </w:r>
      <w:r>
        <w:rPr>
          <w:szCs w:val="24"/>
        </w:rPr>
        <w:t>用于湿地保护、恢复工程。</w:t>
      </w:r>
    </w:p>
    <w:p>
      <w:pPr>
        <w:pStyle w:val="4"/>
      </w:pPr>
      <w:r>
        <w:rPr>
          <w:rFonts w:hint="eastAsia"/>
        </w:rPr>
        <w:t>二、地方自筹</w:t>
      </w:r>
    </w:p>
    <w:p>
      <w:pPr>
        <w:ind w:firstLine="480"/>
        <w:rPr>
          <w:szCs w:val="24"/>
        </w:rPr>
      </w:pPr>
      <w:r>
        <w:rPr>
          <w:rFonts w:hint="eastAsia"/>
          <w:szCs w:val="24"/>
        </w:rPr>
        <w:t>由玛纳斯国家湿地公园所在的新疆自治区、昌吉州、玛纳斯县地方筹集，主要</w:t>
      </w:r>
      <w:r>
        <w:rPr>
          <w:szCs w:val="24"/>
        </w:rPr>
        <w:t>用于科普宣教</w:t>
      </w:r>
      <w:r>
        <w:rPr>
          <w:rFonts w:hint="eastAsia"/>
          <w:szCs w:val="24"/>
        </w:rPr>
        <w:t>工程、</w:t>
      </w:r>
      <w:r>
        <w:rPr>
          <w:szCs w:val="24"/>
        </w:rPr>
        <w:t>科研监测</w:t>
      </w:r>
      <w:r>
        <w:rPr>
          <w:rFonts w:hint="eastAsia"/>
          <w:szCs w:val="24"/>
        </w:rPr>
        <w:t>工程、</w:t>
      </w:r>
      <w:r>
        <w:rPr>
          <w:szCs w:val="24"/>
        </w:rPr>
        <w:t>保护管理建设</w:t>
      </w:r>
      <w:r>
        <w:rPr>
          <w:rFonts w:hint="eastAsia"/>
          <w:szCs w:val="24"/>
        </w:rPr>
        <w:t>以及</w:t>
      </w:r>
      <w:r>
        <w:rPr>
          <w:szCs w:val="24"/>
        </w:rPr>
        <w:t>基础工程建设等。</w:t>
      </w:r>
    </w:p>
    <w:p>
      <w:pPr>
        <w:pStyle w:val="4"/>
      </w:pPr>
      <w:r>
        <w:rPr>
          <w:rFonts w:hint="eastAsia"/>
        </w:rPr>
        <w:t>三、其他资金</w:t>
      </w:r>
      <w:r>
        <w:t>引入</w:t>
      </w:r>
    </w:p>
    <w:p>
      <w:pPr>
        <w:ind w:firstLine="480"/>
      </w:pPr>
      <w:r>
        <w:rPr>
          <w:rFonts w:hint="eastAsia"/>
          <w:szCs w:val="24"/>
        </w:rPr>
        <w:t>除了</w:t>
      </w:r>
      <w:r>
        <w:rPr>
          <w:szCs w:val="24"/>
        </w:rPr>
        <w:t>上述</w:t>
      </w:r>
      <w:r>
        <w:rPr>
          <w:rFonts w:hint="eastAsia"/>
          <w:szCs w:val="24"/>
        </w:rPr>
        <w:t>资金筹集方式</w:t>
      </w:r>
      <w:r>
        <w:rPr>
          <w:szCs w:val="24"/>
        </w:rPr>
        <w:t>之外，还可以通过银行贷款，</w:t>
      </w:r>
      <w:r>
        <w:rPr>
          <w:rFonts w:hint="eastAsia"/>
          <w:szCs w:val="24"/>
        </w:rPr>
        <w:t>引入</w:t>
      </w:r>
      <w:r>
        <w:rPr>
          <w:szCs w:val="24"/>
        </w:rPr>
        <w:t>社会资金</w:t>
      </w:r>
      <w:r>
        <w:rPr>
          <w:rFonts w:hint="eastAsia"/>
          <w:szCs w:val="24"/>
        </w:rPr>
        <w:t>等</w:t>
      </w:r>
      <w:r>
        <w:rPr>
          <w:szCs w:val="24"/>
        </w:rPr>
        <w:t>多种方式进行资金筹集，完善</w:t>
      </w:r>
      <w:r>
        <w:rPr>
          <w:rFonts w:hint="eastAsia"/>
          <w:szCs w:val="24"/>
        </w:rPr>
        <w:t>玛纳斯国家湿地公园</w:t>
      </w:r>
      <w:r>
        <w:rPr>
          <w:szCs w:val="24"/>
        </w:rPr>
        <w:t>建设。</w:t>
      </w:r>
    </w:p>
    <w:p>
      <w:pPr>
        <w:pStyle w:val="3"/>
        <w:ind w:firstLine="643"/>
      </w:pPr>
      <w:bookmarkStart w:id="133" w:name="_Toc130121695"/>
      <w:r>
        <w:rPr>
          <w:rFonts w:hint="eastAsia"/>
        </w:rPr>
        <w:t>第四节</w:t>
      </w:r>
      <w:r>
        <w:t xml:space="preserve">  </w:t>
      </w:r>
      <w:r>
        <w:rPr>
          <w:rFonts w:hint="eastAsia"/>
        </w:rPr>
        <w:t>效益评价</w:t>
      </w:r>
      <w:bookmarkEnd w:id="133"/>
    </w:p>
    <w:p>
      <w:pPr>
        <w:pStyle w:val="4"/>
      </w:pPr>
      <w:r>
        <w:t>一、生态效益</w:t>
      </w:r>
    </w:p>
    <w:p>
      <w:pPr>
        <w:ind w:firstLine="480"/>
      </w:pPr>
      <w:r>
        <w:t>河流湿地生态系统是一个复合生态系统，包括河岸生态系统、水生态系统、及沼泽生态系统在内的一系列子系统。</w:t>
      </w:r>
      <w:r>
        <w:rPr>
          <w:rFonts w:hint="eastAsia"/>
        </w:rPr>
        <w:t>玛纳斯国家湿地公园</w:t>
      </w:r>
      <w:r>
        <w:t>以河流</w:t>
      </w:r>
      <w:r>
        <w:rPr>
          <w:rFonts w:hint="eastAsia"/>
        </w:rPr>
        <w:t>、库塘</w:t>
      </w:r>
      <w:r>
        <w:t>湿地为主要依托，景观类型独特、生态类型多样、生物多样性丰富，能够提供巨大的生态系统服务。通过建立国家湿地公园，以湿地生态保育为主，对人为干扰进行了严格的管理和控制，并对局部退化湿地进行生态修复，其栖息地功能、过滤作用、屏蔽作用、通道作用、源汇功能得到提升，并将显著提高湿地公园的生态承载力、综合生态效益和生态资本价值。</w:t>
      </w:r>
    </w:p>
    <w:p>
      <w:pPr>
        <w:pStyle w:val="5"/>
      </w:pPr>
      <w:bookmarkStart w:id="134" w:name="_Toc329607354"/>
      <w:bookmarkStart w:id="135" w:name="_Toc329607353"/>
      <w:r>
        <w:t>（一）生物多样性</w:t>
      </w:r>
      <w:bookmarkEnd w:id="134"/>
      <w:r>
        <w:t>维护</w:t>
      </w:r>
    </w:p>
    <w:p>
      <w:pPr>
        <w:ind w:firstLine="480"/>
      </w:pPr>
      <w:r>
        <w:t>通过生态保育区</w:t>
      </w:r>
      <w:r>
        <w:rPr>
          <w:rFonts w:hint="eastAsia"/>
        </w:rPr>
        <w:t>和生态恢复区</w:t>
      </w:r>
      <w:r>
        <w:t>的建设，扩大了湿地面积，丰富了湿地生境类型，增加了湿地公园内的景观异质性，通过采取一定的生态保护和恢复工程措施，能够显著提升现有</w:t>
      </w:r>
      <w:r>
        <w:rPr>
          <w:rFonts w:hint="eastAsia"/>
        </w:rPr>
        <w:t>湿地</w:t>
      </w:r>
      <w:r>
        <w:t>的</w:t>
      </w:r>
      <w:r>
        <w:rPr>
          <w:rFonts w:hint="eastAsia"/>
        </w:rPr>
        <w:t>生态</w:t>
      </w:r>
      <w:r>
        <w:t>质量，湿地生态系统结构和功能将逐步得到恢复，提高了鸟类的栖息、迁徙、鱼类洄游、繁衍等湿地生物栖息地的斑块数量、面积和质量，生境质量明显改善。规划区内的生物的遗传多样性、物种多样性和生态系统多样性在不同尺度上得到有效保护，规划区湿地生态系统的稳定性增加。</w:t>
      </w:r>
    </w:p>
    <w:p>
      <w:pPr>
        <w:pStyle w:val="5"/>
      </w:pPr>
      <w:r>
        <w:t xml:space="preserve">（二）水源供给、蓄水防洪能力增加，维持区域水循环 </w:t>
      </w:r>
    </w:p>
    <w:p>
      <w:pPr>
        <w:ind w:firstLine="480"/>
      </w:pPr>
      <w:r>
        <w:rPr>
          <w:rFonts w:hint="eastAsia"/>
        </w:rPr>
        <w:t>玛纳斯湿地</w:t>
      </w:r>
      <w:r>
        <w:t>是天然的蓄水系统，具备调节功能。丰沛的水量巩固了现有水电能源开发的持续性基础，同时也作为周边农牧业生产用水、居民生活用水、工业用水、城市用水的重要水源，对于</w:t>
      </w:r>
      <w:r>
        <w:rPr>
          <w:rFonts w:hint="eastAsia"/>
        </w:rPr>
        <w:t>玛纳斯县</w:t>
      </w:r>
      <w:r>
        <w:t>经济社会的发展意义重大。通过湿地保护，严禁非法采砂和随意占用湿地，增加了湿地面积，保障了水源供给能力，显著提高了其蓄水、防洪能力，保障了周边社区、聚居点的安全。同时</w:t>
      </w:r>
      <w:r>
        <w:rPr>
          <w:rFonts w:hint="eastAsia"/>
        </w:rPr>
        <w:t>玛纳斯湿地</w:t>
      </w:r>
      <w:r>
        <w:t>可以为地下蓄水层补水，是区域水循环的重要环节</w:t>
      </w:r>
      <w:bookmarkEnd w:id="135"/>
      <w:bookmarkStart w:id="136" w:name="_Toc329607355"/>
      <w:r>
        <w:t>。</w:t>
      </w:r>
    </w:p>
    <w:p>
      <w:pPr>
        <w:pStyle w:val="5"/>
      </w:pPr>
      <w:r>
        <w:t>（三）降解污染、净化水质</w:t>
      </w:r>
      <w:bookmarkEnd w:id="136"/>
    </w:p>
    <w:p>
      <w:pPr>
        <w:ind w:firstLine="480"/>
      </w:pPr>
      <w:r>
        <w:rPr>
          <w:rFonts w:hint="eastAsia"/>
        </w:rPr>
        <w:t>玛纳斯湿地</w:t>
      </w:r>
      <w:r>
        <w:t>公园的次生林、草本植物及其基底环境构成的复合生态系统能够通过复杂的物理、化学和生物过程对水体自然过滤，在物理净化和生物净化两个方面，通过悬浮物沉降、移出或固定营养物、有毒物质的方式有效净化水质。在人类活动剧烈和排放的位置，利用湿地生态系统的物理过滤、吸收和分解功能，规划构建规划区内的水质净化工程，可使湿地公园内水环境中的有害物质得到降解、转移和固定，优化规划区水生态、提高水质，实现生态系统的自我净化，并防止水域的富营养化。</w:t>
      </w:r>
    </w:p>
    <w:p>
      <w:pPr>
        <w:pStyle w:val="5"/>
      </w:pPr>
      <w:bookmarkStart w:id="137" w:name="_Toc329607356"/>
      <w:r>
        <w:t>（四）调节气体、形成区域小气候，</w:t>
      </w:r>
      <w:bookmarkEnd w:id="137"/>
      <w:r>
        <w:t>提升环境质量</w:t>
      </w:r>
    </w:p>
    <w:p>
      <w:pPr>
        <w:ind w:firstLine="480"/>
      </w:pPr>
      <w:r>
        <w:t>湿地的积水面积大或潜水水位高，在毛管作用范围内，大量水分被源源不断输送到地表，加上植物的蒸腾作用，使近地层空气湿度增加。湿地通过水平方向的热量与水分交换，使周围地区的气候比其它地方略显湿润。湿地周边含有大量的负离子，能够净化区域的空气质量。湿地热容量大，使湿地地区的气温变幅小，能够有效缓解地表增温，显著调节区域的温度和湿度条件，增加环境舒适度。把大量水分送回大气，增加大气湿度、调节降水。次生林和其它湿地植物能够吸收CO</w:t>
      </w:r>
      <w:r>
        <w:rPr>
          <w:vertAlign w:val="subscript"/>
        </w:rPr>
        <w:t>2</w:t>
      </w:r>
      <w:r>
        <w:t>释放O</w:t>
      </w:r>
      <w:r>
        <w:rPr>
          <w:vertAlign w:val="subscript"/>
        </w:rPr>
        <w:t>2</w:t>
      </w:r>
      <w:r>
        <w:t>，并且吸收空气中的有害气体，进而可以调节大气组分。</w:t>
      </w:r>
    </w:p>
    <w:p>
      <w:pPr>
        <w:pStyle w:val="5"/>
      </w:pPr>
      <w:bookmarkStart w:id="138" w:name="_Toc329607357"/>
      <w:r>
        <w:t>（五）</w:t>
      </w:r>
      <w:bookmarkEnd w:id="138"/>
      <w:r>
        <w:t>在地球物质循环中发挥重要作用</w:t>
      </w:r>
    </w:p>
    <w:p>
      <w:pPr>
        <w:ind w:firstLine="480"/>
      </w:pPr>
      <w:r>
        <w:t>湿地是全球生态系统的组成部分，是地球生物圈物质循环的主要通道之一，在全球氮、硫、甲烷和二氧化碳的循环中起到重要作用。湿地能够吸纳、固定来自陆地径流和水体中的营养物质，很多营养盐及污染物在河流中迁移、降解，并通过生物化学过程转化，在全球元素循环起着重要的作用。湿地能够持续固定碳，是重要的碳汇，一旦退化或遭到破坏就成为碳源，能够释放温室气体。</w:t>
      </w:r>
    </w:p>
    <w:p>
      <w:pPr>
        <w:pStyle w:val="5"/>
      </w:pPr>
      <w:r>
        <w:t>（六）保护堤岸、控制水土流失，维护区域生态安全</w:t>
      </w:r>
    </w:p>
    <w:p>
      <w:pPr>
        <w:ind w:firstLine="480"/>
      </w:pPr>
      <w:r>
        <w:t>湿地植物生长的区域作为自然的河岸保护带，能够有效控制地表径流</w:t>
      </w:r>
      <w:r>
        <w:rPr>
          <w:rFonts w:hint="eastAsia"/>
        </w:rPr>
        <w:t>。岸线地带是典型的生态过渡带，保护自然岸线是保护的自然生态过程和生态平衡，一方面</w:t>
      </w:r>
      <w:r>
        <w:t>避免河岸带的冲刷造成的水土流失，</w:t>
      </w:r>
      <w:r>
        <w:rPr>
          <w:rFonts w:hint="eastAsia"/>
        </w:rPr>
        <w:t>另一方面能够在维护生态系统结构完整性的同时，发挥生态功能服务，</w:t>
      </w:r>
      <w:r>
        <w:t>维护国土生态安全。</w:t>
      </w:r>
    </w:p>
    <w:p>
      <w:pPr>
        <w:pStyle w:val="4"/>
      </w:pPr>
      <w:r>
        <w:t>二、经济效益</w:t>
      </w:r>
    </w:p>
    <w:p>
      <w:pPr>
        <w:pStyle w:val="5"/>
      </w:pPr>
      <w:r>
        <w:t>（一）提供丰富的湿地产品</w:t>
      </w:r>
    </w:p>
    <w:p>
      <w:pPr>
        <w:ind w:firstLine="480"/>
      </w:pPr>
      <w:r>
        <w:rPr>
          <w:rFonts w:hint="eastAsia"/>
        </w:rPr>
        <w:t>玛纳斯湿地</w:t>
      </w:r>
      <w:r>
        <w:t>公园建成后，在生态保育区内严格控制人类活动，加之水质得到净化，有利于鱼类的繁殖，一定程度上提高了湿地动物产品的数量和质量。在限定的区域进行适当的采收湿地植物，可以结合地方和民族特色用于食品、工艺品等的制作，也是直接经济效益的一部分。</w:t>
      </w:r>
      <w:r>
        <w:rPr>
          <w:rFonts w:hint="eastAsia"/>
        </w:rPr>
        <w:t>柽柳</w:t>
      </w:r>
      <w:r>
        <w:t>次生林是重要的蜜源植被。湿地生态系统中的很多植物具有重要的药用价值。</w:t>
      </w:r>
    </w:p>
    <w:p>
      <w:pPr>
        <w:pStyle w:val="5"/>
      </w:pPr>
      <w:r>
        <w:t>（二）提高水源质量，推进畜牧业发展</w:t>
      </w:r>
    </w:p>
    <w:p>
      <w:pPr>
        <w:ind w:firstLine="480"/>
      </w:pPr>
      <w:r>
        <w:t>规划区周边是大面积的</w:t>
      </w:r>
      <w:r>
        <w:rPr>
          <w:rFonts w:hint="eastAsia"/>
        </w:rPr>
        <w:t>人工绿洲系统</w:t>
      </w:r>
      <w:r>
        <w:t>，</w:t>
      </w:r>
      <w:r>
        <w:rPr>
          <w:rFonts w:hint="eastAsia"/>
        </w:rPr>
        <w:t>玛纳斯</w:t>
      </w:r>
      <w:r>
        <w:t>河的水直接关乎</w:t>
      </w:r>
      <w:r>
        <w:rPr>
          <w:rFonts w:hint="eastAsia"/>
        </w:rPr>
        <w:t>农</w:t>
      </w:r>
      <w:r>
        <w:t>牧区的人畜饮水安全，是</w:t>
      </w:r>
      <w:r>
        <w:rPr>
          <w:rFonts w:hint="eastAsia"/>
        </w:rPr>
        <w:t>农业和</w:t>
      </w:r>
      <w:r>
        <w:t>畜牧业的发展基础。项目建设完成后，退化湿地经过水文恢复、植被恢复，逐渐恢复</w:t>
      </w:r>
      <w:r>
        <w:rPr>
          <w:rFonts w:hint="eastAsia"/>
        </w:rPr>
        <w:t>玛纳斯湿地</w:t>
      </w:r>
      <w:r>
        <w:t>生态系统的结构与功能，其支持功能进一步增强，显著提高了规划区湿地水质，可以直接服务于</w:t>
      </w:r>
      <w:r>
        <w:rPr>
          <w:rFonts w:hint="eastAsia"/>
        </w:rPr>
        <w:t>玛纳斯县农林</w:t>
      </w:r>
      <w:r>
        <w:t>畜牧业和相关产业经济的健康发展。</w:t>
      </w:r>
    </w:p>
    <w:p>
      <w:pPr>
        <w:pStyle w:val="5"/>
      </w:pPr>
      <w:bookmarkStart w:id="139" w:name="_Toc329607359"/>
      <w:r>
        <w:t>（三）提供就业机会，</w:t>
      </w:r>
      <w:bookmarkEnd w:id="139"/>
      <w:r>
        <w:t>促进富民增收</w:t>
      </w:r>
    </w:p>
    <w:p>
      <w:pPr>
        <w:ind w:firstLine="480"/>
      </w:pPr>
      <w:r>
        <w:rPr>
          <w:rFonts w:hint="eastAsia"/>
        </w:rPr>
        <w:t>玛纳斯湿地</w:t>
      </w:r>
      <w:r>
        <w:t>公园优越的地理位置、灿烂的民族文化和丰富的湿地景观资源为开展生态旅游和多种经营奠定了良好条件，通过社区参与方式开展生态旅游业、生态种植、生态牧业和多种经营活动，不仅为湿地公园发展注入活力，也必将促进社区经济快速发展，为规划区周边的社区群众提供就业机会，提高居民收入。</w:t>
      </w:r>
    </w:p>
    <w:p>
      <w:pPr>
        <w:pStyle w:val="5"/>
      </w:pPr>
      <w:r>
        <w:t>（四）调整产业结构，拉动经济发展</w:t>
      </w:r>
    </w:p>
    <w:p>
      <w:pPr>
        <w:ind w:firstLine="480"/>
      </w:pPr>
      <w:r>
        <w:t>生态旅游业是</w:t>
      </w:r>
      <w:r>
        <w:rPr>
          <w:rFonts w:hint="eastAsia"/>
        </w:rPr>
        <w:t>玛纳斯现代服务业的支柱产业，在</w:t>
      </w:r>
      <w:r>
        <w:t>拉动人流和物流，促进消费、搞活经济</w:t>
      </w:r>
      <w:r>
        <w:rPr>
          <w:rFonts w:hint="eastAsia"/>
        </w:rPr>
        <w:t>、产业</w:t>
      </w:r>
      <w:r>
        <w:t>富民</w:t>
      </w:r>
      <w:r>
        <w:rPr>
          <w:rFonts w:hint="eastAsia"/>
        </w:rPr>
        <w:t>方面具有重要作用</w:t>
      </w:r>
      <w:r>
        <w:t>，也是一个以人为本的活性产业。湿地公园的建设必将推动或城市旅游业健康快速发展，随着旅游接待规模和档次提高，从业人员增加，形成产业结构调整的动力，发展成为区域经济发展的支柱产业。通过生态旅游活动的开展，湿地公园的门票收入可以成为公园维护费用的补充，缓解政府财政投入的压力。</w:t>
      </w:r>
    </w:p>
    <w:p>
      <w:pPr>
        <w:pStyle w:val="4"/>
        <w:spacing w:before="156" w:beforeLines="50" w:after="156" w:afterLines="50" w:line="360" w:lineRule="auto"/>
        <w:ind w:left="210" w:right="210"/>
      </w:pPr>
      <w:r>
        <w:t>三、社会效益</w:t>
      </w:r>
    </w:p>
    <w:p>
      <w:pPr>
        <w:ind w:firstLine="480"/>
      </w:pPr>
      <w:r>
        <w:rPr>
          <w:rFonts w:hint="eastAsia"/>
        </w:rPr>
        <w:t>中国特色社会主义进入新时代，我国社会主要矛盾已经转化为人民日益增长的美好生活需要和不平衡不充分的发展之间的矛盾。</w:t>
      </w:r>
      <w:r>
        <w:t>湿地是人们了解自然、认识生态、科学实践的课堂和开放式的自然博物馆。</w:t>
      </w:r>
      <w:r>
        <w:rPr>
          <w:rFonts w:hint="eastAsia"/>
        </w:rPr>
        <w:t>玛纳斯湿地</w:t>
      </w:r>
      <w:r>
        <w:t>公园</w:t>
      </w:r>
      <w:r>
        <w:rPr>
          <w:rFonts w:hint="eastAsia"/>
        </w:rPr>
        <w:t>基础条件提升</w:t>
      </w:r>
      <w:r>
        <w:t>后</w:t>
      </w:r>
      <w:r>
        <w:rPr>
          <w:rFonts w:hint="eastAsia"/>
        </w:rPr>
        <w:t>，</w:t>
      </w:r>
      <w:r>
        <w:t>成为自然游赏、旅游体验、</w:t>
      </w:r>
      <w:r>
        <w:rPr>
          <w:rFonts w:hint="eastAsia"/>
        </w:rPr>
        <w:t>研学教育、</w:t>
      </w:r>
      <w:r>
        <w:t>市民休闲的绿色自然空间，提升生活质量。湿地公园作为科学研究、自然资源监测、环境教育、文化传承的实践基地，其带来的社会效益远远高于其产生的经济效益。</w:t>
      </w:r>
    </w:p>
    <w:p>
      <w:pPr>
        <w:pStyle w:val="5"/>
      </w:pPr>
      <w:bookmarkStart w:id="140" w:name="_Toc329607362"/>
      <w:r>
        <w:t>（一）有效提升</w:t>
      </w:r>
      <w:r>
        <w:rPr>
          <w:rFonts w:hint="eastAsia"/>
        </w:rPr>
        <w:t>玛纳斯</w:t>
      </w:r>
      <w:r>
        <w:t>县的知名度和影响力</w:t>
      </w:r>
      <w:bookmarkEnd w:id="140"/>
    </w:p>
    <w:p>
      <w:pPr>
        <w:ind w:firstLine="480"/>
      </w:pPr>
      <w:r>
        <w:rPr>
          <w:rFonts w:hint="eastAsia"/>
        </w:rPr>
        <w:t>玛纳斯国家湿地公园</w:t>
      </w:r>
      <w:r>
        <w:t>的建设是我国生态保护负责任大国形象的具体体现，也是国际湿地履约的具体措施，是</w:t>
      </w:r>
      <w:r>
        <w:rPr>
          <w:rFonts w:hint="eastAsia"/>
        </w:rPr>
        <w:t>玛纳斯县</w:t>
      </w:r>
      <w:r>
        <w:t>推进区域生态文明和美丽中国建设的具体实践。</w:t>
      </w:r>
      <w:r>
        <w:rPr>
          <w:rFonts w:hint="eastAsia"/>
        </w:rPr>
        <w:t>已经</w:t>
      </w:r>
      <w:r>
        <w:t>成为</w:t>
      </w:r>
      <w:r>
        <w:rPr>
          <w:rFonts w:hint="eastAsia"/>
        </w:rPr>
        <w:t>玛纳斯县</w:t>
      </w:r>
      <w:r>
        <w:t>乃至</w:t>
      </w:r>
      <w:r>
        <w:rPr>
          <w:rFonts w:hint="eastAsia"/>
        </w:rPr>
        <w:t>昌吉州河天山北坡的</w:t>
      </w:r>
      <w:r>
        <w:t>生态旅游新名片，通过科研、对外交流、旅游度假等活动，可以有效提升</w:t>
      </w:r>
      <w:r>
        <w:rPr>
          <w:rFonts w:hint="eastAsia"/>
        </w:rPr>
        <w:t>玛纳斯县</w:t>
      </w:r>
      <w:r>
        <w:t>的知名度和影响力。</w:t>
      </w:r>
    </w:p>
    <w:p>
      <w:pPr>
        <w:pStyle w:val="5"/>
      </w:pPr>
      <w:bookmarkStart w:id="141" w:name="_Toc329607364"/>
      <w:bookmarkStart w:id="142" w:name="_Toc329607363"/>
      <w:r>
        <w:t>（二）增强环境意识</w:t>
      </w:r>
      <w:bookmarkEnd w:id="141"/>
      <w:r>
        <w:t>，提高生态保护的自觉性</w:t>
      </w:r>
    </w:p>
    <w:p>
      <w:pPr>
        <w:ind w:firstLine="480"/>
      </w:pPr>
      <w:r>
        <w:rPr>
          <w:rFonts w:hint="eastAsia"/>
        </w:rPr>
        <w:t>玛纳斯湿地</w:t>
      </w:r>
      <w:r>
        <w:t>公园是科普教学、环境教育的理想场所，通过对河流湿地生态过程模拟、功能展示、湿地动植物认知等环境教育项目内容，让人们可以了解湿地知识、湿地文明、湿地的重要性，增强环境保护的意识。在提升文化修养的同时，形成生态保护的自觉性。</w:t>
      </w:r>
    </w:p>
    <w:p>
      <w:pPr>
        <w:pStyle w:val="5"/>
      </w:pPr>
      <w:r>
        <w:t>（三）为游客提供高品位的生态旅游场所</w:t>
      </w:r>
      <w:bookmarkEnd w:id="142"/>
    </w:p>
    <w:p>
      <w:pPr>
        <w:ind w:firstLine="480"/>
      </w:pPr>
      <w:r>
        <w:rPr>
          <w:rFonts w:hint="eastAsia"/>
        </w:rPr>
        <w:t>玛纳斯国家湿地公园</w:t>
      </w:r>
      <w:r>
        <w:t>具有自然游赏、休闲游憩、生态体验的功能，其特定的湿地小气候、优美的环境和丰富的旅游产品，是人们回归自然的理想体验场所。越来越多的游客和本地居民参与生态旅游，通过接近自然、探索自然、融入自然，释放压力，丰富精神空间，提高人居生活质量。</w:t>
      </w:r>
    </w:p>
    <w:p>
      <w:pPr>
        <w:pStyle w:val="5"/>
      </w:pPr>
      <w:bookmarkStart w:id="143" w:name="_Toc329607365"/>
      <w:r>
        <w:t>（四）有效促进湿地文化的提升和传播</w:t>
      </w:r>
      <w:bookmarkEnd w:id="143"/>
    </w:p>
    <w:p>
      <w:pPr>
        <w:ind w:firstLine="480"/>
      </w:pPr>
      <w:r>
        <w:rPr>
          <w:rFonts w:hint="eastAsia"/>
        </w:rPr>
        <w:t>玛纳斯国家湿地公园</w:t>
      </w:r>
      <w:r>
        <w:t>建成后，游客通过生态旅游体验，在享受优美自然景观的同时，可以体验和感受</w:t>
      </w:r>
      <w:r>
        <w:rPr>
          <w:rFonts w:hint="eastAsia"/>
        </w:rPr>
        <w:t>玛纳斯河</w:t>
      </w:r>
      <w:r>
        <w:t>孕育的灿烂文化、浓郁民族风情等，在游憩休闲、陶冶情操的同时，品味湿地文明，唤起公众的文化保护意识，弘扬与传承民族优秀文化，推动生态文明建设。</w:t>
      </w:r>
    </w:p>
    <w:p>
      <w:pPr>
        <w:pStyle w:val="4"/>
        <w:spacing w:before="156" w:beforeLines="50" w:after="156" w:afterLines="50" w:line="360" w:lineRule="auto"/>
        <w:ind w:left="210" w:right="210"/>
      </w:pPr>
      <w:r>
        <w:t>四、总体评价</w:t>
      </w:r>
    </w:p>
    <w:p>
      <w:pPr>
        <w:ind w:firstLine="480"/>
      </w:pPr>
      <w:r>
        <w:t>新疆玛纳斯国家湿地公园的建设，有效保护了</w:t>
      </w:r>
      <w:r>
        <w:rPr>
          <w:rFonts w:hint="eastAsia"/>
        </w:rPr>
        <w:t>玛纳斯湿地</w:t>
      </w:r>
      <w:r>
        <w:t>资源，使其多功能得到发挥。</w:t>
      </w:r>
      <w:r>
        <w:rPr>
          <w:rFonts w:hint="eastAsia"/>
        </w:rPr>
        <w:t>玛纳斯湿地</w:t>
      </w:r>
      <w:r>
        <w:t>将持续发挥生态效益，包括生物多样性维护、水源供给、蓄水防洪、维持区域水平衡、净化水质、调节气候、物质循环、控制水土流失等多个方面，对于维护区域生态安全意义重大。</w:t>
      </w:r>
    </w:p>
    <w:p>
      <w:pPr>
        <w:ind w:firstLine="480"/>
      </w:pPr>
      <w:r>
        <w:t>公园能够提供丰富的湿地产品、推进农牧业发展，生态旅游可以提供就业机会，调整产业结构，促进居民增收。</w:t>
      </w:r>
      <w:r>
        <w:rPr>
          <w:rFonts w:hint="eastAsia"/>
        </w:rPr>
        <w:t>玛纳斯国家湿地公园</w:t>
      </w:r>
      <w:r>
        <w:t>能有效提升</w:t>
      </w:r>
      <w:r>
        <w:rPr>
          <w:rFonts w:hint="eastAsia"/>
        </w:rPr>
        <w:t>玛纳斯县</w:t>
      </w:r>
      <w:r>
        <w:t>的知名度和影响力，作为科研实践、科普宣传和环境教育基地，增强公众环境意识，提高生态保护的自觉性，丰富人们的精神空间、提高生活质量。能够有效提升湿地文化的品味，促进民族优秀文化的传承和发展。这些效益将形成辐射带动作用，成为新疆乃至我国西北地区湿地保护与合理利用的典范，成为推进区域生态文明建设与美丽中国建设的具体实践。</w:t>
      </w:r>
    </w:p>
    <w:p>
      <w:pPr>
        <w:widowControl/>
        <w:spacing w:line="240" w:lineRule="auto"/>
        <w:ind w:firstLine="0" w:firstLineChars="0"/>
        <w:jc w:val="left"/>
        <w:rPr>
          <w:rFonts w:eastAsia="黑体"/>
          <w:b/>
          <w:bCs/>
          <w:kern w:val="44"/>
          <w:sz w:val="36"/>
          <w:szCs w:val="44"/>
        </w:rPr>
      </w:pPr>
      <w:r>
        <w:br w:type="page"/>
      </w:r>
    </w:p>
    <w:p>
      <w:pPr>
        <w:pStyle w:val="2"/>
        <w:ind w:firstLine="723"/>
      </w:pPr>
      <w:bookmarkStart w:id="144" w:name="_Toc130121696"/>
      <w:r>
        <w:rPr>
          <w:rFonts w:hint="eastAsia"/>
        </w:rPr>
        <w:t>第十四章</w:t>
      </w:r>
      <w:r>
        <w:t xml:space="preserve">  </w:t>
      </w:r>
      <w:r>
        <w:rPr>
          <w:rFonts w:hint="eastAsia"/>
        </w:rPr>
        <w:t>环境影响评价</w:t>
      </w:r>
      <w:bookmarkEnd w:id="144"/>
    </w:p>
    <w:p>
      <w:pPr>
        <w:ind w:firstLine="480"/>
      </w:pPr>
      <w:r>
        <w:rPr>
          <w:rFonts w:hint="eastAsia"/>
        </w:rPr>
        <w:t>玛纳斯国家湿地公园</w:t>
      </w:r>
      <w:r>
        <w:t>建设以自然生态系统作为载体，在保护基础上适度利用，属生态保护、恢复和不断改善的项目。因此，项目总体上不会造成新的环境污染和破坏，而将极大地促进</w:t>
      </w:r>
      <w:r>
        <w:rPr>
          <w:rFonts w:hint="eastAsia"/>
        </w:rPr>
        <w:t>玛纳斯河</w:t>
      </w:r>
      <w:r>
        <w:t>流域生态系统的自然恢复和生态演替，进一步改善优化环境质量。</w:t>
      </w:r>
    </w:p>
    <w:p>
      <w:pPr>
        <w:pStyle w:val="3"/>
        <w:spacing w:before="156" w:beforeLines="50" w:after="156" w:afterLines="50" w:line="360" w:lineRule="auto"/>
        <w:ind w:firstLine="643"/>
        <w:rPr>
          <w:rFonts w:ascii="Times New Roman" w:hAnsi="Times New Roman"/>
        </w:rPr>
      </w:pPr>
      <w:bookmarkStart w:id="145" w:name="_Toc403861847"/>
      <w:bookmarkStart w:id="146" w:name="_Toc356483591"/>
      <w:bookmarkStart w:id="147" w:name="_Toc130121697"/>
      <w:r>
        <w:rPr>
          <w:rFonts w:ascii="Times New Roman" w:hAnsi="Times New Roman"/>
        </w:rPr>
        <w:t>第一节  生态环境现状</w:t>
      </w:r>
      <w:bookmarkEnd w:id="145"/>
      <w:bookmarkEnd w:id="146"/>
      <w:bookmarkEnd w:id="147"/>
    </w:p>
    <w:p>
      <w:pPr>
        <w:pStyle w:val="4"/>
      </w:pPr>
      <w:r>
        <w:t>一、水环境</w:t>
      </w:r>
    </w:p>
    <w:p>
      <w:pPr>
        <w:ind w:firstLine="480"/>
      </w:pPr>
      <w:bookmarkStart w:id="148" w:name="_Toc123029701"/>
      <w:bookmarkStart w:id="149" w:name="_Toc110666882"/>
      <w:bookmarkStart w:id="150" w:name="_Toc110665892"/>
      <w:bookmarkStart w:id="151" w:name="_Toc110666203"/>
      <w:bookmarkStart w:id="152" w:name="_Toc110496036"/>
      <w:bookmarkStart w:id="153" w:name="_Toc122776093"/>
      <w:bookmarkStart w:id="154" w:name="_Toc110489374"/>
      <w:bookmarkStart w:id="155" w:name="_Toc110496101"/>
      <w:r>
        <w:rPr>
          <w:rFonts w:hint="eastAsia"/>
        </w:rPr>
        <w:t>玛纳斯县境内有玛纳斯河、塔西河两大水系。玛纳斯河全长324 km，流域面积1.98万 km</w:t>
      </w:r>
      <w:r>
        <w:rPr>
          <w:rFonts w:hint="eastAsia"/>
          <w:vertAlign w:val="superscript"/>
        </w:rPr>
        <w:t>2</w:t>
      </w:r>
      <w:r>
        <w:rPr>
          <w:rFonts w:hint="eastAsia"/>
        </w:rPr>
        <w:t>，以冰川融水、降水及沿程地下水补给为主，红嘴山水文站以上多年平均年径流量13.16亿m</w:t>
      </w:r>
      <w:r>
        <w:rPr>
          <w:rFonts w:hint="eastAsia"/>
          <w:vertAlign w:val="superscript"/>
        </w:rPr>
        <w:t>3</w:t>
      </w:r>
      <w:r>
        <w:rPr>
          <w:rFonts w:hint="eastAsia"/>
        </w:rPr>
        <w:t>。塔西河发源于天山山脉依连哈比尔尕山的河源峰，经石门子水库调节后向北流经山前冲洪积平原和绿洲，全长120 km，径流主要靠降水、冰雪融水和地下水，石门子水文站以上集水面积664 km</w:t>
      </w:r>
      <w:r>
        <w:rPr>
          <w:rFonts w:hint="eastAsia"/>
          <w:vertAlign w:val="superscript"/>
        </w:rPr>
        <w:t>2</w:t>
      </w:r>
      <w:r>
        <w:rPr>
          <w:rFonts w:hint="eastAsia"/>
        </w:rPr>
        <w:t>，多年均径流量为2.31亿m</w:t>
      </w:r>
      <w:r>
        <w:rPr>
          <w:rFonts w:hint="eastAsia"/>
          <w:vertAlign w:val="superscript"/>
        </w:rPr>
        <w:t>3</w:t>
      </w:r>
      <w:r>
        <w:rPr>
          <w:rFonts w:hint="eastAsia"/>
        </w:rPr>
        <w:t>。石门子水库、塔西河水库、新户坪水库、白土坑水库、大海子、夹河子水库等是玛纳斯县重要水利设施，全县中小型水库18座，设计库容5530万m</w:t>
      </w:r>
      <w:r>
        <w:rPr>
          <w:rFonts w:hint="eastAsia"/>
          <w:vertAlign w:val="superscript"/>
        </w:rPr>
        <w:t>3</w:t>
      </w:r>
      <w:r>
        <w:rPr>
          <w:rFonts w:hint="eastAsia"/>
        </w:rPr>
        <w:t>，由于泥沙沉积，现蓄水能力只有3580万m</w:t>
      </w:r>
      <w:r>
        <w:rPr>
          <w:rFonts w:hint="eastAsia"/>
          <w:vertAlign w:val="superscript"/>
        </w:rPr>
        <w:t>3</w:t>
      </w:r>
      <w:r>
        <w:rPr>
          <w:rFonts w:hint="eastAsia"/>
        </w:rPr>
        <w:t>。</w:t>
      </w:r>
    </w:p>
    <w:p>
      <w:pPr>
        <w:ind w:firstLine="480"/>
      </w:pPr>
      <w:r>
        <w:rPr>
          <w:rFonts w:hint="eastAsia"/>
        </w:rPr>
        <w:t xml:space="preserve">县域内地下水也较为丰富，总储量达3.24亿m3。其主要补给来源于天然降水，地表水体山前侧渗入。全县地下水年补给量为4.05亿m3，地下水可开采量2.3亿m3，现年开采总量可达1.38亿m3。 </w:t>
      </w:r>
    </w:p>
    <w:p>
      <w:pPr>
        <w:ind w:firstLine="480"/>
      </w:pPr>
      <w:r>
        <w:rPr>
          <w:rFonts w:hint="eastAsia"/>
        </w:rPr>
        <w:t>根据中国新疆水环境功能区划，玛纳斯河全河段(玛纳斯源头水)30.7km，控制城镇玛纳斯县、和静县，现状使用功能为源头水，现状水质类别和水质目标为Ⅰ类水体，规划主导功能为自然保护。</w:t>
      </w:r>
    </w:p>
    <w:p>
      <w:pPr>
        <w:pStyle w:val="4"/>
        <w:spacing w:before="156" w:beforeLines="50" w:after="156" w:afterLines="50" w:line="360" w:lineRule="auto"/>
        <w:ind w:left="210" w:right="210"/>
      </w:pPr>
      <w:r>
        <w:t>二、大气环境</w:t>
      </w:r>
    </w:p>
    <w:p>
      <w:pPr>
        <w:ind w:firstLine="480"/>
      </w:pPr>
      <w:r>
        <w:rPr>
          <w:rFonts w:hint="eastAsia"/>
        </w:rPr>
        <w:t>玛纳斯湿地</w:t>
      </w:r>
      <w:r>
        <w:t>公园除城区、城镇地段外，人员、车辆活动较少，在正常情况下无粉尘、降尘等，负氧离子浓度高，大气环境质量</w:t>
      </w:r>
      <w:r>
        <w:rPr>
          <w:rFonts w:hint="eastAsia"/>
        </w:rPr>
        <w:t>优于《环境空气质量标准》（</w:t>
      </w:r>
      <w:r>
        <w:t>GB 3095-2012</w:t>
      </w:r>
      <w:r>
        <w:rPr>
          <w:rFonts w:hint="eastAsia"/>
        </w:rPr>
        <w:t>）二</w:t>
      </w:r>
      <w:r>
        <w:t>级标准。</w:t>
      </w:r>
      <w:r>
        <w:rPr>
          <w:rFonts w:hint="eastAsia"/>
        </w:rPr>
        <w:t>玛纳斯县首要空气污染物为可吸入颗粒物，火电厂是玛纳斯县煤炭消费大户，也是大气污染的源头。玛河产业区、塔西河产业区除排放二氧化硫、氮氧化物、烟粉尘等大气污染物外，还排放硫化氢等特征性污染物。玛河西岸石河子工业区大气污染排放不断新增，对湿地环境产生不利影响。</w:t>
      </w:r>
    </w:p>
    <w:p>
      <w:pPr>
        <w:pStyle w:val="4"/>
        <w:spacing w:before="156" w:beforeLines="50" w:after="156" w:afterLines="50" w:line="360" w:lineRule="auto"/>
        <w:ind w:left="210" w:right="210"/>
      </w:pPr>
      <w:r>
        <w:t>三、土壤环境</w:t>
      </w:r>
    </w:p>
    <w:p>
      <w:pPr>
        <w:ind w:firstLine="480"/>
      </w:pPr>
      <w:r>
        <w:rPr>
          <w:rFonts w:hint="eastAsia"/>
        </w:rPr>
        <w:t>玛纳斯国家湿地公园</w:t>
      </w:r>
      <w:r>
        <w:t>土壤类型以</w:t>
      </w:r>
      <w:r>
        <w:rPr>
          <w:rFonts w:hint="eastAsia"/>
        </w:rPr>
        <w:t>灌淤土、潮土、灰漠土</w:t>
      </w:r>
      <w:r>
        <w:t>为主。其中潮土的主要成因是潮化和熟化，土壤湿润，有机质含量高，土壤呈暗灰色；</w:t>
      </w:r>
      <w:r>
        <w:rPr>
          <w:rFonts w:hint="eastAsia"/>
        </w:rPr>
        <w:t>灰漠土，主要分布在玛纳斯河、塔西河两河冲积扇中部和上部。</w:t>
      </w:r>
      <w:r>
        <w:t>规划区内土壤环境良好，水肥状况好，发展潜力巨大。在湿地范围内的河流两岸，由于工程施工等人为因素和河流水蚀冲刷等作用，存在局部土壤侵蚀、水土流失等现象。</w:t>
      </w:r>
    </w:p>
    <w:p>
      <w:pPr>
        <w:pStyle w:val="4"/>
        <w:spacing w:before="156" w:beforeLines="50" w:after="156" w:afterLines="50" w:line="360" w:lineRule="auto"/>
        <w:ind w:left="210" w:right="210"/>
      </w:pPr>
      <w:r>
        <w:t>四</w:t>
      </w:r>
      <w:bookmarkStart w:id="156" w:name="_Toc266893303"/>
      <w:bookmarkStart w:id="157" w:name="_Toc266879574"/>
      <w:bookmarkStart w:id="158" w:name="_Toc237312875"/>
      <w:r>
        <w:t>．声光环境</w:t>
      </w:r>
      <w:bookmarkEnd w:id="156"/>
      <w:bookmarkEnd w:id="157"/>
      <w:bookmarkEnd w:id="158"/>
    </w:p>
    <w:p>
      <w:pPr>
        <w:ind w:firstLine="480"/>
      </w:pPr>
      <w:r>
        <w:rPr>
          <w:rFonts w:hint="eastAsia"/>
        </w:rPr>
        <w:t>玛纳斯国家湿地公园</w:t>
      </w:r>
      <w:r>
        <w:t>规划区由于人为活动较少，目前尚无噪声问题。湿地公园附近的村落、居民、牧民的生产生活及交通沿线产生一些人为噪音影响对野生动物，尤其是鸟类的栖息影响较小。湿地公园周边居民、牧民区的光污染对湿地的生态环境影响不大。</w:t>
      </w:r>
    </w:p>
    <w:p>
      <w:pPr>
        <w:pStyle w:val="4"/>
        <w:spacing w:before="156" w:beforeLines="50" w:after="156" w:afterLines="50" w:line="360" w:lineRule="auto"/>
        <w:ind w:left="210" w:right="210"/>
      </w:pPr>
      <w:r>
        <w:t>五、生物生态环境</w:t>
      </w:r>
    </w:p>
    <w:p>
      <w:pPr>
        <w:pStyle w:val="5"/>
        <w:ind w:firstLine="480" w:firstLineChars="200"/>
      </w:pPr>
      <w:r>
        <w:t>（一）植物生态环境</w:t>
      </w:r>
    </w:p>
    <w:p>
      <w:pPr>
        <w:ind w:firstLine="480"/>
      </w:pPr>
      <w:r>
        <w:t>由于</w:t>
      </w:r>
      <w:r>
        <w:rPr>
          <w:rFonts w:hint="eastAsia"/>
        </w:rPr>
        <w:t>规划区</w:t>
      </w:r>
      <w:r>
        <w:t>良好的水、土等自然条件，对湿地范围内的植物生长极为有利，孕育了良好的森林植被。规划区内河谷次生林生长良好，植被种类繁多，</w:t>
      </w:r>
      <w:r>
        <w:rPr>
          <w:rFonts w:hint="eastAsia"/>
        </w:rPr>
        <w:t>湿地公园中现分布有维管植物 200 种，占新疆湿地植物总数 的 45.3% ，其中荒漠植物 140 种，湿生与水生植物 60 种。</w:t>
      </w:r>
      <w:r>
        <w:t>。</w:t>
      </w:r>
    </w:p>
    <w:p>
      <w:pPr>
        <w:pStyle w:val="5"/>
        <w:ind w:firstLine="480" w:firstLineChars="200"/>
      </w:pPr>
      <w:r>
        <w:t>（二）动物生态环境</w:t>
      </w:r>
    </w:p>
    <w:p>
      <w:pPr>
        <w:ind w:firstLine="480"/>
      </w:pPr>
      <w:r>
        <w:rPr>
          <w:rFonts w:hint="eastAsia"/>
        </w:rPr>
        <w:t>玛纳斯国家湿地公园记录到鸟类共计 277 种，涉及 19目、60科、139属，约占新疆鸟类总数的60%。国家重点保护鸟类47种，其中一级重点保护鸟类7种；自治区重点保护鸟类19种。玛纳斯湿地记录有鱼类3目5 科15属22 种，是全疆鱼类种数的24.4%，准噶尔雅罗鱼、小眼须鳅和小体高原鳅为中国特有种。玛纳斯湿地共记录到两栖动物1目2科3种，均为国家“三有”保护物种；爬行动物 l目5科8种，占新疆爬行类总数的16%。玛纳斯地区记录兽类 5 目11 科21 种，占新疆兽类总数的 14.6%。</w:t>
      </w:r>
    </w:p>
    <w:p>
      <w:pPr>
        <w:pStyle w:val="5"/>
        <w:ind w:firstLine="480" w:firstLineChars="200"/>
      </w:pPr>
      <w:bookmarkStart w:id="159" w:name="_Toc237312877"/>
      <w:bookmarkStart w:id="160" w:name="_Toc266879576"/>
      <w:bookmarkStart w:id="161" w:name="_Toc266893305"/>
      <w:r>
        <w:t>（三）固体废弃物</w:t>
      </w:r>
      <w:bookmarkEnd w:id="159"/>
      <w:bookmarkEnd w:id="160"/>
      <w:bookmarkEnd w:id="161"/>
    </w:p>
    <w:p>
      <w:pPr>
        <w:ind w:firstLine="480"/>
      </w:pPr>
      <w:r>
        <w:rPr>
          <w:rFonts w:hint="eastAsia"/>
        </w:rPr>
        <w:t>玛纳斯国家湿地公园</w:t>
      </w:r>
      <w:r>
        <w:t>规划区城镇、农村居民点较远，农田将村庄与规划区隔开，对保护规划区环境有一定好处。总体固体废弃物较少，放牧产生的牛羊粪便虽分布零散，但自然降解能力强</w:t>
      </w:r>
      <w:r>
        <w:rPr>
          <w:rFonts w:hint="eastAsia"/>
        </w:rPr>
        <w:t>，</w:t>
      </w:r>
      <w:r>
        <w:t>但局部地段目前受固体废弃物影响也较大。</w:t>
      </w:r>
    </w:p>
    <w:p>
      <w:pPr>
        <w:pStyle w:val="3"/>
        <w:spacing w:before="156" w:beforeLines="50" w:after="156" w:afterLines="50" w:line="360" w:lineRule="auto"/>
        <w:ind w:firstLine="643"/>
        <w:rPr>
          <w:rFonts w:ascii="Times New Roman" w:hAnsi="Times New Roman"/>
        </w:rPr>
      </w:pPr>
      <w:bookmarkStart w:id="162" w:name="_Toc356483592"/>
      <w:bookmarkStart w:id="163" w:name="_Toc403861848"/>
      <w:bookmarkStart w:id="164" w:name="_Toc130121698"/>
      <w:r>
        <w:rPr>
          <w:rFonts w:ascii="Times New Roman" w:hAnsi="Times New Roman"/>
        </w:rPr>
        <w:t>第二节  环境影响因素识别与预测</w:t>
      </w:r>
      <w:bookmarkEnd w:id="162"/>
      <w:bookmarkEnd w:id="163"/>
      <w:bookmarkEnd w:id="164"/>
    </w:p>
    <w:bookmarkEnd w:id="148"/>
    <w:bookmarkEnd w:id="149"/>
    <w:bookmarkEnd w:id="150"/>
    <w:bookmarkEnd w:id="151"/>
    <w:bookmarkEnd w:id="152"/>
    <w:bookmarkEnd w:id="153"/>
    <w:bookmarkEnd w:id="154"/>
    <w:bookmarkEnd w:id="155"/>
    <w:p>
      <w:pPr>
        <w:ind w:firstLine="480"/>
      </w:pPr>
      <w:r>
        <w:rPr>
          <w:rFonts w:hint="eastAsia"/>
        </w:rPr>
        <w:t>玛纳斯国家湿地公园</w:t>
      </w:r>
      <w:r>
        <w:t>建设项目环境影响因素的识别采用“Leopold二维矩阵法”。确定工程项目与环境要素间的关系，分析各类建设项目产生的主要影响及其性质。通过矩阵分析工程项目与环境要素之间的关系，利用公式计算各种影响因素对环境影响的总分，识别主要影响因素、影响程度、有利与否</w:t>
      </w:r>
      <w:r>
        <w:rPr>
          <w:rFonts w:hint="eastAsia"/>
        </w:rPr>
        <w:t>（</w:t>
      </w:r>
      <w:r>
        <w:t>表14-1</w:t>
      </w:r>
      <w:r>
        <w:rPr>
          <w:rFonts w:hint="eastAsia"/>
        </w:rPr>
        <w:t>）</w:t>
      </w:r>
      <w:r>
        <w:t>。</w:t>
      </w:r>
    </w:p>
    <w:p>
      <w:pPr>
        <w:ind w:firstLine="480"/>
      </w:pPr>
      <w:r>
        <w:t>计算公式为：各种行动对第i种环境因子的总影响：</w:t>
      </w:r>
    </w:p>
    <w:p>
      <w:pPr>
        <w:ind w:firstLine="480"/>
      </w:pPr>
      <w:r>
        <w:t xml:space="preserve">                           </w:t>
      </w:r>
      <w:r>
        <w:object>
          <v:shape id="_x0000_i1025" o:spt="75" type="#_x0000_t75" style="height:28.5pt;width:42pt;" o:ole="t" filled="f" o:preferrelative="t" stroked="f" coordsize="21600,21600">
            <v:path/>
            <v:fill on="f" focussize="0,0"/>
            <v:stroke on="f" joinstyle="miter"/>
            <v:imagedata r:id="rId36" o:title=""/>
            <o:lock v:ext="edit" aspectratio="t"/>
            <w10:wrap type="none"/>
            <w10:anchorlock/>
          </v:shape>
          <o:OLEObject Type="Embed" ProgID="Equation.3" ShapeID="_x0000_i1025" DrawAspect="Content" ObjectID="_1468075725" r:id="rId35">
            <o:LockedField>false</o:LockedField>
          </o:OLEObject>
        </w:object>
      </w:r>
    </w:p>
    <w:p>
      <w:pPr>
        <w:ind w:firstLine="480"/>
      </w:pPr>
      <w:r>
        <w:t>第i种活动对各个环境因子的总的影响：</w:t>
      </w:r>
    </w:p>
    <w:p>
      <w:pPr>
        <w:ind w:firstLine="480"/>
      </w:pPr>
      <w:r>
        <w:t xml:space="preserve">                        </w:t>
      </w:r>
      <w:r>
        <w:object>
          <v:shape id="_x0000_i1026" o:spt="75" type="#_x0000_t75" style="height:31.5pt;width:48pt;" o:ole="t" filled="f" o:preferrelative="t" stroked="f" coordsize="21600,21600">
            <v:path/>
            <v:fill on="f" focussize="0,0"/>
            <v:stroke on="f" joinstyle="miter"/>
            <v:imagedata r:id="rId38" o:title=""/>
            <o:lock v:ext="edit" aspectratio="t"/>
            <w10:wrap type="none"/>
            <w10:anchorlock/>
          </v:shape>
          <o:OLEObject Type="Embed" ProgID="Equation.3" ShapeID="_x0000_i1026" DrawAspect="Content" ObjectID="_1468075726" r:id="rId37">
            <o:LockedField>false</o:LockedField>
          </o:OLEObject>
        </w:object>
      </w:r>
    </w:p>
    <w:p>
      <w:pPr>
        <w:ind w:firstLine="480"/>
      </w:pPr>
      <w:r>
        <w:t>总影响：</w:t>
      </w:r>
    </w:p>
    <w:p>
      <w:pPr>
        <w:spacing w:line="240" w:lineRule="auto"/>
        <w:ind w:firstLine="480"/>
      </w:pPr>
      <w:r>
        <w:t xml:space="preserve">                        </w:t>
      </w:r>
      <w:r>
        <w:object>
          <v:shape id="_x0000_i1027" o:spt="75" type="#_x0000_t75" style="height:32.25pt;width:48pt;" o:ole="t" filled="f" o:preferrelative="t" stroked="f" coordsize="21600,21600">
            <v:path/>
            <v:fill on="f" focussize="0,0"/>
            <v:stroke on="f" joinstyle="miter"/>
            <v:imagedata r:id="rId40" o:title=""/>
            <o:lock v:ext="edit" aspectratio="t"/>
            <w10:wrap type="none"/>
            <w10:anchorlock/>
          </v:shape>
          <o:OLEObject Type="Embed" ProgID="Equation.3" ShapeID="_x0000_i1027" DrawAspect="Content" ObjectID="_1468075727" r:id="rId39">
            <o:LockedField>false</o:LockedField>
          </o:OLEObject>
        </w:object>
      </w:r>
    </w:p>
    <w:p>
      <w:pPr>
        <w:ind w:firstLine="480"/>
      </w:pPr>
      <w:r>
        <w:t>从“Leopold二维矩阵”，可以得出以下结论：</w:t>
      </w:r>
    </w:p>
    <w:p>
      <w:pPr>
        <w:ind w:firstLine="480"/>
      </w:pPr>
      <w:r>
        <w:t>（一）</w:t>
      </w:r>
      <w:r>
        <w:rPr>
          <w:rFonts w:hint="eastAsia"/>
        </w:rPr>
        <w:t>玛纳斯国家湿地公园</w:t>
      </w:r>
      <w:r>
        <w:t>对环境的总影响数值为458，这意味着项目实施将对环境产生积极的、有利影响，其中生态保育工程、能力建设工程等将对保护和改善流域湿地环境，促进当地环境因子的良性循环产生显著推动作用。</w:t>
      </w:r>
    </w:p>
    <w:p>
      <w:pPr>
        <w:ind w:firstLine="480"/>
      </w:pPr>
      <w:r>
        <w:t>（二） 附属设施建设工程，如合理利用区、管理服务区的供电和土建等工程，在工程的建设实施过程中，将对环境产生一定的负面影响。但由于工程实施的规模小，占地面积有限，所以其影响的面窄、程度轻、时间短，随着工程建设的结束，这些不利的环影响也将随之结束，不会对环境造成持续的负面影响。</w:t>
      </w:r>
    </w:p>
    <w:p>
      <w:pPr>
        <w:ind w:firstLine="235" w:firstLineChars="98"/>
        <w:sectPr>
          <w:pgSz w:w="11906" w:h="16838"/>
          <w:pgMar w:top="1701" w:right="1701" w:bottom="1418" w:left="1701" w:header="1134" w:footer="1021" w:gutter="0"/>
          <w:cols w:space="425" w:num="1"/>
          <w:docGrid w:type="linesAndChars" w:linePitch="312" w:charSpace="0"/>
        </w:sectPr>
      </w:pPr>
    </w:p>
    <w:p>
      <w:pPr>
        <w:spacing w:line="400" w:lineRule="exact"/>
        <w:ind w:firstLine="560"/>
        <w:jc w:val="center"/>
        <w:rPr>
          <w:rFonts w:eastAsia="楷体_GB2312"/>
          <w:b/>
          <w:sz w:val="28"/>
          <w:szCs w:val="28"/>
        </w:rPr>
      </w:pPr>
      <w:r>
        <w:rPr>
          <w:rFonts w:eastAsia="楷体_GB2312"/>
          <w:b/>
          <w:sz w:val="28"/>
          <w:szCs w:val="28"/>
        </w:rPr>
        <w:t>表14-1  环境影响因素识别矩阵</w:t>
      </w:r>
    </w:p>
    <w:tbl>
      <w:tblPr>
        <w:tblStyle w:val="25"/>
        <w:tblW w:w="14786"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660"/>
        <w:gridCol w:w="709"/>
        <w:gridCol w:w="708"/>
        <w:gridCol w:w="851"/>
        <w:gridCol w:w="709"/>
        <w:gridCol w:w="708"/>
        <w:gridCol w:w="709"/>
        <w:gridCol w:w="709"/>
        <w:gridCol w:w="850"/>
        <w:gridCol w:w="993"/>
        <w:gridCol w:w="850"/>
        <w:gridCol w:w="852"/>
        <w:gridCol w:w="850"/>
        <w:gridCol w:w="992"/>
        <w:gridCol w:w="642"/>
        <w:gridCol w:w="99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20" w:hRule="atLeas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环境因子</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大气</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地表水文</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地下水</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声学</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土壤</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美学</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植物生长</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物种多样性</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群落稳定度</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动植物病虫害</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动物栖息地</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陆地野生动物</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珍稀濒危物种</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控制侵蚀</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因子总影响</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环境监测工程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1/4</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2/6</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2/6</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1/2</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1/4</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88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森林防火工程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5/8</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2/6</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64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病虫害防治工程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3/7</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8/10</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1/4</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116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巡护</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1/4</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退牧还湿</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2/7</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1/4</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2/6</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3/5</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1/2</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47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次生林生态保育工程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1/2</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3/6</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3/4</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3/4</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91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造林工程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2/3</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3/4</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47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道路工程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-1/4</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土建工程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-1/2</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绿化工程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3/6</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3/6</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2/6</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2/2</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72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供电工程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-1/4</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-1/2</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-1/5</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通讯工程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-1/1</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给排水工程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-1/2</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-1/3</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供暖工程</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-3/6</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-1/1</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660" w:type="dxa"/>
            <w:shd w:val="clear" w:color="auto" w:fill="auto"/>
            <w:vAlign w:val="center"/>
          </w:tcPr>
          <w:p>
            <w:pPr>
              <w:widowControl/>
              <w:spacing w:line="240" w:lineRule="auto"/>
              <w:ind w:firstLine="0" w:firstLineChars="0"/>
              <w:jc w:val="left"/>
              <w:rPr>
                <w:rFonts w:eastAsia="楷体_GB2312"/>
                <w:kern w:val="0"/>
                <w:szCs w:val="24"/>
              </w:rPr>
            </w:pPr>
            <w:r>
              <w:rPr>
                <w:rFonts w:eastAsia="楷体_GB2312"/>
                <w:kern w:val="0"/>
                <w:szCs w:val="24"/>
              </w:rPr>
              <w:t>工程建设总影响</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-8</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46</w:t>
            </w:r>
          </w:p>
        </w:tc>
        <w:tc>
          <w:tcPr>
            <w:tcW w:w="851"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24</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8</w:t>
            </w:r>
          </w:p>
        </w:tc>
        <w:tc>
          <w:tcPr>
            <w:tcW w:w="708"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12</w:t>
            </w:r>
          </w:p>
        </w:tc>
        <w:tc>
          <w:tcPr>
            <w:tcW w:w="709"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107</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47</w:t>
            </w:r>
          </w:p>
        </w:tc>
        <w:tc>
          <w:tcPr>
            <w:tcW w:w="993"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41</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92</w:t>
            </w:r>
          </w:p>
        </w:tc>
        <w:tc>
          <w:tcPr>
            <w:tcW w:w="85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37</w:t>
            </w:r>
          </w:p>
        </w:tc>
        <w:tc>
          <w:tcPr>
            <w:tcW w:w="850"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10</w:t>
            </w:r>
          </w:p>
        </w:tc>
        <w:tc>
          <w:tcPr>
            <w:tcW w:w="99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25</w:t>
            </w:r>
          </w:p>
        </w:tc>
        <w:tc>
          <w:tcPr>
            <w:tcW w:w="642"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31</w:t>
            </w:r>
          </w:p>
        </w:tc>
        <w:tc>
          <w:tcPr>
            <w:tcW w:w="994" w:type="dxa"/>
            <w:shd w:val="clear" w:color="auto" w:fill="auto"/>
            <w:vAlign w:val="center"/>
          </w:tcPr>
          <w:p>
            <w:pPr>
              <w:widowControl/>
              <w:spacing w:line="240" w:lineRule="auto"/>
              <w:ind w:firstLine="0" w:firstLineChars="0"/>
              <w:jc w:val="center"/>
              <w:rPr>
                <w:rFonts w:eastAsia="楷体_GB2312"/>
                <w:kern w:val="0"/>
                <w:sz w:val="20"/>
                <w:szCs w:val="20"/>
              </w:rPr>
            </w:pPr>
            <w:r>
              <w:rPr>
                <w:rFonts w:eastAsia="楷体_GB2312"/>
                <w:kern w:val="0"/>
                <w:sz w:val="20"/>
                <w:szCs w:val="20"/>
              </w:rPr>
              <w:t>458</w:t>
            </w:r>
          </w:p>
        </w:tc>
      </w:tr>
    </w:tbl>
    <w:p>
      <w:pPr>
        <w:spacing w:line="400" w:lineRule="exact"/>
        <w:ind w:firstLine="480"/>
        <w:jc w:val="center"/>
      </w:pPr>
    </w:p>
    <w:p>
      <w:pPr>
        <w:ind w:firstLine="480"/>
        <w:sectPr>
          <w:headerReference r:id="rId17" w:type="default"/>
          <w:pgSz w:w="16838" w:h="11906" w:orient="landscape"/>
          <w:pgMar w:top="1418" w:right="1134" w:bottom="1361" w:left="1134" w:header="1134" w:footer="1021" w:gutter="284"/>
          <w:cols w:space="425" w:num="1"/>
          <w:docGrid w:type="linesAndChars" w:linePitch="312" w:charSpace="0"/>
        </w:sectPr>
      </w:pPr>
    </w:p>
    <w:p>
      <w:pPr>
        <w:pStyle w:val="3"/>
        <w:spacing w:before="156" w:beforeLines="50" w:after="156" w:afterLines="50" w:line="360" w:lineRule="auto"/>
        <w:ind w:firstLine="643"/>
        <w:rPr>
          <w:rFonts w:ascii="Times New Roman" w:hAnsi="Times New Roman"/>
        </w:rPr>
      </w:pPr>
      <w:bookmarkStart w:id="165" w:name="_Toc356483593"/>
      <w:bookmarkStart w:id="166" w:name="_Toc130121699"/>
      <w:bookmarkStart w:id="167" w:name="_Toc403861849"/>
      <w:r>
        <w:rPr>
          <w:rFonts w:ascii="Times New Roman" w:hAnsi="Times New Roman"/>
        </w:rPr>
        <w:t>第三节  项目建设对环境影响分析</w:t>
      </w:r>
      <w:bookmarkEnd w:id="165"/>
      <w:bookmarkEnd w:id="166"/>
      <w:bookmarkEnd w:id="167"/>
    </w:p>
    <w:p>
      <w:pPr>
        <w:pStyle w:val="4"/>
      </w:pPr>
      <w:r>
        <w:t>一、大气环境影响</w:t>
      </w:r>
    </w:p>
    <w:p>
      <w:pPr>
        <w:ind w:firstLine="480"/>
      </w:pPr>
      <w:r>
        <w:t>从“Leopold二维矩阵”中可以看到，在</w:t>
      </w:r>
      <w:r>
        <w:rPr>
          <w:rFonts w:hint="eastAsia"/>
        </w:rPr>
        <w:t>玛纳斯国家湿地公园</w:t>
      </w:r>
      <w:r>
        <w:t>建设实施过程中，对当地大气环境产生一定负面影响的主要因素是土建、排水等工程，但影响程度很轻，污染物主要是施工粉尘。从污染源的分类角度来看，基本上均属于点污染；从工程实施范围、规模和数量上看均很小，只是在施工过程中会对环境产生不利影响，随着工程结束和环保措施落实，对环境影响将不复存在。</w:t>
      </w:r>
    </w:p>
    <w:p>
      <w:pPr>
        <w:pStyle w:val="4"/>
      </w:pPr>
      <w:r>
        <w:t>二、水环境影响</w:t>
      </w:r>
    </w:p>
    <w:p>
      <w:pPr>
        <w:ind w:firstLine="480"/>
      </w:pPr>
      <w:r>
        <w:t>在</w:t>
      </w:r>
      <w:r>
        <w:rPr>
          <w:rFonts w:hint="eastAsia"/>
        </w:rPr>
        <w:t>玛纳斯国家湿地公园生态保护与恢复</w:t>
      </w:r>
      <w:r>
        <w:t>，将产生少量污水排放，但基本不会对水体环境造成污染。而且开展的景观绿化工程、环境监测工程以及退牧还湿、河谷次生林生态保育等将使规划区的植被覆盖度提高，消除对水环境的潜在或明显威胁、水资源的无序开发利用，这一系列措施将对整个水环境的改善和水质的提高产生明显的促进作用，能促进管护区水环境的良性循环。</w:t>
      </w:r>
    </w:p>
    <w:p>
      <w:pPr>
        <w:pStyle w:val="4"/>
      </w:pPr>
      <w:r>
        <w:t>三、土壤环境影响</w:t>
      </w:r>
    </w:p>
    <w:p>
      <w:pPr>
        <w:ind w:firstLine="480"/>
      </w:pPr>
      <w:r>
        <w:t>通过“Leopold二维矩阵”分析，可以看出</w:t>
      </w:r>
      <w:r>
        <w:rPr>
          <w:rFonts w:hint="eastAsia"/>
        </w:rPr>
        <w:t>玛纳斯国家湿地公园</w:t>
      </w:r>
      <w:r>
        <w:t>工程的实施对土壤环境的影响是积极的。通过生态保育、水岸林营造、</w:t>
      </w:r>
      <w:r>
        <w:rPr>
          <w:rFonts w:hint="eastAsia"/>
        </w:rPr>
        <w:t>退耕还湿</w:t>
      </w:r>
      <w:r>
        <w:t>等措施，可以有效的增加</w:t>
      </w:r>
      <w:r>
        <w:rPr>
          <w:rFonts w:hint="eastAsia"/>
        </w:rPr>
        <w:t>湿地</w:t>
      </w:r>
      <w:r>
        <w:t>植被面积，减少农药化肥污染，减少地表径流和表土的流失，从而有效控制水土流失和土壤侵蚀，改变土壤的理化性质和增加土壤肥力。</w:t>
      </w:r>
    </w:p>
    <w:p>
      <w:pPr>
        <w:pStyle w:val="4"/>
      </w:pPr>
      <w:r>
        <w:t>四、固体废物对环境影响</w:t>
      </w:r>
    </w:p>
    <w:p>
      <w:pPr>
        <w:ind w:firstLine="480"/>
      </w:pPr>
      <w:r>
        <w:t>在附属设施的建设过程中，将会产生少量的生活垃圾和工程废料，但随着施工单位的及时清理和工程结束，这种不利影响也将随之结束，不会对环境造成较大的和持续的影响。</w:t>
      </w:r>
    </w:p>
    <w:p>
      <w:pPr>
        <w:pStyle w:val="4"/>
      </w:pPr>
      <w:r>
        <w:t>五、生物生态环境影响</w:t>
      </w:r>
    </w:p>
    <w:p>
      <w:pPr>
        <w:ind w:firstLine="480"/>
      </w:pPr>
      <w:r>
        <w:t>工程实施后，在规划区内湿地面积增大，化学污染减少，森林砍伐和滥垦滥牧、不合理的开垦湿地、过度利用土地将被禁止，野生动植物的生栖环境将相应改善，饵料更丰富，有利于生物种群增加。同时，通过对湿地公园规划区内的野生动植物资源、自然条件、社会情况等进行监测，</w:t>
      </w:r>
      <w:r>
        <w:rPr>
          <w:rFonts w:hint="eastAsia"/>
        </w:rPr>
        <w:t>并</w:t>
      </w:r>
      <w:r>
        <w:t>采取</w:t>
      </w:r>
      <w:r>
        <w:rPr>
          <w:rFonts w:hint="eastAsia"/>
        </w:rPr>
        <w:t>分别</w:t>
      </w:r>
      <w:r>
        <w:t>的保护措施。一系列保护措施的实施，将对湿地范围内的生物生态环境产生积极和深远的影响，生物资源将进一步丰富，实现生态环境的良性循环和生物多样化有效保护。</w:t>
      </w:r>
    </w:p>
    <w:p>
      <w:pPr>
        <w:pStyle w:val="4"/>
      </w:pPr>
      <w:r>
        <w:t>六、景观环境影响</w:t>
      </w:r>
    </w:p>
    <w:p>
      <w:pPr>
        <w:ind w:firstLine="480"/>
      </w:pPr>
      <w:r>
        <w:t>通过</w:t>
      </w:r>
      <w:r>
        <w:rPr>
          <w:rFonts w:hint="eastAsia"/>
        </w:rPr>
        <w:t>实施玛纳斯国家湿地公园</w:t>
      </w:r>
      <w:r>
        <w:t>建设，原有湿地景观资源将得到更有效的保护和利用。多类型湿地景观也将形成，湿地景观多样性和生动性将全面展现出来。</w:t>
      </w:r>
    </w:p>
    <w:p>
      <w:pPr>
        <w:pStyle w:val="3"/>
        <w:spacing w:before="156" w:beforeLines="50" w:after="156" w:afterLines="50" w:line="360" w:lineRule="auto"/>
        <w:ind w:firstLine="643"/>
        <w:rPr>
          <w:rFonts w:ascii="Times New Roman" w:hAnsi="Times New Roman"/>
        </w:rPr>
      </w:pPr>
      <w:bookmarkStart w:id="168" w:name="_Toc130121700"/>
      <w:bookmarkStart w:id="169" w:name="_Toc403861850"/>
      <w:bookmarkStart w:id="170" w:name="_Toc356483594"/>
      <w:r>
        <w:rPr>
          <w:rFonts w:ascii="Times New Roman" w:hAnsi="Times New Roman"/>
        </w:rPr>
        <w:t>第四节  环境保护措施</w:t>
      </w:r>
      <w:bookmarkEnd w:id="168"/>
      <w:bookmarkEnd w:id="169"/>
      <w:bookmarkEnd w:id="170"/>
    </w:p>
    <w:p>
      <w:pPr>
        <w:pStyle w:val="4"/>
        <w:spacing w:before="156" w:beforeLines="50" w:after="156" w:afterLines="50" w:line="360" w:lineRule="auto"/>
        <w:ind w:left="210" w:right="210"/>
      </w:pPr>
      <w:r>
        <w:t>一、环境保护原则</w:t>
      </w:r>
    </w:p>
    <w:p>
      <w:pPr>
        <w:pStyle w:val="5"/>
      </w:pPr>
      <w:r>
        <w:t>（一）协调发展的原则</w:t>
      </w:r>
    </w:p>
    <w:p>
      <w:pPr>
        <w:ind w:firstLine="480"/>
      </w:pPr>
      <w:r>
        <w:t>协调发展是指环境保护同工程建设同步规划、同步实施、同步发展。</w:t>
      </w:r>
    </w:p>
    <w:p>
      <w:pPr>
        <w:pStyle w:val="5"/>
      </w:pPr>
      <w:r>
        <w:t>（二）预防为主、防治结合的原则</w:t>
      </w:r>
    </w:p>
    <w:p>
      <w:pPr>
        <w:ind w:firstLine="480"/>
      </w:pPr>
      <w:r>
        <w:t>将环境保护的重点放在事前防止环境污染和自然破坏上，积极治理和恢复现有的环境污染和自然破坏。</w:t>
      </w:r>
    </w:p>
    <w:p>
      <w:pPr>
        <w:pStyle w:val="5"/>
      </w:pPr>
      <w:r>
        <w:t>（三）开发者养护、污染者治理的原则</w:t>
      </w:r>
    </w:p>
    <w:p>
      <w:pPr>
        <w:ind w:firstLine="480"/>
      </w:pPr>
      <w:r>
        <w:t>将资源开发对环境和生态的影响减少到最低限度，维持自然资源的合理开发和永续利用。</w:t>
      </w:r>
    </w:p>
    <w:p>
      <w:pPr>
        <w:pStyle w:val="5"/>
      </w:pPr>
      <w:r>
        <w:t>（四）协同合作的原则</w:t>
      </w:r>
    </w:p>
    <w:p>
      <w:pPr>
        <w:ind w:firstLine="480"/>
      </w:pPr>
      <w:r>
        <w:t>政府各部门之间应实行广泛交流与合作，联合处理环境问题。</w:t>
      </w:r>
    </w:p>
    <w:p>
      <w:pPr>
        <w:pStyle w:val="5"/>
      </w:pPr>
      <w:r>
        <w:t>（五）公众参与原则</w:t>
      </w:r>
    </w:p>
    <w:p>
      <w:pPr>
        <w:ind w:firstLine="480"/>
      </w:pPr>
      <w:r>
        <w:t>专业管理和群众监督相结合，法制管理和人民群众的自觉维护相结合。</w:t>
      </w:r>
    </w:p>
    <w:p>
      <w:pPr>
        <w:pStyle w:val="4"/>
      </w:pPr>
      <w:r>
        <w:t>二、环境保护措施</w:t>
      </w:r>
    </w:p>
    <w:p>
      <w:pPr>
        <w:pStyle w:val="5"/>
      </w:pPr>
      <w:r>
        <w:t>（一）依法保护湿地自然环境</w:t>
      </w:r>
    </w:p>
    <w:p>
      <w:pPr>
        <w:ind w:firstLine="480"/>
      </w:pPr>
      <w:r>
        <w:t>在玛纳斯国家湿地公园建设及发展过程中，各级施工单位和管理部门应认真学习贯彻各项与环境保护相关的法律、法规，并尽可能在建设中模拟自然，采用行之有效的保护措施，建设与保护同步，有效消除和尽可能地减小负面影响，建立健全保护制度，完善环保设施设备，严格控制污染源，切实保护好自然环境。</w:t>
      </w:r>
    </w:p>
    <w:p>
      <w:pPr>
        <w:pStyle w:val="5"/>
      </w:pPr>
      <w:r>
        <w:t>（二）建立环境监测制度</w:t>
      </w:r>
    </w:p>
    <w:p>
      <w:pPr>
        <w:ind w:firstLine="480"/>
      </w:pPr>
      <w:r>
        <w:t>环境监测的对象主要为各种重点环境因子以及生物资源、社会经济发展等环境资源。建立监测制度可以为制定环境规划、污染综合防治对策提供科学依据，并且能够评价环境质量，掌握环境容量，预测环境质量变化趋势，客观监测分析环境管理效果</w:t>
      </w:r>
      <w:r>
        <w:rPr>
          <w:rFonts w:hint="eastAsia"/>
        </w:rPr>
        <w:t>。</w:t>
      </w:r>
      <w:r>
        <w:t>及时发现环境保护管理措施本身的不足和实施中存在的问题，并据此及时修正和改进，使环境质量和环境资源维持在期望值之内。</w:t>
      </w:r>
    </w:p>
    <w:p>
      <w:pPr>
        <w:pStyle w:val="5"/>
      </w:pPr>
      <w:r>
        <w:t>（三）湿地次生林保护</w:t>
      </w:r>
    </w:p>
    <w:p>
      <w:pPr>
        <w:ind w:firstLine="480"/>
      </w:pPr>
      <w:r>
        <w:t>森林是湿地生态系统的重要组成部分，良好的</w:t>
      </w:r>
      <w:r>
        <w:rPr>
          <w:rFonts w:hint="eastAsia"/>
        </w:rPr>
        <w:t>玛纳斯湿地</w:t>
      </w:r>
      <w:r>
        <w:t>原始次生林植被系统可以有效的防止水土流失、土地退化、减少自然灾害发生的频率等，也是野生动物的栖息地和生物多样性的基础。</w:t>
      </w:r>
    </w:p>
    <w:p>
      <w:pPr>
        <w:pStyle w:val="6"/>
        <w:ind w:firstLine="482"/>
      </w:pPr>
      <w:r>
        <w:t>1. 健全制度，依法护林</w:t>
      </w:r>
    </w:p>
    <w:p>
      <w:pPr>
        <w:ind w:firstLine="480"/>
      </w:pPr>
      <w:r>
        <w:t>要认真贯彻执行《森林法》、《森林防火条例》、《森林病虫害防治条例》和新疆自治区、</w:t>
      </w:r>
      <w:r>
        <w:rPr>
          <w:rFonts w:hint="eastAsia"/>
        </w:rPr>
        <w:t>昌吉</w:t>
      </w:r>
      <w:r>
        <w:t>州制定的护林防火规章</w:t>
      </w:r>
      <w:r>
        <w:rPr>
          <w:rFonts w:hint="eastAsia"/>
        </w:rPr>
        <w:t>条例。</w:t>
      </w:r>
      <w:r>
        <w:t>健全联防组织和工作制度，建立监测系统，加强预测预报，切实做到防患未然和万无一失，确保森林植被安全。</w:t>
      </w:r>
    </w:p>
    <w:p>
      <w:pPr>
        <w:pStyle w:val="6"/>
        <w:ind w:firstLine="482"/>
      </w:pPr>
      <w:r>
        <w:t>2. 加强野外用火管理</w:t>
      </w:r>
    </w:p>
    <w:p>
      <w:pPr>
        <w:ind w:firstLine="480"/>
      </w:pPr>
      <w:r>
        <w:t>对规划区内的生产用火要建立用火制度，严格审批手续，并进行实时监控；在森林火险期，要加强巡护和管理，严禁野外用火。</w:t>
      </w:r>
    </w:p>
    <w:p>
      <w:pPr>
        <w:pStyle w:val="6"/>
        <w:ind w:firstLine="482"/>
      </w:pPr>
      <w:r>
        <w:t>3. 完善灭火组织</w:t>
      </w:r>
    </w:p>
    <w:p>
      <w:pPr>
        <w:ind w:firstLine="480"/>
      </w:pPr>
      <w:r>
        <w:t>建立快速灭火组织和专业队伍，做好灭火组织工作，一旦发生火情，要立即报告，积极扑救，力争将火灾损失最小限度，并做好灾情调查及善后处理工作。</w:t>
      </w:r>
    </w:p>
    <w:p>
      <w:pPr>
        <w:pStyle w:val="6"/>
        <w:ind w:firstLine="482"/>
      </w:pPr>
      <w:r>
        <w:t>4. 贯彻“预防为主，综合治理”的方针</w:t>
      </w:r>
    </w:p>
    <w:p>
      <w:pPr>
        <w:ind w:firstLine="480"/>
      </w:pPr>
      <w:r>
        <w:t>积极防治森林病虫害，严格执行植物检疫制度，防止把疫情带入蔓延成灾；对现有森林植被应及时清除枯死木、病虫感染木，消除病虫害的滋生。</w:t>
      </w:r>
    </w:p>
    <w:p>
      <w:pPr>
        <w:pStyle w:val="5"/>
      </w:pPr>
      <w:r>
        <w:t>（四）湿地动物资源保护</w:t>
      </w:r>
    </w:p>
    <w:p>
      <w:pPr>
        <w:pStyle w:val="6"/>
        <w:ind w:firstLine="482"/>
      </w:pPr>
      <w:r>
        <w:t>1. 广泛宣传，依法保护野生动物</w:t>
      </w:r>
    </w:p>
    <w:p>
      <w:pPr>
        <w:ind w:firstLine="480"/>
      </w:pPr>
      <w:r>
        <w:t>贯彻落实《野生动物保护法》及地方法律法规，依法保护野生动物栖息地，对规划区周边群众和广大游客进行广泛宣传，不得随意惊扰和猎捕野生动物。同时要加强执法力度，对违法者要绳之以法，唤醒社会公众的自然保护意识。</w:t>
      </w:r>
    </w:p>
    <w:p>
      <w:pPr>
        <w:pStyle w:val="6"/>
        <w:ind w:firstLine="482"/>
      </w:pPr>
      <w:r>
        <w:t>2. 抓好制度建设，提高管理水平</w:t>
      </w:r>
    </w:p>
    <w:p>
      <w:pPr>
        <w:ind w:firstLine="480"/>
      </w:pPr>
      <w:r>
        <w:t>制度建设是管理工作的重要手段，通过建立可操作性强的规章制度，保证管理工作有章可循，切实做到管理规范化、科学化、系统化。同时，要建立必要的管理机构，配备精干人员，制定目标责任制和巡护管理体系，提高管理水平。</w:t>
      </w:r>
    </w:p>
    <w:p>
      <w:pPr>
        <w:pStyle w:val="6"/>
        <w:ind w:firstLine="482"/>
      </w:pPr>
      <w:r>
        <w:t>3. 加强猎具渔具管理，打击非法狩猎捕鱼活动</w:t>
      </w:r>
    </w:p>
    <w:p>
      <w:pPr>
        <w:ind w:firstLine="480"/>
      </w:pPr>
      <w:r>
        <w:t>加强猎具渔具管理，严格执行国家“枪支管理办法”和火药、雷管等易爆物品管理办法，防患于未然。对非法狩猎捕鱼行为要进行严厉打击，并从严从快惩处。</w:t>
      </w:r>
    </w:p>
    <w:p>
      <w:pPr>
        <w:pStyle w:val="5"/>
      </w:pPr>
      <w:r>
        <w:t>（五）湿地水体保护</w:t>
      </w:r>
    </w:p>
    <w:p>
      <w:pPr>
        <w:pStyle w:val="6"/>
        <w:ind w:firstLine="482"/>
      </w:pPr>
      <w:r>
        <w:t>1. 水体保护的重点对象是天然地表水和地下水</w:t>
      </w:r>
    </w:p>
    <w:p>
      <w:pPr>
        <w:ind w:firstLine="480"/>
      </w:pPr>
      <w:r>
        <w:t>严禁建筑垃圾和生活垃圾、污水直排入湿地水体，严禁在湿地范围内及周围采石、取沙等；在湿地内不准设置排污口或堆放有污染的物质，尽量减少人畜活动。完善给排水系统，修建污水处理系统，使生活污水经净化达标后排放。</w:t>
      </w:r>
    </w:p>
    <w:p>
      <w:pPr>
        <w:pStyle w:val="6"/>
        <w:ind w:firstLine="482"/>
      </w:pPr>
      <w:r>
        <w:t>2. 加强对湿地周围污染源的监督监测</w:t>
      </w:r>
    </w:p>
    <w:p>
      <w:pPr>
        <w:ind w:firstLine="480"/>
      </w:pPr>
      <w:r>
        <w:t>制定污染物总量消减指标，抓重点污染大户的达标治理；严控新污染，一切新、改、扩建项目，其防治污染设施与主体工程同时设计、施工和投产使用。</w:t>
      </w:r>
    </w:p>
    <w:p>
      <w:pPr>
        <w:pStyle w:val="6"/>
        <w:ind w:firstLine="482"/>
      </w:pPr>
      <w:r>
        <w:t>3. 大力发展生态农业和生态养殖</w:t>
      </w:r>
    </w:p>
    <w:p>
      <w:pPr>
        <w:ind w:firstLine="480"/>
      </w:pPr>
      <w:r>
        <w:t>实施无害环境的土地利用技术和方法，控制农田污染和农药化肥对水环境的污染；推行节水灌溉技术，限制大水漫灌，减少土壤肥力流失。</w:t>
      </w:r>
    </w:p>
    <w:p>
      <w:pPr>
        <w:pStyle w:val="6"/>
        <w:ind w:firstLine="482"/>
      </w:pPr>
      <w:r>
        <w:t>4. 工程措施</w:t>
      </w:r>
    </w:p>
    <w:p>
      <w:pPr>
        <w:ind w:firstLine="480"/>
      </w:pPr>
      <w:r>
        <w:t>对受造成冲刷严重的河岸，应结合防洪工程，修建防护堤岸，避免河岸塌陷，又可防止泥土、垃圾冲入河中，引起河流含沙量及有机物的增加。</w:t>
      </w:r>
    </w:p>
    <w:p>
      <w:pPr>
        <w:pStyle w:val="5"/>
      </w:pPr>
      <w:r>
        <w:t>（六）大气保护</w:t>
      </w:r>
    </w:p>
    <w:p>
      <w:pPr>
        <w:ind w:firstLine="480"/>
      </w:pPr>
      <w:r>
        <w:t>积极采取节能燃烧器具，加快城市供气和集中供热建设，有效控制工业粉尘与烟尘排放，严格控制粉尘及氮氧化物污染；保护现有植被，并在管理设施四周、道路两旁</w:t>
      </w:r>
      <w:r>
        <w:rPr>
          <w:rFonts w:hint="eastAsia"/>
        </w:rPr>
        <w:t>生态修复</w:t>
      </w:r>
      <w:r>
        <w:t>，以增加植被覆盖度，</w:t>
      </w:r>
      <w:r>
        <w:rPr>
          <w:rFonts w:hint="eastAsia"/>
        </w:rPr>
        <w:t>消减大气污染</w:t>
      </w:r>
      <w:r>
        <w:t>。</w:t>
      </w:r>
    </w:p>
    <w:p>
      <w:pPr>
        <w:pStyle w:val="5"/>
      </w:pPr>
      <w:r>
        <w:t>（七）土壤环境保护</w:t>
      </w:r>
    </w:p>
    <w:p>
      <w:pPr>
        <w:pStyle w:val="6"/>
        <w:ind w:firstLine="482"/>
      </w:pPr>
      <w:r>
        <w:t>1. 规范垦荒和耕作、放牧制度，减少土壤的退化和沙化</w:t>
      </w:r>
    </w:p>
    <w:p>
      <w:pPr>
        <w:ind w:firstLine="480"/>
      </w:pPr>
      <w:r>
        <w:t>制止滥垦、滥牧和不合理的耕作灌溉制度，严禁滥伐森林，杜绝滥垦牧场，减少水土流失。</w:t>
      </w:r>
    </w:p>
    <w:p>
      <w:pPr>
        <w:pStyle w:val="6"/>
        <w:ind w:firstLine="482"/>
      </w:pPr>
      <w:r>
        <w:t>2. 合理用肥、用药，减少土壤污染</w:t>
      </w:r>
    </w:p>
    <w:p>
      <w:pPr>
        <w:ind w:firstLine="480"/>
      </w:pPr>
      <w:r>
        <w:t>严格遵守我国《农药安全使用标准》和《农药合理使用标准》，提倡生物综合防治法，加强合理施肥，从而减少对土壤的各种污染，保护土壤环境。</w:t>
      </w:r>
    </w:p>
    <w:p>
      <w:pPr>
        <w:pStyle w:val="3"/>
        <w:spacing w:before="156" w:beforeLines="50" w:after="156" w:afterLines="50" w:line="360" w:lineRule="auto"/>
        <w:ind w:firstLine="643"/>
        <w:rPr>
          <w:rFonts w:ascii="Times New Roman" w:hAnsi="Times New Roman"/>
        </w:rPr>
      </w:pPr>
      <w:bookmarkStart w:id="171" w:name="_Toc130121701"/>
      <w:bookmarkStart w:id="172" w:name="_Toc356483595"/>
      <w:bookmarkStart w:id="173" w:name="_Toc403861851"/>
      <w:r>
        <w:rPr>
          <w:rFonts w:ascii="Times New Roman" w:hAnsi="Times New Roman"/>
        </w:rPr>
        <w:t>第五节  环境影响分析结论</w:t>
      </w:r>
      <w:bookmarkEnd w:id="171"/>
      <w:bookmarkEnd w:id="172"/>
      <w:bookmarkEnd w:id="173"/>
    </w:p>
    <w:p>
      <w:pPr>
        <w:ind w:firstLine="480"/>
      </w:pPr>
      <w:r>
        <w:t>玛纳斯国家湿地公园项目是以湿地自然生态作为载体，在湿地保护的基础上适度利用，属于环境不断改善的生态项目。湿地公园建设施工阶段和旅游运营阶段，将产生一定的噪声、尘土和对公园内野生动物产生轻微干扰，旅游活动将产生生活垃圾、生活污水、固体废弃物，对公园环境产生不利影响。因此，在湿地公园建设中将严格按照国家相关环境质量保护标准对规划区实施全面的保护，把不利影响降低到最小程度。</w:t>
      </w:r>
    </w:p>
    <w:p>
      <w:pPr>
        <w:ind w:firstLine="480"/>
      </w:pPr>
      <w:r>
        <w:t>同时，湿地公园的建立，通过重点保护部分水域等措施，有利于湿地公园水体的保护与治理，提高了水体的涵养能力，对湿地的科学保护、修复与促进，可以逐步恢复湿地的生态功能，完善湿地生态系统，为动植物尤其是鸟类提供良好的繁衍、栖息场所，大大提高了生物多样性和生态系统的完整性。</w:t>
      </w:r>
    </w:p>
    <w:p>
      <w:pPr>
        <w:ind w:firstLine="480"/>
      </w:pPr>
      <w:r>
        <w:t>综上所述，玛纳斯国家湿地公园项目在建设和运营中对环境将产生一定的不利影响，只要严格按照环境质量保护标准实施，将不会对本地区和周边环境产生破坏，而湿地公园项目本身也是促进湿地自然恢复和生态演替，改善生态环境质量。</w:t>
      </w:r>
    </w:p>
    <w:p>
      <w:pPr>
        <w:widowControl/>
        <w:spacing w:line="240" w:lineRule="auto"/>
        <w:ind w:firstLine="0" w:firstLineChars="0"/>
        <w:jc w:val="left"/>
      </w:pPr>
      <w:r>
        <w:br w:type="page"/>
      </w:r>
    </w:p>
    <w:p>
      <w:pPr>
        <w:ind w:firstLine="0" w:firstLineChars="0"/>
      </w:pPr>
    </w:p>
    <w:p>
      <w:pPr>
        <w:pStyle w:val="3"/>
        <w:spacing w:before="156" w:beforeLines="50" w:after="156" w:afterLines="50" w:line="360" w:lineRule="auto"/>
        <w:ind w:firstLine="643"/>
        <w:jc w:val="left"/>
        <w:rPr>
          <w:rFonts w:ascii="Times New Roman" w:hAnsi="Times New Roman"/>
        </w:rPr>
      </w:pPr>
      <w:bookmarkStart w:id="174" w:name="_Toc130121702"/>
      <w:r>
        <w:rPr>
          <w:rFonts w:hint="eastAsia" w:ascii="Times New Roman" w:hAnsi="Times New Roman"/>
        </w:rPr>
        <w:t>附表1投资估算表</w:t>
      </w:r>
      <w:bookmarkEnd w:id="174"/>
    </w:p>
    <w:tbl>
      <w:tblPr>
        <w:tblStyle w:val="25"/>
        <w:tblW w:w="9951" w:type="dxa"/>
        <w:tblInd w:w="-807"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531"/>
        <w:gridCol w:w="2163"/>
        <w:gridCol w:w="708"/>
        <w:gridCol w:w="709"/>
        <w:gridCol w:w="764"/>
        <w:gridCol w:w="891"/>
        <w:gridCol w:w="891"/>
        <w:gridCol w:w="801"/>
        <w:gridCol w:w="801"/>
        <w:gridCol w:w="891"/>
        <w:gridCol w:w="80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531" w:type="dxa"/>
            <w:vMerge w:val="restart"/>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2163" w:type="dxa"/>
            <w:vMerge w:val="restart"/>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建设项目</w:t>
            </w:r>
          </w:p>
        </w:tc>
        <w:tc>
          <w:tcPr>
            <w:tcW w:w="708" w:type="dxa"/>
            <w:vMerge w:val="restart"/>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单位</w:t>
            </w:r>
          </w:p>
        </w:tc>
        <w:tc>
          <w:tcPr>
            <w:tcW w:w="709" w:type="dxa"/>
            <w:vMerge w:val="restart"/>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规模</w:t>
            </w:r>
          </w:p>
        </w:tc>
        <w:tc>
          <w:tcPr>
            <w:tcW w:w="764" w:type="dxa"/>
            <w:vMerge w:val="restart"/>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单价</w:t>
            </w:r>
          </w:p>
        </w:tc>
        <w:tc>
          <w:tcPr>
            <w:tcW w:w="891" w:type="dxa"/>
            <w:vMerge w:val="restart"/>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投资金额</w:t>
            </w:r>
          </w:p>
        </w:tc>
        <w:tc>
          <w:tcPr>
            <w:tcW w:w="2493" w:type="dxa"/>
            <w:gridSpan w:val="3"/>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按费用构成分</w:t>
            </w:r>
          </w:p>
        </w:tc>
        <w:tc>
          <w:tcPr>
            <w:tcW w:w="1692" w:type="dxa"/>
            <w:gridSpan w:val="2"/>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按投资期限分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531" w:type="dxa"/>
            <w:vMerge w:val="continue"/>
            <w:vAlign w:val="center"/>
          </w:tcPr>
          <w:p>
            <w:pPr>
              <w:widowControl/>
              <w:spacing w:line="240" w:lineRule="auto"/>
              <w:ind w:firstLine="0" w:firstLineChars="0"/>
              <w:jc w:val="left"/>
              <w:rPr>
                <w:rFonts w:ascii="宋体" w:hAnsi="宋体" w:eastAsia="宋体" w:cs="宋体"/>
                <w:b/>
                <w:bCs/>
                <w:kern w:val="0"/>
                <w:sz w:val="18"/>
                <w:szCs w:val="18"/>
              </w:rPr>
            </w:pPr>
          </w:p>
        </w:tc>
        <w:tc>
          <w:tcPr>
            <w:tcW w:w="2163" w:type="dxa"/>
            <w:vMerge w:val="continue"/>
            <w:vAlign w:val="center"/>
          </w:tcPr>
          <w:p>
            <w:pPr>
              <w:widowControl/>
              <w:spacing w:line="240" w:lineRule="auto"/>
              <w:ind w:firstLine="0" w:firstLineChars="0"/>
              <w:jc w:val="left"/>
              <w:rPr>
                <w:rFonts w:ascii="宋体" w:hAnsi="宋体" w:eastAsia="宋体" w:cs="宋体"/>
                <w:b/>
                <w:bCs/>
                <w:kern w:val="0"/>
                <w:sz w:val="18"/>
                <w:szCs w:val="18"/>
              </w:rPr>
            </w:pPr>
          </w:p>
        </w:tc>
        <w:tc>
          <w:tcPr>
            <w:tcW w:w="708" w:type="dxa"/>
            <w:vMerge w:val="continue"/>
            <w:vAlign w:val="center"/>
          </w:tcPr>
          <w:p>
            <w:pPr>
              <w:widowControl/>
              <w:spacing w:line="240" w:lineRule="auto"/>
              <w:ind w:firstLine="0" w:firstLineChars="0"/>
              <w:jc w:val="left"/>
              <w:rPr>
                <w:rFonts w:ascii="宋体" w:hAnsi="宋体" w:eastAsia="宋体" w:cs="宋体"/>
                <w:b/>
                <w:bCs/>
                <w:kern w:val="0"/>
                <w:sz w:val="18"/>
                <w:szCs w:val="18"/>
              </w:rPr>
            </w:pPr>
          </w:p>
        </w:tc>
        <w:tc>
          <w:tcPr>
            <w:tcW w:w="709" w:type="dxa"/>
            <w:vMerge w:val="continue"/>
            <w:vAlign w:val="center"/>
          </w:tcPr>
          <w:p>
            <w:pPr>
              <w:widowControl/>
              <w:spacing w:line="240" w:lineRule="auto"/>
              <w:ind w:firstLine="0" w:firstLineChars="0"/>
              <w:jc w:val="left"/>
              <w:rPr>
                <w:rFonts w:ascii="宋体" w:hAnsi="宋体" w:eastAsia="宋体" w:cs="宋体"/>
                <w:b/>
                <w:bCs/>
                <w:kern w:val="0"/>
                <w:sz w:val="18"/>
                <w:szCs w:val="18"/>
              </w:rPr>
            </w:pPr>
          </w:p>
        </w:tc>
        <w:tc>
          <w:tcPr>
            <w:tcW w:w="764" w:type="dxa"/>
            <w:vMerge w:val="continue"/>
            <w:vAlign w:val="center"/>
          </w:tcPr>
          <w:p>
            <w:pPr>
              <w:widowControl/>
              <w:spacing w:line="240" w:lineRule="auto"/>
              <w:ind w:firstLine="0" w:firstLineChars="0"/>
              <w:jc w:val="left"/>
              <w:rPr>
                <w:rFonts w:ascii="宋体" w:hAnsi="宋体" w:eastAsia="宋体" w:cs="宋体"/>
                <w:b/>
                <w:bCs/>
                <w:kern w:val="0"/>
                <w:sz w:val="18"/>
                <w:szCs w:val="18"/>
              </w:rPr>
            </w:pPr>
          </w:p>
        </w:tc>
        <w:tc>
          <w:tcPr>
            <w:tcW w:w="891" w:type="dxa"/>
            <w:vMerge w:val="continue"/>
            <w:vAlign w:val="center"/>
          </w:tcPr>
          <w:p>
            <w:pPr>
              <w:widowControl/>
              <w:spacing w:line="240" w:lineRule="auto"/>
              <w:ind w:firstLine="0" w:firstLineChars="0"/>
              <w:jc w:val="left"/>
              <w:rPr>
                <w:rFonts w:ascii="宋体" w:hAnsi="宋体" w:eastAsia="宋体" w:cs="宋体"/>
                <w:b/>
                <w:bCs/>
                <w:kern w:val="0"/>
                <w:sz w:val="18"/>
                <w:szCs w:val="18"/>
              </w:rPr>
            </w:pPr>
          </w:p>
        </w:tc>
        <w:tc>
          <w:tcPr>
            <w:tcW w:w="891"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建安工程</w:t>
            </w:r>
          </w:p>
        </w:tc>
        <w:tc>
          <w:tcPr>
            <w:tcW w:w="801"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设备</w:t>
            </w:r>
          </w:p>
        </w:tc>
        <w:tc>
          <w:tcPr>
            <w:tcW w:w="801"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其它</w:t>
            </w:r>
          </w:p>
        </w:tc>
        <w:tc>
          <w:tcPr>
            <w:tcW w:w="891"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前期</w:t>
            </w:r>
          </w:p>
        </w:tc>
        <w:tc>
          <w:tcPr>
            <w:tcW w:w="801"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后期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531"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总计</w:t>
            </w:r>
          </w:p>
        </w:tc>
        <w:tc>
          <w:tcPr>
            <w:tcW w:w="708"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23595.14 </w:t>
            </w:r>
          </w:p>
        </w:tc>
        <w:tc>
          <w:tcPr>
            <w:tcW w:w="89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16383.00 </w:t>
            </w:r>
          </w:p>
        </w:tc>
        <w:tc>
          <w:tcPr>
            <w:tcW w:w="80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3044.00 </w:t>
            </w:r>
          </w:p>
        </w:tc>
        <w:tc>
          <w:tcPr>
            <w:tcW w:w="80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4168.14 </w:t>
            </w:r>
          </w:p>
        </w:tc>
        <w:tc>
          <w:tcPr>
            <w:tcW w:w="89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14627.32 </w:t>
            </w:r>
          </w:p>
        </w:tc>
        <w:tc>
          <w:tcPr>
            <w:tcW w:w="80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8967.82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531"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一</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工程建设</w:t>
            </w:r>
          </w:p>
        </w:tc>
        <w:tc>
          <w:tcPr>
            <w:tcW w:w="708"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20807</w:t>
            </w:r>
          </w:p>
        </w:tc>
        <w:tc>
          <w:tcPr>
            <w:tcW w:w="89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16383</w:t>
            </w:r>
          </w:p>
        </w:tc>
        <w:tc>
          <w:tcPr>
            <w:tcW w:w="80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3044</w:t>
            </w:r>
          </w:p>
        </w:tc>
        <w:tc>
          <w:tcPr>
            <w:tcW w:w="80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1380</w:t>
            </w:r>
          </w:p>
        </w:tc>
        <w:tc>
          <w:tcPr>
            <w:tcW w:w="89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12891</w:t>
            </w:r>
          </w:p>
        </w:tc>
        <w:tc>
          <w:tcPr>
            <w:tcW w:w="80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7916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1</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生态保护规划</w:t>
            </w:r>
          </w:p>
        </w:tc>
        <w:tc>
          <w:tcPr>
            <w:tcW w:w="708"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7051</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6657</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94</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300</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4535</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2516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保护点基础设施</w:t>
            </w:r>
          </w:p>
        </w:tc>
        <w:tc>
          <w:tcPr>
            <w:tcW w:w="7257" w:type="dxa"/>
            <w:gridSpan w:val="9"/>
            <w:shd w:val="clear" w:color="auto" w:fill="auto"/>
            <w:vAlign w:val="center"/>
          </w:tcPr>
          <w:p>
            <w:pPr>
              <w:widowControl/>
              <w:spacing w:line="240" w:lineRule="auto"/>
              <w:ind w:firstLine="0" w:firstLineChars="0"/>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1.1</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保护站点</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m</w:t>
            </w:r>
            <w:r>
              <w:rPr>
                <w:rFonts w:eastAsia="宋体" w:cs="Times New Roman"/>
                <w:kern w:val="0"/>
                <w:sz w:val="18"/>
                <w:szCs w:val="18"/>
                <w:vertAlign w:val="superscript"/>
              </w:rPr>
              <w:t>2</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0.3</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保护管理设施设备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1.3</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供、排水管道</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m</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0.02</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1.4</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蓄水池</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生态厕所</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1.7</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小型污水处理设备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90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野生动物救护站</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m</w:t>
            </w:r>
            <w:r>
              <w:rPr>
                <w:rFonts w:eastAsia="宋体" w:cs="Times New Roman"/>
                <w:kern w:val="0"/>
                <w:sz w:val="18"/>
                <w:szCs w:val="18"/>
                <w:vertAlign w:val="superscript"/>
              </w:rPr>
              <w:t>2</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0.2</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1.9</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救护站野外配套</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1.10 </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太阳能发电组等</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保护设施</w:t>
            </w:r>
          </w:p>
        </w:tc>
        <w:tc>
          <w:tcPr>
            <w:tcW w:w="7257" w:type="dxa"/>
            <w:gridSpan w:val="9"/>
            <w:shd w:val="clear" w:color="auto" w:fill="auto"/>
            <w:vAlign w:val="center"/>
          </w:tcPr>
          <w:p>
            <w:pPr>
              <w:widowControl/>
              <w:spacing w:line="240" w:lineRule="auto"/>
              <w:ind w:firstLine="0" w:firstLineChars="0"/>
              <w:jc w:val="center"/>
              <w:rPr>
                <w:rFonts w:eastAsia="宋体" w:cs="Times New Roman"/>
                <w:kern w:val="0"/>
                <w:sz w:val="18"/>
                <w:szCs w:val="18"/>
              </w:rPr>
            </w:pPr>
            <w:r>
              <w:rPr>
                <w:rFonts w:eastAsia="宋体" w:cs="Times New Roman"/>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1.11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界桩建设</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0.1</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1.12</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界碑</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个</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1.13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综合瞭望塔</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个</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90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90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54</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1.14</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围栏围网工程</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km</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1.15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保护宣传标牌</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个</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0.35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保护装备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1.16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水上巡逻艇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艘</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1.17</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巡护车</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台</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1.18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摩托</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辆</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0.6</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1.19 </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通讯设备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0.2</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1.20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检查取证装备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保护与恢复工程</w:t>
            </w:r>
          </w:p>
        </w:tc>
        <w:tc>
          <w:tcPr>
            <w:tcW w:w="7257" w:type="dxa"/>
            <w:gridSpan w:val="9"/>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1.21</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水文连通</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1.22</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地形重塑</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1.23</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退耕还湿</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hm</w:t>
            </w:r>
            <w:r>
              <w:rPr>
                <w:rFonts w:eastAsia="宋体" w:cs="Times New Roman"/>
                <w:kern w:val="0"/>
                <w:sz w:val="18"/>
                <w:szCs w:val="18"/>
                <w:vertAlign w:val="superscript"/>
              </w:rPr>
              <w:t>2</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900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900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1.24</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水岸林带</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hm</w:t>
            </w:r>
            <w:r>
              <w:rPr>
                <w:rFonts w:eastAsia="宋体" w:cs="Times New Roman"/>
                <w:kern w:val="0"/>
                <w:sz w:val="18"/>
                <w:szCs w:val="18"/>
                <w:vertAlign w:val="superscript"/>
              </w:rPr>
              <w:t>2</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1.25</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自然型驳岸</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km</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28</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1120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1120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1.26</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自然原型驳岸</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km</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1.27</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生态拦截</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1.28</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人工湿地</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1.29</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雨水收集</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1.30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水体富营养化治理</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1.31</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柽柳种植资源库</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hm</w:t>
            </w:r>
            <w:r>
              <w:rPr>
                <w:rFonts w:eastAsia="宋体" w:cs="Times New Roman"/>
                <w:kern w:val="0"/>
                <w:sz w:val="18"/>
                <w:szCs w:val="18"/>
                <w:vertAlign w:val="superscript"/>
              </w:rPr>
              <w:t>2</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900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900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1.32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植物保护小区</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hm</w:t>
            </w:r>
            <w:r>
              <w:rPr>
                <w:rFonts w:eastAsia="宋体" w:cs="Times New Roman"/>
                <w:kern w:val="0"/>
                <w:sz w:val="18"/>
                <w:szCs w:val="18"/>
                <w:vertAlign w:val="superscript"/>
              </w:rPr>
              <w:t>2</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1.33</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鸟类栖息地</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hm</w:t>
            </w:r>
            <w:r>
              <w:rPr>
                <w:rFonts w:eastAsia="宋体" w:cs="Times New Roman"/>
                <w:kern w:val="0"/>
                <w:sz w:val="18"/>
                <w:szCs w:val="18"/>
                <w:vertAlign w:val="superscript"/>
              </w:rPr>
              <w:t>2</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150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1.34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两栖爬行类栖息地</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hm</w:t>
            </w:r>
            <w:r>
              <w:rPr>
                <w:rFonts w:eastAsia="宋体" w:cs="Times New Roman"/>
                <w:kern w:val="0"/>
                <w:sz w:val="18"/>
                <w:szCs w:val="18"/>
                <w:vertAlign w:val="superscript"/>
              </w:rPr>
              <w:t>2</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1.35</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鱼类增殖放流</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150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1.36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湿地文化保护工程</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2</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科普宣教规划</w:t>
            </w:r>
          </w:p>
        </w:tc>
        <w:tc>
          <w:tcPr>
            <w:tcW w:w="708"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1460</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1390</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70</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0</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1172</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288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2.1</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科普宣教中心</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m</w:t>
            </w:r>
            <w:r>
              <w:rPr>
                <w:rFonts w:eastAsia="宋体" w:cs="Times New Roman"/>
                <w:kern w:val="0"/>
                <w:sz w:val="18"/>
                <w:szCs w:val="18"/>
                <w:vertAlign w:val="superscript"/>
              </w:rPr>
              <w:t>2</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0.3</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2.2</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科普宣教点</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个</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2.3</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宣教长廊</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湿地植物园</w:t>
            </w:r>
          </w:p>
        </w:tc>
        <w:tc>
          <w:tcPr>
            <w:tcW w:w="708"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 hm</w:t>
            </w:r>
            <w:r>
              <w:rPr>
                <w:rFonts w:eastAsia="宋体" w:cs="Times New Roman"/>
                <w:kern w:val="0"/>
                <w:sz w:val="18"/>
                <w:szCs w:val="18"/>
                <w:vertAlign w:val="superscript"/>
              </w:rPr>
              <w:t>2</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观鸟屋</w:t>
            </w:r>
          </w:p>
        </w:tc>
        <w:tc>
          <w:tcPr>
            <w:tcW w:w="708"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个</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2.6</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园区标识系统</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2.7</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园区多媒体解说系统</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2.8</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宣传材料</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3</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科研监测规划</w:t>
            </w:r>
          </w:p>
        </w:tc>
        <w:tc>
          <w:tcPr>
            <w:tcW w:w="708"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1155</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60</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425</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670</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775</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380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科研规划</w:t>
            </w:r>
          </w:p>
        </w:tc>
        <w:tc>
          <w:tcPr>
            <w:tcW w:w="7257" w:type="dxa"/>
            <w:gridSpan w:val="9"/>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3.1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科研中心</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m</w:t>
            </w:r>
            <w:r>
              <w:rPr>
                <w:rFonts w:eastAsia="宋体" w:cs="Times New Roman"/>
                <w:kern w:val="0"/>
                <w:sz w:val="18"/>
                <w:szCs w:val="18"/>
                <w:vertAlign w:val="superscript"/>
              </w:rPr>
              <w:t>2</w:t>
            </w:r>
          </w:p>
        </w:tc>
        <w:tc>
          <w:tcPr>
            <w:tcW w:w="709"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0.4</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3.2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优先开展科研项目</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6</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3.3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对外合作与交流</w:t>
            </w:r>
            <w:r>
              <w:rPr>
                <w:rFonts w:eastAsia="宋体" w:cs="Times New Roman"/>
                <w:kern w:val="0"/>
                <w:sz w:val="18"/>
                <w:szCs w:val="18"/>
              </w:rPr>
              <w:t xml:space="preserve"> </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监测规划</w:t>
            </w:r>
          </w:p>
        </w:tc>
        <w:tc>
          <w:tcPr>
            <w:tcW w:w="7257" w:type="dxa"/>
            <w:gridSpan w:val="9"/>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生态定位监测站</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3.4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生态监测设备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250</w:t>
            </w:r>
          </w:p>
        </w:tc>
        <w:tc>
          <w:tcPr>
            <w:tcW w:w="89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3.5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气象观测点及设备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个</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3.6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有害生物监测室配套</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个</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3.7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人类活动监测</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4</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合理利用规划</w:t>
            </w:r>
          </w:p>
        </w:tc>
        <w:tc>
          <w:tcPr>
            <w:tcW w:w="708"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4760</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4470</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290</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0</w:t>
            </w:r>
          </w:p>
        </w:tc>
        <w:tc>
          <w:tcPr>
            <w:tcW w:w="89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2708</w:t>
            </w:r>
          </w:p>
        </w:tc>
        <w:tc>
          <w:tcPr>
            <w:tcW w:w="80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2052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旅游基础设施</w:t>
            </w:r>
          </w:p>
        </w:tc>
        <w:tc>
          <w:tcPr>
            <w:tcW w:w="7257" w:type="dxa"/>
            <w:gridSpan w:val="9"/>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4.1</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游客中心及配套升级</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4.2</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生态休闲点</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个</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4.3</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生态公厕</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座</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4.4</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垃圾转运站</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座</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48</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4.5</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医疗设施</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座</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4.6</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标识系统</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4.7</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解说系统</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4.8</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急救设施</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4.9</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应急设备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生态旅游项目</w:t>
            </w:r>
          </w:p>
        </w:tc>
        <w:tc>
          <w:tcPr>
            <w:tcW w:w="7257" w:type="dxa"/>
            <w:gridSpan w:val="9"/>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4.9</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生态观光度假系列</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w:t>
            </w:r>
          </w:p>
        </w:tc>
        <w:tc>
          <w:tcPr>
            <w:tcW w:w="764"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4.10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生态文化体验</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w:t>
            </w:r>
          </w:p>
        </w:tc>
        <w:tc>
          <w:tcPr>
            <w:tcW w:w="764"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4.11</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生态科普宣教</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w:t>
            </w:r>
          </w:p>
        </w:tc>
        <w:tc>
          <w:tcPr>
            <w:tcW w:w="764"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400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9"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4.12 </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生态康养</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w:t>
            </w:r>
          </w:p>
        </w:tc>
        <w:tc>
          <w:tcPr>
            <w:tcW w:w="764"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500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600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5</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防御灾害规划</w:t>
            </w:r>
          </w:p>
        </w:tc>
        <w:tc>
          <w:tcPr>
            <w:tcW w:w="708"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1870</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1870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0</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1140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730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5.1</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有害生物防治</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5.2</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动物疫源疫病监测站</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5.3</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地质灾害</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5.4</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洪涝防灾设施</w:t>
            </w:r>
          </w:p>
        </w:tc>
        <w:tc>
          <w:tcPr>
            <w:tcW w:w="708"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5.5</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应急救援体系</w:t>
            </w:r>
          </w:p>
        </w:tc>
        <w:tc>
          <w:tcPr>
            <w:tcW w:w="708"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5.6</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灭火器具</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5.7</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防火指挥车</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辆</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5.8</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防火专用装备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5.9</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警告标识牌</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60"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6</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区域协调与社区规划</w:t>
            </w:r>
          </w:p>
        </w:tc>
        <w:tc>
          <w:tcPr>
            <w:tcW w:w="708"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860</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500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360</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290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570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6.1</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宣传教育材料</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6.2</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村民教育及培训</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次</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6.3</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社区发展扶持</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6.4</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废弃物处理</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50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6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6.5</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农业面源污染综合防治示范</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bottom"/>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7</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保护管理基础能力建设</w:t>
            </w:r>
          </w:p>
        </w:tc>
        <w:tc>
          <w:tcPr>
            <w:tcW w:w="708"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330</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280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50</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240</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90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7.1</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主、次入口</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7.2</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园区绿化美化</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7.3</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门户网站建设</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7.4</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信息管理系统</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8</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基础工程规划</w:t>
            </w:r>
          </w:p>
        </w:tc>
        <w:tc>
          <w:tcPr>
            <w:tcW w:w="708"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09"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764"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3321</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3026</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295</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0</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2031</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1290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531" w:type="dxa"/>
            <w:shd w:val="clear" w:color="auto" w:fill="auto"/>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道路工程</w:t>
            </w:r>
          </w:p>
        </w:tc>
        <w:tc>
          <w:tcPr>
            <w:tcW w:w="7257" w:type="dxa"/>
            <w:gridSpan w:val="9"/>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8.1</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旅游车行道</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km</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8.2</w:t>
            </w:r>
          </w:p>
        </w:tc>
        <w:tc>
          <w:tcPr>
            <w:tcW w:w="2163" w:type="dxa"/>
            <w:shd w:val="clear" w:color="auto" w:fill="auto"/>
            <w:vAlign w:val="bottom"/>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巡护道路</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km</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8.3</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木栈道</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km</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8.4</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生态步道</w:t>
            </w:r>
          </w:p>
        </w:tc>
        <w:tc>
          <w:tcPr>
            <w:tcW w:w="708"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km</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240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8.5</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水上码头</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8.6</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停车场</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8.7</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房车营地</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150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150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8.8</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自驾车驿站</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处</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电力通讯工程</w:t>
            </w:r>
          </w:p>
        </w:tc>
        <w:tc>
          <w:tcPr>
            <w:tcW w:w="7257" w:type="dxa"/>
            <w:gridSpan w:val="9"/>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8.9</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电力工程</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400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8.10 </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柴油发电机组</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台</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8.11 </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太阳能灯具</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0.65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65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ascii="宋体" w:hAnsi="宋体" w:eastAsia="宋体" w:cs="宋体"/>
                <w:kern w:val="0"/>
                <w:sz w:val="18"/>
                <w:szCs w:val="18"/>
              </w:rPr>
              <w:t>65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25</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8.12 </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电信设备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套</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9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给排水工程</w:t>
            </w:r>
          </w:p>
        </w:tc>
        <w:tc>
          <w:tcPr>
            <w:tcW w:w="7257" w:type="dxa"/>
            <w:gridSpan w:val="9"/>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8.13</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灌区补水工程</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8.14</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泉水补给</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300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8.15</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给水工程</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80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8.16</w:t>
            </w:r>
          </w:p>
        </w:tc>
        <w:tc>
          <w:tcPr>
            <w:tcW w:w="2163"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污水处理设备</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764"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180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80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9.1</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供热燃气</w:t>
            </w:r>
          </w:p>
        </w:tc>
        <w:tc>
          <w:tcPr>
            <w:tcW w:w="708"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项</w:t>
            </w:r>
          </w:p>
        </w:tc>
        <w:tc>
          <w:tcPr>
            <w:tcW w:w="709"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w:t>
            </w:r>
          </w:p>
        </w:tc>
        <w:tc>
          <w:tcPr>
            <w:tcW w:w="764"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100</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100</w:t>
            </w:r>
          </w:p>
        </w:tc>
        <w:tc>
          <w:tcPr>
            <w:tcW w:w="89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100</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9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　</w:t>
            </w:r>
          </w:p>
        </w:tc>
        <w:tc>
          <w:tcPr>
            <w:tcW w:w="801" w:type="dxa"/>
            <w:shd w:val="clear" w:color="auto" w:fill="auto"/>
            <w:vAlign w:val="center"/>
          </w:tcPr>
          <w:p>
            <w:pPr>
              <w:widowControl/>
              <w:spacing w:line="240" w:lineRule="auto"/>
              <w:ind w:firstLine="0" w:firstLineChars="0"/>
              <w:rPr>
                <w:rFonts w:ascii="宋体" w:hAnsi="宋体" w:eastAsia="宋体" w:cs="宋体"/>
                <w:kern w:val="0"/>
                <w:sz w:val="18"/>
                <w:szCs w:val="18"/>
              </w:rPr>
            </w:pPr>
            <w:r>
              <w:rPr>
                <w:rFonts w:hint="eastAsia" w:ascii="宋体" w:hAnsi="宋体" w:eastAsia="宋体" w:cs="宋体"/>
                <w:kern w:val="0"/>
                <w:sz w:val="18"/>
                <w:szCs w:val="18"/>
              </w:rPr>
              <w:t>100</w:t>
            </w:r>
          </w:p>
        </w:tc>
      </w:tr>
      <w:tr>
        <w:tblPrEx>
          <w:tblCellMar>
            <w:top w:w="0" w:type="dxa"/>
            <w:left w:w="108" w:type="dxa"/>
            <w:bottom w:w="0" w:type="dxa"/>
            <w:right w:w="108" w:type="dxa"/>
          </w:tblCellMar>
        </w:tblPrEx>
        <w:trPr>
          <w:trHeight w:val="300" w:hRule="atLeast"/>
        </w:trPr>
        <w:tc>
          <w:tcPr>
            <w:tcW w:w="53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二</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其他费用</w:t>
            </w:r>
          </w:p>
        </w:tc>
        <w:tc>
          <w:tcPr>
            <w:tcW w:w="2181" w:type="dxa"/>
            <w:gridSpan w:val="3"/>
            <w:shd w:val="clear" w:color="000000" w:fill="A6A6A6"/>
            <w:vAlign w:val="center"/>
          </w:tcPr>
          <w:p>
            <w:pPr>
              <w:widowControl/>
              <w:spacing w:line="240" w:lineRule="auto"/>
              <w:ind w:firstLine="0" w:firstLineChars="0"/>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1664.56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0.00 </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0.00 </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1664.56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1236.32 </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428.25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1</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勘查设计费</w:t>
            </w:r>
          </w:p>
        </w:tc>
        <w:tc>
          <w:tcPr>
            <w:tcW w:w="2181" w:type="dxa"/>
            <w:gridSpan w:val="3"/>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按工程建设费3.5%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728.25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728.25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728.25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0.00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2</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招投标费</w:t>
            </w:r>
          </w:p>
        </w:tc>
        <w:tc>
          <w:tcPr>
            <w:tcW w:w="2181" w:type="dxa"/>
            <w:gridSpan w:val="3"/>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按工程建设费1%</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208.07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208.07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208.07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0.00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3</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建设单位管理费</w:t>
            </w:r>
          </w:p>
        </w:tc>
        <w:tc>
          <w:tcPr>
            <w:tcW w:w="2181" w:type="dxa"/>
            <w:gridSpan w:val="3"/>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按工程建设费1.5%</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312.11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312.11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150.00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162.11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53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4</w:t>
            </w:r>
          </w:p>
        </w:tc>
        <w:tc>
          <w:tcPr>
            <w:tcW w:w="2163" w:type="dxa"/>
            <w:shd w:val="clear" w:color="auto" w:fill="auto"/>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工程监理费</w:t>
            </w:r>
          </w:p>
        </w:tc>
        <w:tc>
          <w:tcPr>
            <w:tcW w:w="2181" w:type="dxa"/>
            <w:gridSpan w:val="3"/>
            <w:shd w:val="clear" w:color="auto" w:fill="auto"/>
            <w:vAlign w:val="center"/>
          </w:tcPr>
          <w:p>
            <w:pPr>
              <w:widowControl/>
              <w:spacing w:line="240" w:lineRule="auto"/>
              <w:ind w:firstLine="0" w:firstLineChars="0"/>
              <w:jc w:val="center"/>
              <w:rPr>
                <w:rFonts w:ascii="宋体" w:hAnsi="宋体" w:eastAsia="宋体" w:cs="宋体"/>
                <w:kern w:val="0"/>
                <w:sz w:val="18"/>
                <w:szCs w:val="18"/>
              </w:rPr>
            </w:pPr>
            <w:r>
              <w:rPr>
                <w:rFonts w:hint="eastAsia" w:ascii="宋体" w:hAnsi="宋体" w:eastAsia="宋体" w:cs="宋体"/>
                <w:kern w:val="0"/>
                <w:sz w:val="18"/>
                <w:szCs w:val="18"/>
              </w:rPr>
              <w:t>按工程建设费2%</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416.14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416.14 </w:t>
            </w:r>
          </w:p>
        </w:tc>
        <w:tc>
          <w:tcPr>
            <w:tcW w:w="89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150.00 </w:t>
            </w:r>
          </w:p>
        </w:tc>
        <w:tc>
          <w:tcPr>
            <w:tcW w:w="801" w:type="dxa"/>
            <w:shd w:val="clear" w:color="auto" w:fill="auto"/>
            <w:vAlign w:val="center"/>
          </w:tcPr>
          <w:p>
            <w:pPr>
              <w:widowControl/>
              <w:spacing w:line="240" w:lineRule="auto"/>
              <w:ind w:firstLine="0" w:firstLineChars="0"/>
              <w:rPr>
                <w:rFonts w:eastAsia="宋体" w:cs="Times New Roman"/>
                <w:kern w:val="0"/>
                <w:sz w:val="18"/>
                <w:szCs w:val="18"/>
              </w:rPr>
            </w:pPr>
            <w:r>
              <w:rPr>
                <w:rFonts w:eastAsia="宋体" w:cs="Times New Roman"/>
                <w:kern w:val="0"/>
                <w:sz w:val="18"/>
                <w:szCs w:val="18"/>
              </w:rPr>
              <w:t xml:space="preserve">266.14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531"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三</w:t>
            </w:r>
          </w:p>
        </w:tc>
        <w:tc>
          <w:tcPr>
            <w:tcW w:w="2163" w:type="dxa"/>
            <w:shd w:val="clear" w:color="000000" w:fill="A6A6A6"/>
            <w:vAlign w:val="center"/>
          </w:tcPr>
          <w:p>
            <w:pPr>
              <w:widowControl/>
              <w:spacing w:line="240" w:lineRule="auto"/>
              <w:ind w:firstLine="0" w:firstLineChars="0"/>
              <w:rPr>
                <w:rFonts w:ascii="宋体" w:hAnsi="宋体" w:eastAsia="宋体" w:cs="宋体"/>
                <w:b/>
                <w:bCs/>
                <w:kern w:val="0"/>
                <w:sz w:val="18"/>
                <w:szCs w:val="18"/>
              </w:rPr>
            </w:pPr>
            <w:r>
              <w:rPr>
                <w:rFonts w:hint="eastAsia" w:ascii="宋体" w:hAnsi="宋体" w:eastAsia="宋体" w:cs="宋体"/>
                <w:b/>
                <w:bCs/>
                <w:kern w:val="0"/>
                <w:sz w:val="18"/>
                <w:szCs w:val="18"/>
              </w:rPr>
              <w:t>基本预备费</w:t>
            </w:r>
          </w:p>
        </w:tc>
        <w:tc>
          <w:tcPr>
            <w:tcW w:w="2181" w:type="dxa"/>
            <w:gridSpan w:val="3"/>
            <w:shd w:val="clear" w:color="000000" w:fill="A6A6A6"/>
            <w:vAlign w:val="center"/>
          </w:tcPr>
          <w:p>
            <w:pPr>
              <w:widowControl/>
              <w:spacing w:line="240" w:lineRule="auto"/>
              <w:ind w:firstLine="0" w:firstLineChars="0"/>
              <w:jc w:val="center"/>
              <w:rPr>
                <w:rFonts w:ascii="宋体" w:hAnsi="宋体" w:eastAsia="宋体" w:cs="宋体"/>
                <w:b/>
                <w:bCs/>
                <w:kern w:val="0"/>
                <w:sz w:val="18"/>
                <w:szCs w:val="18"/>
              </w:rPr>
            </w:pPr>
            <w:r>
              <w:rPr>
                <w:rFonts w:hint="eastAsia" w:ascii="宋体" w:hAnsi="宋体" w:eastAsia="宋体" w:cs="宋体"/>
                <w:b/>
                <w:bCs/>
                <w:kern w:val="0"/>
                <w:sz w:val="18"/>
                <w:szCs w:val="18"/>
              </w:rPr>
              <w:t>工程费用和间接费用和的5%</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1123.58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1123.58 </w:t>
            </w:r>
          </w:p>
        </w:tc>
        <w:tc>
          <w:tcPr>
            <w:tcW w:w="89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500.00 </w:t>
            </w:r>
          </w:p>
        </w:tc>
        <w:tc>
          <w:tcPr>
            <w:tcW w:w="801" w:type="dxa"/>
            <w:shd w:val="clear" w:color="000000" w:fill="A6A6A6"/>
            <w:vAlign w:val="center"/>
          </w:tcPr>
          <w:p>
            <w:pPr>
              <w:widowControl/>
              <w:spacing w:line="240" w:lineRule="auto"/>
              <w:ind w:firstLine="0" w:firstLineChars="0"/>
              <w:rPr>
                <w:rFonts w:eastAsia="宋体" w:cs="Times New Roman"/>
                <w:b/>
                <w:bCs/>
                <w:kern w:val="0"/>
                <w:sz w:val="18"/>
                <w:szCs w:val="18"/>
              </w:rPr>
            </w:pPr>
            <w:r>
              <w:rPr>
                <w:rFonts w:eastAsia="宋体" w:cs="Times New Roman"/>
                <w:b/>
                <w:bCs/>
                <w:kern w:val="0"/>
                <w:sz w:val="18"/>
                <w:szCs w:val="18"/>
              </w:rPr>
              <w:t xml:space="preserve">623.58 </w:t>
            </w:r>
          </w:p>
        </w:tc>
      </w:tr>
    </w:tbl>
    <w:p>
      <w:pPr>
        <w:widowControl/>
        <w:spacing w:line="240" w:lineRule="auto"/>
        <w:ind w:firstLine="0" w:firstLineChars="0"/>
        <w:jc w:val="left"/>
        <w:rPr>
          <w:rFonts w:eastAsia="宋体" w:cs="Times New Roman"/>
          <w:b/>
          <w:sz w:val="28"/>
          <w:szCs w:val="28"/>
        </w:rPr>
        <w:sectPr>
          <w:headerReference r:id="rId20" w:type="first"/>
          <w:footerReference r:id="rId22" w:type="first"/>
          <w:headerReference r:id="rId18" w:type="default"/>
          <w:headerReference r:id="rId19" w:type="even"/>
          <w:footerReference r:id="rId21" w:type="even"/>
          <w:pgSz w:w="11906" w:h="16838"/>
          <w:pgMar w:top="1440" w:right="1800" w:bottom="1440" w:left="1800" w:header="851" w:footer="992" w:gutter="0"/>
          <w:cols w:space="425" w:num="1"/>
          <w:docGrid w:type="lines" w:linePitch="312" w:charSpace="0"/>
        </w:sectPr>
      </w:pPr>
      <w:bookmarkStart w:id="175" w:name="_Toc128353281"/>
    </w:p>
    <w:p>
      <w:pPr>
        <w:pStyle w:val="3"/>
        <w:spacing w:before="120" w:beforeLines="50" w:after="120" w:afterLines="50" w:line="360" w:lineRule="auto"/>
        <w:ind w:firstLine="643"/>
        <w:jc w:val="left"/>
        <w:rPr>
          <w:rFonts w:ascii="Times New Roman" w:hAnsi="Times New Roman"/>
        </w:rPr>
      </w:pPr>
      <w:bookmarkStart w:id="176" w:name="_Toc130121703"/>
      <w:r>
        <w:rPr>
          <w:rFonts w:ascii="Times New Roman" w:hAnsi="Times New Roman"/>
        </w:rPr>
        <w:t>附录</w:t>
      </w:r>
      <w:r>
        <w:rPr>
          <w:rFonts w:hint="eastAsia" w:ascii="Times New Roman" w:hAnsi="Times New Roman"/>
        </w:rPr>
        <w:t>1</w:t>
      </w:r>
      <w:r>
        <w:rPr>
          <w:rFonts w:ascii="Times New Roman" w:hAnsi="Times New Roman"/>
        </w:rPr>
        <w:t>：玛纳斯国家湿地公园</w:t>
      </w:r>
      <w:r>
        <w:rPr>
          <w:rFonts w:hint="eastAsia" w:ascii="Times New Roman" w:hAnsi="Times New Roman"/>
        </w:rPr>
        <w:t>植物</w:t>
      </w:r>
      <w:r>
        <w:rPr>
          <w:rFonts w:ascii="Times New Roman" w:hAnsi="Times New Roman"/>
        </w:rPr>
        <w:t>名录</w:t>
      </w:r>
      <w:bookmarkEnd w:id="175"/>
      <w:bookmarkEnd w:id="176"/>
    </w:p>
    <w:tbl>
      <w:tblPr>
        <w:tblStyle w:val="25"/>
        <w:tblW w:w="8295" w:type="dxa"/>
        <w:tblInd w:w="1030" w:type="dxa"/>
        <w:tblLayout w:type="fixed"/>
        <w:tblCellMar>
          <w:top w:w="0" w:type="dxa"/>
          <w:left w:w="0" w:type="dxa"/>
          <w:bottom w:w="0" w:type="dxa"/>
          <w:right w:w="0" w:type="dxa"/>
        </w:tblCellMar>
      </w:tblPr>
      <w:tblGrid>
        <w:gridCol w:w="703"/>
        <w:gridCol w:w="1277"/>
        <w:gridCol w:w="1701"/>
        <w:gridCol w:w="1701"/>
        <w:gridCol w:w="2913"/>
      </w:tblGrid>
      <w:tr>
        <w:tblPrEx>
          <w:tblCellMar>
            <w:top w:w="0" w:type="dxa"/>
            <w:left w:w="0" w:type="dxa"/>
            <w:bottom w:w="0" w:type="dxa"/>
            <w:right w:w="0" w:type="dxa"/>
          </w:tblCellMar>
        </w:tblPrEx>
        <w:trPr>
          <w:trHeight w:val="556"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8" w:line="240" w:lineRule="auto"/>
              <w:ind w:right="102" w:firstLine="0" w:firstLineChars="0"/>
              <w:jc w:val="center"/>
              <w:rPr>
                <w:rFonts w:ascii="黑体" w:eastAsia="黑体" w:cs="黑体"/>
                <w:b/>
                <w:bCs/>
                <w:kern w:val="0"/>
                <w:sz w:val="22"/>
              </w:rPr>
            </w:pPr>
            <w:r>
              <w:rPr>
                <w:rFonts w:hint="eastAsia" w:ascii="黑体" w:eastAsia="黑体" w:cs="黑体"/>
                <w:b/>
                <w:bCs/>
                <w:kern w:val="0"/>
                <w:sz w:val="22"/>
              </w:rPr>
              <w:t>序号</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8" w:line="240" w:lineRule="auto"/>
              <w:ind w:firstLine="0" w:firstLineChars="0"/>
              <w:jc w:val="center"/>
              <w:rPr>
                <w:rFonts w:ascii="黑体" w:eastAsia="黑体" w:cs="黑体"/>
                <w:b/>
                <w:bCs/>
                <w:w w:val="99"/>
                <w:kern w:val="0"/>
                <w:sz w:val="22"/>
              </w:rPr>
            </w:pPr>
            <w:r>
              <w:rPr>
                <w:rFonts w:hint="eastAsia" w:ascii="黑体" w:eastAsia="黑体" w:cs="黑体"/>
                <w:b/>
                <w:bCs/>
                <w:w w:val="99"/>
                <w:kern w:val="0"/>
                <w:sz w:val="22"/>
              </w:rPr>
              <w:t>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8" w:line="240" w:lineRule="auto"/>
              <w:ind w:firstLine="0" w:firstLineChars="0"/>
              <w:jc w:val="center"/>
              <w:rPr>
                <w:rFonts w:ascii="黑体" w:eastAsia="黑体" w:cs="黑体"/>
                <w:b/>
                <w:bCs/>
                <w:w w:val="99"/>
                <w:kern w:val="0"/>
                <w:sz w:val="22"/>
              </w:rPr>
            </w:pPr>
            <w:r>
              <w:rPr>
                <w:rFonts w:hint="eastAsia" w:ascii="黑体" w:eastAsia="黑体" w:cs="黑体"/>
                <w:b/>
                <w:bCs/>
                <w:w w:val="99"/>
                <w:kern w:val="0"/>
                <w:sz w:val="22"/>
              </w:rPr>
              <w:t>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8" w:line="240" w:lineRule="auto"/>
              <w:ind w:firstLine="0" w:firstLineChars="0"/>
              <w:jc w:val="center"/>
              <w:rPr>
                <w:rFonts w:ascii="黑体" w:eastAsia="黑体" w:cs="黑体"/>
                <w:b/>
                <w:bCs/>
                <w:w w:val="99"/>
                <w:kern w:val="0"/>
                <w:sz w:val="22"/>
              </w:rPr>
            </w:pPr>
            <w:r>
              <w:rPr>
                <w:rFonts w:hint="eastAsia" w:ascii="黑体" w:eastAsia="黑体" w:cs="黑体"/>
                <w:b/>
                <w:bCs/>
                <w:w w:val="99"/>
                <w:kern w:val="0"/>
                <w:sz w:val="22"/>
              </w:rPr>
              <w:t>种</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8" w:line="240" w:lineRule="auto"/>
              <w:ind w:right="73" w:firstLine="0" w:firstLineChars="0"/>
              <w:jc w:val="center"/>
              <w:rPr>
                <w:rFonts w:ascii="黑体" w:eastAsia="黑体" w:cs="黑体"/>
                <w:b/>
                <w:bCs/>
                <w:w w:val="95"/>
                <w:kern w:val="0"/>
                <w:sz w:val="22"/>
              </w:rPr>
            </w:pPr>
            <w:r>
              <w:rPr>
                <w:rFonts w:hint="eastAsia" w:ascii="黑体" w:eastAsia="黑体" w:cs="黑体"/>
                <w:b/>
                <w:bCs/>
                <w:w w:val="95"/>
                <w:kern w:val="0"/>
                <w:sz w:val="22"/>
              </w:rPr>
              <w:t>拉丁名</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center"/>
              <w:rPr>
                <w:rFonts w:cs="Times New Roman"/>
                <w:kern w:val="0"/>
                <w:sz w:val="22"/>
              </w:rPr>
            </w:pPr>
            <w:r>
              <w:rPr>
                <w:rFonts w:cs="Times New Roman"/>
                <w:kern w:val="0"/>
                <w:sz w:val="22"/>
              </w:rPr>
              <w:t>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草木犀属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黄花草木樨</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Melilotus</w:t>
            </w:r>
            <w:r>
              <w:rPr>
                <w:rFonts w:cs="Times New Roman"/>
                <w:i/>
                <w:iCs/>
                <w:spacing w:val="-2"/>
                <w:kern w:val="0"/>
                <w:sz w:val="22"/>
              </w:rPr>
              <w:t xml:space="preserve"> </w:t>
            </w:r>
            <w:r>
              <w:rPr>
                <w:rFonts w:cs="Times New Roman"/>
                <w:i/>
                <w:iCs/>
                <w:kern w:val="0"/>
                <w:sz w:val="22"/>
              </w:rPr>
              <w:t>officinalis</w:t>
            </w:r>
            <w:r>
              <w:rPr>
                <w:rFonts w:cs="Times New Roman"/>
                <w:i/>
                <w:iCs/>
                <w:spacing w:val="-3"/>
                <w:kern w:val="0"/>
                <w:sz w:val="22"/>
              </w:rPr>
              <w:t xml:space="preserve"> </w:t>
            </w:r>
            <w:r>
              <w:rPr>
                <w:rFonts w:cs="Times New Roman"/>
                <w:i/>
                <w:iCs/>
                <w:kern w:val="0"/>
                <w:sz w:val="22"/>
              </w:rPr>
              <w:t>(L.)</w:t>
            </w:r>
            <w:r>
              <w:rPr>
                <w:rFonts w:cs="Times New Roman"/>
                <w:i/>
                <w:iCs/>
                <w:spacing w:val="-2"/>
                <w:kern w:val="0"/>
                <w:sz w:val="22"/>
              </w:rPr>
              <w:t xml:space="preserve"> </w:t>
            </w:r>
            <w:r>
              <w:rPr>
                <w:rFonts w:cs="Times New Roman"/>
                <w:i/>
                <w:iCs/>
                <w:kern w:val="0"/>
                <w:sz w:val="22"/>
              </w:rPr>
              <w:t>Pall.</w:t>
            </w:r>
          </w:p>
        </w:tc>
      </w:tr>
      <w:tr>
        <w:tblPrEx>
          <w:tblCellMar>
            <w:top w:w="0" w:type="dxa"/>
            <w:left w:w="0" w:type="dxa"/>
            <w:bottom w:w="0" w:type="dxa"/>
            <w:right w:w="0" w:type="dxa"/>
          </w:tblCellMar>
        </w:tblPrEx>
        <w:trPr>
          <w:trHeight w:val="31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firstLine="0" w:firstLineChars="0"/>
              <w:jc w:val="center"/>
              <w:rPr>
                <w:rFonts w:cs="Times New Roman"/>
                <w:kern w:val="0"/>
                <w:sz w:val="22"/>
              </w:rPr>
            </w:pPr>
            <w:r>
              <w:rPr>
                <w:rFonts w:cs="Times New Roman"/>
                <w:kern w:val="0"/>
                <w:sz w:val="22"/>
              </w:rPr>
              <w:t>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草木犀属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9" w:firstLine="0" w:firstLineChars="0"/>
              <w:jc w:val="center"/>
              <w:rPr>
                <w:rFonts w:ascii="宋体" w:eastAsia="宋体" w:cs="宋体"/>
                <w:kern w:val="0"/>
                <w:sz w:val="22"/>
              </w:rPr>
            </w:pPr>
            <w:r>
              <w:rPr>
                <w:rFonts w:hint="eastAsia" w:ascii="宋体" w:eastAsia="宋体" w:cs="宋体"/>
                <w:kern w:val="0"/>
                <w:sz w:val="22"/>
              </w:rPr>
              <w:t>白花草木樨</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2" w:firstLine="0" w:firstLineChars="0"/>
              <w:jc w:val="center"/>
              <w:rPr>
                <w:rFonts w:cs="Times New Roman"/>
                <w:i/>
                <w:iCs/>
                <w:kern w:val="0"/>
                <w:sz w:val="22"/>
              </w:rPr>
            </w:pPr>
            <w:r>
              <w:rPr>
                <w:rFonts w:cs="Times New Roman"/>
                <w:i/>
                <w:iCs/>
                <w:kern w:val="0"/>
                <w:sz w:val="22"/>
              </w:rPr>
              <w:t>Melilotus</w:t>
            </w:r>
            <w:r>
              <w:rPr>
                <w:rFonts w:cs="Times New Roman"/>
                <w:i/>
                <w:iCs/>
                <w:spacing w:val="-1"/>
                <w:kern w:val="0"/>
                <w:sz w:val="22"/>
              </w:rPr>
              <w:t xml:space="preserve"> </w:t>
            </w:r>
            <w:r>
              <w:rPr>
                <w:rFonts w:cs="Times New Roman"/>
                <w:i/>
                <w:iCs/>
                <w:kern w:val="0"/>
                <w:sz w:val="22"/>
              </w:rPr>
              <w:t>albusMedik.</w:t>
            </w:r>
          </w:p>
        </w:tc>
      </w:tr>
      <w:tr>
        <w:tblPrEx>
          <w:tblCellMar>
            <w:top w:w="0" w:type="dxa"/>
            <w:left w:w="0" w:type="dxa"/>
            <w:bottom w:w="0" w:type="dxa"/>
            <w:right w:w="0" w:type="dxa"/>
          </w:tblCellMar>
        </w:tblPrEx>
        <w:trPr>
          <w:trHeight w:val="35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firstLine="0" w:firstLineChars="0"/>
              <w:jc w:val="center"/>
              <w:rPr>
                <w:rFonts w:cs="Times New Roman"/>
                <w:kern w:val="0"/>
                <w:sz w:val="22"/>
              </w:rPr>
            </w:pPr>
            <w:r>
              <w:rPr>
                <w:rFonts w:cs="Times New Roman"/>
                <w:kern w:val="0"/>
                <w:sz w:val="22"/>
              </w:rPr>
              <w:t>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甘草属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甘草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exact"/>
              <w:ind w:right="72" w:firstLine="0" w:firstLineChars="0"/>
              <w:jc w:val="center"/>
              <w:rPr>
                <w:rFonts w:cs="Times New Roman"/>
                <w:i/>
                <w:iCs/>
                <w:kern w:val="0"/>
                <w:sz w:val="22"/>
              </w:rPr>
            </w:pPr>
            <w:r>
              <w:rPr>
                <w:rFonts w:cs="Times New Roman"/>
                <w:i/>
                <w:iCs/>
                <w:kern w:val="0"/>
                <w:sz w:val="22"/>
              </w:rPr>
              <w:t>Glycyrrhiza</w:t>
            </w:r>
            <w:r>
              <w:rPr>
                <w:rFonts w:cs="Times New Roman"/>
                <w:i/>
                <w:iCs/>
                <w:spacing w:val="-4"/>
                <w:kern w:val="0"/>
                <w:sz w:val="22"/>
              </w:rPr>
              <w:t xml:space="preserve"> </w:t>
            </w:r>
            <w:r>
              <w:rPr>
                <w:rFonts w:cs="Times New Roman"/>
                <w:i/>
                <w:iCs/>
                <w:kern w:val="0"/>
                <w:sz w:val="22"/>
              </w:rPr>
              <w:t>uralensisFisch.</w:t>
            </w:r>
          </w:p>
          <w:p>
            <w:pPr>
              <w:kinsoku w:val="0"/>
              <w:overflowPunct w:val="0"/>
              <w:autoSpaceDE w:val="0"/>
              <w:autoSpaceDN w:val="0"/>
              <w:adjustRightInd w:val="0"/>
              <w:spacing w:before="59" w:line="240" w:lineRule="exact"/>
              <w:ind w:right="74" w:firstLine="0" w:firstLineChars="0"/>
              <w:jc w:val="center"/>
              <w:rPr>
                <w:rFonts w:cs="Times New Roman"/>
                <w:i/>
                <w:iCs/>
                <w:kern w:val="0"/>
                <w:sz w:val="22"/>
              </w:rPr>
            </w:pPr>
            <w:r>
              <w:rPr>
                <w:rFonts w:cs="Times New Roman"/>
                <w:i/>
                <w:iCs/>
                <w:kern w:val="0"/>
                <w:sz w:val="22"/>
              </w:rPr>
              <w:t>ex</w:t>
            </w:r>
            <w:r>
              <w:rPr>
                <w:rFonts w:cs="Times New Roman"/>
                <w:i/>
                <w:iCs/>
                <w:spacing w:val="-1"/>
                <w:kern w:val="0"/>
                <w:sz w:val="22"/>
              </w:rPr>
              <w:t xml:space="preserve"> </w:t>
            </w:r>
            <w:r>
              <w:rPr>
                <w:rFonts w:cs="Times New Roman"/>
                <w:i/>
                <w:iCs/>
                <w:kern w:val="0"/>
                <w:sz w:val="22"/>
              </w:rPr>
              <w:t>DC.</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center"/>
              <w:rPr>
                <w:rFonts w:cs="Times New Roman"/>
                <w:kern w:val="0"/>
                <w:sz w:val="22"/>
              </w:rPr>
            </w:pPr>
            <w:r>
              <w:rPr>
                <w:rFonts w:cs="Times New Roman"/>
                <w:kern w:val="0"/>
                <w:sz w:val="22"/>
              </w:rPr>
              <w:t>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甘草属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粗毛甘草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Glycyrrhiza</w:t>
            </w:r>
            <w:r>
              <w:rPr>
                <w:rFonts w:cs="Times New Roman"/>
                <w:i/>
                <w:iCs/>
                <w:spacing w:val="-2"/>
                <w:kern w:val="0"/>
                <w:sz w:val="22"/>
              </w:rPr>
              <w:t xml:space="preserve"> </w:t>
            </w:r>
            <w:r>
              <w:rPr>
                <w:rFonts w:cs="Times New Roman"/>
                <w:i/>
                <w:iCs/>
                <w:kern w:val="0"/>
                <w:sz w:val="22"/>
              </w:rPr>
              <w:t>asperaPall.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center"/>
              <w:rPr>
                <w:rFonts w:cs="Times New Roman"/>
                <w:kern w:val="0"/>
                <w:sz w:val="22"/>
              </w:rPr>
            </w:pPr>
            <w:r>
              <w:rPr>
                <w:rFonts w:cs="Times New Roman"/>
                <w:kern w:val="0"/>
                <w:sz w:val="22"/>
              </w:rPr>
              <w:t>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槐属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苦豆子</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Sophora</w:t>
            </w:r>
            <w:r>
              <w:rPr>
                <w:rFonts w:cs="Times New Roman"/>
                <w:i/>
                <w:iCs/>
                <w:spacing w:val="-5"/>
                <w:kern w:val="0"/>
                <w:sz w:val="22"/>
              </w:rPr>
              <w:t xml:space="preserve"> </w:t>
            </w:r>
            <w:r>
              <w:rPr>
                <w:rFonts w:cs="Times New Roman"/>
                <w:i/>
                <w:iCs/>
                <w:kern w:val="0"/>
                <w:sz w:val="22"/>
              </w:rPr>
              <w:t>alopecuroidesL.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center"/>
              <w:rPr>
                <w:rFonts w:cs="Times New Roman"/>
                <w:kern w:val="0"/>
                <w:sz w:val="22"/>
              </w:rPr>
            </w:pPr>
            <w:r>
              <w:rPr>
                <w:rFonts w:cs="Times New Roman"/>
                <w:kern w:val="0"/>
                <w:sz w:val="22"/>
              </w:rPr>
              <w:t>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棘豆属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小花棘豆</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Oxytropis</w:t>
            </w:r>
            <w:r>
              <w:rPr>
                <w:rFonts w:cs="Times New Roman"/>
                <w:i/>
                <w:iCs/>
                <w:spacing w:val="-3"/>
                <w:kern w:val="0"/>
                <w:sz w:val="22"/>
              </w:rPr>
              <w:t xml:space="preserve"> </w:t>
            </w:r>
            <w:r>
              <w:rPr>
                <w:rFonts w:cs="Times New Roman"/>
                <w:i/>
                <w:iCs/>
                <w:kern w:val="0"/>
                <w:sz w:val="22"/>
              </w:rPr>
              <w:t>glabra(Lam.)</w:t>
            </w:r>
            <w:r>
              <w:rPr>
                <w:rFonts w:cs="Times New Roman"/>
                <w:i/>
                <w:iCs/>
                <w:spacing w:val="-5"/>
                <w:kern w:val="0"/>
                <w:sz w:val="22"/>
              </w:rPr>
              <w:t xml:space="preserve"> </w:t>
            </w:r>
            <w:r>
              <w:rPr>
                <w:rFonts w:cs="Times New Roman"/>
                <w:i/>
                <w:iCs/>
                <w:kern w:val="0"/>
                <w:sz w:val="22"/>
              </w:rPr>
              <w:t>DC.</w:t>
            </w:r>
          </w:p>
        </w:tc>
      </w:tr>
      <w:tr>
        <w:tblPrEx>
          <w:tblCellMar>
            <w:top w:w="0" w:type="dxa"/>
            <w:left w:w="0" w:type="dxa"/>
            <w:bottom w:w="0" w:type="dxa"/>
            <w:right w:w="0" w:type="dxa"/>
          </w:tblCellMar>
        </w:tblPrEx>
        <w:trPr>
          <w:trHeight w:val="49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firstLine="0" w:firstLineChars="0"/>
              <w:jc w:val="center"/>
              <w:rPr>
                <w:rFonts w:cs="Times New Roman"/>
                <w:kern w:val="0"/>
                <w:sz w:val="22"/>
              </w:rPr>
            </w:pPr>
            <w:r>
              <w:rPr>
                <w:rFonts w:cs="Times New Roman"/>
                <w:kern w:val="0"/>
                <w:sz w:val="22"/>
              </w:rPr>
              <w:t>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苦马豆属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苦马豆</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Sphaerophysa</w:t>
            </w:r>
            <w:r>
              <w:rPr>
                <w:rFonts w:cs="Times New Roman"/>
                <w:i/>
                <w:iCs/>
                <w:spacing w:val="-4"/>
                <w:kern w:val="0"/>
                <w:sz w:val="22"/>
              </w:rPr>
              <w:t xml:space="preserve"> </w:t>
            </w:r>
            <w:r>
              <w:rPr>
                <w:rFonts w:cs="Times New Roman"/>
                <w:i/>
                <w:iCs/>
                <w:kern w:val="0"/>
                <w:sz w:val="22"/>
              </w:rPr>
              <w:t>salsula(Pall.)</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DC.</w:t>
            </w:r>
          </w:p>
        </w:tc>
      </w:tr>
      <w:tr>
        <w:tblPrEx>
          <w:tblCellMar>
            <w:top w:w="0" w:type="dxa"/>
            <w:left w:w="0" w:type="dxa"/>
            <w:bottom w:w="0" w:type="dxa"/>
            <w:right w:w="0" w:type="dxa"/>
          </w:tblCellMar>
        </w:tblPrEx>
        <w:trPr>
          <w:trHeight w:val="626"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firstLine="0" w:firstLineChars="0"/>
              <w:jc w:val="center"/>
              <w:rPr>
                <w:rFonts w:cs="Times New Roman"/>
                <w:kern w:val="0"/>
                <w:sz w:val="22"/>
              </w:rPr>
            </w:pPr>
            <w:r>
              <w:rPr>
                <w:rFonts w:cs="Times New Roman"/>
                <w:kern w:val="0"/>
                <w:sz w:val="22"/>
              </w:rPr>
              <w:t>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58" w:firstLine="0" w:firstLineChars="0"/>
              <w:jc w:val="center"/>
              <w:rPr>
                <w:rFonts w:ascii="宋体" w:eastAsia="宋体" w:cs="宋体"/>
                <w:kern w:val="0"/>
                <w:sz w:val="22"/>
              </w:rPr>
            </w:pPr>
            <w:r>
              <w:rPr>
                <w:rFonts w:hint="eastAsia" w:ascii="宋体" w:eastAsia="宋体" w:cs="宋体"/>
                <w:kern w:val="0"/>
                <w:sz w:val="22"/>
              </w:rPr>
              <w:t>铃铛刺属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57" w:firstLine="0" w:firstLineChars="0"/>
              <w:jc w:val="center"/>
              <w:rPr>
                <w:rFonts w:ascii="宋体" w:eastAsia="宋体" w:cs="宋体"/>
                <w:kern w:val="0"/>
                <w:sz w:val="22"/>
              </w:rPr>
            </w:pPr>
            <w:r>
              <w:rPr>
                <w:rFonts w:hint="eastAsia" w:ascii="宋体" w:eastAsia="宋体" w:cs="宋体"/>
                <w:kern w:val="0"/>
                <w:sz w:val="22"/>
              </w:rPr>
              <w:t>铃铛刺</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3" w:firstLine="0" w:firstLineChars="0"/>
              <w:jc w:val="center"/>
              <w:rPr>
                <w:rFonts w:cs="Times New Roman"/>
                <w:i/>
                <w:iCs/>
                <w:kern w:val="0"/>
                <w:sz w:val="22"/>
              </w:rPr>
            </w:pPr>
            <w:r>
              <w:rPr>
                <w:rFonts w:cs="Times New Roman"/>
                <w:i/>
                <w:iCs/>
                <w:kern w:val="0"/>
                <w:sz w:val="22"/>
              </w:rPr>
              <w:t>Halimodendron</w:t>
            </w:r>
          </w:p>
          <w:p>
            <w:pPr>
              <w:kinsoku w:val="0"/>
              <w:overflowPunct w:val="0"/>
              <w:autoSpaceDE w:val="0"/>
              <w:autoSpaceDN w:val="0"/>
              <w:adjustRightInd w:val="0"/>
              <w:spacing w:before="59" w:line="240" w:lineRule="auto"/>
              <w:ind w:right="72" w:firstLine="0" w:firstLineChars="0"/>
              <w:jc w:val="center"/>
              <w:rPr>
                <w:rFonts w:cs="Times New Roman"/>
                <w:i/>
                <w:iCs/>
                <w:kern w:val="0"/>
                <w:sz w:val="22"/>
              </w:rPr>
            </w:pPr>
            <w:r>
              <w:rPr>
                <w:rFonts w:cs="Times New Roman"/>
                <w:i/>
                <w:iCs/>
                <w:kern w:val="0"/>
                <w:sz w:val="22"/>
              </w:rPr>
              <w:t>halodendron(Pall.)</w:t>
            </w:r>
            <w:r>
              <w:rPr>
                <w:rFonts w:cs="Times New Roman"/>
                <w:i/>
                <w:iCs/>
                <w:spacing w:val="-8"/>
                <w:kern w:val="0"/>
                <w:sz w:val="22"/>
              </w:rPr>
              <w:t xml:space="preserve"> </w:t>
            </w:r>
            <w:r>
              <w:rPr>
                <w:rFonts w:cs="Times New Roman"/>
                <w:i/>
                <w:iCs/>
                <w:kern w:val="0"/>
                <w:sz w:val="22"/>
              </w:rPr>
              <w:t>Voss</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center"/>
              <w:rPr>
                <w:rFonts w:cs="Times New Roman"/>
                <w:kern w:val="0"/>
                <w:sz w:val="22"/>
              </w:rPr>
            </w:pPr>
            <w:r>
              <w:rPr>
                <w:rFonts w:cs="Times New Roman"/>
                <w:kern w:val="0"/>
                <w:sz w:val="22"/>
              </w:rPr>
              <w:t>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骆驼刺属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骆驼刺</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Alhagi camelorumFisch.</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胡卢巴属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弯果胡卢巴</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Trigonella</w:t>
            </w:r>
            <w:r>
              <w:rPr>
                <w:rFonts w:cs="Times New Roman"/>
                <w:i/>
                <w:iCs/>
                <w:spacing w:val="-6"/>
                <w:kern w:val="0"/>
                <w:sz w:val="22"/>
              </w:rPr>
              <w:t xml:space="preserve"> </w:t>
            </w:r>
            <w:r>
              <w:rPr>
                <w:rFonts w:cs="Times New Roman"/>
                <w:i/>
                <w:iCs/>
                <w:kern w:val="0"/>
                <w:sz w:val="22"/>
              </w:rPr>
              <w:t>arcuataC.</w:t>
            </w:r>
            <w:r>
              <w:rPr>
                <w:rFonts w:cs="Times New Roman"/>
                <w:i/>
                <w:iCs/>
                <w:spacing w:val="-10"/>
                <w:kern w:val="0"/>
                <w:sz w:val="22"/>
              </w:rPr>
              <w:t xml:space="preserve"> </w:t>
            </w:r>
            <w:r>
              <w:rPr>
                <w:rFonts w:cs="Times New Roman"/>
                <w:i/>
                <w:iCs/>
                <w:kern w:val="0"/>
                <w:sz w:val="22"/>
              </w:rPr>
              <w:t>A.</w:t>
            </w:r>
            <w:r>
              <w:rPr>
                <w:rFonts w:cs="Times New Roman"/>
                <w:i/>
                <w:iCs/>
                <w:spacing w:val="-8"/>
                <w:kern w:val="0"/>
                <w:sz w:val="22"/>
              </w:rPr>
              <w:t xml:space="preserve"> </w:t>
            </w:r>
            <w:r>
              <w:rPr>
                <w:rFonts w:cs="Times New Roman"/>
                <w:i/>
                <w:iCs/>
                <w:kern w:val="0"/>
                <w:sz w:val="22"/>
              </w:rPr>
              <w:t>Mey.</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黄芪属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黄芪</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Astragalus</w:t>
            </w:r>
            <w:r>
              <w:rPr>
                <w:rFonts w:cs="Times New Roman"/>
                <w:i/>
                <w:iCs/>
                <w:spacing w:val="-2"/>
                <w:kern w:val="0"/>
                <w:sz w:val="22"/>
              </w:rPr>
              <w:t xml:space="preserve"> </w:t>
            </w:r>
            <w:r>
              <w:rPr>
                <w:rFonts w:cs="Times New Roman"/>
                <w:i/>
                <w:iCs/>
                <w:kern w:val="0"/>
                <w:sz w:val="22"/>
              </w:rPr>
              <w:t>membranaceus</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(Fisch.) Bunge.</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"https://www.so.com/s?src=biu_graph&amp;q=%E7%99%BE%E8%84%89%E6%A0%B9%E5%B1%9E&amp;fr=so.com&amp;psid=ba7fa3c484e1683a14fcc97f4f69fea9&amp;ls=sm2318164&amp;lm_extend=ctype%3A31" </w:instrText>
            </w:r>
            <w:r>
              <w:fldChar w:fldCharType="separate"/>
            </w:r>
            <w:r>
              <w:rPr>
                <w:rFonts w:hint="eastAsia" w:ascii="宋体" w:eastAsia="宋体" w:cs="宋体"/>
                <w:kern w:val="0"/>
                <w:sz w:val="22"/>
              </w:rPr>
              <w:t>百脉根属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百脉根</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Lotus</w:t>
            </w:r>
            <w:r>
              <w:rPr>
                <w:rFonts w:cs="Times New Roman"/>
                <w:i/>
                <w:iCs/>
                <w:spacing w:val="-3"/>
                <w:kern w:val="0"/>
                <w:sz w:val="22"/>
              </w:rPr>
              <w:t xml:space="preserve"> </w:t>
            </w:r>
            <w:r>
              <w:rPr>
                <w:rFonts w:cs="Times New Roman"/>
                <w:i/>
                <w:iCs/>
                <w:kern w:val="0"/>
                <w:sz w:val="22"/>
              </w:rPr>
              <w:t>corniculatusL.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"https://www.so.com/s?src=biu_graph&amp;q=%E7%99%BE%E8%84%89%E6%A0%B9%E5%B1%9E&amp;fr=so.com&amp;psid=ba7fa3c484e1683a14fcc97f4f69fea9&amp;ls=sm2318164&amp;lm_extend=ctype%3A31" </w:instrText>
            </w:r>
            <w:r>
              <w:fldChar w:fldCharType="separate"/>
            </w:r>
            <w:r>
              <w:rPr>
                <w:rFonts w:hint="eastAsia" w:ascii="宋体" w:eastAsia="宋体" w:cs="宋体"/>
                <w:kern w:val="0"/>
                <w:sz w:val="22"/>
              </w:rPr>
              <w:t>百脉根属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新疆百脉根</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Lotus</w:t>
            </w:r>
            <w:r>
              <w:rPr>
                <w:rFonts w:cs="Times New Roman"/>
                <w:i/>
                <w:iCs/>
                <w:spacing w:val="-7"/>
                <w:kern w:val="0"/>
                <w:sz w:val="22"/>
              </w:rPr>
              <w:t xml:space="preserve"> </w:t>
            </w:r>
            <w:r>
              <w:rPr>
                <w:rFonts w:cs="Times New Roman"/>
                <w:i/>
                <w:iCs/>
                <w:kern w:val="0"/>
                <w:sz w:val="22"/>
              </w:rPr>
              <w:t>frondosusFreyn</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fldChar w:fldCharType="begin"/>
            </w:r>
            <w:r>
              <w:instrText xml:space="preserve"> HYPERLINK "https://baike.so.com/doc/5915510-6128422.html" </w:instrText>
            </w:r>
            <w:r>
              <w:fldChar w:fldCharType="separate"/>
            </w:r>
            <w:r>
              <w:rPr>
                <w:rFonts w:hint="eastAsia" w:ascii="宋体" w:eastAsia="宋体" w:cs="宋体"/>
                <w:kern w:val="0"/>
                <w:sz w:val="22"/>
              </w:rPr>
              <w:t>车轴草属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白三叶草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Trifolium</w:t>
            </w:r>
            <w:r>
              <w:rPr>
                <w:rFonts w:cs="Times New Roman"/>
                <w:i/>
                <w:iCs/>
                <w:spacing w:val="-7"/>
                <w:kern w:val="0"/>
                <w:sz w:val="22"/>
              </w:rPr>
              <w:t xml:space="preserve"> </w:t>
            </w:r>
            <w:r>
              <w:rPr>
                <w:rFonts w:cs="Times New Roman"/>
                <w:i/>
                <w:iCs/>
                <w:kern w:val="0"/>
                <w:sz w:val="22"/>
              </w:rPr>
              <w:t>repensL.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槐属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苦参</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Sophora</w:t>
            </w:r>
            <w:r>
              <w:rPr>
                <w:rFonts w:cs="Times New Roman"/>
                <w:i/>
                <w:iCs/>
                <w:spacing w:val="-3"/>
                <w:kern w:val="0"/>
                <w:sz w:val="22"/>
              </w:rPr>
              <w:t xml:space="preserve"> </w:t>
            </w:r>
            <w:r>
              <w:rPr>
                <w:rFonts w:cs="Times New Roman"/>
                <w:i/>
                <w:iCs/>
                <w:kern w:val="0"/>
                <w:sz w:val="22"/>
              </w:rPr>
              <w:t>flavescens</w:t>
            </w:r>
            <w:r>
              <w:rPr>
                <w:rFonts w:cs="Times New Roman"/>
                <w:i/>
                <w:iCs/>
                <w:spacing w:val="-5"/>
                <w:kern w:val="0"/>
                <w:sz w:val="22"/>
              </w:rPr>
              <w:t xml:space="preserve"> </w:t>
            </w:r>
            <w:r>
              <w:rPr>
                <w:rFonts w:cs="Times New Roman"/>
                <w:i/>
                <w:iCs/>
                <w:kern w:val="0"/>
                <w:sz w:val="22"/>
              </w:rPr>
              <w:t>Alt.</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"https://baike.so.com/doc/5915510-6128422.html" </w:instrText>
            </w:r>
            <w:r>
              <w:fldChar w:fldCharType="separate"/>
            </w:r>
            <w:r>
              <w:rPr>
                <w:rFonts w:hint="eastAsia" w:ascii="宋体" w:eastAsia="宋体" w:cs="宋体"/>
                <w:kern w:val="0"/>
                <w:sz w:val="22"/>
              </w:rPr>
              <w:t>车轴草属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草莓三叶草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Trifolium</w:t>
            </w:r>
            <w:r>
              <w:rPr>
                <w:rFonts w:cs="Times New Roman"/>
                <w:i/>
                <w:iCs/>
                <w:spacing w:val="-6"/>
                <w:kern w:val="0"/>
                <w:sz w:val="22"/>
              </w:rPr>
              <w:t xml:space="preserve"> </w:t>
            </w:r>
            <w:r>
              <w:rPr>
                <w:rFonts w:cs="Times New Roman"/>
                <w:i/>
                <w:iCs/>
                <w:kern w:val="0"/>
                <w:sz w:val="22"/>
              </w:rPr>
              <w:t>fragiferumL.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"https://baike.so.com/doc/5915510-6128422.html" </w:instrText>
            </w:r>
            <w:r>
              <w:fldChar w:fldCharType="separate"/>
            </w:r>
            <w:r>
              <w:rPr>
                <w:rFonts w:hint="eastAsia" w:ascii="宋体" w:eastAsia="宋体" w:cs="宋体"/>
                <w:kern w:val="0"/>
                <w:sz w:val="22"/>
              </w:rPr>
              <w:t>车轴草属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红三叶草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Trifolium</w:t>
            </w:r>
            <w:r>
              <w:rPr>
                <w:rFonts w:cs="Times New Roman"/>
                <w:i/>
                <w:iCs/>
                <w:spacing w:val="-5"/>
                <w:kern w:val="0"/>
                <w:sz w:val="22"/>
              </w:rPr>
              <w:t xml:space="preserve"> </w:t>
            </w:r>
            <w:r>
              <w:rPr>
                <w:rFonts w:cs="Times New Roman"/>
                <w:i/>
                <w:iCs/>
                <w:kern w:val="0"/>
                <w:sz w:val="22"/>
              </w:rPr>
              <w:t>pratenseL.</w:t>
            </w:r>
          </w:p>
        </w:tc>
      </w:tr>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102" w:firstLine="0" w:firstLineChars="0"/>
              <w:jc w:val="center"/>
              <w:rPr>
                <w:rFonts w:cs="Times New Roman"/>
                <w:kern w:val="0"/>
                <w:sz w:val="22"/>
              </w:rPr>
            </w:pPr>
            <w:r>
              <w:rPr>
                <w:rFonts w:cs="Times New Roman"/>
                <w:kern w:val="0"/>
                <w:sz w:val="22"/>
              </w:rPr>
              <w:t>18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苜蓿属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紫花苜蓿</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1" w:firstLine="0" w:firstLineChars="0"/>
              <w:jc w:val="center"/>
              <w:rPr>
                <w:rFonts w:cs="Times New Roman"/>
                <w:i/>
                <w:iCs/>
                <w:kern w:val="0"/>
                <w:sz w:val="22"/>
              </w:rPr>
            </w:pPr>
            <w:r>
              <w:rPr>
                <w:rFonts w:cs="Times New Roman"/>
                <w:i/>
                <w:iCs/>
                <w:kern w:val="0"/>
                <w:sz w:val="22"/>
              </w:rPr>
              <w:t>Medicago</w:t>
            </w:r>
            <w:r>
              <w:rPr>
                <w:rFonts w:cs="Times New Roman"/>
                <w:i/>
                <w:iCs/>
                <w:spacing w:val="-3"/>
                <w:kern w:val="0"/>
                <w:sz w:val="22"/>
              </w:rPr>
              <w:t xml:space="preserve"> </w:t>
            </w:r>
            <w:r>
              <w:rPr>
                <w:rFonts w:cs="Times New Roman"/>
                <w:i/>
                <w:iCs/>
                <w:kern w:val="0"/>
                <w:sz w:val="22"/>
              </w:rPr>
              <w:t>sativaL.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苜蓿属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天蓝苜蓿</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Medicago</w:t>
            </w:r>
            <w:r>
              <w:rPr>
                <w:rFonts w:cs="Times New Roman"/>
                <w:i/>
                <w:iCs/>
                <w:spacing w:val="-3"/>
                <w:kern w:val="0"/>
                <w:sz w:val="22"/>
              </w:rPr>
              <w:t xml:space="preserve"> </w:t>
            </w:r>
            <w:r>
              <w:rPr>
                <w:rFonts w:cs="Times New Roman"/>
                <w:i/>
                <w:iCs/>
                <w:kern w:val="0"/>
                <w:sz w:val="22"/>
              </w:rPr>
              <w:t>lupulinaL.</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20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苜蓿属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黄花苜蓿</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1" w:firstLine="0" w:firstLineChars="0"/>
              <w:jc w:val="center"/>
              <w:rPr>
                <w:rFonts w:cs="Times New Roman"/>
                <w:i/>
                <w:iCs/>
                <w:kern w:val="0"/>
                <w:sz w:val="22"/>
              </w:rPr>
            </w:pPr>
            <w:r>
              <w:rPr>
                <w:rFonts w:cs="Times New Roman"/>
                <w:i/>
                <w:iCs/>
                <w:kern w:val="0"/>
                <w:sz w:val="22"/>
              </w:rPr>
              <w:t>Medicago</w:t>
            </w:r>
            <w:r>
              <w:rPr>
                <w:rFonts w:cs="Times New Roman"/>
                <w:i/>
                <w:iCs/>
                <w:spacing w:val="-3"/>
                <w:kern w:val="0"/>
                <w:sz w:val="22"/>
              </w:rPr>
              <w:t xml:space="preserve"> </w:t>
            </w:r>
            <w:r>
              <w:rPr>
                <w:rFonts w:cs="Times New Roman"/>
                <w:i/>
                <w:iCs/>
                <w:kern w:val="0"/>
                <w:sz w:val="22"/>
              </w:rPr>
              <w:t>falcataL.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棘豆属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小花棘豆</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Oxytropis</w:t>
            </w:r>
            <w:r>
              <w:rPr>
                <w:rFonts w:cs="Times New Roman"/>
                <w:i/>
                <w:iCs/>
                <w:spacing w:val="-3"/>
                <w:kern w:val="0"/>
                <w:sz w:val="22"/>
              </w:rPr>
              <w:t xml:space="preserve"> </w:t>
            </w:r>
            <w:r>
              <w:rPr>
                <w:rFonts w:cs="Times New Roman"/>
                <w:i/>
                <w:iCs/>
                <w:kern w:val="0"/>
                <w:sz w:val="22"/>
              </w:rPr>
              <w:t>glabra</w:t>
            </w:r>
            <w:r>
              <w:rPr>
                <w:rFonts w:cs="Times New Roman"/>
                <w:i/>
                <w:iCs/>
                <w:spacing w:val="-5"/>
                <w:kern w:val="0"/>
                <w:sz w:val="22"/>
              </w:rPr>
              <w:t xml:space="preserve"> </w:t>
            </w:r>
            <w:r>
              <w:rPr>
                <w:rFonts w:cs="Times New Roman"/>
                <w:i/>
                <w:iCs/>
                <w:kern w:val="0"/>
                <w:sz w:val="22"/>
              </w:rPr>
              <w:t>(Lam.)</w:t>
            </w:r>
            <w:r>
              <w:rPr>
                <w:rFonts w:cs="Times New Roman"/>
                <w:i/>
                <w:iCs/>
                <w:spacing w:val="-2"/>
                <w:kern w:val="0"/>
                <w:sz w:val="22"/>
              </w:rPr>
              <w:t xml:space="preserve"> </w:t>
            </w:r>
            <w:r>
              <w:rPr>
                <w:rFonts w:cs="Times New Roman"/>
                <w:i/>
                <w:iCs/>
                <w:kern w:val="0"/>
                <w:sz w:val="22"/>
              </w:rPr>
              <w:t>DC.</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野豌豆属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野豌豆</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Vicia</w:t>
            </w:r>
            <w:r>
              <w:rPr>
                <w:rFonts w:cs="Times New Roman"/>
                <w:i/>
                <w:iCs/>
                <w:spacing w:val="-7"/>
                <w:kern w:val="0"/>
                <w:sz w:val="22"/>
              </w:rPr>
              <w:t xml:space="preserve"> </w:t>
            </w:r>
            <w:r>
              <w:rPr>
                <w:rFonts w:cs="Times New Roman"/>
                <w:i/>
                <w:iCs/>
                <w:kern w:val="0"/>
                <w:sz w:val="22"/>
              </w:rPr>
              <w:t>sepium</w:t>
            </w:r>
            <w:r>
              <w:rPr>
                <w:rFonts w:cs="Times New Roman"/>
                <w:i/>
                <w:iCs/>
                <w:spacing w:val="-4"/>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豆科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驴食草属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红豆草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Onobrychis</w:t>
            </w:r>
            <w:r>
              <w:rPr>
                <w:rFonts w:cs="Times New Roman"/>
                <w:i/>
                <w:iCs/>
                <w:spacing w:val="-3"/>
                <w:kern w:val="0"/>
                <w:sz w:val="22"/>
              </w:rPr>
              <w:t xml:space="preserve"> </w:t>
            </w:r>
            <w:r>
              <w:rPr>
                <w:rFonts w:cs="Times New Roman"/>
                <w:i/>
                <w:iCs/>
                <w:kern w:val="0"/>
                <w:sz w:val="22"/>
              </w:rPr>
              <w:t>viciaefolia</w:t>
            </w:r>
            <w:r>
              <w:rPr>
                <w:rFonts w:cs="Times New Roman"/>
                <w:i/>
                <w:iCs/>
                <w:spacing w:val="-4"/>
                <w:kern w:val="0"/>
                <w:sz w:val="22"/>
              </w:rPr>
              <w:t xml:space="preserve"> </w:t>
            </w:r>
            <w:r>
              <w:rPr>
                <w:rFonts w:cs="Times New Roman"/>
                <w:i/>
                <w:iCs/>
                <w:kern w:val="0"/>
                <w:sz w:val="22"/>
              </w:rPr>
              <w:t>Scop.</w:t>
            </w:r>
          </w:p>
        </w:tc>
      </w:tr>
      <w:tr>
        <w:tblPrEx>
          <w:tblCellMar>
            <w:top w:w="0" w:type="dxa"/>
            <w:left w:w="0" w:type="dxa"/>
            <w:bottom w:w="0" w:type="dxa"/>
            <w:right w:w="0" w:type="dxa"/>
          </w:tblCellMar>
        </w:tblPrEx>
        <w:trPr>
          <w:trHeight w:val="90"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8" w:line="240" w:lineRule="auto"/>
              <w:ind w:firstLine="0" w:firstLineChars="0"/>
              <w:jc w:val="left"/>
              <w:rPr>
                <w:rFonts w:ascii="黑体" w:eastAsia="黑体" w:cs="黑体"/>
                <w:b/>
                <w:bCs/>
                <w:kern w:val="0"/>
                <w:sz w:val="26"/>
                <w:szCs w:val="26"/>
              </w:rPr>
            </w:pPr>
          </w:p>
          <w:p>
            <w:pPr>
              <w:kinsoku w:val="0"/>
              <w:overflowPunct w:val="0"/>
              <w:autoSpaceDE w:val="0"/>
              <w:autoSpaceDN w:val="0"/>
              <w:adjustRightInd w:val="0"/>
              <w:spacing w:line="240" w:lineRule="auto"/>
              <w:ind w:right="102" w:firstLine="0" w:firstLineChars="0"/>
              <w:jc w:val="center"/>
              <w:rPr>
                <w:rFonts w:cs="Times New Roman"/>
                <w:kern w:val="0"/>
                <w:sz w:val="22"/>
              </w:rPr>
            </w:pPr>
            <w:r>
              <w:rPr>
                <w:rFonts w:cs="Times New Roman"/>
                <w:kern w:val="0"/>
                <w:sz w:val="22"/>
              </w:rPr>
              <w:t>24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58" w:firstLine="0" w:firstLineChars="0"/>
              <w:jc w:val="center"/>
              <w:rPr>
                <w:rFonts w:ascii="宋体" w:eastAsia="宋体" w:cs="宋体"/>
                <w:kern w:val="0"/>
                <w:sz w:val="22"/>
              </w:rPr>
            </w:pPr>
            <w:r>
              <w:fldChar w:fldCharType="begin"/>
            </w:r>
            <w:r>
              <w:instrText xml:space="preserve"> HYPERLINK "https://baike.so.com/doc/7845010-8119105.html" </w:instrText>
            </w:r>
            <w:r>
              <w:fldChar w:fldCharType="separate"/>
            </w:r>
            <w:r>
              <w:rPr>
                <w:rFonts w:hint="eastAsia" w:ascii="宋体" w:eastAsia="宋体" w:cs="宋体"/>
                <w:kern w:val="0"/>
                <w:sz w:val="22"/>
              </w:rPr>
              <w:t>拂子茅属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59" w:firstLine="0" w:firstLineChars="0"/>
              <w:jc w:val="center"/>
              <w:rPr>
                <w:rFonts w:ascii="宋体" w:eastAsia="宋体" w:cs="宋体"/>
                <w:kern w:val="0"/>
                <w:sz w:val="22"/>
              </w:rPr>
            </w:pPr>
            <w:r>
              <w:rPr>
                <w:rFonts w:hint="eastAsia" w:ascii="宋体" w:eastAsia="宋体" w:cs="宋体"/>
                <w:kern w:val="0"/>
                <w:sz w:val="22"/>
              </w:rPr>
              <w:t>假苇拂子茅</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exact"/>
              <w:ind w:right="205" w:firstLine="0" w:firstLineChars="0"/>
              <w:jc w:val="center"/>
              <w:rPr>
                <w:rFonts w:cs="Times New Roman"/>
                <w:i/>
                <w:iCs/>
                <w:kern w:val="0"/>
                <w:sz w:val="22"/>
              </w:rPr>
            </w:pPr>
            <w:r>
              <w:rPr>
                <w:rFonts w:cs="Times New Roman"/>
                <w:i/>
                <w:iCs/>
                <w:kern w:val="0"/>
                <w:sz w:val="22"/>
              </w:rPr>
              <w:t>Calamagrostis</w:t>
            </w:r>
            <w:r>
              <w:rPr>
                <w:rFonts w:cs="Times New Roman"/>
                <w:i/>
                <w:iCs/>
                <w:spacing w:val="1"/>
                <w:kern w:val="0"/>
                <w:sz w:val="22"/>
              </w:rPr>
              <w:t xml:space="preserve"> </w:t>
            </w:r>
            <w:r>
              <w:rPr>
                <w:rFonts w:cs="Times New Roman"/>
                <w:i/>
                <w:iCs/>
                <w:spacing w:val="-1"/>
                <w:kern w:val="0"/>
                <w:sz w:val="22"/>
              </w:rPr>
              <w:t>pseudophragmites</w:t>
            </w:r>
            <w:r>
              <w:rPr>
                <w:rFonts w:cs="Times New Roman"/>
                <w:i/>
                <w:iCs/>
                <w:spacing w:val="-10"/>
                <w:kern w:val="0"/>
                <w:sz w:val="22"/>
              </w:rPr>
              <w:t xml:space="preserve"> </w:t>
            </w:r>
            <w:r>
              <w:rPr>
                <w:rFonts w:cs="Times New Roman"/>
                <w:i/>
                <w:iCs/>
                <w:kern w:val="0"/>
                <w:sz w:val="22"/>
              </w:rPr>
              <w:t>(Hall.</w:t>
            </w:r>
            <w:r>
              <w:rPr>
                <w:rFonts w:cs="Times New Roman"/>
                <w:i/>
                <w:iCs/>
                <w:spacing w:val="-9"/>
                <w:kern w:val="0"/>
                <w:sz w:val="22"/>
              </w:rPr>
              <w:t xml:space="preserve"> </w:t>
            </w:r>
            <w:r>
              <w:rPr>
                <w:rFonts w:cs="Times New Roman"/>
                <w:i/>
                <w:iCs/>
                <w:kern w:val="0"/>
                <w:sz w:val="22"/>
              </w:rPr>
              <w:t>F.)</w:t>
            </w:r>
          </w:p>
          <w:p>
            <w:pPr>
              <w:kinsoku w:val="0"/>
              <w:overflowPunct w:val="0"/>
              <w:autoSpaceDE w:val="0"/>
              <w:autoSpaceDN w:val="0"/>
              <w:adjustRightInd w:val="0"/>
              <w:spacing w:line="240" w:lineRule="exact"/>
              <w:ind w:right="71" w:firstLine="0" w:firstLineChars="0"/>
              <w:jc w:val="center"/>
              <w:rPr>
                <w:rFonts w:cs="Times New Roman"/>
                <w:i/>
                <w:iCs/>
                <w:kern w:val="0"/>
                <w:sz w:val="22"/>
              </w:rPr>
            </w:pPr>
            <w:r>
              <w:rPr>
                <w:rFonts w:cs="Times New Roman"/>
                <w:i/>
                <w:iCs/>
                <w:kern w:val="0"/>
                <w:sz w:val="22"/>
              </w:rPr>
              <w:t>Koel.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"https://baike.so.com/doc/7896072-8170167.html" </w:instrText>
            </w:r>
            <w:r>
              <w:fldChar w:fldCharType="separate"/>
            </w:r>
            <w:r>
              <w:rPr>
                <w:rFonts w:hint="eastAsia" w:ascii="宋体" w:eastAsia="宋体" w:cs="宋体"/>
                <w:kern w:val="0"/>
                <w:sz w:val="22"/>
              </w:rPr>
              <w:t>狗尾草属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狗尾草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Setaria</w:t>
            </w:r>
            <w:r>
              <w:rPr>
                <w:rFonts w:cs="Times New Roman"/>
                <w:i/>
                <w:iCs/>
                <w:spacing w:val="-10"/>
                <w:kern w:val="0"/>
                <w:sz w:val="22"/>
              </w:rPr>
              <w:t xml:space="preserve"> </w:t>
            </w:r>
            <w:r>
              <w:rPr>
                <w:rFonts w:cs="Times New Roman"/>
                <w:i/>
                <w:iCs/>
                <w:kern w:val="0"/>
                <w:sz w:val="22"/>
              </w:rPr>
              <w:t>viridis(L.)</w:t>
            </w:r>
            <w:r>
              <w:rPr>
                <w:rFonts w:cs="Times New Roman"/>
                <w:i/>
                <w:iCs/>
                <w:spacing w:val="-8"/>
                <w:kern w:val="0"/>
                <w:sz w:val="22"/>
              </w:rPr>
              <w:t xml:space="preserve"> </w:t>
            </w:r>
            <w:r>
              <w:rPr>
                <w:rFonts w:cs="Times New Roman"/>
                <w:i/>
                <w:iCs/>
                <w:kern w:val="0"/>
                <w:sz w:val="22"/>
              </w:rPr>
              <w:t>P.</w:t>
            </w:r>
            <w:r>
              <w:rPr>
                <w:rFonts w:cs="Times New Roman"/>
                <w:i/>
                <w:iCs/>
                <w:spacing w:val="-7"/>
                <w:kern w:val="0"/>
                <w:sz w:val="22"/>
              </w:rPr>
              <w:t xml:space="preserve"> </w:t>
            </w:r>
            <w:r>
              <w:rPr>
                <w:rFonts w:cs="Times New Roman"/>
                <w:i/>
                <w:iCs/>
                <w:kern w:val="0"/>
                <w:sz w:val="22"/>
              </w:rPr>
              <w:t>Beauv.</w:t>
            </w:r>
          </w:p>
        </w:tc>
      </w:tr>
      <w:tr>
        <w:tblPrEx>
          <w:tblCellMar>
            <w:top w:w="0" w:type="dxa"/>
            <w:left w:w="0" w:type="dxa"/>
            <w:bottom w:w="0" w:type="dxa"/>
            <w:right w:w="0" w:type="dxa"/>
          </w:tblCellMar>
        </w:tblPrEx>
        <w:trPr>
          <w:trHeight w:val="626"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26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8" w:firstLine="0" w:firstLineChars="0"/>
              <w:jc w:val="center"/>
              <w:rPr>
                <w:rFonts w:ascii="宋体" w:eastAsia="宋体" w:cs="宋体"/>
                <w:kern w:val="0"/>
                <w:sz w:val="22"/>
              </w:rPr>
            </w:pPr>
            <w:r>
              <w:rPr>
                <w:rFonts w:hint="eastAsia" w:ascii="宋体" w:eastAsia="宋体" w:cs="宋体"/>
                <w:kern w:val="0"/>
                <w:sz w:val="22"/>
              </w:rPr>
              <w:t>旱麦草属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9" w:firstLine="0" w:firstLineChars="0"/>
              <w:jc w:val="center"/>
              <w:rPr>
                <w:rFonts w:ascii="宋体" w:eastAsia="宋体" w:cs="宋体"/>
                <w:kern w:val="0"/>
                <w:sz w:val="22"/>
              </w:rPr>
            </w:pPr>
            <w:r>
              <w:rPr>
                <w:rFonts w:hint="eastAsia" w:ascii="宋体" w:eastAsia="宋体" w:cs="宋体"/>
                <w:kern w:val="0"/>
                <w:sz w:val="22"/>
              </w:rPr>
              <w:t>东方旱麦草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Eremopyrum</w:t>
            </w:r>
            <w:r>
              <w:rPr>
                <w:rFonts w:cs="Times New Roman"/>
                <w:i/>
                <w:iCs/>
                <w:spacing w:val="-4"/>
                <w:kern w:val="0"/>
                <w:sz w:val="22"/>
              </w:rPr>
              <w:t xml:space="preserve"> </w:t>
            </w:r>
            <w:r>
              <w:rPr>
                <w:rFonts w:cs="Times New Roman"/>
                <w:i/>
                <w:iCs/>
                <w:kern w:val="0"/>
                <w:sz w:val="22"/>
              </w:rPr>
              <w:t>orientale</w:t>
            </w:r>
            <w:r>
              <w:rPr>
                <w:rFonts w:cs="Times New Roman"/>
                <w:i/>
                <w:iCs/>
                <w:spacing w:val="-2"/>
                <w:kern w:val="0"/>
                <w:sz w:val="22"/>
              </w:rPr>
              <w:t xml:space="preserve"> </w:t>
            </w:r>
            <w:r>
              <w:rPr>
                <w:rFonts w:cs="Times New Roman"/>
                <w:i/>
                <w:iCs/>
                <w:kern w:val="0"/>
                <w:sz w:val="22"/>
              </w:rPr>
              <w:t>(Linn.)</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Jaub.</w:t>
            </w:r>
            <w:r>
              <w:rPr>
                <w:rFonts w:cs="Times New Roman"/>
                <w:i/>
                <w:iCs/>
                <w:spacing w:val="-1"/>
                <w:kern w:val="0"/>
                <w:sz w:val="22"/>
              </w:rPr>
              <w:t xml:space="preserve"> </w:t>
            </w:r>
            <w:r>
              <w:rPr>
                <w:rFonts w:cs="Times New Roman"/>
                <w:i/>
                <w:iCs/>
                <w:kern w:val="0"/>
                <w:sz w:val="22"/>
              </w:rPr>
              <w:t>et</w:t>
            </w:r>
            <w:r>
              <w:rPr>
                <w:rFonts w:cs="Times New Roman"/>
                <w:i/>
                <w:iCs/>
                <w:spacing w:val="1"/>
                <w:kern w:val="0"/>
                <w:sz w:val="22"/>
              </w:rPr>
              <w:t xml:space="preserve"> </w:t>
            </w:r>
            <w:r>
              <w:rPr>
                <w:rFonts w:cs="Times New Roman"/>
                <w:i/>
                <w:iCs/>
                <w:kern w:val="0"/>
                <w:sz w:val="22"/>
              </w:rPr>
              <w:t>Spach</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27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芨芨草属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芨芨草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Achnatherum</w:t>
            </w:r>
            <w:r>
              <w:rPr>
                <w:rFonts w:cs="Times New Roman"/>
                <w:i/>
                <w:iCs/>
                <w:spacing w:val="-2"/>
                <w:kern w:val="0"/>
                <w:sz w:val="22"/>
              </w:rPr>
              <w:t xml:space="preserve"> </w:t>
            </w:r>
            <w:r>
              <w:rPr>
                <w:rFonts w:cs="Times New Roman"/>
                <w:i/>
                <w:iCs/>
                <w:kern w:val="0"/>
                <w:sz w:val="22"/>
              </w:rPr>
              <w:t>splendens</w:t>
            </w:r>
          </w:p>
          <w:p>
            <w:pPr>
              <w:kinsoku w:val="0"/>
              <w:overflowPunct w:val="0"/>
              <w:autoSpaceDE w:val="0"/>
              <w:autoSpaceDN w:val="0"/>
              <w:adjustRightInd w:val="0"/>
              <w:spacing w:before="59" w:line="240" w:lineRule="auto"/>
              <w:ind w:right="72" w:firstLine="0" w:firstLineChars="0"/>
              <w:jc w:val="center"/>
              <w:rPr>
                <w:rFonts w:cs="Times New Roman"/>
                <w:i/>
                <w:iCs/>
                <w:kern w:val="0"/>
                <w:sz w:val="22"/>
              </w:rPr>
            </w:pPr>
            <w:r>
              <w:rPr>
                <w:rFonts w:cs="Times New Roman"/>
                <w:i/>
                <w:iCs/>
                <w:kern w:val="0"/>
                <w:sz w:val="22"/>
              </w:rPr>
              <w:t>(Trin.)</w:t>
            </w:r>
            <w:r>
              <w:rPr>
                <w:rFonts w:cs="Times New Roman"/>
                <w:i/>
                <w:iCs/>
                <w:spacing w:val="-4"/>
                <w:kern w:val="0"/>
                <w:sz w:val="22"/>
              </w:rPr>
              <w:t xml:space="preserve"> </w:t>
            </w:r>
            <w:r>
              <w:rPr>
                <w:rFonts w:cs="Times New Roman"/>
                <w:i/>
                <w:iCs/>
                <w:kern w:val="0"/>
                <w:sz w:val="22"/>
              </w:rPr>
              <w:t>Nevski</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看麦娘属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看麦娘</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Alopecurus</w:t>
            </w:r>
            <w:r>
              <w:rPr>
                <w:rFonts w:cs="Times New Roman"/>
                <w:i/>
                <w:iCs/>
                <w:spacing w:val="-2"/>
                <w:kern w:val="0"/>
                <w:sz w:val="22"/>
              </w:rPr>
              <w:t xml:space="preserve"> </w:t>
            </w:r>
            <w:r>
              <w:rPr>
                <w:rFonts w:cs="Times New Roman"/>
                <w:i/>
                <w:iCs/>
                <w:kern w:val="0"/>
                <w:sz w:val="22"/>
              </w:rPr>
              <w:t>aequalis Sobol.</w:t>
            </w:r>
          </w:p>
        </w:tc>
      </w:tr>
      <w:tr>
        <w:tblPrEx>
          <w:tblCellMar>
            <w:top w:w="0" w:type="dxa"/>
            <w:left w:w="0" w:type="dxa"/>
            <w:bottom w:w="0" w:type="dxa"/>
            <w:right w:w="0" w:type="dxa"/>
          </w:tblCellMar>
        </w:tblPrEx>
        <w:trPr>
          <w:trHeight w:val="42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29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赖草属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赖草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exact"/>
              <w:ind w:right="72" w:firstLine="0" w:firstLineChars="0"/>
              <w:jc w:val="center"/>
              <w:rPr>
                <w:rFonts w:cs="Times New Roman"/>
                <w:i/>
                <w:iCs/>
                <w:kern w:val="0"/>
                <w:sz w:val="22"/>
              </w:rPr>
            </w:pPr>
            <w:r>
              <w:rPr>
                <w:rFonts w:cs="Times New Roman"/>
                <w:i/>
                <w:iCs/>
                <w:kern w:val="0"/>
                <w:sz w:val="22"/>
              </w:rPr>
              <w:t>Leymus</w:t>
            </w:r>
            <w:r>
              <w:rPr>
                <w:rFonts w:cs="Times New Roman"/>
                <w:i/>
                <w:iCs/>
                <w:spacing w:val="-6"/>
                <w:kern w:val="0"/>
                <w:sz w:val="22"/>
              </w:rPr>
              <w:t xml:space="preserve"> </w:t>
            </w:r>
            <w:r>
              <w:rPr>
                <w:rFonts w:cs="Times New Roman"/>
                <w:i/>
                <w:iCs/>
                <w:kern w:val="0"/>
                <w:sz w:val="22"/>
              </w:rPr>
              <w:t>multicaulis</w:t>
            </w:r>
            <w:r>
              <w:rPr>
                <w:rFonts w:cs="Times New Roman"/>
                <w:i/>
                <w:iCs/>
                <w:spacing w:val="-5"/>
                <w:kern w:val="0"/>
                <w:sz w:val="22"/>
              </w:rPr>
              <w:t xml:space="preserve"> </w:t>
            </w:r>
            <w:r>
              <w:rPr>
                <w:rFonts w:cs="Times New Roman"/>
                <w:i/>
                <w:iCs/>
                <w:kern w:val="0"/>
                <w:sz w:val="22"/>
              </w:rPr>
              <w:t>(Kar.</w:t>
            </w:r>
            <w:r>
              <w:rPr>
                <w:rFonts w:cs="Times New Roman"/>
                <w:i/>
                <w:iCs/>
                <w:spacing w:val="-5"/>
                <w:kern w:val="0"/>
                <w:sz w:val="22"/>
              </w:rPr>
              <w:t xml:space="preserve"> </w:t>
            </w:r>
            <w:r>
              <w:rPr>
                <w:rFonts w:cs="Times New Roman"/>
                <w:i/>
                <w:iCs/>
                <w:kern w:val="0"/>
                <w:sz w:val="22"/>
              </w:rPr>
              <w:t>et</w:t>
            </w:r>
          </w:p>
          <w:p>
            <w:pPr>
              <w:kinsoku w:val="0"/>
              <w:overflowPunct w:val="0"/>
              <w:autoSpaceDE w:val="0"/>
              <w:autoSpaceDN w:val="0"/>
              <w:adjustRightInd w:val="0"/>
              <w:spacing w:line="240" w:lineRule="exact"/>
              <w:ind w:right="73" w:firstLine="0" w:firstLineChars="0"/>
              <w:jc w:val="center"/>
              <w:rPr>
                <w:rFonts w:cs="Times New Roman"/>
                <w:i/>
                <w:iCs/>
                <w:kern w:val="0"/>
                <w:sz w:val="22"/>
              </w:rPr>
            </w:pPr>
            <w:r>
              <w:rPr>
                <w:rFonts w:cs="Times New Roman"/>
                <w:i/>
                <w:iCs/>
                <w:kern w:val="0"/>
                <w:sz w:val="22"/>
              </w:rPr>
              <w:t>Kir.)</w:t>
            </w:r>
            <w:r>
              <w:rPr>
                <w:rFonts w:cs="Times New Roman"/>
                <w:i/>
                <w:iCs/>
                <w:spacing w:val="-8"/>
                <w:kern w:val="0"/>
                <w:sz w:val="22"/>
              </w:rPr>
              <w:t xml:space="preserve"> </w:t>
            </w:r>
            <w:r>
              <w:rPr>
                <w:rFonts w:cs="Times New Roman"/>
                <w:i/>
                <w:iCs/>
                <w:kern w:val="0"/>
                <w:sz w:val="22"/>
              </w:rPr>
              <w:t>Tzvel.</w:t>
            </w:r>
          </w:p>
        </w:tc>
      </w:tr>
      <w:tr>
        <w:tblPrEx>
          <w:tblCellMar>
            <w:top w:w="0" w:type="dxa"/>
            <w:left w:w="0" w:type="dxa"/>
            <w:bottom w:w="0" w:type="dxa"/>
            <w:right w:w="0" w:type="dxa"/>
          </w:tblCellMar>
        </w:tblPrEx>
        <w:trPr>
          <w:trHeight w:val="39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30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fldChar w:fldCharType="begin"/>
            </w:r>
            <w:r>
              <w:instrText xml:space="preserve"> HYPERLINK "https://baike.so.com/doc/497132-526355.html" </w:instrText>
            </w:r>
            <w:r>
              <w:fldChar w:fldCharType="separate"/>
            </w:r>
            <w:r>
              <w:rPr>
                <w:rFonts w:hint="eastAsia" w:ascii="宋体" w:eastAsia="宋体" w:cs="宋体"/>
                <w:kern w:val="0"/>
                <w:sz w:val="22"/>
              </w:rPr>
              <w:t>芦苇属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芦苇</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exact"/>
              <w:ind w:right="72" w:firstLine="0" w:firstLineChars="0"/>
              <w:jc w:val="center"/>
              <w:rPr>
                <w:rFonts w:cs="Times New Roman"/>
                <w:i/>
                <w:iCs/>
                <w:kern w:val="0"/>
                <w:sz w:val="22"/>
              </w:rPr>
            </w:pPr>
            <w:r>
              <w:rPr>
                <w:rFonts w:cs="Times New Roman"/>
                <w:i/>
                <w:iCs/>
                <w:kern w:val="0"/>
                <w:sz w:val="22"/>
              </w:rPr>
              <w:t>Phragmites</w:t>
            </w:r>
            <w:r>
              <w:rPr>
                <w:rFonts w:cs="Times New Roman"/>
                <w:i/>
                <w:iCs/>
                <w:spacing w:val="-6"/>
                <w:kern w:val="0"/>
                <w:sz w:val="22"/>
              </w:rPr>
              <w:t xml:space="preserve"> </w:t>
            </w:r>
            <w:r>
              <w:rPr>
                <w:rFonts w:cs="Times New Roman"/>
                <w:i/>
                <w:iCs/>
                <w:kern w:val="0"/>
                <w:sz w:val="22"/>
              </w:rPr>
              <w:t>australis</w:t>
            </w:r>
            <w:r>
              <w:rPr>
                <w:rFonts w:cs="Times New Roman"/>
                <w:i/>
                <w:iCs/>
                <w:spacing w:val="-6"/>
                <w:kern w:val="0"/>
                <w:sz w:val="22"/>
              </w:rPr>
              <w:t xml:space="preserve"> </w:t>
            </w:r>
            <w:r>
              <w:rPr>
                <w:rFonts w:cs="Times New Roman"/>
                <w:i/>
                <w:iCs/>
                <w:kern w:val="0"/>
                <w:sz w:val="22"/>
              </w:rPr>
              <w:t>(Cav.)</w:t>
            </w:r>
          </w:p>
          <w:p>
            <w:pPr>
              <w:kinsoku w:val="0"/>
              <w:overflowPunct w:val="0"/>
              <w:autoSpaceDE w:val="0"/>
              <w:autoSpaceDN w:val="0"/>
              <w:adjustRightInd w:val="0"/>
              <w:spacing w:line="240" w:lineRule="exact"/>
              <w:ind w:right="72" w:firstLine="0" w:firstLineChars="0"/>
              <w:jc w:val="center"/>
              <w:rPr>
                <w:rFonts w:cs="Times New Roman"/>
                <w:i/>
                <w:iCs/>
                <w:kern w:val="0"/>
                <w:sz w:val="22"/>
              </w:rPr>
            </w:pPr>
            <w:r>
              <w:rPr>
                <w:rFonts w:cs="Times New Roman"/>
                <w:i/>
                <w:iCs/>
                <w:kern w:val="0"/>
                <w:sz w:val="22"/>
              </w:rPr>
              <w:t>Trin.</w:t>
            </w:r>
            <w:r>
              <w:rPr>
                <w:rFonts w:cs="Times New Roman"/>
                <w:i/>
                <w:iCs/>
                <w:spacing w:val="-5"/>
                <w:kern w:val="0"/>
                <w:sz w:val="22"/>
              </w:rPr>
              <w:t xml:space="preserve"> </w:t>
            </w:r>
            <w:r>
              <w:rPr>
                <w:rFonts w:cs="Times New Roman"/>
                <w:i/>
                <w:iCs/>
                <w:kern w:val="0"/>
                <w:sz w:val="22"/>
              </w:rPr>
              <w:t>ex</w:t>
            </w:r>
            <w:r>
              <w:rPr>
                <w:rFonts w:cs="Times New Roman"/>
                <w:i/>
                <w:iCs/>
                <w:spacing w:val="-2"/>
                <w:kern w:val="0"/>
                <w:sz w:val="22"/>
              </w:rPr>
              <w:t xml:space="preserve"> </w:t>
            </w:r>
            <w:r>
              <w:rPr>
                <w:rFonts w:cs="Times New Roman"/>
                <w:i/>
                <w:iCs/>
                <w:kern w:val="0"/>
                <w:sz w:val="22"/>
              </w:rPr>
              <w:t>Steud.</w:t>
            </w:r>
          </w:p>
        </w:tc>
      </w:tr>
      <w:tr>
        <w:tblPrEx>
          <w:tblCellMar>
            <w:top w:w="0" w:type="dxa"/>
            <w:left w:w="0" w:type="dxa"/>
            <w:bottom w:w="0" w:type="dxa"/>
            <w:right w:w="0" w:type="dxa"/>
          </w:tblCellMar>
        </w:tblPrEx>
        <w:trPr>
          <w:trHeight w:val="368"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31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9" w:lineRule="exact"/>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9" w:lineRule="exact"/>
              <w:ind w:right="158" w:firstLine="0" w:firstLineChars="0"/>
              <w:jc w:val="center"/>
              <w:rPr>
                <w:rFonts w:ascii="宋体" w:eastAsia="宋体" w:cs="宋体"/>
                <w:kern w:val="0"/>
                <w:sz w:val="22"/>
              </w:rPr>
            </w:pPr>
            <w:r>
              <w:fldChar w:fldCharType="begin"/>
            </w:r>
            <w:r>
              <w:instrText xml:space="preserve"> HYPERLINK "https://baike.so.com/doc/5597947-5810548.html" </w:instrText>
            </w:r>
            <w:r>
              <w:fldChar w:fldCharType="separate"/>
            </w:r>
            <w:r>
              <w:rPr>
                <w:rFonts w:hint="eastAsia" w:ascii="宋体" w:eastAsia="宋体" w:cs="宋体"/>
                <w:kern w:val="0"/>
                <w:sz w:val="22"/>
              </w:rPr>
              <w:t>雀麦属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9" w:lineRule="exact"/>
              <w:ind w:right="157" w:firstLine="0" w:firstLineChars="0"/>
              <w:jc w:val="center"/>
              <w:rPr>
                <w:rFonts w:ascii="宋体" w:eastAsia="宋体" w:cs="宋体"/>
                <w:kern w:val="0"/>
                <w:sz w:val="22"/>
              </w:rPr>
            </w:pPr>
            <w:r>
              <w:rPr>
                <w:rFonts w:hint="eastAsia" w:ascii="宋体" w:eastAsia="宋体" w:cs="宋体"/>
                <w:kern w:val="0"/>
                <w:sz w:val="22"/>
              </w:rPr>
              <w:t>无芒雀麦</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Bromus</w:t>
            </w:r>
            <w:r>
              <w:rPr>
                <w:rFonts w:cs="Times New Roman"/>
                <w:i/>
                <w:iCs/>
                <w:spacing w:val="-3"/>
                <w:kern w:val="0"/>
                <w:sz w:val="22"/>
              </w:rPr>
              <w:t xml:space="preserve"> </w:t>
            </w:r>
            <w:r>
              <w:rPr>
                <w:rFonts w:cs="Times New Roman"/>
                <w:i/>
                <w:iCs/>
                <w:kern w:val="0"/>
                <w:sz w:val="22"/>
              </w:rPr>
              <w:t>inermis</w:t>
            </w:r>
            <w:r>
              <w:rPr>
                <w:rFonts w:cs="Times New Roman"/>
                <w:i/>
                <w:iCs/>
                <w:spacing w:val="-2"/>
                <w:kern w:val="0"/>
                <w:sz w:val="22"/>
              </w:rPr>
              <w:t xml:space="preserve"> </w:t>
            </w:r>
            <w:r>
              <w:rPr>
                <w:rFonts w:cs="Times New Roman"/>
                <w:i/>
                <w:iCs/>
                <w:kern w:val="0"/>
                <w:sz w:val="22"/>
              </w:rPr>
              <w:t>Layss.</w:t>
            </w:r>
          </w:p>
        </w:tc>
      </w:tr>
    </w:tbl>
    <w:p>
      <w:pPr>
        <w:autoSpaceDE w:val="0"/>
        <w:autoSpaceDN w:val="0"/>
        <w:adjustRightInd w:val="0"/>
        <w:spacing w:line="240" w:lineRule="auto"/>
        <w:ind w:firstLine="0" w:firstLineChars="0"/>
        <w:jc w:val="left"/>
        <w:rPr>
          <w:rFonts w:ascii="黑体" w:eastAsia="黑体" w:cs="黑体"/>
          <w:b/>
          <w:bCs/>
          <w:kern w:val="0"/>
          <w:sz w:val="15"/>
          <w:szCs w:val="15"/>
        </w:rPr>
        <w:sectPr>
          <w:pgSz w:w="11910" w:h="16840"/>
          <w:pgMar w:top="1420" w:right="200" w:bottom="280" w:left="780" w:header="720" w:footer="720" w:gutter="0"/>
          <w:cols w:space="720" w:num="1"/>
        </w:sectPr>
      </w:pPr>
    </w:p>
    <w:tbl>
      <w:tblPr>
        <w:tblStyle w:val="25"/>
        <w:tblW w:w="8295" w:type="dxa"/>
        <w:tblInd w:w="1030" w:type="dxa"/>
        <w:tblLayout w:type="fixed"/>
        <w:tblCellMar>
          <w:top w:w="0" w:type="dxa"/>
          <w:left w:w="0" w:type="dxa"/>
          <w:bottom w:w="0" w:type="dxa"/>
          <w:right w:w="0" w:type="dxa"/>
        </w:tblCellMar>
      </w:tblPr>
      <w:tblGrid>
        <w:gridCol w:w="703"/>
        <w:gridCol w:w="1277"/>
        <w:gridCol w:w="1701"/>
        <w:gridCol w:w="1701"/>
        <w:gridCol w:w="2913"/>
      </w:tblGrid>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102" w:firstLine="0" w:firstLineChars="0"/>
              <w:jc w:val="center"/>
              <w:rPr>
                <w:rFonts w:cs="Times New Roman"/>
                <w:kern w:val="0"/>
                <w:sz w:val="22"/>
              </w:rPr>
            </w:pPr>
            <w:r>
              <w:rPr>
                <w:rFonts w:cs="Times New Roman"/>
                <w:kern w:val="0"/>
                <w:sz w:val="22"/>
              </w:rPr>
              <w:t>32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雀麦属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旱雀麦</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4" w:firstLine="0" w:firstLineChars="0"/>
              <w:jc w:val="center"/>
              <w:rPr>
                <w:rFonts w:cs="Times New Roman"/>
                <w:i/>
                <w:iCs/>
                <w:kern w:val="0"/>
                <w:sz w:val="22"/>
              </w:rPr>
            </w:pPr>
            <w:r>
              <w:rPr>
                <w:rFonts w:cs="Times New Roman"/>
                <w:i/>
                <w:iCs/>
                <w:kern w:val="0"/>
                <w:sz w:val="22"/>
              </w:rPr>
              <w:t>Bromus</w:t>
            </w:r>
            <w:r>
              <w:rPr>
                <w:rFonts w:cs="Times New Roman"/>
                <w:i/>
                <w:iCs/>
                <w:spacing w:val="-3"/>
                <w:kern w:val="0"/>
                <w:sz w:val="22"/>
              </w:rPr>
              <w:t xml:space="preserve"> </w:t>
            </w:r>
            <w:r>
              <w:rPr>
                <w:rFonts w:cs="Times New Roman"/>
                <w:i/>
                <w:iCs/>
                <w:kern w:val="0"/>
                <w:sz w:val="22"/>
              </w:rPr>
              <w:t>tectorum</w:t>
            </w:r>
            <w:r>
              <w:rPr>
                <w:rFonts w:cs="Times New Roman"/>
                <w:i/>
                <w:iCs/>
                <w:spacing w:val="-3"/>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33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偃麦草属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偃麦草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Elytrigia</w:t>
            </w:r>
            <w:r>
              <w:rPr>
                <w:rFonts w:cs="Times New Roman"/>
                <w:i/>
                <w:iCs/>
                <w:spacing w:val="-3"/>
                <w:kern w:val="0"/>
                <w:sz w:val="22"/>
              </w:rPr>
              <w:t xml:space="preserve"> </w:t>
            </w:r>
            <w:r>
              <w:rPr>
                <w:rFonts w:cs="Times New Roman"/>
                <w:i/>
                <w:iCs/>
                <w:kern w:val="0"/>
                <w:sz w:val="22"/>
              </w:rPr>
              <w:t>repens</w:t>
            </w:r>
            <w:r>
              <w:rPr>
                <w:rFonts w:cs="Times New Roman"/>
                <w:i/>
                <w:iCs/>
                <w:spacing w:val="-4"/>
                <w:kern w:val="0"/>
                <w:sz w:val="22"/>
              </w:rPr>
              <w:t xml:space="preserve"> </w:t>
            </w:r>
            <w:r>
              <w:rPr>
                <w:rFonts w:cs="Times New Roman"/>
                <w:i/>
                <w:iCs/>
                <w:kern w:val="0"/>
                <w:sz w:val="22"/>
              </w:rPr>
              <w:t>(Linn.)</w:t>
            </w:r>
          </w:p>
          <w:p>
            <w:pPr>
              <w:kinsoku w:val="0"/>
              <w:overflowPunct w:val="0"/>
              <w:autoSpaceDE w:val="0"/>
              <w:autoSpaceDN w:val="0"/>
              <w:adjustRightInd w:val="0"/>
              <w:spacing w:before="59" w:line="240" w:lineRule="auto"/>
              <w:ind w:right="72" w:firstLine="0" w:firstLineChars="0"/>
              <w:jc w:val="center"/>
              <w:rPr>
                <w:rFonts w:cs="Times New Roman"/>
                <w:i/>
                <w:iCs/>
                <w:kern w:val="0"/>
                <w:sz w:val="22"/>
              </w:rPr>
            </w:pPr>
            <w:r>
              <w:rPr>
                <w:rFonts w:cs="Times New Roman"/>
                <w:i/>
                <w:iCs/>
                <w:kern w:val="0"/>
                <w:sz w:val="22"/>
              </w:rPr>
              <w:t>Nevski</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34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獐毛属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小獐毛</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Aeluropus</w:t>
            </w:r>
            <w:r>
              <w:rPr>
                <w:rFonts w:cs="Times New Roman"/>
                <w:i/>
                <w:iCs/>
                <w:spacing w:val="-3"/>
                <w:kern w:val="0"/>
                <w:sz w:val="22"/>
              </w:rPr>
              <w:t xml:space="preserve"> </w:t>
            </w:r>
            <w:r>
              <w:rPr>
                <w:rFonts w:cs="Times New Roman"/>
                <w:i/>
                <w:iCs/>
                <w:kern w:val="0"/>
                <w:sz w:val="22"/>
              </w:rPr>
              <w:t>pungens</w:t>
            </w:r>
            <w:r>
              <w:rPr>
                <w:rFonts w:cs="Times New Roman"/>
                <w:i/>
                <w:iCs/>
                <w:spacing w:val="-4"/>
                <w:kern w:val="0"/>
                <w:sz w:val="22"/>
              </w:rPr>
              <w:t xml:space="preserve"> </w:t>
            </w:r>
            <w:r>
              <w:rPr>
                <w:rFonts w:cs="Times New Roman"/>
                <w:i/>
                <w:iCs/>
                <w:kern w:val="0"/>
                <w:sz w:val="22"/>
              </w:rPr>
              <w:t>(M.</w:t>
            </w:r>
            <w:r>
              <w:rPr>
                <w:rFonts w:cs="Times New Roman"/>
                <w:i/>
                <w:iCs/>
                <w:spacing w:val="-2"/>
                <w:kern w:val="0"/>
                <w:sz w:val="22"/>
              </w:rPr>
              <w:t xml:space="preserve"> </w:t>
            </w:r>
            <w:r>
              <w:rPr>
                <w:rFonts w:cs="Times New Roman"/>
                <w:i/>
                <w:iCs/>
                <w:kern w:val="0"/>
                <w:sz w:val="22"/>
              </w:rPr>
              <w:t>Bieb.)</w:t>
            </w:r>
          </w:p>
          <w:p>
            <w:pPr>
              <w:kinsoku w:val="0"/>
              <w:overflowPunct w:val="0"/>
              <w:autoSpaceDE w:val="0"/>
              <w:autoSpaceDN w:val="0"/>
              <w:adjustRightInd w:val="0"/>
              <w:spacing w:before="59" w:line="240" w:lineRule="auto"/>
              <w:ind w:firstLine="0" w:firstLineChars="0"/>
              <w:jc w:val="left"/>
              <w:rPr>
                <w:rFonts w:cs="Times New Roman"/>
                <w:i/>
                <w:iCs/>
                <w:kern w:val="0"/>
                <w:sz w:val="22"/>
              </w:rPr>
            </w:pPr>
            <w:r>
              <w:rPr>
                <w:rFonts w:cs="Times New Roman"/>
                <w:i/>
                <w:iCs/>
                <w:kern w:val="0"/>
                <w:sz w:val="22"/>
              </w:rPr>
              <w:t>C. Koch</w:t>
            </w:r>
          </w:p>
        </w:tc>
      </w:tr>
      <w:tr>
        <w:tblPrEx>
          <w:tblCellMar>
            <w:top w:w="0" w:type="dxa"/>
            <w:left w:w="0" w:type="dxa"/>
            <w:bottom w:w="0" w:type="dxa"/>
            <w:right w:w="0" w:type="dxa"/>
          </w:tblCellMar>
        </w:tblPrEx>
        <w:trPr>
          <w:trHeight w:val="626"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35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8" w:firstLine="0" w:firstLineChars="0"/>
              <w:jc w:val="center"/>
              <w:rPr>
                <w:rFonts w:ascii="宋体" w:eastAsia="宋体" w:cs="宋体"/>
                <w:kern w:val="0"/>
                <w:sz w:val="22"/>
              </w:rPr>
            </w:pPr>
            <w:r>
              <w:rPr>
                <w:rFonts w:hint="eastAsia" w:ascii="宋体" w:eastAsia="宋体" w:cs="宋体"/>
                <w:kern w:val="0"/>
                <w:sz w:val="22"/>
              </w:rPr>
              <w:t>稗属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firstLine="0" w:firstLineChars="0"/>
              <w:jc w:val="center"/>
              <w:rPr>
                <w:rFonts w:ascii="宋体" w:eastAsia="宋体" w:cs="宋体"/>
                <w:kern w:val="0"/>
                <w:sz w:val="22"/>
              </w:rPr>
            </w:pPr>
            <w:r>
              <w:rPr>
                <w:rFonts w:hint="eastAsia" w:ascii="宋体" w:eastAsia="宋体" w:cs="宋体"/>
                <w:kern w:val="0"/>
                <w:sz w:val="22"/>
              </w:rPr>
              <w:t>稗</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Echinochloa</w:t>
            </w:r>
            <w:r>
              <w:rPr>
                <w:rFonts w:cs="Times New Roman"/>
                <w:i/>
                <w:iCs/>
                <w:spacing w:val="-2"/>
                <w:kern w:val="0"/>
                <w:sz w:val="22"/>
              </w:rPr>
              <w:t xml:space="preserve"> </w:t>
            </w:r>
            <w:r>
              <w:rPr>
                <w:rFonts w:cs="Times New Roman"/>
                <w:i/>
                <w:iCs/>
                <w:kern w:val="0"/>
                <w:sz w:val="22"/>
              </w:rPr>
              <w:t>crusgali</w:t>
            </w:r>
            <w:r>
              <w:rPr>
                <w:rFonts w:cs="Times New Roman"/>
                <w:i/>
                <w:iCs/>
                <w:spacing w:val="-3"/>
                <w:kern w:val="0"/>
                <w:sz w:val="22"/>
              </w:rPr>
              <w:t xml:space="preserve"> </w:t>
            </w:r>
            <w:r>
              <w:rPr>
                <w:rFonts w:cs="Times New Roman"/>
                <w:i/>
                <w:iCs/>
                <w:kern w:val="0"/>
                <w:sz w:val="22"/>
              </w:rPr>
              <w:t>(Linn.)</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Beauv.</w:t>
            </w:r>
          </w:p>
        </w:tc>
      </w:tr>
      <w:tr>
        <w:tblPrEx>
          <w:tblCellMar>
            <w:top w:w="0" w:type="dxa"/>
            <w:left w:w="0" w:type="dxa"/>
            <w:bottom w:w="0" w:type="dxa"/>
            <w:right w:w="0" w:type="dxa"/>
          </w:tblCellMar>
        </w:tblPrEx>
        <w:trPr>
          <w:trHeight w:val="93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8" w:line="240" w:lineRule="auto"/>
              <w:ind w:firstLine="0" w:firstLineChars="0"/>
              <w:jc w:val="left"/>
              <w:rPr>
                <w:rFonts w:ascii="黑体" w:eastAsia="黑体" w:cs="黑体"/>
                <w:b/>
                <w:bCs/>
                <w:kern w:val="0"/>
                <w:sz w:val="26"/>
                <w:szCs w:val="26"/>
              </w:rPr>
            </w:pPr>
          </w:p>
          <w:p>
            <w:pPr>
              <w:kinsoku w:val="0"/>
              <w:overflowPunct w:val="0"/>
              <w:autoSpaceDE w:val="0"/>
              <w:autoSpaceDN w:val="0"/>
              <w:adjustRightInd w:val="0"/>
              <w:spacing w:line="240" w:lineRule="auto"/>
              <w:ind w:right="102" w:firstLine="0" w:firstLineChars="0"/>
              <w:jc w:val="center"/>
              <w:rPr>
                <w:rFonts w:cs="Times New Roman"/>
                <w:kern w:val="0"/>
                <w:sz w:val="22"/>
              </w:rPr>
            </w:pPr>
            <w:r>
              <w:rPr>
                <w:rFonts w:cs="Times New Roman"/>
                <w:kern w:val="0"/>
                <w:sz w:val="22"/>
              </w:rPr>
              <w:t>36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58" w:firstLine="0" w:firstLineChars="0"/>
              <w:jc w:val="center"/>
              <w:rPr>
                <w:rFonts w:ascii="宋体" w:eastAsia="宋体" w:cs="宋体"/>
                <w:kern w:val="0"/>
                <w:sz w:val="22"/>
              </w:rPr>
            </w:pPr>
            <w:r>
              <w:rPr>
                <w:rFonts w:hint="eastAsia" w:ascii="宋体" w:eastAsia="宋体" w:cs="宋体"/>
                <w:kern w:val="0"/>
                <w:sz w:val="22"/>
              </w:rPr>
              <w:t>稗属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57" w:firstLine="0" w:firstLineChars="0"/>
              <w:jc w:val="center"/>
              <w:rPr>
                <w:rFonts w:ascii="宋体" w:eastAsia="宋体" w:cs="宋体"/>
                <w:kern w:val="0"/>
                <w:sz w:val="22"/>
              </w:rPr>
            </w:pPr>
            <w:r>
              <w:rPr>
                <w:rFonts w:hint="eastAsia" w:ascii="宋体" w:eastAsia="宋体" w:cs="宋体"/>
                <w:kern w:val="0"/>
                <w:sz w:val="22"/>
              </w:rPr>
              <w:t>无芒稗</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95" w:lineRule="auto"/>
              <w:ind w:right="72" w:firstLine="0" w:firstLineChars="0"/>
              <w:jc w:val="center"/>
              <w:rPr>
                <w:rFonts w:cs="Times New Roman"/>
                <w:i/>
                <w:iCs/>
                <w:kern w:val="0"/>
                <w:sz w:val="22"/>
              </w:rPr>
            </w:pPr>
            <w:r>
              <w:rPr>
                <w:rFonts w:cs="Times New Roman"/>
                <w:i/>
                <w:iCs/>
                <w:kern w:val="0"/>
                <w:sz w:val="22"/>
              </w:rPr>
              <w:t>Echinochloa</w:t>
            </w:r>
            <w:r>
              <w:rPr>
                <w:rFonts w:cs="Times New Roman"/>
                <w:i/>
                <w:iCs/>
                <w:spacing w:val="-3"/>
                <w:kern w:val="0"/>
                <w:sz w:val="22"/>
              </w:rPr>
              <w:t xml:space="preserve"> </w:t>
            </w:r>
            <w:r>
              <w:rPr>
                <w:rFonts w:cs="Times New Roman"/>
                <w:i/>
                <w:iCs/>
                <w:kern w:val="0"/>
                <w:sz w:val="22"/>
              </w:rPr>
              <w:t>crusgali</w:t>
            </w:r>
            <w:r>
              <w:rPr>
                <w:rFonts w:cs="Times New Roman"/>
                <w:i/>
                <w:iCs/>
                <w:spacing w:val="-5"/>
                <w:kern w:val="0"/>
                <w:sz w:val="22"/>
              </w:rPr>
              <w:t xml:space="preserve"> </w:t>
            </w:r>
            <w:r>
              <w:rPr>
                <w:rFonts w:cs="Times New Roman"/>
                <w:i/>
                <w:iCs/>
                <w:kern w:val="0"/>
                <w:sz w:val="22"/>
              </w:rPr>
              <w:t>(Linn.)</w:t>
            </w:r>
            <w:r>
              <w:rPr>
                <w:rFonts w:cs="Times New Roman"/>
                <w:i/>
                <w:iCs/>
                <w:spacing w:val="-52"/>
                <w:kern w:val="0"/>
                <w:sz w:val="22"/>
              </w:rPr>
              <w:t xml:space="preserve"> </w:t>
            </w:r>
            <w:r>
              <w:rPr>
                <w:rFonts w:cs="Times New Roman"/>
                <w:i/>
                <w:iCs/>
                <w:kern w:val="0"/>
                <w:sz w:val="22"/>
              </w:rPr>
              <w:t>Beauv.</w:t>
            </w:r>
            <w:r>
              <w:rPr>
                <w:rFonts w:cs="Times New Roman"/>
                <w:i/>
                <w:iCs/>
                <w:spacing w:val="-5"/>
                <w:kern w:val="0"/>
                <w:sz w:val="22"/>
              </w:rPr>
              <w:t xml:space="preserve"> </w:t>
            </w:r>
            <w:r>
              <w:rPr>
                <w:rFonts w:cs="Times New Roman"/>
                <w:i/>
                <w:iCs/>
                <w:kern w:val="0"/>
                <w:sz w:val="22"/>
              </w:rPr>
              <w:t>var.</w:t>
            </w:r>
            <w:r>
              <w:rPr>
                <w:rFonts w:cs="Times New Roman"/>
                <w:i/>
                <w:iCs/>
                <w:spacing w:val="-5"/>
                <w:kern w:val="0"/>
                <w:sz w:val="22"/>
              </w:rPr>
              <w:t xml:space="preserve"> </w:t>
            </w:r>
            <w:r>
              <w:rPr>
                <w:rFonts w:cs="Times New Roman"/>
                <w:i/>
                <w:iCs/>
                <w:kern w:val="0"/>
                <w:sz w:val="22"/>
              </w:rPr>
              <w:t>mitis</w:t>
            </w:r>
            <w:r>
              <w:rPr>
                <w:rFonts w:cs="Times New Roman"/>
                <w:i/>
                <w:iCs/>
                <w:spacing w:val="-5"/>
                <w:kern w:val="0"/>
                <w:sz w:val="22"/>
              </w:rPr>
              <w:t xml:space="preserve"> </w:t>
            </w:r>
            <w:r>
              <w:rPr>
                <w:rFonts w:cs="Times New Roman"/>
                <w:i/>
                <w:iCs/>
                <w:kern w:val="0"/>
                <w:sz w:val="22"/>
              </w:rPr>
              <w:t>(Pursh)</w:t>
            </w:r>
          </w:p>
          <w:p>
            <w:pPr>
              <w:kinsoku w:val="0"/>
              <w:overflowPunct w:val="0"/>
              <w:autoSpaceDE w:val="0"/>
              <w:autoSpaceDN w:val="0"/>
              <w:adjustRightInd w:val="0"/>
              <w:spacing w:before="2" w:line="240" w:lineRule="auto"/>
              <w:ind w:right="71" w:firstLine="0" w:firstLineChars="0"/>
              <w:jc w:val="center"/>
              <w:rPr>
                <w:rFonts w:cs="Times New Roman"/>
                <w:i/>
                <w:iCs/>
                <w:kern w:val="0"/>
                <w:sz w:val="22"/>
              </w:rPr>
            </w:pPr>
            <w:r>
              <w:rPr>
                <w:rFonts w:cs="Times New Roman"/>
                <w:i/>
                <w:iCs/>
                <w:kern w:val="0"/>
                <w:sz w:val="22"/>
              </w:rPr>
              <w:t>Peterm.Fl.</w:t>
            </w:r>
          </w:p>
        </w:tc>
      </w:tr>
      <w:tr>
        <w:tblPrEx>
          <w:tblCellMar>
            <w:top w:w="0" w:type="dxa"/>
            <w:left w:w="0" w:type="dxa"/>
            <w:bottom w:w="0" w:type="dxa"/>
            <w:right w:w="0" w:type="dxa"/>
          </w:tblCellMar>
        </w:tblPrEx>
        <w:trPr>
          <w:trHeight w:val="62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37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荩草属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荩草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Arthraxon</w:t>
            </w:r>
            <w:r>
              <w:rPr>
                <w:rFonts w:cs="Times New Roman"/>
                <w:i/>
                <w:iCs/>
                <w:spacing w:val="-4"/>
                <w:kern w:val="0"/>
                <w:sz w:val="22"/>
              </w:rPr>
              <w:t xml:space="preserve"> </w:t>
            </w:r>
            <w:r>
              <w:rPr>
                <w:rFonts w:cs="Times New Roman"/>
                <w:i/>
                <w:iCs/>
                <w:kern w:val="0"/>
                <w:sz w:val="22"/>
              </w:rPr>
              <w:t>hispidus</w:t>
            </w:r>
            <w:r>
              <w:rPr>
                <w:rFonts w:cs="Times New Roman"/>
                <w:i/>
                <w:iCs/>
                <w:spacing w:val="-3"/>
                <w:kern w:val="0"/>
                <w:sz w:val="22"/>
              </w:rPr>
              <w:t xml:space="preserve"> </w:t>
            </w:r>
            <w:r>
              <w:rPr>
                <w:rFonts w:cs="Times New Roman"/>
                <w:i/>
                <w:iCs/>
                <w:kern w:val="0"/>
                <w:sz w:val="22"/>
              </w:rPr>
              <w:t>(Trin.)</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Makino</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38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早熟禾属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早熟禾</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Poa annua Linn.</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39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狗牙根属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狗牙根</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Cynodon dactylon</w:t>
            </w:r>
            <w:r>
              <w:rPr>
                <w:rFonts w:cs="Times New Roman"/>
                <w:i/>
                <w:iCs/>
                <w:spacing w:val="-3"/>
                <w:kern w:val="0"/>
                <w:sz w:val="22"/>
              </w:rPr>
              <w:t xml:space="preserve"> </w:t>
            </w:r>
            <w:r>
              <w:rPr>
                <w:rFonts w:cs="Times New Roman"/>
                <w:i/>
                <w:iCs/>
                <w:kern w:val="0"/>
                <w:sz w:val="22"/>
              </w:rPr>
              <w:t>(Linn.)</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Pers.</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40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冰草属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沙芦草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Agropyron</w:t>
            </w:r>
            <w:r>
              <w:rPr>
                <w:rFonts w:cs="Times New Roman"/>
                <w:i/>
                <w:iCs/>
                <w:spacing w:val="-4"/>
                <w:kern w:val="0"/>
                <w:sz w:val="22"/>
              </w:rPr>
              <w:t xml:space="preserve"> </w:t>
            </w:r>
            <w:r>
              <w:rPr>
                <w:rFonts w:cs="Times New Roman"/>
                <w:i/>
                <w:iCs/>
                <w:kern w:val="0"/>
                <w:sz w:val="22"/>
              </w:rPr>
              <w:t>mongolicum</w:t>
            </w:r>
            <w:r>
              <w:rPr>
                <w:rFonts w:cs="Times New Roman"/>
                <w:i/>
                <w:iCs/>
                <w:spacing w:val="-4"/>
                <w:kern w:val="0"/>
                <w:sz w:val="22"/>
              </w:rPr>
              <w:t xml:space="preserve"> </w:t>
            </w:r>
            <w:r>
              <w:rPr>
                <w:rFonts w:cs="Times New Roman"/>
                <w:i/>
                <w:iCs/>
                <w:kern w:val="0"/>
                <w:sz w:val="22"/>
              </w:rPr>
              <w:t>Keng</w:t>
            </w:r>
          </w:p>
        </w:tc>
      </w:tr>
      <w:tr>
        <w:tblPrEx>
          <w:tblCellMar>
            <w:top w:w="0" w:type="dxa"/>
            <w:left w:w="0" w:type="dxa"/>
            <w:bottom w:w="0" w:type="dxa"/>
            <w:right w:w="0" w:type="dxa"/>
          </w:tblCellMar>
        </w:tblPrEx>
        <w:trPr>
          <w:trHeight w:val="62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41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8" w:firstLine="0" w:firstLineChars="0"/>
              <w:jc w:val="center"/>
              <w:rPr>
                <w:rFonts w:ascii="宋体" w:eastAsia="宋体" w:cs="宋体"/>
                <w:kern w:val="0"/>
                <w:sz w:val="22"/>
              </w:rPr>
            </w:pPr>
            <w:r>
              <w:rPr>
                <w:rFonts w:hint="eastAsia" w:ascii="宋体" w:eastAsia="宋体" w:cs="宋体"/>
                <w:kern w:val="0"/>
                <w:sz w:val="22"/>
              </w:rPr>
              <w:t>新麦草属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7" w:firstLine="0" w:firstLineChars="0"/>
              <w:jc w:val="center"/>
              <w:rPr>
                <w:rFonts w:ascii="宋体" w:eastAsia="宋体" w:cs="宋体"/>
                <w:kern w:val="0"/>
                <w:sz w:val="22"/>
              </w:rPr>
            </w:pPr>
            <w:r>
              <w:rPr>
                <w:rFonts w:hint="eastAsia" w:ascii="宋体" w:eastAsia="宋体" w:cs="宋体"/>
                <w:kern w:val="0"/>
                <w:sz w:val="22"/>
              </w:rPr>
              <w:t>新麦草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Psathyrostachys</w:t>
            </w:r>
            <w:r>
              <w:rPr>
                <w:rFonts w:cs="Times New Roman"/>
                <w:i/>
                <w:iCs/>
                <w:spacing w:val="-3"/>
                <w:kern w:val="0"/>
                <w:sz w:val="22"/>
              </w:rPr>
              <w:t xml:space="preserve"> </w:t>
            </w:r>
            <w:r>
              <w:rPr>
                <w:rFonts w:cs="Times New Roman"/>
                <w:i/>
                <w:iCs/>
                <w:kern w:val="0"/>
                <w:sz w:val="22"/>
              </w:rPr>
              <w:t>juncea</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(Fisch.) Nevski</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42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禾本科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芨芨草属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醉马草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Achnatherum</w:t>
            </w:r>
            <w:r>
              <w:rPr>
                <w:rFonts w:cs="Times New Roman"/>
                <w:i/>
                <w:iCs/>
                <w:spacing w:val="-5"/>
                <w:kern w:val="0"/>
                <w:sz w:val="22"/>
              </w:rPr>
              <w:t xml:space="preserve"> </w:t>
            </w:r>
            <w:r>
              <w:rPr>
                <w:rFonts w:cs="Times New Roman"/>
                <w:i/>
                <w:iCs/>
                <w:kern w:val="0"/>
                <w:sz w:val="22"/>
              </w:rPr>
              <w:t>inebrians</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(Hance)</w:t>
            </w:r>
            <w:r>
              <w:rPr>
                <w:rFonts w:cs="Times New Roman"/>
                <w:i/>
                <w:iCs/>
                <w:spacing w:val="-1"/>
                <w:kern w:val="0"/>
                <w:sz w:val="22"/>
              </w:rPr>
              <w:t xml:space="preserve"> </w:t>
            </w:r>
            <w:r>
              <w:rPr>
                <w:rFonts w:cs="Times New Roman"/>
                <w:i/>
                <w:iCs/>
                <w:kern w:val="0"/>
                <w:sz w:val="22"/>
              </w:rPr>
              <w:t>Keng</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43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粉苞菊属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基节粉苞菊</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Chondrilla</w:t>
            </w:r>
            <w:r>
              <w:rPr>
                <w:rFonts w:cs="Times New Roman"/>
                <w:i/>
                <w:iCs/>
                <w:spacing w:val="-6"/>
                <w:kern w:val="0"/>
                <w:sz w:val="22"/>
              </w:rPr>
              <w:t xml:space="preserve"> </w:t>
            </w:r>
            <w:r>
              <w:rPr>
                <w:rFonts w:cs="Times New Roman"/>
                <w:i/>
                <w:iCs/>
                <w:kern w:val="0"/>
                <w:sz w:val="22"/>
              </w:rPr>
              <w:t>rouillieri</w:t>
            </w:r>
            <w:r>
              <w:rPr>
                <w:rFonts w:cs="Times New Roman"/>
                <w:i/>
                <w:iCs/>
                <w:spacing w:val="-5"/>
                <w:kern w:val="0"/>
                <w:sz w:val="22"/>
              </w:rPr>
              <w:t xml:space="preserve"> </w:t>
            </w:r>
            <w:r>
              <w:rPr>
                <w:rFonts w:cs="Times New Roman"/>
                <w:i/>
                <w:iCs/>
                <w:kern w:val="0"/>
                <w:sz w:val="22"/>
              </w:rPr>
              <w:t>Kar.</w:t>
            </w:r>
            <w:r>
              <w:rPr>
                <w:rFonts w:cs="Times New Roman"/>
                <w:i/>
                <w:iCs/>
                <w:spacing w:val="-6"/>
                <w:kern w:val="0"/>
                <w:sz w:val="22"/>
              </w:rPr>
              <w:t xml:space="preserve"> </w:t>
            </w:r>
            <w:r>
              <w:rPr>
                <w:rFonts w:cs="Times New Roman"/>
                <w:i/>
                <w:iCs/>
                <w:kern w:val="0"/>
                <w:sz w:val="22"/>
              </w:rPr>
              <w:t>et</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Kir.</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44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旋覆花属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旋覆花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Inula</w:t>
            </w:r>
            <w:r>
              <w:rPr>
                <w:rFonts w:cs="Times New Roman"/>
                <w:i/>
                <w:iCs/>
                <w:spacing w:val="-4"/>
                <w:kern w:val="0"/>
                <w:sz w:val="22"/>
              </w:rPr>
              <w:t xml:space="preserve"> </w:t>
            </w:r>
            <w:r>
              <w:rPr>
                <w:rFonts w:cs="Times New Roman"/>
                <w:i/>
                <w:iCs/>
                <w:kern w:val="0"/>
                <w:sz w:val="22"/>
              </w:rPr>
              <w:t>japonicaThunb.</w:t>
            </w:r>
          </w:p>
        </w:tc>
      </w:tr>
      <w:tr>
        <w:tblPrEx>
          <w:tblCellMar>
            <w:top w:w="0" w:type="dxa"/>
            <w:left w:w="0" w:type="dxa"/>
            <w:bottom w:w="0" w:type="dxa"/>
            <w:right w:w="0" w:type="dxa"/>
          </w:tblCellMar>
        </w:tblPrEx>
        <w:trPr>
          <w:trHeight w:val="62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6" w:line="240" w:lineRule="auto"/>
              <w:ind w:right="102" w:firstLine="0" w:firstLineChars="0"/>
              <w:jc w:val="center"/>
              <w:rPr>
                <w:rFonts w:cs="Times New Roman"/>
                <w:kern w:val="0"/>
                <w:sz w:val="22"/>
              </w:rPr>
            </w:pPr>
            <w:r>
              <w:rPr>
                <w:rFonts w:cs="Times New Roman"/>
                <w:kern w:val="0"/>
                <w:sz w:val="22"/>
              </w:rPr>
              <w:t>45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苍耳属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苍耳</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4" w:firstLine="0" w:firstLineChars="0"/>
              <w:jc w:val="center"/>
              <w:rPr>
                <w:rFonts w:cs="Times New Roman"/>
                <w:i/>
                <w:iCs/>
                <w:kern w:val="0"/>
                <w:sz w:val="22"/>
              </w:rPr>
            </w:pPr>
            <w:r>
              <w:rPr>
                <w:rFonts w:cs="Times New Roman"/>
                <w:i/>
                <w:iCs/>
                <w:kern w:val="0"/>
                <w:sz w:val="22"/>
              </w:rPr>
              <w:t>Xanthium</w:t>
            </w:r>
            <w:r>
              <w:rPr>
                <w:rFonts w:cs="Times New Roman"/>
                <w:i/>
                <w:iCs/>
                <w:spacing w:val="-2"/>
                <w:kern w:val="0"/>
                <w:sz w:val="22"/>
              </w:rPr>
              <w:t xml:space="preserve"> </w:t>
            </w:r>
            <w:r>
              <w:rPr>
                <w:rFonts w:cs="Times New Roman"/>
                <w:i/>
                <w:iCs/>
                <w:kern w:val="0"/>
                <w:sz w:val="22"/>
              </w:rPr>
              <w:t>sibiricum</w:t>
            </w:r>
            <w:r>
              <w:rPr>
                <w:rFonts w:cs="Times New Roman"/>
                <w:i/>
                <w:iCs/>
                <w:spacing w:val="-1"/>
                <w:kern w:val="0"/>
                <w:sz w:val="22"/>
              </w:rPr>
              <w:t xml:space="preserve"> </w:t>
            </w:r>
            <w:r>
              <w:rPr>
                <w:rFonts w:cs="Times New Roman"/>
                <w:i/>
                <w:iCs/>
                <w:kern w:val="0"/>
                <w:sz w:val="22"/>
              </w:rPr>
              <w:t>Patrin</w:t>
            </w:r>
            <w:r>
              <w:rPr>
                <w:rFonts w:cs="Times New Roman"/>
                <w:i/>
                <w:iCs/>
                <w:spacing w:val="-4"/>
                <w:kern w:val="0"/>
                <w:sz w:val="22"/>
              </w:rPr>
              <w:t xml:space="preserve"> </w:t>
            </w:r>
            <w:r>
              <w:rPr>
                <w:rFonts w:cs="Times New Roman"/>
                <w:i/>
                <w:iCs/>
                <w:kern w:val="0"/>
                <w:sz w:val="22"/>
              </w:rPr>
              <w:t>ex</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Widder</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46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蓟属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firstLine="0" w:firstLineChars="0"/>
              <w:jc w:val="center"/>
              <w:rPr>
                <w:rFonts w:ascii="宋体" w:eastAsia="宋体" w:cs="宋体"/>
                <w:kern w:val="0"/>
                <w:sz w:val="22"/>
              </w:rPr>
            </w:pPr>
            <w:r>
              <w:rPr>
                <w:rFonts w:hint="eastAsia" w:ascii="宋体" w:eastAsia="宋体" w:cs="宋体"/>
                <w:kern w:val="0"/>
                <w:sz w:val="22"/>
              </w:rPr>
              <w:t>蓟</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Cirsium</w:t>
            </w:r>
            <w:r>
              <w:rPr>
                <w:rFonts w:cs="Times New Roman"/>
                <w:i/>
                <w:iCs/>
                <w:spacing w:val="-2"/>
                <w:kern w:val="0"/>
                <w:sz w:val="22"/>
              </w:rPr>
              <w:t xml:space="preserve"> </w:t>
            </w:r>
            <w:r>
              <w:rPr>
                <w:rFonts w:cs="Times New Roman"/>
                <w:i/>
                <w:iCs/>
                <w:kern w:val="0"/>
                <w:sz w:val="22"/>
              </w:rPr>
              <w:t>japonicumDC.</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47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苦苣菜属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苦苣菜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Sonchus</w:t>
            </w:r>
            <w:r>
              <w:rPr>
                <w:rFonts w:cs="Times New Roman"/>
                <w:i/>
                <w:iCs/>
                <w:spacing w:val="-2"/>
                <w:kern w:val="0"/>
                <w:sz w:val="22"/>
              </w:rPr>
              <w:t xml:space="preserve"> </w:t>
            </w:r>
            <w:r>
              <w:rPr>
                <w:rFonts w:cs="Times New Roman"/>
                <w:i/>
                <w:iCs/>
                <w:kern w:val="0"/>
                <w:sz w:val="22"/>
              </w:rPr>
              <w:t>oleraceus 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48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顶羽菊属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顶羽菊</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Acroptilon</w:t>
            </w:r>
            <w:r>
              <w:rPr>
                <w:rFonts w:cs="Times New Roman"/>
                <w:i/>
                <w:iCs/>
                <w:spacing w:val="-4"/>
                <w:kern w:val="0"/>
                <w:sz w:val="22"/>
              </w:rPr>
              <w:t xml:space="preserve"> </w:t>
            </w:r>
            <w:r>
              <w:rPr>
                <w:rFonts w:cs="Times New Roman"/>
                <w:i/>
                <w:iCs/>
                <w:kern w:val="0"/>
                <w:sz w:val="22"/>
              </w:rPr>
              <w:t>repens</w:t>
            </w:r>
            <w:r>
              <w:rPr>
                <w:rFonts w:cs="Times New Roman"/>
                <w:i/>
                <w:iCs/>
                <w:spacing w:val="-5"/>
                <w:kern w:val="0"/>
                <w:sz w:val="22"/>
              </w:rPr>
              <w:t xml:space="preserve"> </w:t>
            </w:r>
            <w:r>
              <w:rPr>
                <w:rFonts w:cs="Times New Roman"/>
                <w:i/>
                <w:iCs/>
                <w:kern w:val="0"/>
                <w:sz w:val="22"/>
              </w:rPr>
              <w:t>(Linn.)</w:t>
            </w:r>
            <w:r>
              <w:rPr>
                <w:rFonts w:cs="Times New Roman"/>
                <w:i/>
                <w:iCs/>
                <w:spacing w:val="-3"/>
                <w:kern w:val="0"/>
                <w:sz w:val="22"/>
              </w:rPr>
              <w:t xml:space="preserve"> </w:t>
            </w:r>
            <w:r>
              <w:rPr>
                <w:rFonts w:cs="Times New Roman"/>
                <w:i/>
                <w:iCs/>
                <w:kern w:val="0"/>
                <w:sz w:val="22"/>
              </w:rPr>
              <w:t>DC.</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49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鸦葱属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光鸦葱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Scorzonera</w:t>
            </w:r>
            <w:r>
              <w:rPr>
                <w:rFonts w:cs="Times New Roman"/>
                <w:i/>
                <w:iCs/>
                <w:spacing w:val="-5"/>
                <w:kern w:val="0"/>
                <w:sz w:val="22"/>
              </w:rPr>
              <w:t xml:space="preserve"> </w:t>
            </w:r>
            <w:r>
              <w:rPr>
                <w:rFonts w:cs="Times New Roman"/>
                <w:i/>
                <w:iCs/>
                <w:kern w:val="0"/>
                <w:sz w:val="22"/>
              </w:rPr>
              <w:t>parvifloraJacquin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50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花花柴属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花花柴</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Karelinia</w:t>
            </w:r>
            <w:r>
              <w:rPr>
                <w:rFonts w:cs="Times New Roman"/>
                <w:i/>
                <w:iCs/>
                <w:spacing w:val="-4"/>
                <w:kern w:val="0"/>
                <w:sz w:val="22"/>
              </w:rPr>
              <w:t xml:space="preserve"> </w:t>
            </w:r>
            <w:r>
              <w:rPr>
                <w:rFonts w:cs="Times New Roman"/>
                <w:i/>
                <w:iCs/>
                <w:kern w:val="0"/>
                <w:sz w:val="22"/>
              </w:rPr>
              <w:t>caspia</w:t>
            </w:r>
            <w:r>
              <w:rPr>
                <w:rFonts w:cs="Times New Roman"/>
                <w:i/>
                <w:iCs/>
                <w:spacing w:val="-3"/>
                <w:kern w:val="0"/>
                <w:sz w:val="22"/>
              </w:rPr>
              <w:t xml:space="preserve"> </w:t>
            </w:r>
            <w:r>
              <w:rPr>
                <w:rFonts w:cs="Times New Roman"/>
                <w:i/>
                <w:iCs/>
                <w:kern w:val="0"/>
                <w:sz w:val="22"/>
              </w:rPr>
              <w:t>(Pall.)</w:t>
            </w:r>
            <w:r>
              <w:rPr>
                <w:rFonts w:cs="Times New Roman"/>
                <w:i/>
                <w:iCs/>
                <w:spacing w:val="-3"/>
                <w:kern w:val="0"/>
                <w:sz w:val="22"/>
              </w:rPr>
              <w:t xml:space="preserve"> </w:t>
            </w:r>
            <w:r>
              <w:rPr>
                <w:rFonts w:cs="Times New Roman"/>
                <w:i/>
                <w:iCs/>
                <w:kern w:val="0"/>
                <w:sz w:val="22"/>
              </w:rPr>
              <w:t>Less.</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51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蒿属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艾蒿</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Artemisia</w:t>
            </w:r>
            <w:r>
              <w:rPr>
                <w:rFonts w:cs="Times New Roman"/>
                <w:i/>
                <w:iCs/>
                <w:spacing w:val="-2"/>
                <w:kern w:val="0"/>
                <w:sz w:val="22"/>
              </w:rPr>
              <w:t xml:space="preserve"> </w:t>
            </w:r>
            <w:r>
              <w:rPr>
                <w:rFonts w:cs="Times New Roman"/>
                <w:i/>
                <w:iCs/>
                <w:kern w:val="0"/>
                <w:sz w:val="22"/>
              </w:rPr>
              <w:t>argyi</w:t>
            </w:r>
            <w:r>
              <w:rPr>
                <w:rFonts w:cs="Times New Roman"/>
                <w:i/>
                <w:iCs/>
                <w:spacing w:val="-3"/>
                <w:kern w:val="0"/>
                <w:sz w:val="22"/>
              </w:rPr>
              <w:t xml:space="preserve"> </w:t>
            </w:r>
            <w:r>
              <w:rPr>
                <w:rFonts w:cs="Times New Roman"/>
                <w:i/>
                <w:iCs/>
                <w:kern w:val="0"/>
                <w:sz w:val="22"/>
              </w:rPr>
              <w:t>Levl.</w:t>
            </w:r>
            <w:r>
              <w:rPr>
                <w:rFonts w:cs="Times New Roman"/>
                <w:i/>
                <w:iCs/>
                <w:spacing w:val="-2"/>
                <w:kern w:val="0"/>
                <w:sz w:val="22"/>
              </w:rPr>
              <w:t xml:space="preserve"> </w:t>
            </w:r>
            <w:r>
              <w:rPr>
                <w:rFonts w:cs="Times New Roman"/>
                <w:i/>
                <w:iCs/>
                <w:kern w:val="0"/>
                <w:sz w:val="22"/>
              </w:rPr>
              <w:t>Et</w:t>
            </w:r>
          </w:p>
          <w:p>
            <w:pPr>
              <w:kinsoku w:val="0"/>
              <w:overflowPunct w:val="0"/>
              <w:autoSpaceDE w:val="0"/>
              <w:autoSpaceDN w:val="0"/>
              <w:adjustRightInd w:val="0"/>
              <w:spacing w:before="35" w:line="287" w:lineRule="exact"/>
              <w:ind w:right="73" w:firstLine="0" w:firstLineChars="0"/>
              <w:jc w:val="center"/>
              <w:rPr>
                <w:rFonts w:ascii="宋体" w:eastAsia="宋体" w:cs="宋体"/>
                <w:i/>
                <w:iCs/>
                <w:kern w:val="0"/>
                <w:sz w:val="23"/>
                <w:szCs w:val="23"/>
              </w:rPr>
            </w:pPr>
            <w:r>
              <w:rPr>
                <w:rFonts w:cs="Times New Roman"/>
                <w:i/>
                <w:iCs/>
                <w:kern w:val="0"/>
                <w:sz w:val="22"/>
              </w:rPr>
              <w:t>Vant</w:t>
            </w:r>
            <w:r>
              <w:rPr>
                <w:rFonts w:hint="eastAsia" w:ascii="宋体" w:eastAsia="宋体" w:cs="宋体"/>
                <w:i/>
                <w:iCs/>
                <w:kern w:val="0"/>
                <w:sz w:val="23"/>
                <w:szCs w:val="23"/>
              </w:rPr>
              <w:t>．</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52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蒲公英属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药用蒲公英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Taraxacum</w:t>
            </w:r>
            <w:r>
              <w:rPr>
                <w:rFonts w:cs="Times New Roman"/>
                <w:i/>
                <w:iCs/>
                <w:spacing w:val="-8"/>
                <w:kern w:val="0"/>
                <w:sz w:val="22"/>
              </w:rPr>
              <w:t xml:space="preserve"> </w:t>
            </w:r>
            <w:r>
              <w:rPr>
                <w:rFonts w:cs="Times New Roman"/>
                <w:i/>
                <w:iCs/>
                <w:kern w:val="0"/>
                <w:sz w:val="22"/>
              </w:rPr>
              <w:t>officinale</w:t>
            </w:r>
            <w:r>
              <w:rPr>
                <w:rFonts w:cs="Times New Roman"/>
                <w:i/>
                <w:iCs/>
                <w:spacing w:val="-8"/>
                <w:kern w:val="0"/>
                <w:sz w:val="22"/>
              </w:rPr>
              <w:t xml:space="preserve"> </w:t>
            </w:r>
            <w:r>
              <w:rPr>
                <w:rFonts w:cs="Times New Roman"/>
                <w:i/>
                <w:iCs/>
                <w:kern w:val="0"/>
                <w:sz w:val="22"/>
              </w:rPr>
              <w:t>F.</w:t>
            </w:r>
            <w:r>
              <w:rPr>
                <w:rFonts w:cs="Times New Roman"/>
                <w:i/>
                <w:iCs/>
                <w:spacing w:val="-8"/>
                <w:kern w:val="0"/>
                <w:sz w:val="22"/>
              </w:rPr>
              <w:t xml:space="preserve"> </w:t>
            </w:r>
            <w:r>
              <w:rPr>
                <w:rFonts w:cs="Times New Roman"/>
                <w:i/>
                <w:iCs/>
                <w:kern w:val="0"/>
                <w:sz w:val="22"/>
              </w:rPr>
              <w:t>H.</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Wigg.</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53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 w:line="277" w:lineRule="exact"/>
              <w:ind w:right="158" w:firstLine="0" w:firstLineChars="0"/>
              <w:jc w:val="center"/>
              <w:rPr>
                <w:rFonts w:ascii="宋体" w:eastAsia="宋体" w:cs="宋体"/>
                <w:kern w:val="0"/>
                <w:sz w:val="22"/>
              </w:rPr>
            </w:pPr>
            <w:r>
              <w:rPr>
                <w:rFonts w:hint="eastAsia" w:ascii="宋体" w:eastAsia="宋体" w:cs="宋体"/>
                <w:kern w:val="0"/>
                <w:sz w:val="22"/>
              </w:rPr>
              <w:t>鹤虱属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 w:line="277" w:lineRule="exact"/>
              <w:ind w:right="157" w:firstLine="0" w:firstLineChars="0"/>
              <w:jc w:val="center"/>
              <w:rPr>
                <w:rFonts w:ascii="宋体" w:eastAsia="宋体" w:cs="宋体"/>
                <w:kern w:val="0"/>
                <w:sz w:val="22"/>
              </w:rPr>
            </w:pPr>
            <w:r>
              <w:rPr>
                <w:rFonts w:hint="eastAsia" w:ascii="宋体" w:eastAsia="宋体" w:cs="宋体"/>
                <w:kern w:val="0"/>
                <w:sz w:val="22"/>
              </w:rPr>
              <w:t>鹤虱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2" w:firstLine="0" w:firstLineChars="0"/>
              <w:jc w:val="center"/>
              <w:rPr>
                <w:rFonts w:cs="Times New Roman"/>
                <w:i/>
                <w:iCs/>
                <w:kern w:val="0"/>
                <w:sz w:val="22"/>
              </w:rPr>
            </w:pPr>
            <w:r>
              <w:rPr>
                <w:rFonts w:cs="Times New Roman"/>
                <w:i/>
                <w:iCs/>
                <w:kern w:val="0"/>
                <w:sz w:val="22"/>
              </w:rPr>
              <w:t>Lappula</w:t>
            </w:r>
            <w:r>
              <w:rPr>
                <w:rFonts w:cs="Times New Roman"/>
                <w:i/>
                <w:iCs/>
                <w:spacing w:val="-2"/>
                <w:kern w:val="0"/>
                <w:sz w:val="22"/>
              </w:rPr>
              <w:t xml:space="preserve"> </w:t>
            </w:r>
            <w:r>
              <w:rPr>
                <w:rFonts w:cs="Times New Roman"/>
                <w:i/>
                <w:iCs/>
                <w:kern w:val="0"/>
                <w:sz w:val="22"/>
              </w:rPr>
              <w:t>myosotis</w:t>
            </w:r>
            <w:r>
              <w:rPr>
                <w:rFonts w:cs="Times New Roman"/>
                <w:i/>
                <w:iCs/>
                <w:spacing w:val="-1"/>
                <w:kern w:val="0"/>
                <w:sz w:val="22"/>
              </w:rPr>
              <w:t xml:space="preserve"> </w:t>
            </w:r>
            <w:r>
              <w:rPr>
                <w:rFonts w:cs="Times New Roman"/>
                <w:i/>
                <w:iCs/>
                <w:kern w:val="0"/>
                <w:sz w:val="22"/>
              </w:rPr>
              <w:t>Moench</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54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蝎尾菊属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蝎尾菊</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Koelpinia</w:t>
            </w:r>
            <w:r>
              <w:rPr>
                <w:rFonts w:cs="Times New Roman"/>
                <w:i/>
                <w:iCs/>
                <w:spacing w:val="-4"/>
                <w:kern w:val="0"/>
                <w:sz w:val="22"/>
              </w:rPr>
              <w:t xml:space="preserve"> </w:t>
            </w:r>
            <w:r>
              <w:rPr>
                <w:rFonts w:cs="Times New Roman"/>
                <w:i/>
                <w:iCs/>
                <w:kern w:val="0"/>
                <w:sz w:val="22"/>
              </w:rPr>
              <w:t>linearis</w:t>
            </w:r>
            <w:r>
              <w:rPr>
                <w:rFonts w:cs="Times New Roman"/>
                <w:i/>
                <w:iCs/>
                <w:spacing w:val="-1"/>
                <w:kern w:val="0"/>
                <w:sz w:val="22"/>
              </w:rPr>
              <w:t xml:space="preserve"> </w:t>
            </w:r>
            <w:r>
              <w:rPr>
                <w:rFonts w:cs="Times New Roman"/>
                <w:i/>
                <w:iCs/>
                <w:kern w:val="0"/>
                <w:sz w:val="22"/>
              </w:rPr>
              <w:t>Pall.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55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婆罗门参属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蒜叶婆罗门参</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Tragopogon</w:t>
            </w:r>
            <w:r>
              <w:rPr>
                <w:rFonts w:cs="Times New Roman"/>
                <w:i/>
                <w:iCs/>
                <w:spacing w:val="-6"/>
                <w:kern w:val="0"/>
                <w:sz w:val="22"/>
              </w:rPr>
              <w:t xml:space="preserve"> </w:t>
            </w:r>
            <w:r>
              <w:rPr>
                <w:rFonts w:cs="Times New Roman"/>
                <w:i/>
                <w:iCs/>
                <w:kern w:val="0"/>
                <w:sz w:val="22"/>
              </w:rPr>
              <w:t>porrifoliusL.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56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"https://baike.baidu.com/item/%E9%B8%A6%E8%91%B1%E5%B1%9E" </w:instrText>
            </w:r>
            <w:r>
              <w:fldChar w:fldCharType="separate"/>
            </w:r>
            <w:r>
              <w:rPr>
                <w:rFonts w:hint="eastAsia" w:ascii="宋体" w:eastAsia="宋体" w:cs="宋体"/>
                <w:kern w:val="0"/>
                <w:sz w:val="22"/>
              </w:rPr>
              <w:t>鸦葱属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蒙古鸦葱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Scorzonera</w:t>
            </w:r>
            <w:r>
              <w:rPr>
                <w:rFonts w:cs="Times New Roman"/>
                <w:i/>
                <w:iCs/>
                <w:spacing w:val="-3"/>
                <w:kern w:val="0"/>
                <w:sz w:val="22"/>
              </w:rPr>
              <w:t xml:space="preserve"> </w:t>
            </w:r>
            <w:r>
              <w:rPr>
                <w:rFonts w:cs="Times New Roman"/>
                <w:i/>
                <w:iCs/>
                <w:kern w:val="0"/>
                <w:sz w:val="22"/>
              </w:rPr>
              <w:t>mongolicaMaxim.</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57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白酒草属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小蓬草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Conyza.</w:t>
            </w:r>
            <w:r>
              <w:rPr>
                <w:rFonts w:cs="Times New Roman"/>
                <w:i/>
                <w:iCs/>
                <w:spacing w:val="-1"/>
                <w:kern w:val="0"/>
                <w:sz w:val="22"/>
              </w:rPr>
              <w:t xml:space="preserve"> </w:t>
            </w:r>
            <w:r>
              <w:rPr>
                <w:rFonts w:cs="Times New Roman"/>
                <w:i/>
                <w:iCs/>
                <w:kern w:val="0"/>
                <w:sz w:val="22"/>
              </w:rPr>
              <w:t>Canadensis</w:t>
            </w:r>
            <w:r>
              <w:rPr>
                <w:rFonts w:cs="Times New Roman"/>
                <w:i/>
                <w:iCs/>
                <w:spacing w:val="-2"/>
                <w:kern w:val="0"/>
                <w:sz w:val="22"/>
              </w:rPr>
              <w:t xml:space="preserve"> </w:t>
            </w:r>
            <w:r>
              <w:rPr>
                <w:rFonts w:cs="Times New Roman"/>
                <w:i/>
                <w:iCs/>
                <w:kern w:val="0"/>
                <w:sz w:val="22"/>
              </w:rPr>
              <w:t>(L.)</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Crong.</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58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向日葵属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向日葵</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0" w:firstLine="0" w:firstLineChars="0"/>
              <w:jc w:val="center"/>
              <w:rPr>
                <w:rFonts w:cs="Times New Roman"/>
                <w:i/>
                <w:iCs/>
                <w:kern w:val="0"/>
                <w:sz w:val="22"/>
              </w:rPr>
            </w:pPr>
            <w:r>
              <w:rPr>
                <w:rFonts w:cs="Times New Roman"/>
                <w:i/>
                <w:iCs/>
                <w:kern w:val="0"/>
                <w:sz w:val="22"/>
              </w:rPr>
              <w:t>Helianthus annuusL.</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59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牛蒡属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牛蒡</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1" w:firstLine="0" w:firstLineChars="0"/>
              <w:jc w:val="center"/>
              <w:rPr>
                <w:rFonts w:cs="Times New Roman"/>
                <w:i/>
                <w:iCs/>
                <w:kern w:val="0"/>
                <w:sz w:val="22"/>
              </w:rPr>
            </w:pPr>
            <w:r>
              <w:rPr>
                <w:rFonts w:cs="Times New Roman"/>
                <w:i/>
                <w:iCs/>
                <w:kern w:val="0"/>
                <w:sz w:val="22"/>
              </w:rPr>
              <w:t>Arctium</w:t>
            </w:r>
            <w:r>
              <w:rPr>
                <w:rFonts w:cs="Times New Roman"/>
                <w:i/>
                <w:iCs/>
                <w:spacing w:val="-6"/>
                <w:kern w:val="0"/>
                <w:sz w:val="22"/>
              </w:rPr>
              <w:t xml:space="preserve"> </w:t>
            </w:r>
            <w:r>
              <w:rPr>
                <w:rFonts w:cs="Times New Roman"/>
                <w:i/>
                <w:iCs/>
                <w:kern w:val="0"/>
                <w:sz w:val="22"/>
              </w:rPr>
              <w:t>lappa</w:t>
            </w:r>
            <w:r>
              <w:rPr>
                <w:rFonts w:cs="Times New Roman"/>
                <w:i/>
                <w:iCs/>
                <w:spacing w:val="-1"/>
                <w:kern w:val="0"/>
                <w:sz w:val="22"/>
              </w:rPr>
              <w:t xml:space="preserve"> </w:t>
            </w:r>
            <w:r>
              <w:rPr>
                <w:rFonts w:cs="Times New Roman"/>
                <w:i/>
                <w:iCs/>
                <w:kern w:val="0"/>
                <w:sz w:val="22"/>
              </w:rPr>
              <w:t>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60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飞廉属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飞廉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Carduus</w:t>
            </w:r>
            <w:r>
              <w:rPr>
                <w:rFonts w:cs="Times New Roman"/>
                <w:i/>
                <w:iCs/>
                <w:spacing w:val="-2"/>
                <w:kern w:val="0"/>
                <w:sz w:val="22"/>
              </w:rPr>
              <w:t xml:space="preserve"> </w:t>
            </w:r>
            <w:r>
              <w:rPr>
                <w:rFonts w:cs="Times New Roman"/>
                <w:i/>
                <w:iCs/>
                <w:kern w:val="0"/>
                <w:sz w:val="22"/>
              </w:rPr>
              <w:t>nutans</w:t>
            </w:r>
            <w:r>
              <w:rPr>
                <w:rFonts w:cs="Times New Roman"/>
                <w:i/>
                <w:iCs/>
                <w:spacing w:val="-1"/>
                <w:kern w:val="0"/>
                <w:sz w:val="22"/>
              </w:rPr>
              <w:t xml:space="preserve"> </w:t>
            </w:r>
            <w:r>
              <w:rPr>
                <w:rFonts w:cs="Times New Roman"/>
                <w:i/>
                <w:iCs/>
                <w:kern w:val="0"/>
                <w:sz w:val="22"/>
              </w:rPr>
              <w:t>L.</w:t>
            </w:r>
          </w:p>
        </w:tc>
      </w:tr>
    </w:tbl>
    <w:p>
      <w:pPr>
        <w:autoSpaceDE w:val="0"/>
        <w:autoSpaceDN w:val="0"/>
        <w:adjustRightInd w:val="0"/>
        <w:spacing w:line="240" w:lineRule="auto"/>
        <w:ind w:firstLine="0" w:firstLineChars="0"/>
        <w:jc w:val="left"/>
        <w:rPr>
          <w:rFonts w:ascii="黑体" w:eastAsia="黑体" w:cs="黑体"/>
          <w:b/>
          <w:bCs/>
          <w:kern w:val="0"/>
          <w:sz w:val="15"/>
          <w:szCs w:val="15"/>
        </w:rPr>
        <w:sectPr>
          <w:pgSz w:w="11910" w:h="16840"/>
          <w:pgMar w:top="1420" w:right="200" w:bottom="280" w:left="780" w:header="720" w:footer="720" w:gutter="0"/>
          <w:cols w:space="720" w:num="1"/>
        </w:sectPr>
      </w:pPr>
    </w:p>
    <w:tbl>
      <w:tblPr>
        <w:tblStyle w:val="25"/>
        <w:tblW w:w="8295" w:type="dxa"/>
        <w:tblInd w:w="1030" w:type="dxa"/>
        <w:tblLayout w:type="fixed"/>
        <w:tblCellMar>
          <w:top w:w="0" w:type="dxa"/>
          <w:left w:w="0" w:type="dxa"/>
          <w:bottom w:w="0" w:type="dxa"/>
          <w:right w:w="0" w:type="dxa"/>
        </w:tblCellMar>
      </w:tblPr>
      <w:tblGrid>
        <w:gridCol w:w="703"/>
        <w:gridCol w:w="1277"/>
        <w:gridCol w:w="1701"/>
        <w:gridCol w:w="1701"/>
        <w:gridCol w:w="2913"/>
      </w:tblGrid>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102" w:firstLine="0" w:firstLineChars="0"/>
              <w:jc w:val="center"/>
              <w:rPr>
                <w:rFonts w:cs="Times New Roman"/>
                <w:kern w:val="0"/>
                <w:sz w:val="22"/>
              </w:rPr>
            </w:pPr>
            <w:r>
              <w:rPr>
                <w:rFonts w:cs="Times New Roman"/>
                <w:kern w:val="0"/>
                <w:sz w:val="22"/>
              </w:rPr>
              <w:t>61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蓟属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刺儿菜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132" w:firstLine="0" w:firstLineChars="0"/>
              <w:jc w:val="right"/>
              <w:rPr>
                <w:rFonts w:cs="Times New Roman"/>
                <w:i/>
                <w:iCs/>
                <w:kern w:val="0"/>
                <w:sz w:val="22"/>
              </w:rPr>
            </w:pPr>
            <w:r>
              <w:rPr>
                <w:rFonts w:cs="Times New Roman"/>
                <w:i/>
                <w:iCs/>
                <w:kern w:val="0"/>
                <w:sz w:val="22"/>
              </w:rPr>
              <w:t>Cirsium</w:t>
            </w:r>
            <w:r>
              <w:rPr>
                <w:rFonts w:cs="Times New Roman"/>
                <w:i/>
                <w:iCs/>
                <w:spacing w:val="-5"/>
                <w:kern w:val="0"/>
                <w:sz w:val="22"/>
              </w:rPr>
              <w:t xml:space="preserve"> </w:t>
            </w:r>
            <w:r>
              <w:rPr>
                <w:rFonts w:cs="Times New Roman"/>
                <w:i/>
                <w:iCs/>
                <w:kern w:val="0"/>
                <w:sz w:val="22"/>
              </w:rPr>
              <w:t>setosum</w:t>
            </w:r>
            <w:r>
              <w:rPr>
                <w:rFonts w:cs="Times New Roman"/>
                <w:i/>
                <w:iCs/>
                <w:spacing w:val="-6"/>
                <w:kern w:val="0"/>
                <w:sz w:val="22"/>
              </w:rPr>
              <w:t xml:space="preserve"> </w:t>
            </w:r>
            <w:r>
              <w:rPr>
                <w:rFonts w:cs="Times New Roman"/>
                <w:i/>
                <w:iCs/>
                <w:kern w:val="0"/>
                <w:sz w:val="22"/>
              </w:rPr>
              <w:t>(Willd.)</w:t>
            </w:r>
            <w:r>
              <w:rPr>
                <w:rFonts w:cs="Times New Roman"/>
                <w:i/>
                <w:iCs/>
                <w:spacing w:val="-3"/>
                <w:kern w:val="0"/>
                <w:sz w:val="22"/>
              </w:rPr>
              <w:t xml:space="preserve"> </w:t>
            </w:r>
            <w:r>
              <w:rPr>
                <w:rFonts w:cs="Times New Roman"/>
                <w:i/>
                <w:iCs/>
                <w:kern w:val="0"/>
                <w:sz w:val="22"/>
              </w:rPr>
              <w:t>MB.</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62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菊苣属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菊苣</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Cichorium</w:t>
            </w:r>
            <w:r>
              <w:rPr>
                <w:rFonts w:cs="Times New Roman"/>
                <w:i/>
                <w:iCs/>
                <w:spacing w:val="-2"/>
                <w:kern w:val="0"/>
                <w:sz w:val="22"/>
              </w:rPr>
              <w:t xml:space="preserve"> </w:t>
            </w:r>
            <w:r>
              <w:rPr>
                <w:rFonts w:cs="Times New Roman"/>
                <w:i/>
                <w:iCs/>
                <w:kern w:val="0"/>
                <w:sz w:val="22"/>
              </w:rPr>
              <w:t>intybus 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63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蒿属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黄花蒿</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Artemisia</w:t>
            </w:r>
            <w:r>
              <w:rPr>
                <w:rFonts w:cs="Times New Roman"/>
                <w:i/>
                <w:iCs/>
                <w:spacing w:val="-1"/>
                <w:kern w:val="0"/>
                <w:sz w:val="22"/>
              </w:rPr>
              <w:t xml:space="preserve"> </w:t>
            </w:r>
            <w:r>
              <w:rPr>
                <w:rFonts w:cs="Times New Roman"/>
                <w:i/>
                <w:iCs/>
                <w:kern w:val="0"/>
                <w:sz w:val="22"/>
              </w:rPr>
              <w:t>annua</w:t>
            </w:r>
            <w:r>
              <w:rPr>
                <w:rFonts w:cs="Times New Roman"/>
                <w:i/>
                <w:iCs/>
                <w:spacing w:val="-3"/>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62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64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8" w:firstLine="0" w:firstLineChars="0"/>
              <w:jc w:val="center"/>
              <w:rPr>
                <w:rFonts w:ascii="宋体" w:eastAsia="宋体" w:cs="宋体"/>
                <w:kern w:val="0"/>
                <w:sz w:val="22"/>
              </w:rPr>
            </w:pPr>
            <w:r>
              <w:rPr>
                <w:rFonts w:hint="eastAsia" w:ascii="宋体" w:eastAsia="宋体" w:cs="宋体"/>
                <w:kern w:val="0"/>
                <w:sz w:val="22"/>
              </w:rPr>
              <w:t>蒿属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7" w:firstLine="0" w:firstLineChars="0"/>
              <w:jc w:val="center"/>
              <w:rPr>
                <w:rFonts w:ascii="宋体" w:eastAsia="宋体" w:cs="宋体"/>
                <w:kern w:val="0"/>
                <w:sz w:val="22"/>
              </w:rPr>
            </w:pPr>
            <w:r>
              <w:rPr>
                <w:rFonts w:hint="eastAsia" w:ascii="宋体" w:eastAsia="宋体" w:cs="宋体"/>
                <w:kern w:val="0"/>
                <w:sz w:val="22"/>
              </w:rPr>
              <w:t>大籽蒿</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Artemisia</w:t>
            </w:r>
            <w:r>
              <w:rPr>
                <w:rFonts w:cs="Times New Roman"/>
                <w:i/>
                <w:iCs/>
                <w:spacing w:val="-2"/>
                <w:kern w:val="0"/>
                <w:sz w:val="22"/>
              </w:rPr>
              <w:t xml:space="preserve"> </w:t>
            </w:r>
            <w:r>
              <w:rPr>
                <w:rFonts w:cs="Times New Roman"/>
                <w:i/>
                <w:iCs/>
                <w:kern w:val="0"/>
                <w:sz w:val="22"/>
              </w:rPr>
              <w:t>sieversianaEhrhart</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ex</w:t>
            </w:r>
            <w:r>
              <w:rPr>
                <w:rFonts w:cs="Times New Roman"/>
                <w:i/>
                <w:iCs/>
                <w:spacing w:val="-3"/>
                <w:kern w:val="0"/>
                <w:sz w:val="22"/>
              </w:rPr>
              <w:t xml:space="preserve"> </w:t>
            </w:r>
            <w:r>
              <w:rPr>
                <w:rFonts w:cs="Times New Roman"/>
                <w:i/>
                <w:iCs/>
                <w:kern w:val="0"/>
                <w:sz w:val="22"/>
              </w:rPr>
              <w:t>Willd.</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65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蒲公英属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无角蒲公英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Taraxacum</w:t>
            </w:r>
            <w:r>
              <w:rPr>
                <w:rFonts w:cs="Times New Roman"/>
                <w:i/>
                <w:iCs/>
                <w:spacing w:val="-4"/>
                <w:kern w:val="0"/>
                <w:sz w:val="22"/>
              </w:rPr>
              <w:t xml:space="preserve"> </w:t>
            </w:r>
            <w:r>
              <w:rPr>
                <w:rFonts w:cs="Times New Roman"/>
                <w:i/>
                <w:iCs/>
                <w:kern w:val="0"/>
                <w:sz w:val="22"/>
              </w:rPr>
              <w:t>ecornutum</w:t>
            </w:r>
            <w:r>
              <w:rPr>
                <w:rFonts w:cs="Times New Roman"/>
                <w:i/>
                <w:iCs/>
                <w:spacing w:val="-4"/>
                <w:kern w:val="0"/>
                <w:sz w:val="22"/>
              </w:rPr>
              <w:t xml:space="preserve"> </w:t>
            </w:r>
            <w:r>
              <w:rPr>
                <w:rFonts w:cs="Times New Roman"/>
                <w:i/>
                <w:iCs/>
                <w:kern w:val="0"/>
                <w:sz w:val="22"/>
              </w:rPr>
              <w:t>S.</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Koval.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66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旋覆花属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土木香</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Inula</w:t>
            </w:r>
            <w:r>
              <w:rPr>
                <w:rFonts w:cs="Times New Roman"/>
                <w:i/>
                <w:iCs/>
                <w:spacing w:val="-4"/>
                <w:kern w:val="0"/>
                <w:sz w:val="22"/>
              </w:rPr>
              <w:t xml:space="preserve"> </w:t>
            </w:r>
            <w:r>
              <w:rPr>
                <w:rFonts w:cs="Times New Roman"/>
                <w:i/>
                <w:iCs/>
                <w:kern w:val="0"/>
                <w:sz w:val="22"/>
              </w:rPr>
              <w:t>heleniumL.</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67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白酒草属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白酒草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Conyza</w:t>
            </w:r>
            <w:r>
              <w:rPr>
                <w:rFonts w:cs="Times New Roman"/>
                <w:i/>
                <w:iCs/>
                <w:spacing w:val="-4"/>
                <w:kern w:val="0"/>
                <w:sz w:val="22"/>
              </w:rPr>
              <w:t xml:space="preserve"> </w:t>
            </w:r>
            <w:r>
              <w:rPr>
                <w:rFonts w:cs="Times New Roman"/>
                <w:i/>
                <w:iCs/>
                <w:kern w:val="0"/>
                <w:sz w:val="22"/>
              </w:rPr>
              <w:t>japonica</w:t>
            </w:r>
            <w:r>
              <w:rPr>
                <w:rFonts w:cs="Times New Roman"/>
                <w:i/>
                <w:iCs/>
                <w:spacing w:val="-2"/>
                <w:kern w:val="0"/>
                <w:sz w:val="22"/>
              </w:rPr>
              <w:t xml:space="preserve"> </w:t>
            </w:r>
            <w:r>
              <w:rPr>
                <w:rFonts w:cs="Times New Roman"/>
                <w:i/>
                <w:iCs/>
                <w:kern w:val="0"/>
                <w:sz w:val="22"/>
              </w:rPr>
              <w:t>(Thunb.)</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Less.</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68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莴苣属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莴苣</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Lactuca</w:t>
            </w:r>
            <w:r>
              <w:rPr>
                <w:rFonts w:cs="Times New Roman"/>
                <w:i/>
                <w:iCs/>
                <w:spacing w:val="-2"/>
                <w:kern w:val="0"/>
                <w:sz w:val="22"/>
              </w:rPr>
              <w:t xml:space="preserve"> </w:t>
            </w:r>
            <w:r>
              <w:rPr>
                <w:rFonts w:cs="Times New Roman"/>
                <w:i/>
                <w:iCs/>
                <w:kern w:val="0"/>
                <w:sz w:val="22"/>
              </w:rPr>
              <w:t>sativa</w:t>
            </w:r>
            <w:r>
              <w:rPr>
                <w:rFonts w:cs="Times New Roman"/>
                <w:i/>
                <w:iCs/>
                <w:spacing w:val="-1"/>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69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大翅蓟属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大翅蓟</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94" w:firstLine="0" w:firstLineChars="0"/>
              <w:jc w:val="right"/>
              <w:rPr>
                <w:rFonts w:cs="Times New Roman"/>
                <w:i/>
                <w:iCs/>
                <w:kern w:val="0"/>
                <w:sz w:val="22"/>
              </w:rPr>
            </w:pPr>
            <w:r>
              <w:rPr>
                <w:rFonts w:cs="Times New Roman"/>
                <w:i/>
                <w:iCs/>
                <w:kern w:val="0"/>
                <w:sz w:val="22"/>
              </w:rPr>
              <w:t>Onopordum</w:t>
            </w:r>
            <w:r>
              <w:rPr>
                <w:rFonts w:cs="Times New Roman"/>
                <w:i/>
                <w:iCs/>
                <w:spacing w:val="-3"/>
                <w:kern w:val="0"/>
                <w:sz w:val="22"/>
              </w:rPr>
              <w:t xml:space="preserve"> </w:t>
            </w:r>
            <w:r>
              <w:rPr>
                <w:rFonts w:cs="Times New Roman"/>
                <w:i/>
                <w:iCs/>
                <w:kern w:val="0"/>
                <w:sz w:val="22"/>
              </w:rPr>
              <w:t>acanthium</w:t>
            </w:r>
            <w:r>
              <w:rPr>
                <w:rFonts w:cs="Times New Roman"/>
                <w:i/>
                <w:iCs/>
                <w:spacing w:val="-3"/>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62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70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405" w:firstLine="0" w:firstLineChars="0"/>
              <w:jc w:val="right"/>
              <w:rPr>
                <w:rFonts w:ascii="宋体" w:eastAsia="宋体" w:cs="宋体"/>
                <w:kern w:val="0"/>
                <w:sz w:val="22"/>
              </w:rPr>
            </w:pPr>
            <w:r>
              <w:fldChar w:fldCharType="begin"/>
            </w:r>
            <w:r>
              <w:instrText xml:space="preserve"> HYPERLINK "https://baike.so.com/doc/5585343-5797937.html" </w:instrText>
            </w:r>
            <w:r>
              <w:fldChar w:fldCharType="separate"/>
            </w:r>
            <w:r>
              <w:rPr>
                <w:rFonts w:hint="eastAsia" w:ascii="宋体" w:eastAsia="宋体" w:cs="宋体"/>
                <w:kern w:val="0"/>
                <w:sz w:val="22"/>
              </w:rPr>
              <w:t>菊科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8" w:firstLine="0" w:firstLineChars="0"/>
              <w:jc w:val="center"/>
              <w:rPr>
                <w:rFonts w:ascii="宋体" w:eastAsia="宋体" w:cs="宋体"/>
                <w:kern w:val="0"/>
                <w:sz w:val="22"/>
              </w:rPr>
            </w:pPr>
            <w:r>
              <w:rPr>
                <w:rFonts w:hint="eastAsia" w:ascii="宋体" w:eastAsia="宋体" w:cs="宋体"/>
                <w:kern w:val="0"/>
                <w:sz w:val="22"/>
              </w:rPr>
              <w:t>亚菊属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7" w:firstLine="0" w:firstLineChars="0"/>
              <w:jc w:val="center"/>
              <w:rPr>
                <w:rFonts w:ascii="宋体" w:eastAsia="宋体" w:cs="宋体"/>
                <w:kern w:val="0"/>
                <w:sz w:val="22"/>
              </w:rPr>
            </w:pPr>
            <w:r>
              <w:rPr>
                <w:rFonts w:hint="eastAsia" w:ascii="宋体" w:eastAsia="宋体" w:cs="宋体"/>
                <w:kern w:val="0"/>
                <w:sz w:val="22"/>
              </w:rPr>
              <w:t>新疆亚菊</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Ajania</w:t>
            </w:r>
            <w:r>
              <w:rPr>
                <w:rFonts w:cs="Times New Roman"/>
                <w:i/>
                <w:iCs/>
                <w:spacing w:val="-3"/>
                <w:kern w:val="0"/>
                <w:sz w:val="22"/>
              </w:rPr>
              <w:t xml:space="preserve"> </w:t>
            </w:r>
            <w:r>
              <w:rPr>
                <w:rFonts w:cs="Times New Roman"/>
                <w:i/>
                <w:iCs/>
                <w:kern w:val="0"/>
                <w:sz w:val="22"/>
              </w:rPr>
              <w:t>fastigiata</w:t>
            </w:r>
            <w:r>
              <w:rPr>
                <w:rFonts w:cs="Times New Roman"/>
                <w:i/>
                <w:iCs/>
                <w:spacing w:val="-5"/>
                <w:kern w:val="0"/>
                <w:sz w:val="22"/>
              </w:rPr>
              <w:t xml:space="preserve"> </w:t>
            </w:r>
            <w:r>
              <w:rPr>
                <w:rFonts w:cs="Times New Roman"/>
                <w:i/>
                <w:iCs/>
                <w:kern w:val="0"/>
                <w:sz w:val="22"/>
              </w:rPr>
              <w:t>(C.</w:t>
            </w:r>
            <w:r>
              <w:rPr>
                <w:rFonts w:cs="Times New Roman"/>
                <w:i/>
                <w:iCs/>
                <w:spacing w:val="-6"/>
                <w:kern w:val="0"/>
                <w:sz w:val="22"/>
              </w:rPr>
              <w:t xml:space="preserve"> </w:t>
            </w:r>
            <w:r>
              <w:rPr>
                <w:rFonts w:cs="Times New Roman"/>
                <w:i/>
                <w:iCs/>
                <w:kern w:val="0"/>
                <w:sz w:val="22"/>
              </w:rPr>
              <w:t>Winkl.)</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Poljak.</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71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fldChar w:fldCharType="begin"/>
            </w:r>
            <w:r>
              <w:instrText xml:space="preserve"> HYPERLINK "https://baike.so.com/doc/5585343-5797937.html" </w:instrText>
            </w:r>
            <w:r>
              <w:fldChar w:fldCharType="separate"/>
            </w:r>
            <w:r>
              <w:rPr>
                <w:rFonts w:hint="eastAsia" w:ascii="宋体" w:eastAsia="宋体" w:cs="宋体"/>
                <w:kern w:val="0"/>
                <w:sz w:val="22"/>
              </w:rPr>
              <w:t>菊科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fldChar w:fldCharType="begin"/>
            </w:r>
            <w:r>
              <w:instrText xml:space="preserve"> HYPERLINK "https://baike.so.com/doc/8986549-9315186.html" </w:instrText>
            </w:r>
            <w:r>
              <w:fldChar w:fldCharType="separate"/>
            </w:r>
            <w:r>
              <w:rPr>
                <w:rFonts w:hint="eastAsia" w:ascii="宋体" w:eastAsia="宋体" w:cs="宋体"/>
                <w:kern w:val="0"/>
                <w:sz w:val="22"/>
              </w:rPr>
              <w:t>蒿属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铁杆蒿</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Artemisia</w:t>
            </w:r>
            <w:r>
              <w:rPr>
                <w:rFonts w:cs="Times New Roman"/>
                <w:i/>
                <w:iCs/>
                <w:spacing w:val="-5"/>
                <w:kern w:val="0"/>
                <w:sz w:val="22"/>
              </w:rPr>
              <w:t xml:space="preserve"> </w:t>
            </w:r>
            <w:r>
              <w:rPr>
                <w:rFonts w:cs="Times New Roman"/>
                <w:i/>
                <w:iCs/>
                <w:kern w:val="0"/>
                <w:sz w:val="22"/>
              </w:rPr>
              <w:t>gmelinii</w:t>
            </w:r>
            <w:r>
              <w:rPr>
                <w:rFonts w:cs="Times New Roman"/>
                <w:i/>
                <w:iCs/>
                <w:spacing w:val="-3"/>
                <w:kern w:val="0"/>
                <w:sz w:val="22"/>
              </w:rPr>
              <w:t xml:space="preserve"> </w:t>
            </w:r>
            <w:r>
              <w:rPr>
                <w:rFonts w:cs="Times New Roman"/>
                <w:i/>
                <w:iCs/>
                <w:kern w:val="0"/>
                <w:sz w:val="22"/>
              </w:rPr>
              <w:t>Web.</w:t>
            </w:r>
            <w:r>
              <w:rPr>
                <w:rFonts w:cs="Times New Roman"/>
                <w:i/>
                <w:iCs/>
                <w:spacing w:val="-4"/>
                <w:kern w:val="0"/>
                <w:sz w:val="22"/>
              </w:rPr>
              <w:t xml:space="preserve"> </w:t>
            </w:r>
            <w:r>
              <w:rPr>
                <w:rFonts w:cs="Times New Roman"/>
                <w:i/>
                <w:iCs/>
                <w:kern w:val="0"/>
                <w:sz w:val="22"/>
              </w:rPr>
              <w:t>ex</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Stechm.</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72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fldChar w:fldCharType="begin"/>
            </w:r>
            <w:r>
              <w:instrText xml:space="preserve"> HYPERLINK "https://baike.so.com/doc/5585343-5797937.html" </w:instrText>
            </w:r>
            <w:r>
              <w:fldChar w:fldCharType="separate"/>
            </w:r>
            <w:r>
              <w:rPr>
                <w:rFonts w:hint="eastAsia" w:ascii="宋体" w:eastAsia="宋体" w:cs="宋体"/>
                <w:kern w:val="0"/>
                <w:sz w:val="22"/>
              </w:rPr>
              <w:t>菊科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蓍草属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千叶蓍</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Achillea</w:t>
            </w:r>
            <w:r>
              <w:rPr>
                <w:rFonts w:cs="Times New Roman"/>
                <w:i/>
                <w:iCs/>
                <w:spacing w:val="-2"/>
                <w:kern w:val="0"/>
                <w:sz w:val="22"/>
              </w:rPr>
              <w:t xml:space="preserve"> </w:t>
            </w:r>
            <w:r>
              <w:rPr>
                <w:rFonts w:cs="Times New Roman"/>
                <w:i/>
                <w:iCs/>
                <w:kern w:val="0"/>
                <w:sz w:val="22"/>
              </w:rPr>
              <w:t>millefolium</w:t>
            </w:r>
            <w:r>
              <w:rPr>
                <w:rFonts w:cs="Times New Roman"/>
                <w:i/>
                <w:iCs/>
                <w:spacing w:val="-2"/>
                <w:kern w:val="0"/>
                <w:sz w:val="22"/>
              </w:rPr>
              <w:t xml:space="preserve"> </w:t>
            </w:r>
            <w:r>
              <w:rPr>
                <w:rFonts w:cs="Times New Roman"/>
                <w:i/>
                <w:iCs/>
                <w:kern w:val="0"/>
                <w:sz w:val="22"/>
              </w:rPr>
              <w:t>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73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fldChar w:fldCharType="begin"/>
            </w:r>
            <w:r>
              <w:instrText xml:space="preserve"> HYPERLINK "https://baike.baidu.com/item/%E8%8F%8A%E7%A7%91" </w:instrText>
            </w:r>
            <w:r>
              <w:fldChar w:fldCharType="separate"/>
            </w:r>
            <w:r>
              <w:rPr>
                <w:rFonts w:hint="eastAsia" w:ascii="宋体" w:eastAsia="宋体" w:cs="宋体"/>
                <w:kern w:val="0"/>
                <w:sz w:val="22"/>
              </w:rPr>
              <w:t>菊科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"https://baike.baidu.com/item/%E9%A3%8E%E6%AF%9B%E8%8F%8A%E5%B1%9E" </w:instrText>
            </w:r>
            <w:r>
              <w:fldChar w:fldCharType="separate"/>
            </w:r>
            <w:r>
              <w:rPr>
                <w:rFonts w:hint="eastAsia" w:ascii="宋体" w:eastAsia="宋体" w:cs="宋体"/>
                <w:kern w:val="0"/>
                <w:sz w:val="22"/>
              </w:rPr>
              <w:t>风毛菊属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草地风毛菊</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41" w:firstLine="0" w:firstLineChars="0"/>
              <w:jc w:val="right"/>
              <w:rPr>
                <w:rFonts w:cs="Times New Roman"/>
                <w:i/>
                <w:iCs/>
                <w:kern w:val="0"/>
                <w:sz w:val="22"/>
              </w:rPr>
            </w:pPr>
            <w:r>
              <w:rPr>
                <w:rFonts w:cs="Times New Roman"/>
                <w:i/>
                <w:iCs/>
                <w:kern w:val="0"/>
                <w:sz w:val="22"/>
              </w:rPr>
              <w:t>Saussurea</w:t>
            </w:r>
            <w:r>
              <w:rPr>
                <w:rFonts w:cs="Times New Roman"/>
                <w:i/>
                <w:iCs/>
                <w:spacing w:val="-3"/>
                <w:kern w:val="0"/>
                <w:sz w:val="22"/>
              </w:rPr>
              <w:t xml:space="preserve"> </w:t>
            </w:r>
            <w:r>
              <w:rPr>
                <w:rFonts w:cs="Times New Roman"/>
                <w:i/>
                <w:iCs/>
                <w:kern w:val="0"/>
                <w:sz w:val="22"/>
              </w:rPr>
              <w:t>amara</w:t>
            </w:r>
            <w:r>
              <w:rPr>
                <w:rFonts w:cs="Times New Roman"/>
                <w:i/>
                <w:iCs/>
                <w:spacing w:val="-4"/>
                <w:kern w:val="0"/>
                <w:sz w:val="22"/>
              </w:rPr>
              <w:t xml:space="preserve"> </w:t>
            </w:r>
            <w:r>
              <w:rPr>
                <w:rFonts w:cs="Times New Roman"/>
                <w:i/>
                <w:iCs/>
                <w:kern w:val="0"/>
                <w:sz w:val="22"/>
              </w:rPr>
              <w:t>(Linn.)</w:t>
            </w:r>
            <w:r>
              <w:rPr>
                <w:rFonts w:cs="Times New Roman"/>
                <w:i/>
                <w:iCs/>
                <w:spacing w:val="-2"/>
                <w:kern w:val="0"/>
                <w:sz w:val="22"/>
              </w:rPr>
              <w:t xml:space="preserve"> </w:t>
            </w:r>
            <w:r>
              <w:rPr>
                <w:rFonts w:cs="Times New Roman"/>
                <w:i/>
                <w:iCs/>
                <w:kern w:val="0"/>
                <w:sz w:val="22"/>
              </w:rPr>
              <w:t>DC.</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74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rPr>
                <w:rFonts w:hint="eastAsia" w:ascii="宋体" w:eastAsia="宋体" w:cs="宋体"/>
                <w:kern w:val="0"/>
                <w:sz w:val="22"/>
              </w:rPr>
              <w:t>菊科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河西菊属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河西菊</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Hexinia</w:t>
            </w:r>
            <w:r>
              <w:rPr>
                <w:rFonts w:cs="Times New Roman"/>
                <w:i/>
                <w:iCs/>
                <w:spacing w:val="-2"/>
                <w:kern w:val="0"/>
                <w:sz w:val="22"/>
              </w:rPr>
              <w:t xml:space="preserve"> </w:t>
            </w:r>
            <w:r>
              <w:rPr>
                <w:rFonts w:cs="Times New Roman"/>
                <w:i/>
                <w:iCs/>
                <w:kern w:val="0"/>
                <w:sz w:val="22"/>
              </w:rPr>
              <w:t>polydichotoma</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(Ostenf.)</w:t>
            </w:r>
            <w:r>
              <w:rPr>
                <w:rFonts w:cs="Times New Roman"/>
                <w:i/>
                <w:iCs/>
                <w:spacing w:val="-4"/>
                <w:kern w:val="0"/>
                <w:sz w:val="22"/>
              </w:rPr>
              <w:t xml:space="preserve"> </w:t>
            </w:r>
            <w:r>
              <w:rPr>
                <w:rFonts w:cs="Times New Roman"/>
                <w:i/>
                <w:iCs/>
                <w:kern w:val="0"/>
                <w:sz w:val="22"/>
              </w:rPr>
              <w:t>H.</w:t>
            </w:r>
            <w:r>
              <w:rPr>
                <w:rFonts w:cs="Times New Roman"/>
                <w:i/>
                <w:iCs/>
                <w:spacing w:val="-4"/>
                <w:kern w:val="0"/>
                <w:sz w:val="22"/>
              </w:rPr>
              <w:t xml:space="preserve"> </w:t>
            </w:r>
            <w:r>
              <w:rPr>
                <w:rFonts w:cs="Times New Roman"/>
                <w:i/>
                <w:iCs/>
                <w:kern w:val="0"/>
                <w:sz w:val="22"/>
              </w:rPr>
              <w:t>L.</w:t>
            </w:r>
            <w:r>
              <w:rPr>
                <w:rFonts w:cs="Times New Roman"/>
                <w:i/>
                <w:iCs/>
                <w:spacing w:val="-4"/>
                <w:kern w:val="0"/>
                <w:sz w:val="22"/>
              </w:rPr>
              <w:t xml:space="preserve"> </w:t>
            </w:r>
            <w:r>
              <w:rPr>
                <w:rFonts w:cs="Times New Roman"/>
                <w:i/>
                <w:iCs/>
                <w:kern w:val="0"/>
                <w:sz w:val="22"/>
              </w:rPr>
              <w:t>Yang</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75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盐爪爪属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盐爪爪</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99" w:firstLine="0" w:firstLineChars="0"/>
              <w:jc w:val="right"/>
              <w:rPr>
                <w:rFonts w:cs="Times New Roman"/>
                <w:i/>
                <w:iCs/>
                <w:kern w:val="0"/>
                <w:sz w:val="22"/>
              </w:rPr>
            </w:pPr>
            <w:r>
              <w:rPr>
                <w:rFonts w:cs="Times New Roman"/>
                <w:i/>
                <w:iCs/>
                <w:kern w:val="0"/>
                <w:sz w:val="22"/>
              </w:rPr>
              <w:t>Kalidium</w:t>
            </w:r>
            <w:r>
              <w:rPr>
                <w:rFonts w:cs="Times New Roman"/>
                <w:i/>
                <w:iCs/>
                <w:spacing w:val="-3"/>
                <w:kern w:val="0"/>
                <w:sz w:val="22"/>
              </w:rPr>
              <w:t xml:space="preserve"> </w:t>
            </w:r>
            <w:r>
              <w:rPr>
                <w:rFonts w:cs="Times New Roman"/>
                <w:i/>
                <w:iCs/>
                <w:kern w:val="0"/>
                <w:sz w:val="22"/>
              </w:rPr>
              <w:t>foliatum(Pall.)</w:t>
            </w:r>
            <w:r>
              <w:rPr>
                <w:rFonts w:cs="Times New Roman"/>
                <w:i/>
                <w:iCs/>
                <w:spacing w:val="-4"/>
                <w:kern w:val="0"/>
                <w:sz w:val="22"/>
              </w:rPr>
              <w:t xml:space="preserve"> </w:t>
            </w:r>
            <w:r>
              <w:rPr>
                <w:rFonts w:cs="Times New Roman"/>
                <w:i/>
                <w:iCs/>
                <w:kern w:val="0"/>
                <w:sz w:val="22"/>
              </w:rPr>
              <w:t>Moq.</w:t>
            </w:r>
          </w:p>
        </w:tc>
      </w:tr>
      <w:tr>
        <w:tblPrEx>
          <w:tblCellMar>
            <w:top w:w="0" w:type="dxa"/>
            <w:left w:w="0" w:type="dxa"/>
            <w:bottom w:w="0" w:type="dxa"/>
            <w:right w:w="0" w:type="dxa"/>
          </w:tblCellMar>
        </w:tblPrEx>
        <w:trPr>
          <w:trHeight w:val="31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76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405" w:firstLine="0" w:firstLineChars="0"/>
              <w:jc w:val="right"/>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碱蓬属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小叶碱蓬</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firstLine="0" w:firstLineChars="0"/>
              <w:jc w:val="left"/>
              <w:rPr>
                <w:rFonts w:cs="Times New Roman"/>
                <w:i/>
                <w:iCs/>
                <w:kern w:val="0"/>
                <w:sz w:val="22"/>
              </w:rPr>
            </w:pPr>
            <w:r>
              <w:rPr>
                <w:rFonts w:cs="Times New Roman"/>
                <w:i/>
                <w:iCs/>
                <w:kern w:val="0"/>
                <w:sz w:val="22"/>
              </w:rPr>
              <w:t>Suaeda</w:t>
            </w:r>
            <w:r>
              <w:rPr>
                <w:rFonts w:cs="Times New Roman"/>
                <w:i/>
                <w:iCs/>
                <w:spacing w:val="-3"/>
                <w:kern w:val="0"/>
                <w:sz w:val="22"/>
              </w:rPr>
              <w:t xml:space="preserve"> </w:t>
            </w:r>
            <w:r>
              <w:rPr>
                <w:rFonts w:cs="Times New Roman"/>
                <w:i/>
                <w:iCs/>
                <w:kern w:val="0"/>
                <w:sz w:val="22"/>
              </w:rPr>
              <w:t>microphyllaPall.</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6" w:line="240" w:lineRule="auto"/>
              <w:ind w:right="102" w:firstLine="0" w:firstLineChars="0"/>
              <w:jc w:val="center"/>
              <w:rPr>
                <w:rFonts w:cs="Times New Roman"/>
                <w:kern w:val="0"/>
                <w:sz w:val="22"/>
              </w:rPr>
            </w:pPr>
            <w:r>
              <w:rPr>
                <w:rFonts w:cs="Times New Roman"/>
                <w:kern w:val="0"/>
                <w:sz w:val="22"/>
              </w:rPr>
              <w:t>77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碱蓬属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木碱蓬</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Suaeda</w:t>
            </w:r>
            <w:r>
              <w:rPr>
                <w:rFonts w:cs="Times New Roman"/>
                <w:i/>
                <w:iCs/>
                <w:spacing w:val="-2"/>
                <w:kern w:val="0"/>
                <w:sz w:val="22"/>
              </w:rPr>
              <w:t xml:space="preserve"> </w:t>
            </w:r>
            <w:r>
              <w:rPr>
                <w:rFonts w:cs="Times New Roman"/>
                <w:i/>
                <w:iCs/>
                <w:kern w:val="0"/>
                <w:sz w:val="22"/>
              </w:rPr>
              <w:t>dendroides(C.</w:t>
            </w:r>
            <w:r>
              <w:rPr>
                <w:rFonts w:cs="Times New Roman"/>
                <w:i/>
                <w:iCs/>
                <w:spacing w:val="-6"/>
                <w:kern w:val="0"/>
                <w:sz w:val="22"/>
              </w:rPr>
              <w:t xml:space="preserve"> </w:t>
            </w:r>
            <w:r>
              <w:rPr>
                <w:rFonts w:cs="Times New Roman"/>
                <w:i/>
                <w:iCs/>
                <w:kern w:val="0"/>
                <w:sz w:val="22"/>
              </w:rPr>
              <w:t>A.</w:t>
            </w:r>
          </w:p>
          <w:p>
            <w:pPr>
              <w:kinsoku w:val="0"/>
              <w:overflowPunct w:val="0"/>
              <w:autoSpaceDE w:val="0"/>
              <w:autoSpaceDN w:val="0"/>
              <w:adjustRightInd w:val="0"/>
              <w:spacing w:before="60" w:line="240" w:lineRule="auto"/>
              <w:ind w:right="71" w:firstLine="0" w:firstLineChars="0"/>
              <w:jc w:val="center"/>
              <w:rPr>
                <w:rFonts w:cs="Times New Roman"/>
                <w:i/>
                <w:iCs/>
                <w:kern w:val="0"/>
                <w:sz w:val="22"/>
              </w:rPr>
            </w:pPr>
            <w:r>
              <w:rPr>
                <w:rFonts w:cs="Times New Roman"/>
                <w:i/>
                <w:iCs/>
                <w:kern w:val="0"/>
                <w:sz w:val="22"/>
              </w:rPr>
              <w:t>Mey.)</w:t>
            </w:r>
            <w:r>
              <w:rPr>
                <w:rFonts w:cs="Times New Roman"/>
                <w:i/>
                <w:iCs/>
                <w:spacing w:val="-5"/>
                <w:kern w:val="0"/>
                <w:sz w:val="22"/>
              </w:rPr>
              <w:t xml:space="preserve"> </w:t>
            </w:r>
            <w:r>
              <w:rPr>
                <w:rFonts w:cs="Times New Roman"/>
                <w:i/>
                <w:iCs/>
                <w:kern w:val="0"/>
                <w:sz w:val="22"/>
              </w:rPr>
              <w:t>Moq.</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78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叉毛蓬属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叉毛蓬</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Petrosimonia</w:t>
            </w:r>
            <w:r>
              <w:rPr>
                <w:rFonts w:cs="Times New Roman"/>
                <w:i/>
                <w:iCs/>
                <w:spacing w:val="-7"/>
                <w:kern w:val="0"/>
                <w:sz w:val="22"/>
              </w:rPr>
              <w:t xml:space="preserve"> </w:t>
            </w:r>
            <w:r>
              <w:rPr>
                <w:rFonts w:cs="Times New Roman"/>
                <w:i/>
                <w:iCs/>
                <w:kern w:val="0"/>
                <w:sz w:val="22"/>
              </w:rPr>
              <w:t>sibirica(Pall.)</w:t>
            </w:r>
          </w:p>
          <w:p>
            <w:pPr>
              <w:kinsoku w:val="0"/>
              <w:overflowPunct w:val="0"/>
              <w:autoSpaceDE w:val="0"/>
              <w:autoSpaceDN w:val="0"/>
              <w:adjustRightInd w:val="0"/>
              <w:spacing w:before="59" w:line="240" w:lineRule="auto"/>
              <w:ind w:right="70" w:firstLine="0" w:firstLineChars="0"/>
              <w:jc w:val="center"/>
              <w:rPr>
                <w:rFonts w:cs="Times New Roman"/>
                <w:i/>
                <w:iCs/>
                <w:kern w:val="0"/>
                <w:sz w:val="22"/>
              </w:rPr>
            </w:pPr>
            <w:r>
              <w:rPr>
                <w:rFonts w:cs="Times New Roman"/>
                <w:i/>
                <w:iCs/>
                <w:kern w:val="0"/>
                <w:sz w:val="22"/>
              </w:rPr>
              <w:t>Bunge</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79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猪毛菜属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猪毛菜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Salsola</w:t>
            </w:r>
            <w:r>
              <w:rPr>
                <w:rFonts w:cs="Times New Roman"/>
                <w:i/>
                <w:iCs/>
                <w:spacing w:val="-2"/>
                <w:kern w:val="0"/>
                <w:sz w:val="22"/>
              </w:rPr>
              <w:t xml:space="preserve"> </w:t>
            </w:r>
            <w:r>
              <w:rPr>
                <w:rFonts w:cs="Times New Roman"/>
                <w:i/>
                <w:iCs/>
                <w:kern w:val="0"/>
                <w:sz w:val="22"/>
              </w:rPr>
              <w:t>collinaPall.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80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猪毛菜属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紫翅猪毛菜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Salsola</w:t>
            </w:r>
            <w:r>
              <w:rPr>
                <w:rFonts w:cs="Times New Roman"/>
                <w:i/>
                <w:iCs/>
                <w:spacing w:val="-3"/>
                <w:kern w:val="0"/>
                <w:sz w:val="22"/>
              </w:rPr>
              <w:t xml:space="preserve"> </w:t>
            </w:r>
            <w:r>
              <w:rPr>
                <w:rFonts w:cs="Times New Roman"/>
                <w:i/>
                <w:iCs/>
                <w:kern w:val="0"/>
                <w:sz w:val="22"/>
              </w:rPr>
              <w:t>affinisC.</w:t>
            </w:r>
            <w:r>
              <w:rPr>
                <w:rFonts w:cs="Times New Roman"/>
                <w:i/>
                <w:iCs/>
                <w:spacing w:val="-8"/>
                <w:kern w:val="0"/>
                <w:sz w:val="22"/>
              </w:rPr>
              <w:t xml:space="preserve"> </w:t>
            </w:r>
            <w:r>
              <w:rPr>
                <w:rFonts w:cs="Times New Roman"/>
                <w:i/>
                <w:iCs/>
                <w:kern w:val="0"/>
                <w:sz w:val="22"/>
              </w:rPr>
              <w:t>A.</w:t>
            </w:r>
            <w:r>
              <w:rPr>
                <w:rFonts w:cs="Times New Roman"/>
                <w:i/>
                <w:iCs/>
                <w:spacing w:val="-3"/>
                <w:kern w:val="0"/>
                <w:sz w:val="22"/>
              </w:rPr>
              <w:t xml:space="preserve"> </w:t>
            </w:r>
            <w:r>
              <w:rPr>
                <w:rFonts w:cs="Times New Roman"/>
                <w:i/>
                <w:iCs/>
                <w:kern w:val="0"/>
                <w:sz w:val="22"/>
              </w:rPr>
              <w:t>Mey.</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81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猪毛菜属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密枝猪毛菜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67" w:firstLine="0" w:firstLineChars="0"/>
              <w:jc w:val="right"/>
              <w:rPr>
                <w:rFonts w:cs="Times New Roman"/>
                <w:i/>
                <w:iCs/>
                <w:kern w:val="0"/>
                <w:sz w:val="22"/>
              </w:rPr>
            </w:pPr>
            <w:r>
              <w:rPr>
                <w:rFonts w:cs="Times New Roman"/>
                <w:i/>
                <w:iCs/>
                <w:kern w:val="0"/>
                <w:sz w:val="22"/>
              </w:rPr>
              <w:t>Salsola</w:t>
            </w:r>
            <w:r>
              <w:rPr>
                <w:rFonts w:cs="Times New Roman"/>
                <w:i/>
                <w:iCs/>
                <w:spacing w:val="-6"/>
                <w:kern w:val="0"/>
                <w:sz w:val="22"/>
              </w:rPr>
              <w:t xml:space="preserve"> </w:t>
            </w:r>
            <w:r>
              <w:rPr>
                <w:rFonts w:cs="Times New Roman"/>
                <w:i/>
                <w:iCs/>
                <w:kern w:val="0"/>
                <w:sz w:val="22"/>
              </w:rPr>
              <w:t>implicataBotschantz.</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82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405" w:firstLine="0" w:firstLineChars="0"/>
              <w:jc w:val="right"/>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角果藜属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角果藜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firstLine="0" w:firstLineChars="0"/>
              <w:jc w:val="left"/>
              <w:rPr>
                <w:rFonts w:cs="Times New Roman"/>
                <w:i/>
                <w:iCs/>
                <w:kern w:val="0"/>
                <w:sz w:val="22"/>
              </w:rPr>
            </w:pPr>
            <w:r>
              <w:rPr>
                <w:rFonts w:cs="Times New Roman"/>
                <w:i/>
                <w:iCs/>
                <w:kern w:val="0"/>
                <w:sz w:val="22"/>
              </w:rPr>
              <w:t>Ceratocarpus</w:t>
            </w:r>
            <w:r>
              <w:rPr>
                <w:rFonts w:cs="Times New Roman"/>
                <w:i/>
                <w:iCs/>
                <w:spacing w:val="-4"/>
                <w:kern w:val="0"/>
                <w:sz w:val="22"/>
              </w:rPr>
              <w:t xml:space="preserve"> </w:t>
            </w:r>
            <w:r>
              <w:rPr>
                <w:rFonts w:cs="Times New Roman"/>
                <w:i/>
                <w:iCs/>
                <w:kern w:val="0"/>
                <w:sz w:val="22"/>
              </w:rPr>
              <w:t>arenariusL.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83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"https://baike.so.com/doc/8986729-9315378.html" </w:instrText>
            </w:r>
            <w:r>
              <w:fldChar w:fldCharType="separate"/>
            </w:r>
            <w:r>
              <w:rPr>
                <w:rFonts w:hint="eastAsia" w:ascii="宋体" w:eastAsia="宋体" w:cs="宋体"/>
                <w:kern w:val="0"/>
                <w:sz w:val="22"/>
              </w:rPr>
              <w:t>盐角草属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盐角草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Salicornia</w:t>
            </w:r>
            <w:r>
              <w:rPr>
                <w:rFonts w:cs="Times New Roman"/>
                <w:i/>
                <w:iCs/>
                <w:spacing w:val="-2"/>
                <w:kern w:val="0"/>
                <w:sz w:val="22"/>
              </w:rPr>
              <w:t xml:space="preserve"> </w:t>
            </w:r>
            <w:r>
              <w:rPr>
                <w:rFonts w:cs="Times New Roman"/>
                <w:i/>
                <w:iCs/>
                <w:kern w:val="0"/>
                <w:sz w:val="22"/>
              </w:rPr>
              <w:t>europaeaL.</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84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盐生草属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盐生草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Halogeton</w:t>
            </w:r>
            <w:r>
              <w:rPr>
                <w:rFonts w:cs="Times New Roman"/>
                <w:i/>
                <w:iCs/>
                <w:spacing w:val="-3"/>
                <w:kern w:val="0"/>
                <w:sz w:val="22"/>
              </w:rPr>
              <w:t xml:space="preserve"> </w:t>
            </w:r>
            <w:r>
              <w:rPr>
                <w:rFonts w:cs="Times New Roman"/>
                <w:i/>
                <w:iCs/>
                <w:kern w:val="0"/>
                <w:sz w:val="22"/>
              </w:rPr>
              <w:t>glomeratus(Bieb.)</w:t>
            </w:r>
          </w:p>
          <w:p>
            <w:pPr>
              <w:kinsoku w:val="0"/>
              <w:overflowPunct w:val="0"/>
              <w:autoSpaceDE w:val="0"/>
              <w:autoSpaceDN w:val="0"/>
              <w:adjustRightInd w:val="0"/>
              <w:spacing w:before="59" w:line="240" w:lineRule="auto"/>
              <w:ind w:firstLine="0" w:firstLineChars="0"/>
              <w:jc w:val="left"/>
              <w:rPr>
                <w:rFonts w:cs="Times New Roman"/>
                <w:i/>
                <w:iCs/>
                <w:kern w:val="0"/>
                <w:sz w:val="22"/>
              </w:rPr>
            </w:pPr>
            <w:r>
              <w:rPr>
                <w:rFonts w:cs="Times New Roman"/>
                <w:i/>
                <w:iCs/>
                <w:kern w:val="0"/>
                <w:sz w:val="22"/>
              </w:rPr>
              <w:t>C.</w:t>
            </w:r>
            <w:r>
              <w:rPr>
                <w:rFonts w:cs="Times New Roman"/>
                <w:i/>
                <w:iCs/>
                <w:spacing w:val="-7"/>
                <w:kern w:val="0"/>
                <w:sz w:val="22"/>
              </w:rPr>
              <w:t xml:space="preserve"> </w:t>
            </w:r>
            <w:r>
              <w:rPr>
                <w:rFonts w:cs="Times New Roman"/>
                <w:i/>
                <w:iCs/>
                <w:kern w:val="0"/>
                <w:sz w:val="22"/>
              </w:rPr>
              <w:t>A.</w:t>
            </w:r>
            <w:r>
              <w:rPr>
                <w:rFonts w:cs="Times New Roman"/>
                <w:i/>
                <w:iCs/>
                <w:spacing w:val="-2"/>
                <w:kern w:val="0"/>
                <w:sz w:val="22"/>
              </w:rPr>
              <w:t xml:space="preserve"> </w:t>
            </w:r>
            <w:r>
              <w:rPr>
                <w:rFonts w:cs="Times New Roman"/>
                <w:i/>
                <w:iCs/>
                <w:kern w:val="0"/>
                <w:sz w:val="22"/>
              </w:rPr>
              <w:t>Mey.</w:t>
            </w:r>
          </w:p>
        </w:tc>
      </w:tr>
      <w:tr>
        <w:tblPrEx>
          <w:tblCellMar>
            <w:top w:w="0" w:type="dxa"/>
            <w:left w:w="0" w:type="dxa"/>
            <w:bottom w:w="0" w:type="dxa"/>
            <w:right w:w="0" w:type="dxa"/>
          </w:tblCellMar>
        </w:tblPrEx>
        <w:trPr>
          <w:trHeight w:val="62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6" w:line="240" w:lineRule="auto"/>
              <w:ind w:right="102" w:firstLine="0" w:firstLineChars="0"/>
              <w:jc w:val="center"/>
              <w:rPr>
                <w:rFonts w:cs="Times New Roman"/>
                <w:kern w:val="0"/>
                <w:sz w:val="22"/>
              </w:rPr>
            </w:pPr>
            <w:r>
              <w:rPr>
                <w:rFonts w:cs="Times New Roman"/>
                <w:kern w:val="0"/>
                <w:sz w:val="22"/>
              </w:rPr>
              <w:t>85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假木贼属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高枝假木贼</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Anabasis</w:t>
            </w:r>
            <w:r>
              <w:rPr>
                <w:rFonts w:cs="Times New Roman"/>
                <w:i/>
                <w:iCs/>
                <w:spacing w:val="-3"/>
                <w:kern w:val="0"/>
                <w:sz w:val="22"/>
              </w:rPr>
              <w:t xml:space="preserve"> </w:t>
            </w:r>
            <w:r>
              <w:rPr>
                <w:rFonts w:cs="Times New Roman"/>
                <w:i/>
                <w:iCs/>
                <w:kern w:val="0"/>
                <w:sz w:val="22"/>
              </w:rPr>
              <w:t>elatior(C.</w:t>
            </w:r>
            <w:r>
              <w:rPr>
                <w:rFonts w:cs="Times New Roman"/>
                <w:i/>
                <w:iCs/>
                <w:spacing w:val="-8"/>
                <w:kern w:val="0"/>
                <w:sz w:val="22"/>
              </w:rPr>
              <w:t xml:space="preserve"> </w:t>
            </w:r>
            <w:r>
              <w:rPr>
                <w:rFonts w:cs="Times New Roman"/>
                <w:i/>
                <w:iCs/>
                <w:kern w:val="0"/>
                <w:sz w:val="22"/>
              </w:rPr>
              <w:t>A.</w:t>
            </w:r>
            <w:r>
              <w:rPr>
                <w:rFonts w:cs="Times New Roman"/>
                <w:i/>
                <w:iCs/>
                <w:spacing w:val="-2"/>
                <w:kern w:val="0"/>
                <w:sz w:val="22"/>
              </w:rPr>
              <w:t xml:space="preserve"> </w:t>
            </w:r>
            <w:r>
              <w:rPr>
                <w:rFonts w:cs="Times New Roman"/>
                <w:i/>
                <w:iCs/>
                <w:kern w:val="0"/>
                <w:sz w:val="22"/>
              </w:rPr>
              <w:t>Mey.)</w:t>
            </w:r>
          </w:p>
          <w:p>
            <w:pPr>
              <w:kinsoku w:val="0"/>
              <w:overflowPunct w:val="0"/>
              <w:autoSpaceDE w:val="0"/>
              <w:autoSpaceDN w:val="0"/>
              <w:adjustRightInd w:val="0"/>
              <w:spacing w:before="60" w:line="240" w:lineRule="auto"/>
              <w:ind w:right="71" w:firstLine="0" w:firstLineChars="0"/>
              <w:jc w:val="center"/>
              <w:rPr>
                <w:rFonts w:cs="Times New Roman"/>
                <w:i/>
                <w:iCs/>
                <w:kern w:val="0"/>
                <w:sz w:val="22"/>
              </w:rPr>
            </w:pPr>
            <w:r>
              <w:rPr>
                <w:rFonts w:cs="Times New Roman"/>
                <w:i/>
                <w:iCs/>
                <w:kern w:val="0"/>
                <w:sz w:val="22"/>
              </w:rPr>
              <w:t>Schischk.</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86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梭梭属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梭梭</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Haloxylon</w:t>
            </w:r>
            <w:r>
              <w:rPr>
                <w:rFonts w:cs="Times New Roman"/>
                <w:i/>
                <w:iCs/>
                <w:spacing w:val="-4"/>
                <w:kern w:val="0"/>
                <w:sz w:val="22"/>
              </w:rPr>
              <w:t xml:space="preserve"> </w:t>
            </w:r>
            <w:r>
              <w:rPr>
                <w:rFonts w:cs="Times New Roman"/>
                <w:i/>
                <w:iCs/>
                <w:kern w:val="0"/>
                <w:sz w:val="22"/>
              </w:rPr>
              <w:t>ammodendron(C.</w:t>
            </w:r>
          </w:p>
          <w:p>
            <w:pPr>
              <w:kinsoku w:val="0"/>
              <w:overflowPunct w:val="0"/>
              <w:autoSpaceDE w:val="0"/>
              <w:autoSpaceDN w:val="0"/>
              <w:adjustRightInd w:val="0"/>
              <w:spacing w:before="59" w:line="240" w:lineRule="auto"/>
              <w:ind w:firstLine="0" w:firstLineChars="0"/>
              <w:jc w:val="left"/>
              <w:rPr>
                <w:rFonts w:cs="Times New Roman"/>
                <w:i/>
                <w:iCs/>
                <w:kern w:val="0"/>
                <w:sz w:val="22"/>
              </w:rPr>
            </w:pPr>
            <w:r>
              <w:rPr>
                <w:rFonts w:cs="Times New Roman"/>
                <w:i/>
                <w:iCs/>
                <w:kern w:val="0"/>
                <w:sz w:val="22"/>
              </w:rPr>
              <w:t>A.</w:t>
            </w:r>
            <w:r>
              <w:rPr>
                <w:rFonts w:cs="Times New Roman"/>
                <w:i/>
                <w:iCs/>
                <w:spacing w:val="-3"/>
                <w:kern w:val="0"/>
                <w:sz w:val="22"/>
              </w:rPr>
              <w:t xml:space="preserve"> </w:t>
            </w:r>
            <w:r>
              <w:rPr>
                <w:rFonts w:cs="Times New Roman"/>
                <w:i/>
                <w:iCs/>
                <w:kern w:val="0"/>
                <w:sz w:val="22"/>
              </w:rPr>
              <w:t>Mey.)</w:t>
            </w:r>
            <w:r>
              <w:rPr>
                <w:rFonts w:cs="Times New Roman"/>
                <w:i/>
                <w:iCs/>
                <w:spacing w:val="-2"/>
                <w:kern w:val="0"/>
                <w:sz w:val="22"/>
              </w:rPr>
              <w:t xml:space="preserve"> </w:t>
            </w:r>
            <w:r>
              <w:rPr>
                <w:rFonts w:cs="Times New Roman"/>
                <w:i/>
                <w:iCs/>
                <w:kern w:val="0"/>
                <w:sz w:val="22"/>
              </w:rPr>
              <w:t>Bunge</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87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405" w:firstLine="0" w:firstLineChars="0"/>
              <w:jc w:val="right"/>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驼绒藜属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驼绒藜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Ceratoides</w:t>
            </w:r>
            <w:r>
              <w:rPr>
                <w:rFonts w:cs="Times New Roman"/>
                <w:i/>
                <w:iCs/>
                <w:spacing w:val="-5"/>
                <w:kern w:val="0"/>
                <w:sz w:val="22"/>
              </w:rPr>
              <w:t xml:space="preserve"> </w:t>
            </w:r>
            <w:r>
              <w:rPr>
                <w:rFonts w:cs="Times New Roman"/>
                <w:i/>
                <w:iCs/>
                <w:kern w:val="0"/>
                <w:sz w:val="22"/>
              </w:rPr>
              <w:t>latens</w:t>
            </w:r>
            <w:r>
              <w:rPr>
                <w:rFonts w:cs="Times New Roman"/>
                <w:i/>
                <w:iCs/>
                <w:spacing w:val="-5"/>
                <w:kern w:val="0"/>
                <w:sz w:val="22"/>
              </w:rPr>
              <w:t xml:space="preserve"> </w:t>
            </w:r>
            <w:r>
              <w:rPr>
                <w:rFonts w:cs="Times New Roman"/>
                <w:i/>
                <w:iCs/>
                <w:kern w:val="0"/>
                <w:sz w:val="22"/>
              </w:rPr>
              <w:t>(J.</w:t>
            </w:r>
            <w:r>
              <w:rPr>
                <w:rFonts w:cs="Times New Roman"/>
                <w:i/>
                <w:iCs/>
                <w:spacing w:val="-5"/>
                <w:kern w:val="0"/>
                <w:sz w:val="22"/>
              </w:rPr>
              <w:t xml:space="preserve"> </w:t>
            </w:r>
            <w:r>
              <w:rPr>
                <w:rFonts w:cs="Times New Roman"/>
                <w:i/>
                <w:iCs/>
                <w:kern w:val="0"/>
                <w:sz w:val="22"/>
              </w:rPr>
              <w:t>F.</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Gmel.)</w:t>
            </w:r>
            <w:r>
              <w:rPr>
                <w:rFonts w:cs="Times New Roman"/>
                <w:i/>
                <w:iCs/>
                <w:spacing w:val="-3"/>
                <w:kern w:val="0"/>
                <w:sz w:val="22"/>
              </w:rPr>
              <w:t xml:space="preserve"> </w:t>
            </w:r>
            <w:r>
              <w:rPr>
                <w:rFonts w:cs="Times New Roman"/>
                <w:i/>
                <w:iCs/>
                <w:kern w:val="0"/>
                <w:sz w:val="22"/>
              </w:rPr>
              <w:t>Reveal</w:t>
            </w:r>
            <w:r>
              <w:rPr>
                <w:rFonts w:cs="Times New Roman"/>
                <w:i/>
                <w:iCs/>
                <w:spacing w:val="-1"/>
                <w:kern w:val="0"/>
                <w:sz w:val="22"/>
              </w:rPr>
              <w:t xml:space="preserve"> </w:t>
            </w:r>
            <w:r>
              <w:rPr>
                <w:rFonts w:cs="Times New Roman"/>
                <w:i/>
                <w:iCs/>
                <w:kern w:val="0"/>
                <w:sz w:val="22"/>
              </w:rPr>
              <w:t>et</w:t>
            </w:r>
            <w:r>
              <w:rPr>
                <w:rFonts w:cs="Times New Roman"/>
                <w:i/>
                <w:iCs/>
                <w:spacing w:val="-1"/>
                <w:kern w:val="0"/>
                <w:sz w:val="22"/>
              </w:rPr>
              <w:t xml:space="preserve"> </w:t>
            </w:r>
            <w:r>
              <w:rPr>
                <w:rFonts w:cs="Times New Roman"/>
                <w:i/>
                <w:iCs/>
                <w:kern w:val="0"/>
                <w:sz w:val="22"/>
              </w:rPr>
              <w:t>Holmgren</w:t>
            </w:r>
          </w:p>
        </w:tc>
      </w:tr>
      <w:tr>
        <w:tblPrEx>
          <w:tblCellMar>
            <w:top w:w="0" w:type="dxa"/>
            <w:left w:w="0" w:type="dxa"/>
            <w:bottom w:w="0" w:type="dxa"/>
            <w:right w:w="0" w:type="dxa"/>
          </w:tblCellMar>
        </w:tblPrEx>
        <w:trPr>
          <w:trHeight w:val="878"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 w:line="240" w:lineRule="auto"/>
              <w:ind w:firstLine="0" w:firstLineChars="0"/>
              <w:jc w:val="left"/>
              <w:rPr>
                <w:rFonts w:ascii="黑体" w:eastAsia="黑体" w:cs="黑体"/>
                <w:b/>
                <w:bCs/>
                <w:kern w:val="0"/>
                <w:szCs w:val="24"/>
              </w:rPr>
            </w:pPr>
          </w:p>
          <w:p>
            <w:pPr>
              <w:kinsoku w:val="0"/>
              <w:overflowPunct w:val="0"/>
              <w:autoSpaceDE w:val="0"/>
              <w:autoSpaceDN w:val="0"/>
              <w:adjustRightInd w:val="0"/>
              <w:spacing w:line="240" w:lineRule="auto"/>
              <w:ind w:right="102" w:firstLine="0" w:firstLineChars="0"/>
              <w:jc w:val="center"/>
              <w:rPr>
                <w:rFonts w:cs="Times New Roman"/>
                <w:kern w:val="0"/>
                <w:sz w:val="22"/>
              </w:rPr>
            </w:pPr>
            <w:r>
              <w:rPr>
                <w:rFonts w:cs="Times New Roman"/>
                <w:kern w:val="0"/>
                <w:sz w:val="22"/>
              </w:rPr>
              <w:t>88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 w:line="240" w:lineRule="auto"/>
              <w:ind w:firstLine="0" w:firstLineChars="0"/>
              <w:jc w:val="left"/>
              <w:rPr>
                <w:rFonts w:ascii="黑体" w:eastAsia="黑体" w:cs="黑体"/>
                <w:b/>
                <w:bCs/>
                <w:kern w:val="0"/>
                <w:sz w:val="23"/>
                <w:szCs w:val="23"/>
              </w:rPr>
            </w:pPr>
          </w:p>
          <w:p>
            <w:pPr>
              <w:kinsoku w:val="0"/>
              <w:overflowPunct w:val="0"/>
              <w:autoSpaceDE w:val="0"/>
              <w:autoSpaceDN w:val="0"/>
              <w:adjustRightInd w:val="0"/>
              <w:spacing w:line="240" w:lineRule="auto"/>
              <w:ind w:right="405" w:firstLine="0" w:firstLineChars="0"/>
              <w:jc w:val="right"/>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 w:line="240" w:lineRule="auto"/>
              <w:ind w:firstLine="0" w:firstLineChars="0"/>
              <w:jc w:val="left"/>
              <w:rPr>
                <w:rFonts w:ascii="黑体" w:eastAsia="黑体" w:cs="黑体"/>
                <w:b/>
                <w:bCs/>
                <w:kern w:val="0"/>
                <w:sz w:val="23"/>
                <w:szCs w:val="23"/>
              </w:rPr>
            </w:pPr>
          </w:p>
          <w:p>
            <w:pPr>
              <w:kinsoku w:val="0"/>
              <w:overflowPunct w:val="0"/>
              <w:autoSpaceDE w:val="0"/>
              <w:autoSpaceDN w:val="0"/>
              <w:adjustRightInd w:val="0"/>
              <w:spacing w:line="240" w:lineRule="auto"/>
              <w:ind w:right="158" w:firstLine="0" w:firstLineChars="0"/>
              <w:jc w:val="center"/>
              <w:rPr>
                <w:rFonts w:ascii="宋体" w:eastAsia="宋体" w:cs="宋体"/>
                <w:kern w:val="0"/>
                <w:sz w:val="22"/>
              </w:rPr>
            </w:pPr>
            <w:r>
              <w:rPr>
                <w:rFonts w:hint="eastAsia" w:ascii="宋体" w:eastAsia="宋体" w:cs="宋体"/>
                <w:kern w:val="0"/>
                <w:sz w:val="22"/>
              </w:rPr>
              <w:t>碱蓬属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 w:line="240" w:lineRule="auto"/>
              <w:ind w:firstLine="0" w:firstLineChars="0"/>
              <w:jc w:val="left"/>
              <w:rPr>
                <w:rFonts w:ascii="黑体" w:eastAsia="黑体" w:cs="黑体"/>
                <w:b/>
                <w:bCs/>
                <w:kern w:val="0"/>
                <w:sz w:val="23"/>
                <w:szCs w:val="23"/>
              </w:rPr>
            </w:pPr>
          </w:p>
          <w:p>
            <w:pPr>
              <w:kinsoku w:val="0"/>
              <w:overflowPunct w:val="0"/>
              <w:autoSpaceDE w:val="0"/>
              <w:autoSpaceDN w:val="0"/>
              <w:adjustRightInd w:val="0"/>
              <w:spacing w:line="240" w:lineRule="auto"/>
              <w:ind w:right="157" w:firstLine="0" w:firstLineChars="0"/>
              <w:jc w:val="center"/>
              <w:rPr>
                <w:rFonts w:ascii="宋体" w:eastAsia="宋体" w:cs="宋体"/>
                <w:kern w:val="0"/>
                <w:sz w:val="22"/>
              </w:rPr>
            </w:pPr>
            <w:r>
              <w:rPr>
                <w:rFonts w:hint="eastAsia" w:ascii="宋体" w:eastAsia="宋体" w:cs="宋体"/>
                <w:kern w:val="0"/>
                <w:sz w:val="22"/>
              </w:rPr>
              <w:t>奇异碱蓬</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7" w:line="295" w:lineRule="auto"/>
              <w:ind w:right="299" w:firstLine="0" w:firstLineChars="0"/>
              <w:jc w:val="left"/>
              <w:rPr>
                <w:rFonts w:cs="Times New Roman"/>
                <w:i/>
                <w:iCs/>
                <w:kern w:val="0"/>
                <w:sz w:val="22"/>
              </w:rPr>
            </w:pPr>
            <w:r>
              <w:rPr>
                <w:rFonts w:cs="Times New Roman"/>
                <w:i/>
                <w:iCs/>
                <w:kern w:val="0"/>
                <w:sz w:val="22"/>
              </w:rPr>
              <w:t>Suaeda paradoxa(Bunge)</w:t>
            </w:r>
            <w:r>
              <w:rPr>
                <w:rFonts w:cs="Times New Roman"/>
                <w:i/>
                <w:iCs/>
                <w:spacing w:val="-52"/>
                <w:kern w:val="0"/>
                <w:sz w:val="22"/>
              </w:rPr>
              <w:t xml:space="preserve"> </w:t>
            </w:r>
            <w:r>
              <w:rPr>
                <w:rFonts w:cs="Times New Roman"/>
                <w:i/>
                <w:iCs/>
                <w:kern w:val="0"/>
                <w:sz w:val="22"/>
              </w:rPr>
              <w:t>Bunge</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89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405" w:firstLine="0" w:firstLineChars="0"/>
              <w:jc w:val="right"/>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猪毛菜属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钠猪毛菜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Salsola</w:t>
            </w:r>
            <w:r>
              <w:rPr>
                <w:rFonts w:cs="Times New Roman"/>
                <w:i/>
                <w:iCs/>
                <w:spacing w:val="-2"/>
                <w:kern w:val="0"/>
                <w:sz w:val="22"/>
              </w:rPr>
              <w:t xml:space="preserve"> </w:t>
            </w:r>
            <w:r>
              <w:rPr>
                <w:rFonts w:cs="Times New Roman"/>
                <w:i/>
                <w:iCs/>
                <w:kern w:val="0"/>
                <w:sz w:val="22"/>
              </w:rPr>
              <w:t>nitrariaPall.</w:t>
            </w:r>
          </w:p>
        </w:tc>
      </w:tr>
    </w:tbl>
    <w:p>
      <w:pPr>
        <w:autoSpaceDE w:val="0"/>
        <w:autoSpaceDN w:val="0"/>
        <w:adjustRightInd w:val="0"/>
        <w:spacing w:line="240" w:lineRule="auto"/>
        <w:ind w:firstLine="0" w:firstLineChars="0"/>
        <w:jc w:val="left"/>
        <w:rPr>
          <w:rFonts w:ascii="黑体" w:eastAsia="黑体" w:cs="黑体"/>
          <w:b/>
          <w:bCs/>
          <w:kern w:val="0"/>
          <w:sz w:val="15"/>
          <w:szCs w:val="15"/>
        </w:rPr>
        <w:sectPr>
          <w:pgSz w:w="11910" w:h="16840"/>
          <w:pgMar w:top="1420" w:right="200" w:bottom="280" w:left="780" w:header="720" w:footer="720" w:gutter="0"/>
          <w:cols w:space="720" w:num="1"/>
        </w:sectPr>
      </w:pPr>
    </w:p>
    <w:tbl>
      <w:tblPr>
        <w:tblStyle w:val="25"/>
        <w:tblW w:w="8295" w:type="dxa"/>
        <w:tblInd w:w="1030" w:type="dxa"/>
        <w:tblLayout w:type="fixed"/>
        <w:tblCellMar>
          <w:top w:w="0" w:type="dxa"/>
          <w:left w:w="0" w:type="dxa"/>
          <w:bottom w:w="0" w:type="dxa"/>
          <w:right w:w="0" w:type="dxa"/>
        </w:tblCellMar>
      </w:tblPr>
      <w:tblGrid>
        <w:gridCol w:w="703"/>
        <w:gridCol w:w="1277"/>
        <w:gridCol w:w="1701"/>
        <w:gridCol w:w="1701"/>
        <w:gridCol w:w="2913"/>
      </w:tblGrid>
      <w:tr>
        <w:tblPrEx>
          <w:tblCellMar>
            <w:top w:w="0" w:type="dxa"/>
            <w:left w:w="0" w:type="dxa"/>
            <w:bottom w:w="0" w:type="dxa"/>
            <w:right w:w="0" w:type="dxa"/>
          </w:tblCellMar>
        </w:tblPrEx>
        <w:trPr>
          <w:trHeight w:val="62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6" w:line="240" w:lineRule="auto"/>
              <w:ind w:right="102" w:firstLine="0" w:firstLineChars="0"/>
              <w:jc w:val="center"/>
              <w:rPr>
                <w:rFonts w:cs="Times New Roman"/>
                <w:kern w:val="0"/>
                <w:sz w:val="22"/>
              </w:rPr>
            </w:pPr>
            <w:r>
              <w:rPr>
                <w:rFonts w:cs="Times New Roman"/>
                <w:kern w:val="0"/>
                <w:sz w:val="22"/>
              </w:rPr>
              <w:t>90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地肤属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灰毛木地肤</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1" w:firstLine="0" w:firstLineChars="0"/>
              <w:jc w:val="center"/>
              <w:rPr>
                <w:rFonts w:cs="Times New Roman"/>
                <w:i/>
                <w:iCs/>
                <w:kern w:val="0"/>
                <w:sz w:val="22"/>
              </w:rPr>
            </w:pPr>
            <w:r>
              <w:rPr>
                <w:rFonts w:cs="Times New Roman"/>
                <w:i/>
                <w:iCs/>
                <w:kern w:val="0"/>
                <w:sz w:val="22"/>
              </w:rPr>
              <w:t>Kochia</w:t>
            </w:r>
            <w:r>
              <w:rPr>
                <w:rFonts w:cs="Times New Roman"/>
                <w:i/>
                <w:iCs/>
                <w:spacing w:val="-6"/>
                <w:kern w:val="0"/>
                <w:sz w:val="22"/>
              </w:rPr>
              <w:t xml:space="preserve"> </w:t>
            </w:r>
            <w:r>
              <w:rPr>
                <w:rFonts w:cs="Times New Roman"/>
                <w:i/>
                <w:iCs/>
                <w:kern w:val="0"/>
                <w:sz w:val="22"/>
              </w:rPr>
              <w:t>prostrata</w:t>
            </w:r>
            <w:r>
              <w:rPr>
                <w:rFonts w:cs="Times New Roman"/>
                <w:i/>
                <w:iCs/>
                <w:spacing w:val="-8"/>
                <w:kern w:val="0"/>
                <w:sz w:val="22"/>
              </w:rPr>
              <w:t xml:space="preserve"> </w:t>
            </w:r>
            <w:r>
              <w:rPr>
                <w:rFonts w:cs="Times New Roman"/>
                <w:i/>
                <w:iCs/>
                <w:kern w:val="0"/>
                <w:sz w:val="22"/>
              </w:rPr>
              <w:t>var.</w:t>
            </w:r>
          </w:p>
          <w:p>
            <w:pPr>
              <w:kinsoku w:val="0"/>
              <w:overflowPunct w:val="0"/>
              <w:autoSpaceDE w:val="0"/>
              <w:autoSpaceDN w:val="0"/>
              <w:adjustRightInd w:val="0"/>
              <w:spacing w:before="59" w:line="240" w:lineRule="auto"/>
              <w:ind w:right="72" w:firstLine="0" w:firstLineChars="0"/>
              <w:jc w:val="center"/>
              <w:rPr>
                <w:rFonts w:cs="Times New Roman"/>
                <w:i/>
                <w:iCs/>
                <w:kern w:val="0"/>
                <w:sz w:val="22"/>
              </w:rPr>
            </w:pPr>
            <w:r>
              <w:rPr>
                <w:rFonts w:cs="Times New Roman"/>
                <w:i/>
                <w:iCs/>
                <w:kern w:val="0"/>
                <w:sz w:val="22"/>
              </w:rPr>
              <w:t>canescens</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91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地肤属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密毛木地肤</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Kochia</w:t>
            </w:r>
            <w:r>
              <w:rPr>
                <w:rFonts w:cs="Times New Roman"/>
                <w:i/>
                <w:iCs/>
                <w:spacing w:val="-6"/>
                <w:kern w:val="0"/>
                <w:sz w:val="22"/>
              </w:rPr>
              <w:t xml:space="preserve"> </w:t>
            </w:r>
            <w:r>
              <w:rPr>
                <w:rFonts w:cs="Times New Roman"/>
                <w:i/>
                <w:iCs/>
                <w:kern w:val="0"/>
                <w:sz w:val="22"/>
              </w:rPr>
              <w:t>prostrata</w:t>
            </w:r>
            <w:r>
              <w:rPr>
                <w:rFonts w:cs="Times New Roman"/>
                <w:i/>
                <w:iCs/>
                <w:spacing w:val="-8"/>
                <w:kern w:val="0"/>
                <w:sz w:val="22"/>
              </w:rPr>
              <w:t xml:space="preserve"> </w:t>
            </w:r>
            <w:r>
              <w:rPr>
                <w:rFonts w:cs="Times New Roman"/>
                <w:i/>
                <w:iCs/>
                <w:kern w:val="0"/>
                <w:sz w:val="22"/>
              </w:rPr>
              <w:t>(L.)</w:t>
            </w:r>
            <w:r>
              <w:rPr>
                <w:rFonts w:cs="Times New Roman"/>
                <w:i/>
                <w:iCs/>
                <w:spacing w:val="-7"/>
                <w:kern w:val="0"/>
                <w:sz w:val="22"/>
              </w:rPr>
              <w:t xml:space="preserve"> </w:t>
            </w:r>
            <w:r>
              <w:rPr>
                <w:rFonts w:cs="Times New Roman"/>
                <w:i/>
                <w:iCs/>
                <w:kern w:val="0"/>
                <w:sz w:val="22"/>
              </w:rPr>
              <w:t>Schrad.</w:t>
            </w:r>
          </w:p>
          <w:p>
            <w:pPr>
              <w:kinsoku w:val="0"/>
              <w:overflowPunct w:val="0"/>
              <w:autoSpaceDE w:val="0"/>
              <w:autoSpaceDN w:val="0"/>
              <w:adjustRightInd w:val="0"/>
              <w:spacing w:before="59" w:line="240" w:lineRule="auto"/>
              <w:ind w:firstLine="0" w:firstLineChars="0"/>
              <w:jc w:val="left"/>
              <w:rPr>
                <w:rFonts w:cs="Times New Roman"/>
                <w:i/>
                <w:iCs/>
                <w:kern w:val="0"/>
                <w:sz w:val="22"/>
              </w:rPr>
            </w:pPr>
            <w:r>
              <w:rPr>
                <w:rFonts w:cs="Times New Roman"/>
                <w:i/>
                <w:iCs/>
                <w:kern w:val="0"/>
                <w:sz w:val="22"/>
              </w:rPr>
              <w:t>var.</w:t>
            </w:r>
            <w:r>
              <w:rPr>
                <w:rFonts w:cs="Times New Roman"/>
                <w:i/>
                <w:iCs/>
                <w:spacing w:val="-12"/>
                <w:kern w:val="0"/>
                <w:sz w:val="22"/>
              </w:rPr>
              <w:t xml:space="preserve"> </w:t>
            </w:r>
            <w:r>
              <w:rPr>
                <w:rFonts w:cs="Times New Roman"/>
                <w:i/>
                <w:iCs/>
                <w:kern w:val="0"/>
                <w:sz w:val="22"/>
              </w:rPr>
              <w:t>villosissima</w:t>
            </w:r>
            <w:r>
              <w:rPr>
                <w:rFonts w:cs="Times New Roman"/>
                <w:i/>
                <w:iCs/>
                <w:spacing w:val="-11"/>
                <w:kern w:val="0"/>
                <w:sz w:val="22"/>
              </w:rPr>
              <w:t xml:space="preserve"> </w:t>
            </w:r>
            <w:r>
              <w:rPr>
                <w:rFonts w:cs="Times New Roman"/>
                <w:i/>
                <w:iCs/>
                <w:kern w:val="0"/>
                <w:sz w:val="22"/>
              </w:rPr>
              <w:t>Bong.</w:t>
            </w:r>
            <w:r>
              <w:rPr>
                <w:rFonts w:cs="Times New Roman"/>
                <w:i/>
                <w:iCs/>
                <w:spacing w:val="-12"/>
                <w:kern w:val="0"/>
                <w:sz w:val="22"/>
              </w:rPr>
              <w:t xml:space="preserve"> </w:t>
            </w:r>
            <w:r>
              <w:rPr>
                <w:rFonts w:cs="Times New Roman"/>
                <w:i/>
                <w:iCs/>
                <w:kern w:val="0"/>
                <w:sz w:val="22"/>
              </w:rPr>
              <w:t>et</w:t>
            </w:r>
            <w:r>
              <w:rPr>
                <w:rFonts w:cs="Times New Roman"/>
                <w:i/>
                <w:iCs/>
                <w:spacing w:val="-10"/>
                <w:kern w:val="0"/>
                <w:sz w:val="22"/>
              </w:rPr>
              <w:t xml:space="preserve"> </w:t>
            </w:r>
            <w:r>
              <w:rPr>
                <w:rFonts w:cs="Times New Roman"/>
                <w:i/>
                <w:iCs/>
                <w:kern w:val="0"/>
                <w:sz w:val="22"/>
              </w:rPr>
              <w:t>Mey.</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92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驼绒藜属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驼绒藜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Ceratoides</w:t>
            </w:r>
            <w:r>
              <w:rPr>
                <w:rFonts w:cs="Times New Roman"/>
                <w:i/>
                <w:iCs/>
                <w:spacing w:val="-5"/>
                <w:kern w:val="0"/>
                <w:sz w:val="22"/>
              </w:rPr>
              <w:t xml:space="preserve"> </w:t>
            </w:r>
            <w:r>
              <w:rPr>
                <w:rFonts w:cs="Times New Roman"/>
                <w:i/>
                <w:iCs/>
                <w:kern w:val="0"/>
                <w:sz w:val="22"/>
              </w:rPr>
              <w:t>latens</w:t>
            </w:r>
            <w:r>
              <w:rPr>
                <w:rFonts w:cs="Times New Roman"/>
                <w:i/>
                <w:iCs/>
                <w:spacing w:val="-5"/>
                <w:kern w:val="0"/>
                <w:sz w:val="22"/>
              </w:rPr>
              <w:t xml:space="preserve"> </w:t>
            </w:r>
            <w:r>
              <w:rPr>
                <w:rFonts w:cs="Times New Roman"/>
                <w:i/>
                <w:iCs/>
                <w:kern w:val="0"/>
                <w:sz w:val="22"/>
              </w:rPr>
              <w:t>(J.</w:t>
            </w:r>
            <w:r>
              <w:rPr>
                <w:rFonts w:cs="Times New Roman"/>
                <w:i/>
                <w:iCs/>
                <w:spacing w:val="-5"/>
                <w:kern w:val="0"/>
                <w:sz w:val="22"/>
              </w:rPr>
              <w:t xml:space="preserve"> </w:t>
            </w:r>
            <w:r>
              <w:rPr>
                <w:rFonts w:cs="Times New Roman"/>
                <w:i/>
                <w:iCs/>
                <w:kern w:val="0"/>
                <w:sz w:val="22"/>
              </w:rPr>
              <w:t>F.</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Gmel.)</w:t>
            </w:r>
            <w:r>
              <w:rPr>
                <w:rFonts w:cs="Times New Roman"/>
                <w:i/>
                <w:iCs/>
                <w:spacing w:val="-3"/>
                <w:kern w:val="0"/>
                <w:sz w:val="22"/>
              </w:rPr>
              <w:t xml:space="preserve"> </w:t>
            </w:r>
            <w:r>
              <w:rPr>
                <w:rFonts w:cs="Times New Roman"/>
                <w:i/>
                <w:iCs/>
                <w:kern w:val="0"/>
                <w:sz w:val="22"/>
              </w:rPr>
              <w:t>Reveal</w:t>
            </w:r>
            <w:r>
              <w:rPr>
                <w:rFonts w:cs="Times New Roman"/>
                <w:i/>
                <w:iCs/>
                <w:spacing w:val="-1"/>
                <w:kern w:val="0"/>
                <w:sz w:val="22"/>
              </w:rPr>
              <w:t xml:space="preserve"> </w:t>
            </w:r>
            <w:r>
              <w:rPr>
                <w:rFonts w:cs="Times New Roman"/>
                <w:i/>
                <w:iCs/>
                <w:kern w:val="0"/>
                <w:sz w:val="22"/>
              </w:rPr>
              <w:t>et</w:t>
            </w:r>
            <w:r>
              <w:rPr>
                <w:rFonts w:cs="Times New Roman"/>
                <w:i/>
                <w:iCs/>
                <w:spacing w:val="-2"/>
                <w:kern w:val="0"/>
                <w:sz w:val="22"/>
              </w:rPr>
              <w:t xml:space="preserve"> </w:t>
            </w:r>
            <w:r>
              <w:rPr>
                <w:rFonts w:cs="Times New Roman"/>
                <w:i/>
                <w:iCs/>
                <w:kern w:val="0"/>
                <w:sz w:val="22"/>
              </w:rPr>
              <w:t>Holmgren</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93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fldChar w:fldCharType="begin"/>
            </w:r>
            <w:r>
              <w:instrText xml:space="preserve"> HYPERLINK "https://baike.so.com/doc/6578100-6791866.html" </w:instrText>
            </w:r>
            <w:r>
              <w:fldChar w:fldCharType="separate"/>
            </w:r>
            <w:r>
              <w:rPr>
                <w:rFonts w:hint="eastAsia" w:ascii="宋体" w:eastAsia="宋体" w:cs="宋体"/>
                <w:kern w:val="0"/>
                <w:sz w:val="22"/>
              </w:rPr>
              <w:t>地肤属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地肤</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84" w:firstLine="0" w:firstLineChars="0"/>
              <w:jc w:val="right"/>
              <w:rPr>
                <w:rFonts w:cs="Times New Roman"/>
                <w:i/>
                <w:iCs/>
                <w:kern w:val="0"/>
                <w:sz w:val="22"/>
              </w:rPr>
            </w:pPr>
            <w:r>
              <w:rPr>
                <w:rFonts w:cs="Times New Roman"/>
                <w:i/>
                <w:iCs/>
                <w:kern w:val="0"/>
                <w:sz w:val="22"/>
              </w:rPr>
              <w:t>Kochia</w:t>
            </w:r>
            <w:r>
              <w:rPr>
                <w:rFonts w:cs="Times New Roman"/>
                <w:i/>
                <w:iCs/>
                <w:spacing w:val="-4"/>
                <w:kern w:val="0"/>
                <w:sz w:val="22"/>
              </w:rPr>
              <w:t xml:space="preserve"> </w:t>
            </w:r>
            <w:r>
              <w:rPr>
                <w:rFonts w:cs="Times New Roman"/>
                <w:i/>
                <w:iCs/>
                <w:kern w:val="0"/>
                <w:sz w:val="22"/>
              </w:rPr>
              <w:t>scoparia(L.)</w:t>
            </w:r>
            <w:r>
              <w:rPr>
                <w:rFonts w:cs="Times New Roman"/>
                <w:i/>
                <w:iCs/>
                <w:spacing w:val="-3"/>
                <w:kern w:val="0"/>
                <w:sz w:val="22"/>
              </w:rPr>
              <w:t xml:space="preserve"> </w:t>
            </w:r>
            <w:r>
              <w:rPr>
                <w:rFonts w:cs="Times New Roman"/>
                <w:i/>
                <w:iCs/>
                <w:kern w:val="0"/>
                <w:sz w:val="22"/>
              </w:rPr>
              <w:t>Schrad.</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94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滨藜属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滨藜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Atriplex</w:t>
            </w:r>
            <w:r>
              <w:rPr>
                <w:rFonts w:cs="Times New Roman"/>
                <w:i/>
                <w:iCs/>
                <w:spacing w:val="-5"/>
                <w:kern w:val="0"/>
                <w:sz w:val="22"/>
              </w:rPr>
              <w:t xml:space="preserve"> </w:t>
            </w:r>
            <w:r>
              <w:rPr>
                <w:rFonts w:cs="Times New Roman"/>
                <w:i/>
                <w:iCs/>
                <w:kern w:val="0"/>
                <w:sz w:val="22"/>
              </w:rPr>
              <w:t>patens(Litv.)</w:t>
            </w:r>
            <w:r>
              <w:rPr>
                <w:rFonts w:cs="Times New Roman"/>
                <w:i/>
                <w:iCs/>
                <w:spacing w:val="-4"/>
                <w:kern w:val="0"/>
                <w:sz w:val="22"/>
              </w:rPr>
              <w:t xml:space="preserve"> </w:t>
            </w:r>
            <w:r>
              <w:rPr>
                <w:rFonts w:cs="Times New Roman"/>
                <w:i/>
                <w:iCs/>
                <w:kern w:val="0"/>
                <w:sz w:val="22"/>
              </w:rPr>
              <w:t>Iljin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95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滨藜属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鞑靼滨藜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Medicago</w:t>
            </w:r>
            <w:r>
              <w:rPr>
                <w:rFonts w:cs="Times New Roman"/>
                <w:i/>
                <w:iCs/>
                <w:spacing w:val="-3"/>
                <w:kern w:val="0"/>
                <w:sz w:val="22"/>
              </w:rPr>
              <w:t xml:space="preserve"> </w:t>
            </w:r>
            <w:r>
              <w:rPr>
                <w:rFonts w:cs="Times New Roman"/>
                <w:i/>
                <w:iCs/>
                <w:kern w:val="0"/>
                <w:sz w:val="22"/>
              </w:rPr>
              <w:t>lupulinaL.</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96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雾冰藜属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肉叶雾冰藜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Bassia</w:t>
            </w:r>
            <w:r>
              <w:rPr>
                <w:rFonts w:cs="Times New Roman"/>
                <w:i/>
                <w:iCs/>
                <w:spacing w:val="-1"/>
                <w:kern w:val="0"/>
                <w:sz w:val="22"/>
              </w:rPr>
              <w:t xml:space="preserve"> </w:t>
            </w:r>
            <w:r>
              <w:rPr>
                <w:rFonts w:cs="Times New Roman"/>
                <w:i/>
                <w:iCs/>
                <w:kern w:val="0"/>
                <w:sz w:val="22"/>
              </w:rPr>
              <w:t>sedoides</w:t>
            </w:r>
            <w:r>
              <w:rPr>
                <w:rFonts w:cs="Times New Roman"/>
                <w:i/>
                <w:iCs/>
                <w:spacing w:val="-2"/>
                <w:kern w:val="0"/>
                <w:sz w:val="22"/>
              </w:rPr>
              <w:t xml:space="preserve"> </w:t>
            </w:r>
            <w:r>
              <w:rPr>
                <w:rFonts w:cs="Times New Roman"/>
                <w:i/>
                <w:iCs/>
                <w:kern w:val="0"/>
                <w:sz w:val="22"/>
              </w:rPr>
              <w:t>(Pall.)</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Aschers.</w:t>
            </w:r>
          </w:p>
        </w:tc>
      </w:tr>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97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灰绿藜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63" w:firstLine="0" w:firstLineChars="0"/>
              <w:jc w:val="right"/>
              <w:rPr>
                <w:rFonts w:cs="Times New Roman"/>
                <w:i/>
                <w:iCs/>
                <w:kern w:val="0"/>
                <w:sz w:val="22"/>
              </w:rPr>
            </w:pPr>
            <w:r>
              <w:rPr>
                <w:rFonts w:cs="Times New Roman"/>
                <w:i/>
                <w:iCs/>
                <w:kern w:val="0"/>
                <w:sz w:val="22"/>
              </w:rPr>
              <w:t>Chenopodium</w:t>
            </w:r>
            <w:r>
              <w:rPr>
                <w:rFonts w:cs="Times New Roman"/>
                <w:i/>
                <w:iCs/>
                <w:spacing w:val="-2"/>
                <w:kern w:val="0"/>
                <w:sz w:val="22"/>
              </w:rPr>
              <w:t xml:space="preserve"> </w:t>
            </w:r>
            <w:r>
              <w:rPr>
                <w:rFonts w:cs="Times New Roman"/>
                <w:i/>
                <w:iCs/>
                <w:kern w:val="0"/>
                <w:sz w:val="22"/>
              </w:rPr>
              <w:t>glaucum</w:t>
            </w:r>
            <w:r>
              <w:rPr>
                <w:rFonts w:cs="Times New Roman"/>
                <w:i/>
                <w:iCs/>
                <w:spacing w:val="-1"/>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98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fldChar w:fldCharType="begin"/>
            </w:r>
            <w:r>
              <w:instrText xml:space="preserve"> HYPERLINK "https://baike.so.com/doc/6102814-6315925.html" </w:instrText>
            </w:r>
            <w:r>
              <w:fldChar w:fldCharType="separate"/>
            </w:r>
            <w:r>
              <w:rPr>
                <w:rFonts w:hint="eastAsia" w:ascii="宋体" w:eastAsia="宋体" w:cs="宋体"/>
                <w:kern w:val="0"/>
                <w:sz w:val="22"/>
              </w:rPr>
              <w:t>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菊叶香藜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Chenopodium</w:t>
            </w:r>
            <w:r>
              <w:rPr>
                <w:rFonts w:cs="Times New Roman"/>
                <w:i/>
                <w:iCs/>
                <w:spacing w:val="-2"/>
                <w:kern w:val="0"/>
                <w:sz w:val="22"/>
              </w:rPr>
              <w:t xml:space="preserve"> </w:t>
            </w:r>
            <w:r>
              <w:rPr>
                <w:rFonts w:cs="Times New Roman"/>
                <w:i/>
                <w:iCs/>
                <w:kern w:val="0"/>
                <w:sz w:val="22"/>
              </w:rPr>
              <w:t>foetidum</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Schrad.</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99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大蒜芥属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9" w:firstLine="0" w:firstLineChars="0"/>
              <w:jc w:val="center"/>
              <w:rPr>
                <w:rFonts w:ascii="宋体" w:eastAsia="宋体" w:cs="宋体"/>
                <w:kern w:val="0"/>
                <w:sz w:val="22"/>
              </w:rPr>
            </w:pPr>
            <w:r>
              <w:rPr>
                <w:rFonts w:hint="eastAsia" w:ascii="宋体" w:eastAsia="宋体" w:cs="宋体"/>
                <w:kern w:val="0"/>
                <w:sz w:val="22"/>
              </w:rPr>
              <w:t>新疆大蒜芥</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firstLine="0" w:firstLineChars="0"/>
              <w:jc w:val="left"/>
              <w:rPr>
                <w:rFonts w:cs="Times New Roman"/>
                <w:i/>
                <w:iCs/>
                <w:kern w:val="0"/>
                <w:sz w:val="22"/>
              </w:rPr>
            </w:pPr>
            <w:r>
              <w:rPr>
                <w:rFonts w:cs="Times New Roman"/>
                <w:i/>
                <w:iCs/>
                <w:kern w:val="0"/>
                <w:sz w:val="22"/>
              </w:rPr>
              <w:t>Sisymbrium</w:t>
            </w:r>
            <w:r>
              <w:rPr>
                <w:rFonts w:cs="Times New Roman"/>
                <w:i/>
                <w:iCs/>
                <w:spacing w:val="-6"/>
                <w:kern w:val="0"/>
                <w:sz w:val="22"/>
              </w:rPr>
              <w:t xml:space="preserve"> </w:t>
            </w:r>
            <w:r>
              <w:rPr>
                <w:rFonts w:cs="Times New Roman"/>
                <w:i/>
                <w:iCs/>
                <w:kern w:val="0"/>
                <w:sz w:val="22"/>
              </w:rPr>
              <w:t>loeseliiL.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100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菥蓂属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菥蓂</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Thlaspi</w:t>
            </w:r>
            <w:r>
              <w:rPr>
                <w:rFonts w:cs="Times New Roman"/>
                <w:i/>
                <w:iCs/>
                <w:spacing w:val="-1"/>
                <w:kern w:val="0"/>
                <w:sz w:val="22"/>
              </w:rPr>
              <w:t xml:space="preserve"> </w:t>
            </w:r>
            <w:r>
              <w:rPr>
                <w:rFonts w:cs="Times New Roman"/>
                <w:i/>
                <w:iCs/>
                <w:kern w:val="0"/>
                <w:sz w:val="22"/>
              </w:rPr>
              <w:t>arvenseL.</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101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fldChar w:fldCharType="begin"/>
            </w:r>
            <w:r>
              <w:instrText xml:space="preserve"> HYPERLINK "https://baike.so.com/doc/712669-754363.html" </w:instrText>
            </w:r>
            <w:r>
              <w:fldChar w:fldCharType="separate"/>
            </w:r>
            <w:r>
              <w:rPr>
                <w:rFonts w:hint="eastAsia" w:ascii="宋体" w:eastAsia="宋体" w:cs="宋体"/>
                <w:kern w:val="0"/>
                <w:sz w:val="22"/>
              </w:rPr>
              <w:t>十字花科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蔊菜属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风花菜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Rorippa</w:t>
            </w:r>
            <w:r>
              <w:rPr>
                <w:rFonts w:cs="Times New Roman"/>
                <w:i/>
                <w:iCs/>
                <w:spacing w:val="-4"/>
                <w:kern w:val="0"/>
                <w:sz w:val="22"/>
              </w:rPr>
              <w:t xml:space="preserve"> </w:t>
            </w:r>
            <w:r>
              <w:rPr>
                <w:rFonts w:cs="Times New Roman"/>
                <w:i/>
                <w:iCs/>
                <w:kern w:val="0"/>
                <w:sz w:val="22"/>
              </w:rPr>
              <w:t>globosa(Turcz.</w:t>
            </w:r>
            <w:r>
              <w:rPr>
                <w:rFonts w:cs="Times New Roman"/>
                <w:i/>
                <w:iCs/>
                <w:spacing w:val="-7"/>
                <w:kern w:val="0"/>
                <w:sz w:val="22"/>
              </w:rPr>
              <w:t xml:space="preserve"> </w:t>
            </w:r>
            <w:r>
              <w:rPr>
                <w:rFonts w:cs="Times New Roman"/>
                <w:i/>
                <w:iCs/>
                <w:kern w:val="0"/>
                <w:sz w:val="22"/>
              </w:rPr>
              <w:t>ex</w:t>
            </w:r>
          </w:p>
          <w:p>
            <w:pPr>
              <w:kinsoku w:val="0"/>
              <w:overflowPunct w:val="0"/>
              <w:autoSpaceDE w:val="0"/>
              <w:autoSpaceDN w:val="0"/>
              <w:adjustRightInd w:val="0"/>
              <w:spacing w:before="59" w:line="240" w:lineRule="auto"/>
              <w:ind w:firstLine="0" w:firstLineChars="0"/>
              <w:jc w:val="left"/>
              <w:rPr>
                <w:rFonts w:cs="Times New Roman"/>
                <w:i/>
                <w:iCs/>
                <w:kern w:val="0"/>
                <w:sz w:val="22"/>
              </w:rPr>
            </w:pPr>
            <w:r>
              <w:rPr>
                <w:rFonts w:cs="Times New Roman"/>
                <w:i/>
                <w:iCs/>
                <w:kern w:val="0"/>
                <w:sz w:val="22"/>
              </w:rPr>
              <w:t>Fisch.</w:t>
            </w:r>
            <w:r>
              <w:rPr>
                <w:rFonts w:cs="Times New Roman"/>
                <w:i/>
                <w:iCs/>
                <w:spacing w:val="-4"/>
                <w:kern w:val="0"/>
                <w:sz w:val="22"/>
              </w:rPr>
              <w:t xml:space="preserve"> </w:t>
            </w:r>
            <w:r>
              <w:rPr>
                <w:rFonts w:cs="Times New Roman"/>
                <w:i/>
                <w:iCs/>
                <w:kern w:val="0"/>
                <w:sz w:val="22"/>
              </w:rPr>
              <w:t>&amp; C.</w:t>
            </w:r>
            <w:r>
              <w:rPr>
                <w:rFonts w:cs="Times New Roman"/>
                <w:i/>
                <w:iCs/>
                <w:spacing w:val="-6"/>
                <w:kern w:val="0"/>
                <w:sz w:val="22"/>
              </w:rPr>
              <w:t xml:space="preserve"> </w:t>
            </w:r>
            <w:r>
              <w:rPr>
                <w:rFonts w:cs="Times New Roman"/>
                <w:i/>
                <w:iCs/>
                <w:kern w:val="0"/>
                <w:sz w:val="22"/>
              </w:rPr>
              <w:t>A.</w:t>
            </w:r>
            <w:r>
              <w:rPr>
                <w:rFonts w:cs="Times New Roman"/>
                <w:i/>
                <w:iCs/>
                <w:spacing w:val="-4"/>
                <w:kern w:val="0"/>
                <w:sz w:val="22"/>
              </w:rPr>
              <w:t xml:space="preserve"> </w:t>
            </w:r>
            <w:r>
              <w:rPr>
                <w:rFonts w:cs="Times New Roman"/>
                <w:i/>
                <w:iCs/>
                <w:kern w:val="0"/>
                <w:sz w:val="22"/>
              </w:rPr>
              <w:t>Mey.)</w:t>
            </w:r>
            <w:r>
              <w:rPr>
                <w:rFonts w:cs="Times New Roman"/>
                <w:i/>
                <w:iCs/>
                <w:spacing w:val="-2"/>
                <w:kern w:val="0"/>
                <w:sz w:val="22"/>
              </w:rPr>
              <w:t xml:space="preserve"> </w:t>
            </w:r>
            <w:r>
              <w:rPr>
                <w:rFonts w:cs="Times New Roman"/>
                <w:i/>
                <w:iCs/>
                <w:kern w:val="0"/>
                <w:sz w:val="22"/>
              </w:rPr>
              <w:t>Hayek</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102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独行菜属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独行菜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Lepidium</w:t>
            </w:r>
            <w:r>
              <w:rPr>
                <w:rFonts w:cs="Times New Roman"/>
                <w:i/>
                <w:iCs/>
                <w:spacing w:val="-6"/>
                <w:kern w:val="0"/>
                <w:sz w:val="22"/>
              </w:rPr>
              <w:t xml:space="preserve"> </w:t>
            </w:r>
            <w:r>
              <w:rPr>
                <w:rFonts w:cs="Times New Roman"/>
                <w:i/>
                <w:iCs/>
                <w:kern w:val="0"/>
                <w:sz w:val="22"/>
              </w:rPr>
              <w:t>apetalumWilld.</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103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独行菜属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柱毛独行菜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Lepidium</w:t>
            </w:r>
            <w:r>
              <w:rPr>
                <w:rFonts w:cs="Times New Roman"/>
                <w:i/>
                <w:iCs/>
                <w:spacing w:val="-3"/>
                <w:kern w:val="0"/>
                <w:sz w:val="22"/>
              </w:rPr>
              <w:t xml:space="preserve"> </w:t>
            </w:r>
            <w:r>
              <w:rPr>
                <w:rFonts w:cs="Times New Roman"/>
                <w:i/>
                <w:iCs/>
                <w:kern w:val="0"/>
                <w:sz w:val="22"/>
              </w:rPr>
              <w:t>ruderaleL.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104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独行菜属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抱茎独行菜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Lepidium</w:t>
            </w:r>
            <w:r>
              <w:rPr>
                <w:rFonts w:cs="Times New Roman"/>
                <w:i/>
                <w:iCs/>
                <w:spacing w:val="-4"/>
                <w:kern w:val="0"/>
                <w:sz w:val="22"/>
              </w:rPr>
              <w:t xml:space="preserve"> </w:t>
            </w:r>
            <w:r>
              <w:rPr>
                <w:rFonts w:cs="Times New Roman"/>
                <w:i/>
                <w:iCs/>
                <w:kern w:val="0"/>
                <w:sz w:val="22"/>
              </w:rPr>
              <w:t>perfoliatumL.</w:t>
            </w:r>
          </w:p>
        </w:tc>
      </w:tr>
      <w:tr>
        <w:tblPrEx>
          <w:tblCellMar>
            <w:top w:w="0" w:type="dxa"/>
            <w:left w:w="0" w:type="dxa"/>
            <w:bottom w:w="0" w:type="dxa"/>
            <w:right w:w="0" w:type="dxa"/>
          </w:tblCellMar>
        </w:tblPrEx>
        <w:trPr>
          <w:trHeight w:val="62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105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8" w:firstLine="0" w:firstLineChars="0"/>
              <w:jc w:val="center"/>
              <w:rPr>
                <w:rFonts w:ascii="宋体" w:eastAsia="宋体" w:cs="宋体"/>
                <w:kern w:val="0"/>
                <w:sz w:val="22"/>
              </w:rPr>
            </w:pPr>
            <w:r>
              <w:rPr>
                <w:rFonts w:hint="eastAsia" w:ascii="宋体" w:eastAsia="宋体" w:cs="宋体"/>
                <w:kern w:val="0"/>
                <w:sz w:val="22"/>
              </w:rPr>
              <w:t>螺喙荠属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7" w:firstLine="0" w:firstLineChars="0"/>
              <w:jc w:val="center"/>
              <w:rPr>
                <w:rFonts w:ascii="宋体" w:eastAsia="宋体" w:cs="宋体"/>
                <w:kern w:val="0"/>
                <w:sz w:val="22"/>
              </w:rPr>
            </w:pPr>
            <w:r>
              <w:rPr>
                <w:rFonts w:hint="eastAsia" w:ascii="宋体" w:eastAsia="宋体" w:cs="宋体"/>
                <w:kern w:val="0"/>
                <w:sz w:val="22"/>
              </w:rPr>
              <w:t>螺喙荠</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Spirorhynchus</w:t>
            </w:r>
            <w:r>
              <w:rPr>
                <w:rFonts w:cs="Times New Roman"/>
                <w:i/>
                <w:iCs/>
                <w:spacing w:val="-9"/>
                <w:kern w:val="0"/>
                <w:sz w:val="22"/>
              </w:rPr>
              <w:t xml:space="preserve"> </w:t>
            </w:r>
            <w:r>
              <w:rPr>
                <w:rFonts w:cs="Times New Roman"/>
                <w:i/>
                <w:iCs/>
                <w:kern w:val="0"/>
                <w:sz w:val="22"/>
              </w:rPr>
              <w:t>sabulosus</w:t>
            </w:r>
            <w:r>
              <w:rPr>
                <w:rFonts w:cs="Times New Roman"/>
                <w:i/>
                <w:iCs/>
                <w:spacing w:val="-8"/>
                <w:kern w:val="0"/>
                <w:sz w:val="22"/>
              </w:rPr>
              <w:t xml:space="preserve"> </w:t>
            </w:r>
            <w:r>
              <w:rPr>
                <w:rFonts w:cs="Times New Roman"/>
                <w:i/>
                <w:iCs/>
                <w:kern w:val="0"/>
                <w:sz w:val="22"/>
              </w:rPr>
              <w:t>Kar.</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et</w:t>
            </w:r>
            <w:r>
              <w:rPr>
                <w:rFonts w:cs="Times New Roman"/>
                <w:i/>
                <w:iCs/>
                <w:spacing w:val="-5"/>
                <w:kern w:val="0"/>
                <w:sz w:val="22"/>
              </w:rPr>
              <w:t xml:space="preserve"> </w:t>
            </w:r>
            <w:r>
              <w:rPr>
                <w:rFonts w:cs="Times New Roman"/>
                <w:i/>
                <w:iCs/>
                <w:kern w:val="0"/>
                <w:sz w:val="22"/>
              </w:rPr>
              <w:t>Kir.</w:t>
            </w:r>
          </w:p>
        </w:tc>
      </w:tr>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102" w:firstLine="0" w:firstLineChars="0"/>
              <w:jc w:val="center"/>
              <w:rPr>
                <w:rFonts w:cs="Times New Roman"/>
                <w:kern w:val="0"/>
                <w:sz w:val="22"/>
              </w:rPr>
            </w:pPr>
            <w:r>
              <w:rPr>
                <w:rFonts w:cs="Times New Roman"/>
                <w:kern w:val="0"/>
                <w:sz w:val="22"/>
              </w:rPr>
              <w:t>106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庭荠属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庭荠</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firstLine="0" w:firstLineChars="0"/>
              <w:jc w:val="left"/>
              <w:rPr>
                <w:rFonts w:cs="Times New Roman"/>
                <w:i/>
                <w:iCs/>
                <w:kern w:val="0"/>
                <w:sz w:val="22"/>
              </w:rPr>
            </w:pPr>
            <w:r>
              <w:rPr>
                <w:rFonts w:cs="Times New Roman"/>
                <w:i/>
                <w:iCs/>
                <w:kern w:val="0"/>
                <w:sz w:val="22"/>
              </w:rPr>
              <w:t>Alyssum</w:t>
            </w:r>
            <w:r>
              <w:rPr>
                <w:rFonts w:cs="Times New Roman"/>
                <w:i/>
                <w:iCs/>
                <w:spacing w:val="-2"/>
                <w:kern w:val="0"/>
                <w:sz w:val="22"/>
              </w:rPr>
              <w:t xml:space="preserve"> </w:t>
            </w:r>
            <w:r>
              <w:rPr>
                <w:rFonts w:cs="Times New Roman"/>
                <w:i/>
                <w:iCs/>
                <w:kern w:val="0"/>
                <w:sz w:val="22"/>
              </w:rPr>
              <w:t>desertorumStapf</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107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庭荠属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条叶庭荠</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Alyssum</w:t>
            </w:r>
            <w:r>
              <w:rPr>
                <w:rFonts w:cs="Times New Roman"/>
                <w:i/>
                <w:iCs/>
                <w:spacing w:val="-3"/>
                <w:kern w:val="0"/>
                <w:sz w:val="22"/>
              </w:rPr>
              <w:t xml:space="preserve"> </w:t>
            </w:r>
            <w:r>
              <w:rPr>
                <w:rFonts w:cs="Times New Roman"/>
                <w:i/>
                <w:iCs/>
                <w:kern w:val="0"/>
                <w:sz w:val="22"/>
              </w:rPr>
              <w:t>linifoliumStephan</w:t>
            </w:r>
            <w:r>
              <w:rPr>
                <w:rFonts w:cs="Times New Roman"/>
                <w:i/>
                <w:iCs/>
                <w:spacing w:val="-4"/>
                <w:kern w:val="0"/>
                <w:sz w:val="22"/>
              </w:rPr>
              <w:t xml:space="preserve"> </w:t>
            </w:r>
            <w:r>
              <w:rPr>
                <w:rFonts w:cs="Times New Roman"/>
                <w:i/>
                <w:iCs/>
                <w:kern w:val="0"/>
                <w:sz w:val="22"/>
              </w:rPr>
              <w:t>ex</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Willd.</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108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四齿芥属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四齿芥</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Tetracme</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quadricornis(Stephan)</w:t>
            </w:r>
            <w:r>
              <w:rPr>
                <w:rFonts w:cs="Times New Roman"/>
                <w:i/>
                <w:iCs/>
                <w:spacing w:val="-2"/>
                <w:kern w:val="0"/>
                <w:sz w:val="22"/>
              </w:rPr>
              <w:t xml:space="preserve"> </w:t>
            </w:r>
            <w:r>
              <w:rPr>
                <w:rFonts w:cs="Times New Roman"/>
                <w:i/>
                <w:iCs/>
                <w:kern w:val="0"/>
                <w:sz w:val="22"/>
              </w:rPr>
              <w:t>Bunge</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109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涩荠属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涩荠</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27" w:firstLine="0" w:firstLineChars="0"/>
              <w:jc w:val="right"/>
              <w:rPr>
                <w:rFonts w:cs="Times New Roman"/>
                <w:i/>
                <w:iCs/>
                <w:kern w:val="0"/>
                <w:sz w:val="22"/>
              </w:rPr>
            </w:pPr>
            <w:r>
              <w:rPr>
                <w:rFonts w:cs="Times New Roman"/>
                <w:i/>
                <w:iCs/>
                <w:kern w:val="0"/>
                <w:sz w:val="22"/>
              </w:rPr>
              <w:t>Malcolmia</w:t>
            </w:r>
            <w:r>
              <w:rPr>
                <w:rFonts w:cs="Times New Roman"/>
                <w:i/>
                <w:iCs/>
                <w:spacing w:val="-6"/>
                <w:kern w:val="0"/>
                <w:sz w:val="22"/>
              </w:rPr>
              <w:t xml:space="preserve"> </w:t>
            </w:r>
            <w:r>
              <w:rPr>
                <w:rFonts w:cs="Times New Roman"/>
                <w:i/>
                <w:iCs/>
                <w:kern w:val="0"/>
                <w:sz w:val="22"/>
              </w:rPr>
              <w:t>africana</w:t>
            </w:r>
            <w:r>
              <w:rPr>
                <w:rFonts w:cs="Times New Roman"/>
                <w:i/>
                <w:iCs/>
                <w:spacing w:val="-8"/>
                <w:kern w:val="0"/>
                <w:sz w:val="22"/>
              </w:rPr>
              <w:t xml:space="preserve"> </w:t>
            </w:r>
            <w:r>
              <w:rPr>
                <w:rFonts w:cs="Times New Roman"/>
                <w:i/>
                <w:iCs/>
                <w:kern w:val="0"/>
                <w:sz w:val="22"/>
              </w:rPr>
              <w:t>(L.)</w:t>
            </w:r>
            <w:r>
              <w:rPr>
                <w:rFonts w:cs="Times New Roman"/>
                <w:i/>
                <w:iCs/>
                <w:spacing w:val="-6"/>
                <w:kern w:val="0"/>
                <w:sz w:val="22"/>
              </w:rPr>
              <w:t xml:space="preserve"> </w:t>
            </w:r>
            <w:r>
              <w:rPr>
                <w:rFonts w:cs="Times New Roman"/>
                <w:i/>
                <w:iCs/>
                <w:kern w:val="0"/>
                <w:sz w:val="22"/>
              </w:rPr>
              <w:t>R.Br.</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0" w:firstLine="0" w:firstLineChars="0"/>
              <w:jc w:val="center"/>
              <w:rPr>
                <w:rFonts w:cs="Times New Roman"/>
                <w:kern w:val="0"/>
                <w:sz w:val="22"/>
              </w:rPr>
            </w:pPr>
            <w:r>
              <w:rPr>
                <w:rFonts w:cs="Times New Roman"/>
                <w:kern w:val="0"/>
                <w:sz w:val="22"/>
              </w:rPr>
              <w:t>110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离子芥属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离子芥</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18" w:firstLine="0" w:firstLineChars="0"/>
              <w:jc w:val="right"/>
              <w:rPr>
                <w:rFonts w:cs="Times New Roman"/>
                <w:i/>
                <w:iCs/>
                <w:kern w:val="0"/>
                <w:sz w:val="22"/>
              </w:rPr>
            </w:pPr>
            <w:r>
              <w:rPr>
                <w:rFonts w:cs="Times New Roman"/>
                <w:i/>
                <w:iCs/>
                <w:kern w:val="0"/>
                <w:sz w:val="22"/>
              </w:rPr>
              <w:t>Chorispora</w:t>
            </w:r>
            <w:r>
              <w:rPr>
                <w:rFonts w:cs="Times New Roman"/>
                <w:i/>
                <w:iCs/>
                <w:spacing w:val="-4"/>
                <w:kern w:val="0"/>
                <w:sz w:val="22"/>
              </w:rPr>
              <w:t xml:space="preserve"> </w:t>
            </w:r>
            <w:r>
              <w:rPr>
                <w:rFonts w:cs="Times New Roman"/>
                <w:i/>
                <w:iCs/>
                <w:kern w:val="0"/>
                <w:sz w:val="22"/>
              </w:rPr>
              <w:t>tenella(Pall.)</w:t>
            </w:r>
            <w:r>
              <w:rPr>
                <w:rFonts w:cs="Times New Roman"/>
                <w:i/>
                <w:iCs/>
                <w:spacing w:val="-2"/>
                <w:kern w:val="0"/>
                <w:sz w:val="22"/>
              </w:rPr>
              <w:t xml:space="preserve"> </w:t>
            </w:r>
            <w:r>
              <w:rPr>
                <w:rFonts w:cs="Times New Roman"/>
                <w:i/>
                <w:iCs/>
                <w:kern w:val="0"/>
                <w:sz w:val="22"/>
              </w:rPr>
              <w:t>DC.</w:t>
            </w:r>
          </w:p>
        </w:tc>
      </w:tr>
      <w:tr>
        <w:tblPrEx>
          <w:tblCellMar>
            <w:top w:w="0" w:type="dxa"/>
            <w:left w:w="0" w:type="dxa"/>
            <w:bottom w:w="0" w:type="dxa"/>
            <w:right w:w="0" w:type="dxa"/>
          </w:tblCellMar>
        </w:tblPrEx>
        <w:trPr>
          <w:trHeight w:val="62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111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8" w:firstLine="0" w:firstLineChars="0"/>
              <w:jc w:val="center"/>
              <w:rPr>
                <w:rFonts w:ascii="宋体" w:eastAsia="宋体" w:cs="宋体"/>
                <w:kern w:val="0"/>
                <w:sz w:val="22"/>
              </w:rPr>
            </w:pPr>
            <w:r>
              <w:rPr>
                <w:rFonts w:hint="eastAsia" w:ascii="宋体" w:eastAsia="宋体" w:cs="宋体"/>
                <w:kern w:val="0"/>
                <w:sz w:val="22"/>
              </w:rPr>
              <w:t>播娘蒿属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7" w:firstLine="0" w:firstLineChars="0"/>
              <w:jc w:val="center"/>
              <w:rPr>
                <w:rFonts w:ascii="宋体" w:eastAsia="宋体" w:cs="宋体"/>
                <w:kern w:val="0"/>
                <w:sz w:val="22"/>
              </w:rPr>
            </w:pPr>
            <w:r>
              <w:rPr>
                <w:rFonts w:hint="eastAsia" w:ascii="宋体" w:eastAsia="宋体" w:cs="宋体"/>
                <w:kern w:val="0"/>
                <w:sz w:val="22"/>
              </w:rPr>
              <w:t>播娘蒿</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Descurainia</w:t>
            </w:r>
            <w:r>
              <w:rPr>
                <w:rFonts w:cs="Times New Roman"/>
                <w:i/>
                <w:iCs/>
                <w:spacing w:val="-6"/>
                <w:kern w:val="0"/>
                <w:sz w:val="22"/>
              </w:rPr>
              <w:t xml:space="preserve"> </w:t>
            </w:r>
            <w:r>
              <w:rPr>
                <w:rFonts w:cs="Times New Roman"/>
                <w:i/>
                <w:iCs/>
                <w:kern w:val="0"/>
                <w:sz w:val="22"/>
              </w:rPr>
              <w:t>sophia(L.)</w:t>
            </w:r>
            <w:r>
              <w:rPr>
                <w:rFonts w:cs="Times New Roman"/>
                <w:i/>
                <w:iCs/>
                <w:spacing w:val="-7"/>
                <w:kern w:val="0"/>
                <w:sz w:val="22"/>
              </w:rPr>
              <w:t xml:space="preserve"> </w:t>
            </w:r>
            <w:r>
              <w:rPr>
                <w:rFonts w:cs="Times New Roman"/>
                <w:i/>
                <w:iCs/>
                <w:kern w:val="0"/>
                <w:sz w:val="22"/>
              </w:rPr>
              <w:t>Webb</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ex</w:t>
            </w:r>
            <w:r>
              <w:rPr>
                <w:rFonts w:cs="Times New Roman"/>
                <w:i/>
                <w:iCs/>
                <w:spacing w:val="-1"/>
                <w:kern w:val="0"/>
                <w:sz w:val="22"/>
              </w:rPr>
              <w:t xml:space="preserve"> </w:t>
            </w:r>
            <w:r>
              <w:rPr>
                <w:rFonts w:cs="Times New Roman"/>
                <w:i/>
                <w:iCs/>
                <w:kern w:val="0"/>
                <w:sz w:val="22"/>
              </w:rPr>
              <w:t>Prantl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0" w:firstLine="0" w:firstLineChars="0"/>
              <w:jc w:val="center"/>
              <w:rPr>
                <w:rFonts w:cs="Times New Roman"/>
                <w:kern w:val="0"/>
                <w:sz w:val="22"/>
              </w:rPr>
            </w:pPr>
            <w:r>
              <w:rPr>
                <w:rFonts w:cs="Times New Roman"/>
                <w:kern w:val="0"/>
                <w:sz w:val="22"/>
              </w:rPr>
              <w:t>112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独行菜属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宽叶独行菜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Lepidium</w:t>
            </w:r>
            <w:r>
              <w:rPr>
                <w:rFonts w:cs="Times New Roman"/>
                <w:i/>
                <w:iCs/>
                <w:spacing w:val="-4"/>
                <w:kern w:val="0"/>
                <w:sz w:val="22"/>
              </w:rPr>
              <w:t xml:space="preserve"> </w:t>
            </w:r>
            <w:r>
              <w:rPr>
                <w:rFonts w:cs="Times New Roman"/>
                <w:i/>
                <w:iCs/>
                <w:kern w:val="0"/>
                <w:sz w:val="22"/>
              </w:rPr>
              <w:t>latifoliumL.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0" w:firstLine="0" w:firstLineChars="0"/>
              <w:jc w:val="center"/>
              <w:rPr>
                <w:rFonts w:cs="Times New Roman"/>
                <w:kern w:val="0"/>
                <w:sz w:val="22"/>
              </w:rPr>
            </w:pPr>
            <w:r>
              <w:rPr>
                <w:rFonts w:cs="Times New Roman"/>
                <w:kern w:val="0"/>
                <w:sz w:val="22"/>
              </w:rPr>
              <w:t>113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独行菜属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群心菜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Cardaria</w:t>
            </w:r>
            <w:r>
              <w:rPr>
                <w:rFonts w:cs="Times New Roman"/>
                <w:i/>
                <w:iCs/>
                <w:spacing w:val="-6"/>
                <w:kern w:val="0"/>
                <w:sz w:val="22"/>
              </w:rPr>
              <w:t xml:space="preserve"> </w:t>
            </w:r>
            <w:r>
              <w:rPr>
                <w:rFonts w:cs="Times New Roman"/>
                <w:i/>
                <w:iCs/>
                <w:kern w:val="0"/>
                <w:sz w:val="22"/>
              </w:rPr>
              <w:t>draba(L.)</w:t>
            </w:r>
            <w:r>
              <w:rPr>
                <w:rFonts w:cs="Times New Roman"/>
                <w:i/>
                <w:iCs/>
                <w:spacing w:val="-6"/>
                <w:kern w:val="0"/>
                <w:sz w:val="22"/>
              </w:rPr>
              <w:t xml:space="preserve"> </w:t>
            </w:r>
            <w:r>
              <w:rPr>
                <w:rFonts w:cs="Times New Roman"/>
                <w:i/>
                <w:iCs/>
                <w:kern w:val="0"/>
                <w:sz w:val="22"/>
              </w:rPr>
              <w:t>Desv.</w:t>
            </w:r>
          </w:p>
        </w:tc>
      </w:tr>
      <w:tr>
        <w:tblPrEx>
          <w:tblCellMar>
            <w:top w:w="0" w:type="dxa"/>
            <w:left w:w="0" w:type="dxa"/>
            <w:bottom w:w="0" w:type="dxa"/>
            <w:right w:w="0" w:type="dxa"/>
          </w:tblCellMar>
        </w:tblPrEx>
        <w:trPr>
          <w:trHeight w:val="62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6" w:line="240" w:lineRule="auto"/>
              <w:ind w:right="100" w:firstLine="0" w:firstLineChars="0"/>
              <w:jc w:val="center"/>
              <w:rPr>
                <w:rFonts w:cs="Times New Roman"/>
                <w:kern w:val="0"/>
                <w:sz w:val="22"/>
              </w:rPr>
            </w:pPr>
            <w:r>
              <w:rPr>
                <w:rFonts w:cs="Times New Roman"/>
                <w:kern w:val="0"/>
                <w:sz w:val="22"/>
              </w:rPr>
              <w:t>114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独行菜属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球果群心菜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4" w:firstLine="0" w:firstLineChars="0"/>
              <w:jc w:val="center"/>
              <w:rPr>
                <w:rFonts w:cs="Times New Roman"/>
                <w:i/>
                <w:iCs/>
                <w:kern w:val="0"/>
                <w:sz w:val="22"/>
              </w:rPr>
            </w:pPr>
            <w:r>
              <w:rPr>
                <w:rFonts w:cs="Times New Roman"/>
                <w:i/>
                <w:iCs/>
                <w:kern w:val="0"/>
                <w:sz w:val="22"/>
              </w:rPr>
              <w:t>Cardaria</w:t>
            </w:r>
            <w:r>
              <w:rPr>
                <w:rFonts w:cs="Times New Roman"/>
                <w:i/>
                <w:iCs/>
                <w:spacing w:val="-3"/>
                <w:kern w:val="0"/>
                <w:sz w:val="22"/>
              </w:rPr>
              <w:t xml:space="preserve"> </w:t>
            </w:r>
            <w:r>
              <w:rPr>
                <w:rFonts w:cs="Times New Roman"/>
                <w:i/>
                <w:iCs/>
                <w:kern w:val="0"/>
                <w:sz w:val="22"/>
              </w:rPr>
              <w:t>chalepensis</w:t>
            </w:r>
          </w:p>
          <w:p>
            <w:pPr>
              <w:kinsoku w:val="0"/>
              <w:overflowPunct w:val="0"/>
              <w:autoSpaceDE w:val="0"/>
              <w:autoSpaceDN w:val="0"/>
              <w:adjustRightInd w:val="0"/>
              <w:spacing w:before="59" w:line="240" w:lineRule="auto"/>
              <w:ind w:right="70" w:firstLine="0" w:firstLineChars="0"/>
              <w:jc w:val="center"/>
              <w:rPr>
                <w:rFonts w:cs="Times New Roman"/>
                <w:i/>
                <w:iCs/>
                <w:kern w:val="0"/>
                <w:sz w:val="22"/>
              </w:rPr>
            </w:pPr>
            <w:r>
              <w:rPr>
                <w:rFonts w:cs="Times New Roman"/>
                <w:i/>
                <w:iCs/>
                <w:kern w:val="0"/>
                <w:sz w:val="22"/>
              </w:rPr>
              <w:t>(Linnaeus)</w:t>
            </w:r>
            <w:r>
              <w:rPr>
                <w:rFonts w:cs="Times New Roman"/>
                <w:i/>
                <w:iCs/>
                <w:spacing w:val="-2"/>
                <w:kern w:val="0"/>
                <w:sz w:val="22"/>
              </w:rPr>
              <w:t xml:space="preserve"> </w:t>
            </w:r>
            <w:r>
              <w:rPr>
                <w:rFonts w:cs="Times New Roman"/>
                <w:i/>
                <w:iCs/>
                <w:kern w:val="0"/>
                <w:sz w:val="22"/>
              </w:rPr>
              <w:t>Hand.-Mazz.</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0" w:firstLine="0" w:firstLineChars="0"/>
              <w:jc w:val="center"/>
              <w:rPr>
                <w:rFonts w:cs="Times New Roman"/>
                <w:kern w:val="0"/>
                <w:sz w:val="22"/>
              </w:rPr>
            </w:pPr>
            <w:r>
              <w:rPr>
                <w:rFonts w:cs="Times New Roman"/>
                <w:kern w:val="0"/>
                <w:sz w:val="22"/>
              </w:rPr>
              <w:t>115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舟果荠属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舟果荠</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Tauscheria</w:t>
            </w:r>
            <w:r>
              <w:rPr>
                <w:rFonts w:cs="Times New Roman"/>
                <w:i/>
                <w:iCs/>
                <w:spacing w:val="-6"/>
                <w:kern w:val="0"/>
                <w:sz w:val="22"/>
              </w:rPr>
              <w:t xml:space="preserve"> </w:t>
            </w:r>
            <w:r>
              <w:rPr>
                <w:rFonts w:cs="Times New Roman"/>
                <w:i/>
                <w:iCs/>
                <w:kern w:val="0"/>
                <w:sz w:val="22"/>
              </w:rPr>
              <w:t>lasiocarpaFisch.</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ex</w:t>
            </w:r>
            <w:r>
              <w:rPr>
                <w:rFonts w:cs="Times New Roman"/>
                <w:i/>
                <w:iCs/>
                <w:spacing w:val="-1"/>
                <w:kern w:val="0"/>
                <w:sz w:val="22"/>
              </w:rPr>
              <w:t xml:space="preserve"> </w:t>
            </w:r>
            <w:r>
              <w:rPr>
                <w:rFonts w:cs="Times New Roman"/>
                <w:i/>
                <w:iCs/>
                <w:kern w:val="0"/>
                <w:sz w:val="22"/>
              </w:rPr>
              <w:t>DC.</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0" w:firstLine="0" w:firstLineChars="0"/>
              <w:jc w:val="center"/>
              <w:rPr>
                <w:rFonts w:cs="Times New Roman"/>
                <w:kern w:val="0"/>
                <w:sz w:val="22"/>
              </w:rPr>
            </w:pPr>
            <w:r>
              <w:rPr>
                <w:rFonts w:cs="Times New Roman"/>
                <w:kern w:val="0"/>
                <w:sz w:val="22"/>
              </w:rPr>
              <w:t>116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荠属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firstLine="0" w:firstLineChars="0"/>
              <w:jc w:val="center"/>
              <w:rPr>
                <w:rFonts w:ascii="宋体" w:eastAsia="宋体" w:cs="宋体"/>
                <w:kern w:val="0"/>
                <w:sz w:val="22"/>
              </w:rPr>
            </w:pPr>
            <w:r>
              <w:rPr>
                <w:rFonts w:hint="eastAsia" w:ascii="宋体" w:eastAsia="宋体" w:cs="宋体"/>
                <w:kern w:val="0"/>
                <w:sz w:val="22"/>
              </w:rPr>
              <w:t>荠</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Capsella</w:t>
            </w:r>
            <w:r>
              <w:rPr>
                <w:rFonts w:cs="Times New Roman"/>
                <w:i/>
                <w:iCs/>
                <w:spacing w:val="-3"/>
                <w:kern w:val="0"/>
                <w:sz w:val="22"/>
              </w:rPr>
              <w:t xml:space="preserve"> </w:t>
            </w:r>
            <w:r>
              <w:rPr>
                <w:rFonts w:cs="Times New Roman"/>
                <w:i/>
                <w:iCs/>
                <w:kern w:val="0"/>
                <w:sz w:val="22"/>
              </w:rPr>
              <w:t>bursa-pastoris(L.)</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Medik.</w:t>
            </w:r>
          </w:p>
        </w:tc>
      </w:tr>
      <w:tr>
        <w:tblPrEx>
          <w:tblCellMar>
            <w:top w:w="0" w:type="dxa"/>
            <w:left w:w="0" w:type="dxa"/>
            <w:bottom w:w="0" w:type="dxa"/>
            <w:right w:w="0" w:type="dxa"/>
          </w:tblCellMar>
        </w:tblPrEx>
        <w:trPr>
          <w:trHeight w:val="98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8"/>
                <w:szCs w:val="28"/>
              </w:rPr>
            </w:pPr>
          </w:p>
          <w:p>
            <w:pPr>
              <w:kinsoku w:val="0"/>
              <w:overflowPunct w:val="0"/>
              <w:autoSpaceDE w:val="0"/>
              <w:autoSpaceDN w:val="0"/>
              <w:adjustRightInd w:val="0"/>
              <w:spacing w:before="1" w:line="240" w:lineRule="auto"/>
              <w:ind w:right="100" w:firstLine="0" w:firstLineChars="0"/>
              <w:jc w:val="center"/>
              <w:rPr>
                <w:rFonts w:cs="Times New Roman"/>
                <w:kern w:val="0"/>
                <w:sz w:val="22"/>
              </w:rPr>
            </w:pPr>
            <w:r>
              <w:rPr>
                <w:rFonts w:cs="Times New Roman"/>
                <w:kern w:val="0"/>
                <w:sz w:val="22"/>
              </w:rPr>
              <w:t>117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 w:line="240" w:lineRule="auto"/>
              <w:ind w:firstLine="0" w:firstLineChars="0"/>
              <w:jc w:val="left"/>
              <w:rPr>
                <w:rFonts w:ascii="黑体" w:eastAsia="黑体" w:cs="黑体"/>
                <w:b/>
                <w:bCs/>
                <w:kern w:val="0"/>
                <w:sz w:val="27"/>
                <w:szCs w:val="27"/>
              </w:rPr>
            </w:pPr>
          </w:p>
          <w:p>
            <w:pPr>
              <w:kinsoku w:val="0"/>
              <w:overflowPunct w:val="0"/>
              <w:autoSpaceDE w:val="0"/>
              <w:autoSpaceDN w:val="0"/>
              <w:adjustRightInd w:val="0"/>
              <w:spacing w:line="240" w:lineRule="auto"/>
              <w:ind w:right="169" w:firstLine="0" w:firstLineChars="0"/>
              <w:jc w:val="center"/>
              <w:rPr>
                <w:rFonts w:ascii="宋体" w:eastAsia="宋体" w:cs="宋体"/>
                <w:kern w:val="0"/>
                <w:sz w:val="22"/>
              </w:rPr>
            </w:pPr>
            <w:r>
              <w:rPr>
                <w:rFonts w:hint="eastAsia" w:ascii="宋体" w:eastAsia="宋体" w:cs="宋体"/>
                <w:kern w:val="0"/>
                <w:sz w:val="22"/>
              </w:rPr>
              <w:t>十字花科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 w:line="240" w:lineRule="auto"/>
              <w:ind w:firstLine="0" w:firstLineChars="0"/>
              <w:jc w:val="left"/>
              <w:rPr>
                <w:rFonts w:ascii="黑体" w:eastAsia="黑体" w:cs="黑体"/>
                <w:b/>
                <w:bCs/>
                <w:kern w:val="0"/>
                <w:sz w:val="27"/>
                <w:szCs w:val="27"/>
              </w:rPr>
            </w:pPr>
          </w:p>
          <w:p>
            <w:pPr>
              <w:kinsoku w:val="0"/>
              <w:overflowPunct w:val="0"/>
              <w:autoSpaceDE w:val="0"/>
              <w:autoSpaceDN w:val="0"/>
              <w:adjustRightInd w:val="0"/>
              <w:spacing w:line="240" w:lineRule="auto"/>
              <w:ind w:right="158" w:firstLine="0" w:firstLineChars="0"/>
              <w:jc w:val="center"/>
              <w:rPr>
                <w:rFonts w:ascii="宋体" w:eastAsia="宋体" w:cs="宋体"/>
                <w:kern w:val="0"/>
                <w:sz w:val="22"/>
              </w:rPr>
            </w:pPr>
            <w:r>
              <w:rPr>
                <w:rFonts w:hint="eastAsia" w:ascii="宋体" w:eastAsia="宋体" w:cs="宋体"/>
                <w:kern w:val="0"/>
                <w:sz w:val="22"/>
              </w:rPr>
              <w:t>离子芥属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5" w:line="240" w:lineRule="auto"/>
              <w:ind w:firstLine="0" w:firstLineChars="0"/>
              <w:jc w:val="left"/>
              <w:rPr>
                <w:rFonts w:ascii="黑体" w:eastAsia="黑体" w:cs="黑体"/>
                <w:b/>
                <w:bCs/>
                <w:kern w:val="0"/>
                <w:sz w:val="27"/>
                <w:szCs w:val="27"/>
              </w:rPr>
            </w:pPr>
          </w:p>
          <w:p>
            <w:pPr>
              <w:kinsoku w:val="0"/>
              <w:overflowPunct w:val="0"/>
              <w:autoSpaceDE w:val="0"/>
              <w:autoSpaceDN w:val="0"/>
              <w:adjustRightInd w:val="0"/>
              <w:spacing w:line="240" w:lineRule="auto"/>
              <w:ind w:right="157" w:firstLine="0" w:firstLineChars="0"/>
              <w:jc w:val="center"/>
              <w:rPr>
                <w:rFonts w:ascii="宋体" w:eastAsia="宋体" w:cs="宋体"/>
                <w:kern w:val="0"/>
                <w:sz w:val="22"/>
              </w:rPr>
            </w:pPr>
            <w:r>
              <w:rPr>
                <w:rFonts w:hint="eastAsia" w:ascii="宋体" w:eastAsia="宋体" w:cs="宋体"/>
                <w:kern w:val="0"/>
                <w:sz w:val="22"/>
              </w:rPr>
              <w:t>离子草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09" w:line="295" w:lineRule="auto"/>
              <w:ind w:right="281" w:firstLine="0" w:firstLineChars="0"/>
              <w:jc w:val="left"/>
              <w:rPr>
                <w:rFonts w:cs="Times New Roman"/>
                <w:i/>
                <w:iCs/>
                <w:kern w:val="0"/>
                <w:sz w:val="22"/>
              </w:rPr>
            </w:pPr>
            <w:r>
              <w:rPr>
                <w:rFonts w:cs="Times New Roman"/>
                <w:i/>
                <w:iCs/>
                <w:kern w:val="0"/>
                <w:sz w:val="22"/>
              </w:rPr>
              <w:t>Chorispora tenella (Pall.)</w:t>
            </w:r>
            <w:r>
              <w:rPr>
                <w:rFonts w:cs="Times New Roman"/>
                <w:i/>
                <w:iCs/>
                <w:spacing w:val="-52"/>
                <w:kern w:val="0"/>
                <w:sz w:val="22"/>
              </w:rPr>
              <w:t xml:space="preserve"> </w:t>
            </w:r>
            <w:r>
              <w:rPr>
                <w:rFonts w:cs="Times New Roman"/>
                <w:i/>
                <w:iCs/>
                <w:kern w:val="0"/>
                <w:sz w:val="22"/>
              </w:rPr>
              <w:t>DC.</w:t>
            </w:r>
          </w:p>
        </w:tc>
      </w:tr>
    </w:tbl>
    <w:p>
      <w:pPr>
        <w:autoSpaceDE w:val="0"/>
        <w:autoSpaceDN w:val="0"/>
        <w:adjustRightInd w:val="0"/>
        <w:spacing w:line="240" w:lineRule="auto"/>
        <w:ind w:firstLine="0" w:firstLineChars="0"/>
        <w:jc w:val="left"/>
        <w:rPr>
          <w:rFonts w:ascii="黑体" w:eastAsia="黑体" w:cs="黑体"/>
          <w:b/>
          <w:bCs/>
          <w:kern w:val="0"/>
          <w:sz w:val="15"/>
          <w:szCs w:val="15"/>
        </w:rPr>
        <w:sectPr>
          <w:pgSz w:w="11910" w:h="16840"/>
          <w:pgMar w:top="1420" w:right="200" w:bottom="280" w:left="780" w:header="720" w:footer="720" w:gutter="0"/>
          <w:cols w:space="720" w:num="1"/>
        </w:sectPr>
      </w:pPr>
    </w:p>
    <w:tbl>
      <w:tblPr>
        <w:tblStyle w:val="25"/>
        <w:tblW w:w="8295" w:type="dxa"/>
        <w:tblInd w:w="1030" w:type="dxa"/>
        <w:tblLayout w:type="fixed"/>
        <w:tblCellMar>
          <w:top w:w="0" w:type="dxa"/>
          <w:left w:w="0" w:type="dxa"/>
          <w:bottom w:w="0" w:type="dxa"/>
          <w:right w:w="0" w:type="dxa"/>
        </w:tblCellMar>
      </w:tblPr>
      <w:tblGrid>
        <w:gridCol w:w="703"/>
        <w:gridCol w:w="1277"/>
        <w:gridCol w:w="1701"/>
        <w:gridCol w:w="1701"/>
        <w:gridCol w:w="2913"/>
      </w:tblGrid>
      <w:tr>
        <w:tblPrEx>
          <w:tblCellMar>
            <w:top w:w="0" w:type="dxa"/>
            <w:left w:w="0" w:type="dxa"/>
            <w:bottom w:w="0" w:type="dxa"/>
            <w:right w:w="0" w:type="dxa"/>
          </w:tblCellMar>
        </w:tblPrEx>
        <w:trPr>
          <w:trHeight w:val="62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6" w:line="240" w:lineRule="auto"/>
              <w:ind w:right="100" w:firstLine="0" w:firstLineChars="0"/>
              <w:jc w:val="center"/>
              <w:rPr>
                <w:rFonts w:cs="Times New Roman"/>
                <w:kern w:val="0"/>
                <w:sz w:val="22"/>
              </w:rPr>
            </w:pPr>
            <w:r>
              <w:rPr>
                <w:rFonts w:cs="Times New Roman"/>
                <w:kern w:val="0"/>
                <w:sz w:val="22"/>
              </w:rPr>
              <w:t>118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蓼属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两栖蓼</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4" w:firstLine="0" w:firstLineChars="0"/>
              <w:jc w:val="center"/>
              <w:rPr>
                <w:rFonts w:cs="Times New Roman"/>
                <w:i/>
                <w:iCs/>
                <w:kern w:val="0"/>
                <w:sz w:val="22"/>
              </w:rPr>
            </w:pPr>
            <w:r>
              <w:rPr>
                <w:rFonts w:cs="Times New Roman"/>
                <w:i/>
                <w:iCs/>
                <w:kern w:val="0"/>
                <w:sz w:val="22"/>
              </w:rPr>
              <w:t>Persicaria</w:t>
            </w:r>
            <w:r>
              <w:rPr>
                <w:rFonts w:cs="Times New Roman"/>
                <w:i/>
                <w:iCs/>
                <w:spacing w:val="-6"/>
                <w:kern w:val="0"/>
                <w:sz w:val="22"/>
              </w:rPr>
              <w:t xml:space="preserve"> </w:t>
            </w:r>
            <w:r>
              <w:rPr>
                <w:rFonts w:cs="Times New Roman"/>
                <w:i/>
                <w:iCs/>
                <w:kern w:val="0"/>
                <w:sz w:val="22"/>
              </w:rPr>
              <w:t>amphibia(L.)</w:t>
            </w:r>
            <w:r>
              <w:rPr>
                <w:rFonts w:cs="Times New Roman"/>
                <w:i/>
                <w:iCs/>
                <w:spacing w:val="-5"/>
                <w:kern w:val="0"/>
                <w:sz w:val="22"/>
              </w:rPr>
              <w:t xml:space="preserve"> </w:t>
            </w:r>
            <w:r>
              <w:rPr>
                <w:rFonts w:cs="Times New Roman"/>
                <w:i/>
                <w:iCs/>
                <w:kern w:val="0"/>
                <w:sz w:val="22"/>
              </w:rPr>
              <w:t>S.</w:t>
            </w:r>
            <w:r>
              <w:rPr>
                <w:rFonts w:cs="Times New Roman"/>
                <w:i/>
                <w:iCs/>
                <w:spacing w:val="-8"/>
                <w:kern w:val="0"/>
                <w:sz w:val="22"/>
              </w:rPr>
              <w:t xml:space="preserve"> </w:t>
            </w:r>
            <w:r>
              <w:rPr>
                <w:rFonts w:cs="Times New Roman"/>
                <w:i/>
                <w:iCs/>
                <w:kern w:val="0"/>
                <w:sz w:val="22"/>
              </w:rPr>
              <w:t>F.</w:t>
            </w:r>
          </w:p>
          <w:p>
            <w:pPr>
              <w:kinsoku w:val="0"/>
              <w:overflowPunct w:val="0"/>
              <w:autoSpaceDE w:val="0"/>
              <w:autoSpaceDN w:val="0"/>
              <w:adjustRightInd w:val="0"/>
              <w:spacing w:before="59" w:line="240" w:lineRule="auto"/>
              <w:ind w:right="72" w:firstLine="0" w:firstLineChars="0"/>
              <w:jc w:val="center"/>
              <w:rPr>
                <w:rFonts w:cs="Times New Roman"/>
                <w:i/>
                <w:iCs/>
                <w:kern w:val="0"/>
                <w:sz w:val="22"/>
              </w:rPr>
            </w:pPr>
            <w:r>
              <w:rPr>
                <w:rFonts w:cs="Times New Roman"/>
                <w:i/>
                <w:iCs/>
                <w:kern w:val="0"/>
                <w:sz w:val="22"/>
              </w:rPr>
              <w:t>Gray</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0" w:firstLine="0" w:firstLineChars="0"/>
              <w:jc w:val="center"/>
              <w:rPr>
                <w:rFonts w:cs="Times New Roman"/>
                <w:kern w:val="0"/>
                <w:sz w:val="22"/>
              </w:rPr>
            </w:pPr>
            <w:r>
              <w:rPr>
                <w:rFonts w:cs="Times New Roman"/>
                <w:kern w:val="0"/>
                <w:sz w:val="22"/>
              </w:rPr>
              <w:t>119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蓼属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水蓼</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Persicaria</w:t>
            </w:r>
            <w:r>
              <w:rPr>
                <w:rFonts w:cs="Times New Roman"/>
                <w:i/>
                <w:iCs/>
                <w:spacing w:val="-4"/>
                <w:kern w:val="0"/>
                <w:sz w:val="22"/>
              </w:rPr>
              <w:t xml:space="preserve"> </w:t>
            </w:r>
            <w:r>
              <w:rPr>
                <w:rFonts w:cs="Times New Roman"/>
                <w:i/>
                <w:iCs/>
                <w:kern w:val="0"/>
                <w:sz w:val="22"/>
              </w:rPr>
              <w:t>hydropiper(L.)</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Spach</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120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蓼属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春蓼</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Polygonum</w:t>
            </w:r>
            <w:r>
              <w:rPr>
                <w:rFonts w:cs="Times New Roman"/>
                <w:i/>
                <w:iCs/>
                <w:spacing w:val="-2"/>
                <w:kern w:val="0"/>
                <w:sz w:val="22"/>
              </w:rPr>
              <w:t xml:space="preserve"> </w:t>
            </w:r>
            <w:r>
              <w:rPr>
                <w:rFonts w:cs="Times New Roman"/>
                <w:i/>
                <w:iCs/>
                <w:kern w:val="0"/>
                <w:sz w:val="22"/>
              </w:rPr>
              <w:t>persicaria</w:t>
            </w:r>
            <w:r>
              <w:rPr>
                <w:rFonts w:cs="Times New Roman"/>
                <w:i/>
                <w:iCs/>
                <w:spacing w:val="-1"/>
                <w:kern w:val="0"/>
                <w:sz w:val="22"/>
              </w:rPr>
              <w:t xml:space="preserve"> </w:t>
            </w:r>
            <w:r>
              <w:rPr>
                <w:rFonts w:cs="Times New Roman"/>
                <w:i/>
                <w:iCs/>
                <w:kern w:val="0"/>
                <w:sz w:val="22"/>
              </w:rPr>
              <w:t>L.</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121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酸模属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皱叶酸模</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1" w:firstLine="0" w:firstLineChars="0"/>
              <w:jc w:val="center"/>
              <w:rPr>
                <w:rFonts w:cs="Times New Roman"/>
                <w:i/>
                <w:iCs/>
                <w:kern w:val="0"/>
                <w:sz w:val="22"/>
              </w:rPr>
            </w:pPr>
            <w:r>
              <w:rPr>
                <w:rFonts w:cs="Times New Roman"/>
                <w:i/>
                <w:iCs/>
                <w:kern w:val="0"/>
                <w:sz w:val="22"/>
              </w:rPr>
              <w:t>Rumex</w:t>
            </w:r>
            <w:r>
              <w:rPr>
                <w:rFonts w:cs="Times New Roman"/>
                <w:i/>
                <w:iCs/>
                <w:spacing w:val="-1"/>
                <w:kern w:val="0"/>
                <w:sz w:val="22"/>
              </w:rPr>
              <w:t xml:space="preserve"> </w:t>
            </w:r>
            <w:r>
              <w:rPr>
                <w:rFonts w:cs="Times New Roman"/>
                <w:i/>
                <w:iCs/>
                <w:kern w:val="0"/>
                <w:sz w:val="22"/>
              </w:rPr>
              <w:t>crispus</w:t>
            </w:r>
            <w:r>
              <w:rPr>
                <w:rFonts w:cs="Times New Roman"/>
                <w:i/>
                <w:iCs/>
                <w:spacing w:val="-1"/>
                <w:kern w:val="0"/>
                <w:sz w:val="22"/>
              </w:rPr>
              <w:t xml:space="preserve"> </w:t>
            </w:r>
            <w:r>
              <w:rPr>
                <w:rFonts w:cs="Times New Roman"/>
                <w:i/>
                <w:iCs/>
                <w:kern w:val="0"/>
                <w:sz w:val="22"/>
              </w:rPr>
              <w:t>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122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酸模属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长刺酸模</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Rumex</w:t>
            </w:r>
            <w:r>
              <w:rPr>
                <w:rFonts w:cs="Times New Roman"/>
                <w:i/>
                <w:iCs/>
                <w:spacing w:val="-2"/>
                <w:kern w:val="0"/>
                <w:sz w:val="22"/>
              </w:rPr>
              <w:t xml:space="preserve"> </w:t>
            </w:r>
            <w:r>
              <w:rPr>
                <w:rFonts w:cs="Times New Roman"/>
                <w:i/>
                <w:iCs/>
                <w:kern w:val="0"/>
                <w:sz w:val="22"/>
              </w:rPr>
              <w:t>trisetiferStokes</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123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酸模属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单瘤酸模</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Rumex</w:t>
            </w:r>
            <w:r>
              <w:rPr>
                <w:rFonts w:cs="Times New Roman"/>
                <w:i/>
                <w:iCs/>
                <w:spacing w:val="-1"/>
                <w:kern w:val="0"/>
                <w:sz w:val="22"/>
              </w:rPr>
              <w:t xml:space="preserve"> </w:t>
            </w:r>
            <w:r>
              <w:rPr>
                <w:rFonts w:cs="Times New Roman"/>
                <w:i/>
                <w:iCs/>
                <w:kern w:val="0"/>
                <w:sz w:val="22"/>
              </w:rPr>
              <w:t>marschallianusReichb.</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124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蓼属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萹蓄</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Polygonum</w:t>
            </w:r>
            <w:r>
              <w:rPr>
                <w:rFonts w:cs="Times New Roman"/>
                <w:i/>
                <w:iCs/>
                <w:spacing w:val="-3"/>
                <w:kern w:val="0"/>
                <w:sz w:val="22"/>
              </w:rPr>
              <w:t xml:space="preserve"> </w:t>
            </w:r>
            <w:r>
              <w:rPr>
                <w:rFonts w:cs="Times New Roman"/>
                <w:i/>
                <w:iCs/>
                <w:kern w:val="0"/>
                <w:sz w:val="22"/>
              </w:rPr>
              <w:t>aviculareL.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125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酸模属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酸模</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Rumex</w:t>
            </w:r>
            <w:r>
              <w:rPr>
                <w:rFonts w:cs="Times New Roman"/>
                <w:i/>
                <w:iCs/>
                <w:spacing w:val="-2"/>
                <w:kern w:val="0"/>
                <w:sz w:val="22"/>
              </w:rPr>
              <w:t xml:space="preserve"> </w:t>
            </w:r>
            <w:r>
              <w:rPr>
                <w:rFonts w:cs="Times New Roman"/>
                <w:i/>
                <w:iCs/>
                <w:kern w:val="0"/>
                <w:sz w:val="22"/>
              </w:rPr>
              <w:t>crispusL.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126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蓼属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西伯利亚蓼</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Polygonum</w:t>
            </w:r>
            <w:r>
              <w:rPr>
                <w:rFonts w:cs="Times New Roman"/>
                <w:i/>
                <w:iCs/>
                <w:spacing w:val="-3"/>
                <w:kern w:val="0"/>
                <w:sz w:val="22"/>
              </w:rPr>
              <w:t xml:space="preserve"> </w:t>
            </w:r>
            <w:r>
              <w:rPr>
                <w:rFonts w:cs="Times New Roman"/>
                <w:i/>
                <w:iCs/>
                <w:kern w:val="0"/>
                <w:sz w:val="22"/>
              </w:rPr>
              <w:t>sibiricum</w:t>
            </w:r>
            <w:r>
              <w:rPr>
                <w:rFonts w:cs="Times New Roman"/>
                <w:i/>
                <w:iCs/>
                <w:spacing w:val="-1"/>
                <w:kern w:val="0"/>
                <w:sz w:val="22"/>
              </w:rPr>
              <w:t xml:space="preserve"> </w:t>
            </w:r>
            <w:r>
              <w:rPr>
                <w:rFonts w:cs="Times New Roman"/>
                <w:i/>
                <w:iCs/>
                <w:kern w:val="0"/>
                <w:sz w:val="22"/>
              </w:rPr>
              <w:t>Laxm.</w:t>
            </w:r>
          </w:p>
        </w:tc>
      </w:tr>
      <w:tr>
        <w:tblPrEx>
          <w:tblCellMar>
            <w:top w:w="0" w:type="dxa"/>
            <w:left w:w="0" w:type="dxa"/>
            <w:bottom w:w="0" w:type="dxa"/>
            <w:right w:w="0" w:type="dxa"/>
          </w:tblCellMar>
        </w:tblPrEx>
        <w:trPr>
          <w:trHeight w:val="626"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127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69" w:firstLine="0" w:firstLineChars="0"/>
              <w:jc w:val="center"/>
              <w:rPr>
                <w:rFonts w:ascii="宋体" w:eastAsia="宋体" w:cs="宋体"/>
                <w:kern w:val="0"/>
                <w:sz w:val="22"/>
              </w:rPr>
            </w:pPr>
            <w:r>
              <w:rPr>
                <w:rFonts w:hint="eastAsia" w:ascii="宋体" w:eastAsia="宋体" w:cs="宋体"/>
                <w:kern w:val="0"/>
                <w:sz w:val="22"/>
              </w:rPr>
              <w:t>紫草科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58" w:firstLine="0" w:firstLineChars="0"/>
              <w:jc w:val="center"/>
              <w:rPr>
                <w:rFonts w:ascii="宋体" w:eastAsia="宋体" w:cs="宋体"/>
                <w:kern w:val="0"/>
                <w:sz w:val="22"/>
              </w:rPr>
            </w:pPr>
            <w:r>
              <w:rPr>
                <w:rFonts w:hint="eastAsia" w:ascii="宋体" w:eastAsia="宋体" w:cs="宋体"/>
                <w:kern w:val="0"/>
                <w:sz w:val="22"/>
              </w:rPr>
              <w:t>天芥菜属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59" w:firstLine="0" w:firstLineChars="0"/>
              <w:jc w:val="center"/>
              <w:rPr>
                <w:rFonts w:ascii="宋体" w:eastAsia="宋体" w:cs="宋体"/>
                <w:kern w:val="0"/>
                <w:sz w:val="22"/>
              </w:rPr>
            </w:pPr>
            <w:r>
              <w:rPr>
                <w:rFonts w:hint="eastAsia" w:ascii="宋体" w:eastAsia="宋体" w:cs="宋体"/>
                <w:kern w:val="0"/>
                <w:sz w:val="22"/>
              </w:rPr>
              <w:t>尖花天芥菜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Heliotropium</w:t>
            </w:r>
            <w:r>
              <w:rPr>
                <w:rFonts w:cs="Times New Roman"/>
                <w:i/>
                <w:iCs/>
                <w:spacing w:val="-8"/>
                <w:kern w:val="0"/>
                <w:sz w:val="22"/>
              </w:rPr>
              <w:t xml:space="preserve"> </w:t>
            </w:r>
            <w:r>
              <w:rPr>
                <w:rFonts w:cs="Times New Roman"/>
                <w:i/>
                <w:iCs/>
                <w:kern w:val="0"/>
                <w:sz w:val="22"/>
              </w:rPr>
              <w:t>acutiflorum</w:t>
            </w:r>
            <w:r>
              <w:rPr>
                <w:rFonts w:cs="Times New Roman"/>
                <w:i/>
                <w:iCs/>
                <w:spacing w:val="-10"/>
                <w:kern w:val="0"/>
                <w:sz w:val="22"/>
              </w:rPr>
              <w:t xml:space="preserve"> </w:t>
            </w:r>
            <w:r>
              <w:rPr>
                <w:rFonts w:cs="Times New Roman"/>
                <w:i/>
                <w:iCs/>
                <w:kern w:val="0"/>
                <w:sz w:val="22"/>
              </w:rPr>
              <w:t>Kar.</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et</w:t>
            </w:r>
            <w:r>
              <w:rPr>
                <w:rFonts w:cs="Times New Roman"/>
                <w:i/>
                <w:iCs/>
                <w:spacing w:val="-5"/>
                <w:kern w:val="0"/>
                <w:sz w:val="22"/>
              </w:rPr>
              <w:t xml:space="preserve"> </w:t>
            </w:r>
            <w:r>
              <w:rPr>
                <w:rFonts w:cs="Times New Roman"/>
                <w:i/>
                <w:iCs/>
                <w:kern w:val="0"/>
                <w:sz w:val="22"/>
              </w:rPr>
              <w:t>Kir.</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128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紫草科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假狼紫草属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假狼紫草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Nonea</w:t>
            </w:r>
            <w:r>
              <w:rPr>
                <w:rFonts w:cs="Times New Roman"/>
                <w:i/>
                <w:iCs/>
                <w:spacing w:val="-3"/>
                <w:kern w:val="0"/>
                <w:sz w:val="22"/>
              </w:rPr>
              <w:t xml:space="preserve"> </w:t>
            </w:r>
            <w:r>
              <w:rPr>
                <w:rFonts w:cs="Times New Roman"/>
                <w:i/>
                <w:iCs/>
                <w:kern w:val="0"/>
                <w:sz w:val="22"/>
              </w:rPr>
              <w:t>caspica</w:t>
            </w:r>
            <w:r>
              <w:rPr>
                <w:rFonts w:cs="Times New Roman"/>
                <w:i/>
                <w:iCs/>
                <w:spacing w:val="-3"/>
                <w:kern w:val="0"/>
                <w:sz w:val="22"/>
              </w:rPr>
              <w:t xml:space="preserve"> </w:t>
            </w:r>
            <w:r>
              <w:rPr>
                <w:rFonts w:cs="Times New Roman"/>
                <w:i/>
                <w:iCs/>
                <w:kern w:val="0"/>
                <w:sz w:val="22"/>
              </w:rPr>
              <w:t>(Willd.)</w:t>
            </w:r>
            <w:r>
              <w:rPr>
                <w:rFonts w:cs="Times New Roman"/>
                <w:i/>
                <w:iCs/>
                <w:spacing w:val="-3"/>
                <w:kern w:val="0"/>
                <w:sz w:val="22"/>
              </w:rPr>
              <w:t xml:space="preserve"> </w:t>
            </w:r>
            <w:r>
              <w:rPr>
                <w:rFonts w:cs="Times New Roman"/>
                <w:i/>
                <w:iCs/>
                <w:kern w:val="0"/>
                <w:sz w:val="22"/>
              </w:rPr>
              <w:t>G.</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Don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129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紫草科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假紫草属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黄花软紫草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Arnebia</w:t>
            </w:r>
            <w:r>
              <w:rPr>
                <w:rFonts w:cs="Times New Roman"/>
                <w:i/>
                <w:iCs/>
                <w:spacing w:val="-1"/>
                <w:kern w:val="0"/>
                <w:sz w:val="22"/>
              </w:rPr>
              <w:t xml:space="preserve"> </w:t>
            </w:r>
            <w:r>
              <w:rPr>
                <w:rFonts w:cs="Times New Roman"/>
                <w:i/>
                <w:iCs/>
                <w:kern w:val="0"/>
                <w:sz w:val="22"/>
              </w:rPr>
              <w:t>guttata</w:t>
            </w:r>
            <w:r>
              <w:rPr>
                <w:rFonts w:cs="Times New Roman"/>
                <w:i/>
                <w:iCs/>
                <w:spacing w:val="-1"/>
                <w:kern w:val="0"/>
                <w:sz w:val="22"/>
              </w:rPr>
              <w:t xml:space="preserve"> </w:t>
            </w:r>
            <w:r>
              <w:rPr>
                <w:rFonts w:cs="Times New Roman"/>
                <w:i/>
                <w:iCs/>
                <w:kern w:val="0"/>
                <w:sz w:val="22"/>
              </w:rPr>
              <w:t>Bge.</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130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紫草科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糙草属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糙草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Asperugo</w:t>
            </w:r>
            <w:r>
              <w:rPr>
                <w:rFonts w:cs="Times New Roman"/>
                <w:i/>
                <w:iCs/>
                <w:spacing w:val="-3"/>
                <w:kern w:val="0"/>
                <w:sz w:val="22"/>
              </w:rPr>
              <w:t xml:space="preserve"> </w:t>
            </w:r>
            <w:r>
              <w:rPr>
                <w:rFonts w:cs="Times New Roman"/>
                <w:i/>
                <w:iCs/>
                <w:kern w:val="0"/>
                <w:sz w:val="22"/>
              </w:rPr>
              <w:t>procumbens</w:t>
            </w:r>
            <w:r>
              <w:rPr>
                <w:rFonts w:cs="Times New Roman"/>
                <w:i/>
                <w:iCs/>
                <w:spacing w:val="-2"/>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131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泽泻科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泽泻属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泽泻</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Alisma</w:t>
            </w:r>
            <w:r>
              <w:rPr>
                <w:rFonts w:cs="Times New Roman"/>
                <w:i/>
                <w:iCs/>
                <w:spacing w:val="-4"/>
                <w:kern w:val="0"/>
                <w:sz w:val="22"/>
              </w:rPr>
              <w:t xml:space="preserve"> </w:t>
            </w:r>
            <w:r>
              <w:rPr>
                <w:rFonts w:cs="Times New Roman"/>
                <w:i/>
                <w:iCs/>
                <w:kern w:val="0"/>
                <w:sz w:val="22"/>
              </w:rPr>
              <w:t>plantago-aquatica</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132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罂粟科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角茴香属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角茴香</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Hypecoum</w:t>
            </w:r>
            <w:r>
              <w:rPr>
                <w:rFonts w:cs="Times New Roman"/>
                <w:i/>
                <w:iCs/>
                <w:spacing w:val="-2"/>
                <w:kern w:val="0"/>
                <w:sz w:val="22"/>
              </w:rPr>
              <w:t xml:space="preserve"> </w:t>
            </w:r>
            <w:r>
              <w:rPr>
                <w:rFonts w:cs="Times New Roman"/>
                <w:i/>
                <w:iCs/>
                <w:kern w:val="0"/>
                <w:sz w:val="22"/>
              </w:rPr>
              <w:t>erectum</w:t>
            </w:r>
            <w:r>
              <w:rPr>
                <w:rFonts w:cs="Times New Roman"/>
                <w:i/>
                <w:iCs/>
                <w:spacing w:val="-2"/>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133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茄科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枸杞属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黑果枸杞</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Lycium</w:t>
            </w:r>
            <w:r>
              <w:rPr>
                <w:rFonts w:cs="Times New Roman"/>
                <w:i/>
                <w:iCs/>
                <w:spacing w:val="-6"/>
                <w:kern w:val="0"/>
                <w:sz w:val="22"/>
              </w:rPr>
              <w:t xml:space="preserve"> </w:t>
            </w:r>
            <w:r>
              <w:rPr>
                <w:rFonts w:cs="Times New Roman"/>
                <w:i/>
                <w:iCs/>
                <w:kern w:val="0"/>
                <w:sz w:val="22"/>
              </w:rPr>
              <w:t>ruthenicum</w:t>
            </w:r>
            <w:r>
              <w:rPr>
                <w:rFonts w:cs="Times New Roman"/>
                <w:i/>
                <w:iCs/>
                <w:spacing w:val="-5"/>
                <w:kern w:val="0"/>
                <w:sz w:val="22"/>
              </w:rPr>
              <w:t xml:space="preserve"> </w:t>
            </w:r>
            <w:r>
              <w:rPr>
                <w:rFonts w:cs="Times New Roman"/>
                <w:i/>
                <w:iCs/>
                <w:kern w:val="0"/>
                <w:sz w:val="22"/>
              </w:rPr>
              <w:t>Murray.</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134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旋花科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菟丝子属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菟丝子</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Cuscuta</w:t>
            </w:r>
            <w:r>
              <w:rPr>
                <w:rFonts w:cs="Times New Roman"/>
                <w:i/>
                <w:iCs/>
                <w:spacing w:val="-1"/>
                <w:kern w:val="0"/>
                <w:sz w:val="22"/>
              </w:rPr>
              <w:t xml:space="preserve"> </w:t>
            </w:r>
            <w:r>
              <w:rPr>
                <w:rFonts w:cs="Times New Roman"/>
                <w:i/>
                <w:iCs/>
                <w:kern w:val="0"/>
                <w:sz w:val="22"/>
              </w:rPr>
              <w:t>chinensis</w:t>
            </w:r>
            <w:r>
              <w:rPr>
                <w:rFonts w:cs="Times New Roman"/>
                <w:i/>
                <w:iCs/>
                <w:spacing w:val="-3"/>
                <w:kern w:val="0"/>
                <w:sz w:val="22"/>
              </w:rPr>
              <w:t xml:space="preserve"> </w:t>
            </w:r>
            <w:r>
              <w:rPr>
                <w:rFonts w:cs="Times New Roman"/>
                <w:i/>
                <w:iCs/>
                <w:kern w:val="0"/>
                <w:sz w:val="22"/>
              </w:rPr>
              <w:t>Lam.</w:t>
            </w:r>
          </w:p>
        </w:tc>
      </w:tr>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135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旋花科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旋花属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田旋花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Convolvulus</w:t>
            </w:r>
            <w:r>
              <w:rPr>
                <w:rFonts w:cs="Times New Roman"/>
                <w:i/>
                <w:iCs/>
                <w:spacing w:val="-1"/>
                <w:kern w:val="0"/>
                <w:sz w:val="22"/>
              </w:rPr>
              <w:t xml:space="preserve"> </w:t>
            </w:r>
            <w:r>
              <w:rPr>
                <w:rFonts w:cs="Times New Roman"/>
                <w:i/>
                <w:iCs/>
                <w:kern w:val="0"/>
                <w:sz w:val="22"/>
              </w:rPr>
              <w:t>arvensis</w:t>
            </w:r>
            <w:r>
              <w:rPr>
                <w:rFonts w:cs="Times New Roman"/>
                <w:i/>
                <w:iCs/>
                <w:spacing w:val="-1"/>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136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旋花科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打碗花属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打碗花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Calystegia</w:t>
            </w:r>
            <w:r>
              <w:rPr>
                <w:rFonts w:cs="Times New Roman"/>
                <w:i/>
                <w:iCs/>
                <w:spacing w:val="-5"/>
                <w:kern w:val="0"/>
                <w:sz w:val="22"/>
              </w:rPr>
              <w:t xml:space="preserve"> </w:t>
            </w:r>
            <w:r>
              <w:rPr>
                <w:rFonts w:cs="Times New Roman"/>
                <w:i/>
                <w:iCs/>
                <w:kern w:val="0"/>
                <w:sz w:val="22"/>
              </w:rPr>
              <w:t>hederacea</w:t>
            </w:r>
            <w:r>
              <w:rPr>
                <w:rFonts w:cs="Times New Roman"/>
                <w:i/>
                <w:iCs/>
                <w:spacing w:val="-5"/>
                <w:kern w:val="0"/>
                <w:sz w:val="22"/>
              </w:rPr>
              <w:t xml:space="preserve"> </w:t>
            </w:r>
            <w:r>
              <w:rPr>
                <w:rFonts w:cs="Times New Roman"/>
                <w:i/>
                <w:iCs/>
                <w:kern w:val="0"/>
                <w:sz w:val="22"/>
              </w:rPr>
              <w:t>Wall.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137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玄参科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野胡麻属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野胡麻</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Dodartia</w:t>
            </w:r>
            <w:r>
              <w:rPr>
                <w:rFonts w:cs="Times New Roman"/>
                <w:i/>
                <w:iCs/>
                <w:spacing w:val="-2"/>
                <w:kern w:val="0"/>
                <w:sz w:val="22"/>
              </w:rPr>
              <w:t xml:space="preserve"> </w:t>
            </w:r>
            <w:r>
              <w:rPr>
                <w:rFonts w:cs="Times New Roman"/>
                <w:i/>
                <w:iCs/>
                <w:kern w:val="0"/>
                <w:sz w:val="22"/>
              </w:rPr>
              <w:t>orientalis</w:t>
            </w:r>
            <w:r>
              <w:rPr>
                <w:rFonts w:cs="Times New Roman"/>
                <w:i/>
                <w:iCs/>
                <w:spacing w:val="-3"/>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138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香蒲科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香蒲属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无苞香蒲</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Typha</w:t>
            </w:r>
            <w:r>
              <w:rPr>
                <w:rFonts w:cs="Times New Roman"/>
                <w:i/>
                <w:iCs/>
                <w:spacing w:val="-4"/>
                <w:kern w:val="0"/>
                <w:sz w:val="22"/>
              </w:rPr>
              <w:t xml:space="preserve"> </w:t>
            </w:r>
            <w:r>
              <w:rPr>
                <w:rFonts w:cs="Times New Roman"/>
                <w:i/>
                <w:iCs/>
                <w:kern w:val="0"/>
                <w:sz w:val="22"/>
              </w:rPr>
              <w:t>laxmannii</w:t>
            </w:r>
            <w:r>
              <w:rPr>
                <w:rFonts w:cs="Times New Roman"/>
                <w:i/>
                <w:iCs/>
                <w:spacing w:val="-2"/>
                <w:kern w:val="0"/>
                <w:sz w:val="22"/>
              </w:rPr>
              <w:t xml:space="preserve"> </w:t>
            </w:r>
            <w:r>
              <w:rPr>
                <w:rFonts w:cs="Times New Roman"/>
                <w:i/>
                <w:iCs/>
                <w:kern w:val="0"/>
                <w:sz w:val="22"/>
              </w:rPr>
              <w:t>Lepech.</w:t>
            </w:r>
          </w:p>
        </w:tc>
      </w:tr>
      <w:tr>
        <w:tblPrEx>
          <w:tblCellMar>
            <w:top w:w="0" w:type="dxa"/>
            <w:left w:w="0" w:type="dxa"/>
            <w:bottom w:w="0" w:type="dxa"/>
            <w:right w:w="0" w:type="dxa"/>
          </w:tblCellMar>
        </w:tblPrEx>
        <w:trPr>
          <w:trHeight w:val="62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139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69" w:firstLine="0" w:firstLineChars="0"/>
              <w:jc w:val="center"/>
              <w:rPr>
                <w:rFonts w:ascii="宋体" w:eastAsia="宋体" w:cs="宋体"/>
                <w:kern w:val="0"/>
                <w:sz w:val="22"/>
              </w:rPr>
            </w:pPr>
            <w:r>
              <w:rPr>
                <w:rFonts w:hint="eastAsia" w:ascii="宋体" w:eastAsia="宋体" w:cs="宋体"/>
                <w:kern w:val="0"/>
                <w:sz w:val="22"/>
              </w:rPr>
              <w:t>香蒲科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8" w:firstLine="0" w:firstLineChars="0"/>
              <w:jc w:val="center"/>
              <w:rPr>
                <w:rFonts w:ascii="宋体" w:eastAsia="宋体" w:cs="宋体"/>
                <w:kern w:val="0"/>
                <w:sz w:val="22"/>
              </w:rPr>
            </w:pPr>
            <w:r>
              <w:rPr>
                <w:rFonts w:hint="eastAsia" w:ascii="宋体" w:eastAsia="宋体" w:cs="宋体"/>
                <w:kern w:val="0"/>
                <w:sz w:val="22"/>
              </w:rPr>
              <w:t>香蒲属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3" w:line="240" w:lineRule="auto"/>
              <w:ind w:right="157" w:firstLine="0" w:firstLineChars="0"/>
              <w:jc w:val="center"/>
              <w:rPr>
                <w:rFonts w:ascii="宋体" w:eastAsia="宋体" w:cs="宋体"/>
                <w:kern w:val="0"/>
                <w:sz w:val="22"/>
              </w:rPr>
            </w:pPr>
            <w:r>
              <w:rPr>
                <w:rFonts w:hint="eastAsia" w:ascii="宋体" w:eastAsia="宋体" w:cs="宋体"/>
                <w:kern w:val="0"/>
                <w:sz w:val="22"/>
              </w:rPr>
              <w:t>长苞香蒲</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Typha</w:t>
            </w:r>
            <w:r>
              <w:rPr>
                <w:rFonts w:cs="Times New Roman"/>
                <w:i/>
                <w:iCs/>
                <w:spacing w:val="-4"/>
                <w:kern w:val="0"/>
                <w:sz w:val="22"/>
              </w:rPr>
              <w:t xml:space="preserve"> </w:t>
            </w:r>
            <w:r>
              <w:rPr>
                <w:rFonts w:cs="Times New Roman"/>
                <w:i/>
                <w:iCs/>
                <w:kern w:val="0"/>
                <w:sz w:val="22"/>
              </w:rPr>
              <w:t>angustata</w:t>
            </w:r>
            <w:r>
              <w:rPr>
                <w:rFonts w:cs="Times New Roman"/>
                <w:i/>
                <w:iCs/>
                <w:spacing w:val="-3"/>
                <w:kern w:val="0"/>
                <w:sz w:val="22"/>
              </w:rPr>
              <w:t xml:space="preserve"> </w:t>
            </w:r>
            <w:r>
              <w:rPr>
                <w:rFonts w:cs="Times New Roman"/>
                <w:i/>
                <w:iCs/>
                <w:kern w:val="0"/>
                <w:sz w:val="22"/>
              </w:rPr>
              <w:t>Bory</w:t>
            </w:r>
            <w:r>
              <w:rPr>
                <w:rFonts w:cs="Times New Roman"/>
                <w:i/>
                <w:iCs/>
                <w:spacing w:val="-3"/>
                <w:kern w:val="0"/>
                <w:sz w:val="22"/>
              </w:rPr>
              <w:t xml:space="preserve"> </w:t>
            </w:r>
            <w:r>
              <w:rPr>
                <w:rFonts w:cs="Times New Roman"/>
                <w:i/>
                <w:iCs/>
                <w:kern w:val="0"/>
                <w:sz w:val="22"/>
              </w:rPr>
              <w:t>et</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Chaub.</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140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香蒲科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香蒲属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水烛</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Typha</w:t>
            </w:r>
            <w:r>
              <w:rPr>
                <w:rFonts w:cs="Times New Roman"/>
                <w:i/>
                <w:iCs/>
                <w:spacing w:val="-5"/>
                <w:kern w:val="0"/>
                <w:sz w:val="22"/>
              </w:rPr>
              <w:t xml:space="preserve"> </w:t>
            </w:r>
            <w:r>
              <w:rPr>
                <w:rFonts w:cs="Times New Roman"/>
                <w:i/>
                <w:iCs/>
                <w:kern w:val="0"/>
                <w:sz w:val="22"/>
              </w:rPr>
              <w:t>angustifolia</w:t>
            </w:r>
            <w:r>
              <w:rPr>
                <w:rFonts w:cs="Times New Roman"/>
                <w:i/>
                <w:iCs/>
                <w:spacing w:val="-4"/>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141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苋科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苋属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反枝苋</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Amaranthus</w:t>
            </w:r>
            <w:r>
              <w:rPr>
                <w:rFonts w:cs="Times New Roman"/>
                <w:i/>
                <w:iCs/>
                <w:spacing w:val="-4"/>
                <w:kern w:val="0"/>
                <w:sz w:val="22"/>
              </w:rPr>
              <w:t xml:space="preserve"> </w:t>
            </w:r>
            <w:r>
              <w:rPr>
                <w:rFonts w:cs="Times New Roman"/>
                <w:i/>
                <w:iCs/>
                <w:kern w:val="0"/>
                <w:sz w:val="22"/>
              </w:rPr>
              <w:t>retroflexus</w:t>
            </w:r>
            <w:r>
              <w:rPr>
                <w:rFonts w:cs="Times New Roman"/>
                <w:i/>
                <w:iCs/>
                <w:spacing w:val="-6"/>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142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苋科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苋属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腋花苋</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Amaranthus</w:t>
            </w:r>
            <w:r>
              <w:rPr>
                <w:rFonts w:cs="Times New Roman"/>
                <w:i/>
                <w:iCs/>
                <w:spacing w:val="-4"/>
                <w:kern w:val="0"/>
                <w:sz w:val="22"/>
              </w:rPr>
              <w:t xml:space="preserve"> </w:t>
            </w:r>
            <w:r>
              <w:rPr>
                <w:rFonts w:cs="Times New Roman"/>
                <w:i/>
                <w:iCs/>
                <w:kern w:val="0"/>
                <w:sz w:val="22"/>
              </w:rPr>
              <w:t>roxburghianus</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Kung</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143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苋科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苋属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马齿苋</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Portulaca</w:t>
            </w:r>
            <w:r>
              <w:rPr>
                <w:rFonts w:cs="Times New Roman"/>
                <w:i/>
                <w:iCs/>
                <w:spacing w:val="-3"/>
                <w:kern w:val="0"/>
                <w:sz w:val="22"/>
              </w:rPr>
              <w:t xml:space="preserve"> </w:t>
            </w:r>
            <w:r>
              <w:rPr>
                <w:rFonts w:cs="Times New Roman"/>
                <w:i/>
                <w:iCs/>
                <w:kern w:val="0"/>
                <w:sz w:val="22"/>
              </w:rPr>
              <w:t>oleracea</w:t>
            </w:r>
            <w:r>
              <w:rPr>
                <w:rFonts w:cs="Times New Roman"/>
                <w:i/>
                <w:iCs/>
                <w:spacing w:val="-1"/>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144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天门冬科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天门冬属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西北天门冬</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Asparagus</w:t>
            </w:r>
            <w:r>
              <w:rPr>
                <w:rFonts w:cs="Times New Roman"/>
                <w:i/>
                <w:iCs/>
                <w:spacing w:val="-1"/>
                <w:kern w:val="0"/>
                <w:sz w:val="22"/>
              </w:rPr>
              <w:t xml:space="preserve"> </w:t>
            </w:r>
            <w:r>
              <w:rPr>
                <w:rFonts w:cs="Times New Roman"/>
                <w:i/>
                <w:iCs/>
                <w:kern w:val="0"/>
                <w:sz w:val="22"/>
              </w:rPr>
              <w:t>persicus</w:t>
            </w:r>
            <w:r>
              <w:rPr>
                <w:rFonts w:cs="Times New Roman"/>
                <w:i/>
                <w:iCs/>
                <w:spacing w:val="-1"/>
                <w:kern w:val="0"/>
                <w:sz w:val="22"/>
              </w:rPr>
              <w:t xml:space="preserve"> </w:t>
            </w:r>
            <w:r>
              <w:rPr>
                <w:rFonts w:cs="Times New Roman"/>
                <w:i/>
                <w:iCs/>
                <w:kern w:val="0"/>
                <w:sz w:val="22"/>
              </w:rPr>
              <w:t>Baker</w:t>
            </w:r>
          </w:p>
        </w:tc>
      </w:tr>
      <w:tr>
        <w:tblPrEx>
          <w:tblCellMar>
            <w:top w:w="0" w:type="dxa"/>
            <w:left w:w="0" w:type="dxa"/>
            <w:bottom w:w="0" w:type="dxa"/>
            <w:right w:w="0" w:type="dxa"/>
          </w:tblCellMar>
        </w:tblPrEx>
        <w:trPr>
          <w:trHeight w:val="626"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145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69" w:firstLine="0" w:firstLineChars="0"/>
              <w:jc w:val="center"/>
              <w:rPr>
                <w:rFonts w:ascii="宋体" w:eastAsia="宋体" w:cs="宋体"/>
                <w:kern w:val="0"/>
                <w:sz w:val="22"/>
              </w:rPr>
            </w:pPr>
            <w:r>
              <w:rPr>
                <w:rFonts w:hint="eastAsia" w:ascii="宋体" w:eastAsia="宋体" w:cs="宋体"/>
                <w:kern w:val="0"/>
                <w:sz w:val="22"/>
              </w:rPr>
              <w:t>锁阳科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58" w:firstLine="0" w:firstLineChars="0"/>
              <w:jc w:val="center"/>
              <w:rPr>
                <w:rFonts w:ascii="宋体" w:eastAsia="宋体" w:cs="宋体"/>
                <w:kern w:val="0"/>
                <w:sz w:val="22"/>
              </w:rPr>
            </w:pPr>
            <w:r>
              <w:rPr>
                <w:rFonts w:hint="eastAsia" w:ascii="宋体" w:eastAsia="宋体" w:cs="宋体"/>
                <w:kern w:val="0"/>
                <w:sz w:val="22"/>
              </w:rPr>
              <w:t>锁阳属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57" w:firstLine="0" w:firstLineChars="0"/>
              <w:jc w:val="center"/>
              <w:rPr>
                <w:rFonts w:ascii="宋体" w:eastAsia="宋体" w:cs="宋体"/>
                <w:kern w:val="0"/>
                <w:sz w:val="22"/>
              </w:rPr>
            </w:pPr>
            <w:r>
              <w:rPr>
                <w:rFonts w:hint="eastAsia" w:ascii="宋体" w:eastAsia="宋体" w:cs="宋体"/>
                <w:kern w:val="0"/>
                <w:sz w:val="22"/>
              </w:rPr>
              <w:t>锁阳</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Cynomorium</w:t>
            </w:r>
            <w:r>
              <w:rPr>
                <w:rFonts w:cs="Times New Roman"/>
                <w:i/>
                <w:iCs/>
                <w:spacing w:val="-5"/>
                <w:kern w:val="0"/>
                <w:sz w:val="22"/>
              </w:rPr>
              <w:t xml:space="preserve"> </w:t>
            </w:r>
            <w:r>
              <w:rPr>
                <w:rFonts w:cs="Times New Roman"/>
                <w:i/>
                <w:iCs/>
                <w:kern w:val="0"/>
                <w:sz w:val="22"/>
              </w:rPr>
              <w:t>songaricum</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Rupr.</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146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石竹科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拟漆姑属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拟漆姑</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Spergularia</w:t>
            </w:r>
            <w:r>
              <w:rPr>
                <w:rFonts w:cs="Times New Roman"/>
                <w:i/>
                <w:iCs/>
                <w:spacing w:val="-5"/>
                <w:kern w:val="0"/>
                <w:sz w:val="22"/>
              </w:rPr>
              <w:t xml:space="preserve"> </w:t>
            </w:r>
            <w:r>
              <w:rPr>
                <w:rFonts w:cs="Times New Roman"/>
                <w:i/>
                <w:iCs/>
                <w:kern w:val="0"/>
                <w:sz w:val="22"/>
              </w:rPr>
              <w:t>salina</w:t>
            </w:r>
            <w:r>
              <w:rPr>
                <w:rFonts w:cs="Times New Roman"/>
                <w:i/>
                <w:iCs/>
                <w:spacing w:val="-4"/>
                <w:kern w:val="0"/>
                <w:sz w:val="22"/>
              </w:rPr>
              <w:t xml:space="preserve"> </w:t>
            </w:r>
            <w:r>
              <w:rPr>
                <w:rFonts w:cs="Times New Roman"/>
                <w:i/>
                <w:iCs/>
                <w:kern w:val="0"/>
                <w:sz w:val="22"/>
              </w:rPr>
              <w:t>J.</w:t>
            </w:r>
            <w:r>
              <w:rPr>
                <w:rFonts w:cs="Times New Roman"/>
                <w:i/>
                <w:iCs/>
                <w:spacing w:val="-1"/>
                <w:kern w:val="0"/>
                <w:sz w:val="22"/>
              </w:rPr>
              <w:t xml:space="preserve"> </w:t>
            </w:r>
            <w:r>
              <w:rPr>
                <w:rFonts w:cs="Times New Roman"/>
                <w:i/>
                <w:iCs/>
                <w:kern w:val="0"/>
                <w:sz w:val="22"/>
              </w:rPr>
              <w:t>et</w:t>
            </w:r>
            <w:r>
              <w:rPr>
                <w:rFonts w:cs="Times New Roman"/>
                <w:i/>
                <w:iCs/>
                <w:spacing w:val="-1"/>
                <w:kern w:val="0"/>
                <w:sz w:val="22"/>
              </w:rPr>
              <w:t xml:space="preserve"> </w:t>
            </w:r>
            <w:r>
              <w:rPr>
                <w:rFonts w:cs="Times New Roman"/>
                <w:i/>
                <w:iCs/>
                <w:kern w:val="0"/>
                <w:sz w:val="22"/>
              </w:rPr>
              <w:t>C.</w:t>
            </w:r>
          </w:p>
          <w:p>
            <w:pPr>
              <w:kinsoku w:val="0"/>
              <w:overflowPunct w:val="0"/>
              <w:autoSpaceDE w:val="0"/>
              <w:autoSpaceDN w:val="0"/>
              <w:adjustRightInd w:val="0"/>
              <w:spacing w:before="59" w:line="240" w:lineRule="auto"/>
              <w:ind w:right="72" w:firstLine="0" w:firstLineChars="0"/>
              <w:jc w:val="center"/>
              <w:rPr>
                <w:rFonts w:cs="Times New Roman"/>
                <w:i/>
                <w:iCs/>
                <w:kern w:val="0"/>
                <w:sz w:val="22"/>
              </w:rPr>
            </w:pPr>
            <w:r>
              <w:rPr>
                <w:rFonts w:cs="Times New Roman"/>
                <w:i/>
                <w:iCs/>
                <w:kern w:val="0"/>
                <w:sz w:val="22"/>
              </w:rPr>
              <w:t>Presl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147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狸藻科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狸藻属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狸藻</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Utricularia</w:t>
            </w:r>
            <w:r>
              <w:rPr>
                <w:rFonts w:cs="Times New Roman"/>
                <w:i/>
                <w:iCs/>
                <w:spacing w:val="-5"/>
                <w:kern w:val="0"/>
                <w:sz w:val="22"/>
              </w:rPr>
              <w:t xml:space="preserve"> </w:t>
            </w:r>
            <w:r>
              <w:rPr>
                <w:rFonts w:cs="Times New Roman"/>
                <w:i/>
                <w:iCs/>
                <w:kern w:val="0"/>
                <w:sz w:val="22"/>
              </w:rPr>
              <w:t>vulgarisL.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148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杉叶藻科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杉叶藻属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杉叶藻</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Hippuris</w:t>
            </w:r>
            <w:r>
              <w:rPr>
                <w:rFonts w:cs="Times New Roman"/>
                <w:i/>
                <w:iCs/>
                <w:spacing w:val="-2"/>
                <w:kern w:val="0"/>
                <w:sz w:val="22"/>
              </w:rPr>
              <w:t xml:space="preserve"> </w:t>
            </w:r>
            <w:r>
              <w:rPr>
                <w:rFonts w:cs="Times New Roman"/>
                <w:i/>
                <w:iCs/>
                <w:kern w:val="0"/>
                <w:sz w:val="22"/>
              </w:rPr>
              <w:t>vulgarisL.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149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伞形科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阿魏属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阜康阿魏</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Ferula</w:t>
            </w:r>
            <w:r>
              <w:rPr>
                <w:rFonts w:cs="Times New Roman"/>
                <w:i/>
                <w:iCs/>
                <w:spacing w:val="-4"/>
                <w:kern w:val="0"/>
                <w:sz w:val="22"/>
              </w:rPr>
              <w:t xml:space="preserve"> </w:t>
            </w:r>
            <w:r>
              <w:rPr>
                <w:rFonts w:cs="Times New Roman"/>
                <w:i/>
                <w:iCs/>
                <w:kern w:val="0"/>
                <w:sz w:val="22"/>
              </w:rPr>
              <w:t>fukanensis K. M.</w:t>
            </w:r>
            <w:r>
              <w:rPr>
                <w:rFonts w:cs="Times New Roman"/>
                <w:i/>
                <w:iCs/>
                <w:spacing w:val="-2"/>
                <w:kern w:val="0"/>
                <w:sz w:val="22"/>
              </w:rPr>
              <w:t xml:space="preserve"> </w:t>
            </w:r>
            <w:r>
              <w:rPr>
                <w:rFonts w:cs="Times New Roman"/>
                <w:i/>
                <w:iCs/>
                <w:kern w:val="0"/>
                <w:sz w:val="22"/>
              </w:rPr>
              <w:t>Shen</w:t>
            </w:r>
          </w:p>
        </w:tc>
      </w:tr>
      <w:tr>
        <w:tblPrEx>
          <w:tblCellMar>
            <w:top w:w="0" w:type="dxa"/>
            <w:left w:w="0" w:type="dxa"/>
            <w:bottom w:w="0" w:type="dxa"/>
            <w:right w:w="0" w:type="dxa"/>
          </w:tblCellMar>
        </w:tblPrEx>
        <w:trPr>
          <w:trHeight w:val="625"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150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伞形科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阿魏属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多伞阿魏</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Ferula</w:t>
            </w:r>
            <w:r>
              <w:rPr>
                <w:rFonts w:cs="Times New Roman"/>
                <w:i/>
                <w:iCs/>
                <w:spacing w:val="-4"/>
                <w:kern w:val="0"/>
                <w:sz w:val="22"/>
              </w:rPr>
              <w:t xml:space="preserve"> </w:t>
            </w:r>
            <w:r>
              <w:rPr>
                <w:rFonts w:cs="Times New Roman"/>
                <w:i/>
                <w:iCs/>
                <w:kern w:val="0"/>
                <w:sz w:val="22"/>
              </w:rPr>
              <w:t>ferulaeoides</w:t>
            </w:r>
            <w:r>
              <w:rPr>
                <w:rFonts w:cs="Times New Roman"/>
                <w:i/>
                <w:iCs/>
                <w:spacing w:val="-2"/>
                <w:kern w:val="0"/>
                <w:sz w:val="22"/>
              </w:rPr>
              <w:t xml:space="preserve"> </w:t>
            </w:r>
            <w:r>
              <w:rPr>
                <w:rFonts w:cs="Times New Roman"/>
                <w:i/>
                <w:iCs/>
                <w:kern w:val="0"/>
                <w:sz w:val="22"/>
              </w:rPr>
              <w:t>(Steud.)</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Korov.</w:t>
            </w:r>
          </w:p>
        </w:tc>
      </w:tr>
    </w:tbl>
    <w:p>
      <w:pPr>
        <w:autoSpaceDE w:val="0"/>
        <w:autoSpaceDN w:val="0"/>
        <w:adjustRightInd w:val="0"/>
        <w:spacing w:line="240" w:lineRule="auto"/>
        <w:ind w:firstLine="0" w:firstLineChars="0"/>
        <w:jc w:val="left"/>
        <w:rPr>
          <w:rFonts w:ascii="黑体" w:eastAsia="黑体" w:cs="黑体"/>
          <w:b/>
          <w:bCs/>
          <w:kern w:val="0"/>
          <w:sz w:val="15"/>
          <w:szCs w:val="15"/>
        </w:rPr>
        <w:sectPr>
          <w:pgSz w:w="11910" w:h="16840"/>
          <w:pgMar w:top="1420" w:right="200" w:bottom="280" w:left="780" w:header="720" w:footer="720" w:gutter="0"/>
          <w:cols w:space="720" w:num="1"/>
        </w:sectPr>
      </w:pPr>
    </w:p>
    <w:tbl>
      <w:tblPr>
        <w:tblStyle w:val="25"/>
        <w:tblW w:w="8295" w:type="dxa"/>
        <w:tblInd w:w="1030" w:type="dxa"/>
        <w:tblLayout w:type="fixed"/>
        <w:tblCellMar>
          <w:top w:w="0" w:type="dxa"/>
          <w:left w:w="0" w:type="dxa"/>
          <w:bottom w:w="0" w:type="dxa"/>
          <w:right w:w="0" w:type="dxa"/>
        </w:tblCellMar>
      </w:tblPr>
      <w:tblGrid>
        <w:gridCol w:w="703"/>
        <w:gridCol w:w="1277"/>
        <w:gridCol w:w="1701"/>
        <w:gridCol w:w="1701"/>
        <w:gridCol w:w="2913"/>
      </w:tblGrid>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102" w:firstLine="0" w:firstLineChars="0"/>
              <w:jc w:val="center"/>
              <w:rPr>
                <w:rFonts w:cs="Times New Roman"/>
                <w:kern w:val="0"/>
                <w:sz w:val="22"/>
              </w:rPr>
            </w:pPr>
            <w:r>
              <w:rPr>
                <w:rFonts w:cs="Times New Roman"/>
                <w:kern w:val="0"/>
                <w:sz w:val="22"/>
              </w:rPr>
              <w:t>151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蔷薇科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委陵菜属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二裂委陵菜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1" w:firstLine="0" w:firstLineChars="0"/>
              <w:jc w:val="center"/>
              <w:rPr>
                <w:rFonts w:cs="Times New Roman"/>
                <w:i/>
                <w:iCs/>
                <w:kern w:val="0"/>
                <w:sz w:val="22"/>
              </w:rPr>
            </w:pPr>
            <w:r>
              <w:rPr>
                <w:rFonts w:cs="Times New Roman"/>
                <w:i/>
                <w:iCs/>
                <w:kern w:val="0"/>
                <w:sz w:val="22"/>
              </w:rPr>
              <w:t>Potentilla</w:t>
            </w:r>
            <w:r>
              <w:rPr>
                <w:rFonts w:cs="Times New Roman"/>
                <w:i/>
                <w:iCs/>
                <w:spacing w:val="-6"/>
                <w:kern w:val="0"/>
                <w:sz w:val="22"/>
              </w:rPr>
              <w:t xml:space="preserve"> </w:t>
            </w:r>
            <w:r>
              <w:rPr>
                <w:rFonts w:cs="Times New Roman"/>
                <w:i/>
                <w:iCs/>
                <w:kern w:val="0"/>
                <w:sz w:val="22"/>
              </w:rPr>
              <w:t>bifurcaL.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152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蔷薇科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委陵菜属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朝天委陵菜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Potentilla</w:t>
            </w:r>
            <w:r>
              <w:rPr>
                <w:rFonts w:cs="Times New Roman"/>
                <w:i/>
                <w:iCs/>
                <w:spacing w:val="-4"/>
                <w:kern w:val="0"/>
                <w:sz w:val="22"/>
              </w:rPr>
              <w:t xml:space="preserve"> </w:t>
            </w:r>
            <w:r>
              <w:rPr>
                <w:rFonts w:cs="Times New Roman"/>
                <w:i/>
                <w:iCs/>
                <w:kern w:val="0"/>
                <w:sz w:val="22"/>
              </w:rPr>
              <w:t>supinaL.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153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茜草科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茜草属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茜草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Rubia</w:t>
            </w:r>
            <w:r>
              <w:rPr>
                <w:rFonts w:cs="Times New Roman"/>
                <w:i/>
                <w:iCs/>
                <w:spacing w:val="-3"/>
                <w:kern w:val="0"/>
                <w:sz w:val="22"/>
              </w:rPr>
              <w:t xml:space="preserve"> </w:t>
            </w:r>
            <w:r>
              <w:rPr>
                <w:rFonts w:cs="Times New Roman"/>
                <w:i/>
                <w:iCs/>
                <w:kern w:val="0"/>
                <w:sz w:val="22"/>
              </w:rPr>
              <w:t>cordifolia</w:t>
            </w:r>
            <w:r>
              <w:rPr>
                <w:rFonts w:cs="Times New Roman"/>
                <w:i/>
                <w:iCs/>
                <w:spacing w:val="-2"/>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154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千屈菜科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千屈菜属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千屈菜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3" w:firstLine="0" w:firstLineChars="0"/>
              <w:jc w:val="center"/>
              <w:rPr>
                <w:rFonts w:cs="Times New Roman"/>
                <w:i/>
                <w:iCs/>
                <w:kern w:val="0"/>
                <w:sz w:val="22"/>
              </w:rPr>
            </w:pPr>
            <w:r>
              <w:rPr>
                <w:rFonts w:cs="Times New Roman"/>
                <w:i/>
                <w:iCs/>
                <w:kern w:val="0"/>
                <w:sz w:val="22"/>
              </w:rPr>
              <w:t>Lythrum</w:t>
            </w:r>
            <w:r>
              <w:rPr>
                <w:rFonts w:cs="Times New Roman"/>
                <w:i/>
                <w:iCs/>
                <w:spacing w:val="-2"/>
                <w:kern w:val="0"/>
                <w:sz w:val="22"/>
              </w:rPr>
              <w:t xml:space="preserve"> </w:t>
            </w:r>
            <w:r>
              <w:rPr>
                <w:rFonts w:cs="Times New Roman"/>
                <w:i/>
                <w:iCs/>
                <w:kern w:val="0"/>
                <w:sz w:val="22"/>
              </w:rPr>
              <w:t>salicariaL.</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155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40" w:lineRule="auto"/>
              <w:ind w:right="169" w:firstLine="0" w:firstLineChars="0"/>
              <w:jc w:val="center"/>
              <w:rPr>
                <w:rFonts w:ascii="宋体" w:eastAsia="宋体" w:cs="宋体"/>
                <w:kern w:val="0"/>
                <w:sz w:val="22"/>
              </w:rPr>
            </w:pPr>
            <w:r>
              <w:rPr>
                <w:rFonts w:hint="eastAsia" w:ascii="宋体" w:eastAsia="宋体" w:cs="宋体"/>
                <w:kern w:val="0"/>
                <w:sz w:val="22"/>
              </w:rPr>
              <w:t>牻牛儿苗</w:t>
            </w:r>
          </w:p>
          <w:p>
            <w:pPr>
              <w:kinsoku w:val="0"/>
              <w:overflowPunct w:val="0"/>
              <w:autoSpaceDE w:val="0"/>
              <w:autoSpaceDN w:val="0"/>
              <w:adjustRightInd w:val="0"/>
              <w:spacing w:before="30" w:line="277" w:lineRule="exact"/>
              <w:ind w:firstLine="0" w:firstLineChars="0"/>
              <w:jc w:val="center"/>
              <w:rPr>
                <w:rFonts w:ascii="宋体" w:eastAsia="宋体" w:cs="宋体"/>
                <w:kern w:val="0"/>
                <w:sz w:val="22"/>
              </w:rPr>
            </w:pPr>
            <w:r>
              <w:rPr>
                <w:rFonts w:hint="eastAsia" w:ascii="宋体" w:eastAsia="宋体" w:cs="宋体"/>
                <w:kern w:val="0"/>
                <w:sz w:val="22"/>
              </w:rPr>
              <w:t>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牻牛儿苗属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尖喙牻牛儿苗</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Erodium</w:t>
            </w:r>
            <w:r>
              <w:rPr>
                <w:rFonts w:cs="Times New Roman"/>
                <w:i/>
                <w:iCs/>
                <w:spacing w:val="-4"/>
                <w:kern w:val="0"/>
                <w:sz w:val="22"/>
              </w:rPr>
              <w:t xml:space="preserve"> </w:t>
            </w:r>
            <w:r>
              <w:rPr>
                <w:rFonts w:cs="Times New Roman"/>
                <w:i/>
                <w:iCs/>
                <w:kern w:val="0"/>
                <w:sz w:val="22"/>
              </w:rPr>
              <w:t>oxyrhinchumM.</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Bieb.</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156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40" w:lineRule="auto"/>
              <w:ind w:right="169" w:firstLine="0" w:firstLineChars="0"/>
              <w:jc w:val="center"/>
              <w:rPr>
                <w:rFonts w:ascii="宋体" w:eastAsia="宋体" w:cs="宋体"/>
                <w:kern w:val="0"/>
                <w:sz w:val="22"/>
              </w:rPr>
            </w:pPr>
            <w:r>
              <w:fldChar w:fldCharType="begin"/>
            </w:r>
            <w:r>
              <w:instrText xml:space="preserve"> HYPERLINK "https://baike.so.com/doc/6031139-6244140.html" </w:instrText>
            </w:r>
            <w:r>
              <w:fldChar w:fldCharType="separate"/>
            </w:r>
            <w:r>
              <w:rPr>
                <w:rFonts w:hint="eastAsia" w:ascii="宋体" w:eastAsia="宋体" w:cs="宋体"/>
                <w:kern w:val="0"/>
                <w:sz w:val="22"/>
              </w:rPr>
              <w:t>牻牛儿苗</w:t>
            </w:r>
            <w:r>
              <w:rPr>
                <w:rFonts w:hint="eastAsia" w:ascii="宋体" w:eastAsia="宋体" w:cs="宋体"/>
                <w:kern w:val="0"/>
                <w:sz w:val="22"/>
              </w:rPr>
              <w:fldChar w:fldCharType="end"/>
            </w:r>
          </w:p>
          <w:p>
            <w:pPr>
              <w:kinsoku w:val="0"/>
              <w:overflowPunct w:val="0"/>
              <w:autoSpaceDE w:val="0"/>
              <w:autoSpaceDN w:val="0"/>
              <w:adjustRightInd w:val="0"/>
              <w:spacing w:before="30" w:line="277" w:lineRule="exact"/>
              <w:ind w:firstLine="0" w:firstLineChars="0"/>
              <w:jc w:val="center"/>
              <w:rPr>
                <w:rFonts w:ascii="宋体" w:eastAsia="宋体" w:cs="宋体"/>
                <w:kern w:val="0"/>
                <w:sz w:val="22"/>
              </w:rPr>
            </w:pPr>
            <w:r>
              <w:fldChar w:fldCharType="begin"/>
            </w:r>
            <w:r>
              <w:instrText xml:space="preserve"> HYPERLINK "https://baike.so.com/doc/6031139-6244140.html" </w:instrText>
            </w:r>
            <w:r>
              <w:fldChar w:fldCharType="separate"/>
            </w:r>
            <w:r>
              <w:rPr>
                <w:rFonts w:hint="eastAsia" w:ascii="宋体" w:eastAsia="宋体" w:cs="宋体"/>
                <w:kern w:val="0"/>
                <w:sz w:val="22"/>
              </w:rPr>
              <w:t>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老鹳草属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老鹳草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74" w:firstLine="0" w:firstLineChars="0"/>
              <w:jc w:val="center"/>
              <w:rPr>
                <w:rFonts w:cs="Times New Roman"/>
                <w:i/>
                <w:iCs/>
                <w:kern w:val="0"/>
                <w:sz w:val="22"/>
              </w:rPr>
            </w:pPr>
            <w:r>
              <w:rPr>
                <w:rFonts w:cs="Times New Roman"/>
                <w:i/>
                <w:iCs/>
                <w:kern w:val="0"/>
                <w:sz w:val="22"/>
              </w:rPr>
              <w:t>Geranium</w:t>
            </w:r>
            <w:r>
              <w:rPr>
                <w:rFonts w:cs="Times New Roman"/>
                <w:i/>
                <w:iCs/>
                <w:spacing w:val="-4"/>
                <w:kern w:val="0"/>
                <w:sz w:val="22"/>
              </w:rPr>
              <w:t xml:space="preserve"> </w:t>
            </w:r>
            <w:r>
              <w:rPr>
                <w:rFonts w:cs="Times New Roman"/>
                <w:i/>
                <w:iCs/>
                <w:kern w:val="0"/>
                <w:sz w:val="22"/>
              </w:rPr>
              <w:t>wilfordii</w:t>
            </w:r>
            <w:r>
              <w:rPr>
                <w:rFonts w:cs="Times New Roman"/>
                <w:i/>
                <w:iCs/>
                <w:spacing w:val="-5"/>
                <w:kern w:val="0"/>
                <w:sz w:val="22"/>
              </w:rPr>
              <w:t xml:space="preserve"> </w:t>
            </w:r>
            <w:r>
              <w:rPr>
                <w:rFonts w:cs="Times New Roman"/>
                <w:i/>
                <w:iCs/>
                <w:kern w:val="0"/>
                <w:sz w:val="22"/>
              </w:rPr>
              <w:t>Maxim.</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157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柳叶菜科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柳叶菜属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沼生柳叶菜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Epilobium</w:t>
            </w:r>
            <w:r>
              <w:rPr>
                <w:rFonts w:cs="Times New Roman"/>
                <w:i/>
                <w:iCs/>
                <w:spacing w:val="-4"/>
                <w:kern w:val="0"/>
                <w:sz w:val="22"/>
              </w:rPr>
              <w:t xml:space="preserve"> </w:t>
            </w:r>
            <w:r>
              <w:rPr>
                <w:rFonts w:cs="Times New Roman"/>
                <w:i/>
                <w:iCs/>
                <w:kern w:val="0"/>
                <w:sz w:val="22"/>
              </w:rPr>
              <w:t>palustreL.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158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列当科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肉苁蓉属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肉苁蓉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Cistanche</w:t>
            </w:r>
            <w:r>
              <w:rPr>
                <w:rFonts w:cs="Times New Roman"/>
                <w:i/>
                <w:iCs/>
                <w:spacing w:val="-3"/>
                <w:kern w:val="0"/>
                <w:sz w:val="22"/>
              </w:rPr>
              <w:t xml:space="preserve"> </w:t>
            </w:r>
            <w:r>
              <w:rPr>
                <w:rFonts w:cs="Times New Roman"/>
                <w:i/>
                <w:iCs/>
                <w:kern w:val="0"/>
                <w:sz w:val="22"/>
              </w:rPr>
              <w:t>deserticola</w:t>
            </w:r>
            <w:r>
              <w:rPr>
                <w:rFonts w:cs="Times New Roman"/>
                <w:i/>
                <w:iCs/>
                <w:spacing w:val="-3"/>
                <w:kern w:val="0"/>
                <w:sz w:val="22"/>
              </w:rPr>
              <w:t xml:space="preserve"> </w:t>
            </w:r>
            <w:r>
              <w:rPr>
                <w:rFonts w:cs="Times New Roman"/>
                <w:i/>
                <w:iCs/>
                <w:kern w:val="0"/>
                <w:sz w:val="22"/>
              </w:rPr>
              <w:t>Ma</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159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列当科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肉苁蓉属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盐生肉苁蓉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C.salsaC.A.Mey.GBeck</w:t>
            </w:r>
          </w:p>
        </w:tc>
      </w:tr>
      <w:tr>
        <w:tblPrEx>
          <w:tblCellMar>
            <w:top w:w="0" w:type="dxa"/>
            <w:left w:w="0" w:type="dxa"/>
            <w:bottom w:w="0" w:type="dxa"/>
            <w:right w:w="0" w:type="dxa"/>
          </w:tblCellMar>
        </w:tblPrEx>
        <w:trPr>
          <w:trHeight w:val="626"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8" w:line="240" w:lineRule="auto"/>
              <w:ind w:right="102" w:firstLine="0" w:firstLineChars="0"/>
              <w:jc w:val="center"/>
              <w:rPr>
                <w:rFonts w:cs="Times New Roman"/>
                <w:kern w:val="0"/>
                <w:sz w:val="22"/>
              </w:rPr>
            </w:pPr>
            <w:r>
              <w:rPr>
                <w:rFonts w:cs="Times New Roman"/>
                <w:kern w:val="0"/>
                <w:sz w:val="22"/>
              </w:rPr>
              <w:t>160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69" w:firstLine="0" w:firstLineChars="0"/>
              <w:jc w:val="center"/>
              <w:rPr>
                <w:rFonts w:ascii="宋体" w:eastAsia="宋体" w:cs="宋体"/>
                <w:kern w:val="0"/>
                <w:sz w:val="22"/>
              </w:rPr>
            </w:pPr>
            <w:r>
              <w:rPr>
                <w:rFonts w:hint="eastAsia" w:ascii="宋体" w:eastAsia="宋体" w:cs="宋体"/>
                <w:kern w:val="0"/>
                <w:sz w:val="22"/>
              </w:rPr>
              <w:t>列当科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58" w:firstLine="0" w:firstLineChars="0"/>
              <w:jc w:val="center"/>
              <w:rPr>
                <w:rFonts w:ascii="宋体" w:eastAsia="宋体" w:cs="宋体"/>
                <w:kern w:val="0"/>
                <w:sz w:val="22"/>
              </w:rPr>
            </w:pPr>
            <w:r>
              <w:rPr>
                <w:rFonts w:hint="eastAsia" w:ascii="宋体" w:eastAsia="宋体" w:cs="宋体"/>
                <w:kern w:val="0"/>
                <w:sz w:val="22"/>
              </w:rPr>
              <w:t>列当属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4" w:line="240" w:lineRule="auto"/>
              <w:ind w:right="157" w:firstLine="0" w:firstLineChars="0"/>
              <w:jc w:val="center"/>
              <w:rPr>
                <w:rFonts w:ascii="宋体" w:eastAsia="宋体" w:cs="宋体"/>
                <w:kern w:val="0"/>
                <w:sz w:val="22"/>
              </w:rPr>
            </w:pPr>
            <w:r>
              <w:rPr>
                <w:rFonts w:hint="eastAsia" w:ascii="宋体" w:eastAsia="宋体" w:cs="宋体"/>
                <w:kern w:val="0"/>
                <w:sz w:val="22"/>
              </w:rPr>
              <w:t>美丽列当</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3" w:firstLine="0" w:firstLineChars="0"/>
              <w:jc w:val="center"/>
              <w:rPr>
                <w:rFonts w:cs="Times New Roman"/>
                <w:i/>
                <w:iCs/>
                <w:kern w:val="0"/>
                <w:sz w:val="22"/>
              </w:rPr>
            </w:pPr>
            <w:r>
              <w:rPr>
                <w:rFonts w:cs="Times New Roman"/>
                <w:i/>
                <w:iCs/>
                <w:kern w:val="0"/>
                <w:sz w:val="22"/>
              </w:rPr>
              <w:t>Orobanche</w:t>
            </w:r>
            <w:r>
              <w:rPr>
                <w:rFonts w:cs="Times New Roman"/>
                <w:i/>
                <w:iCs/>
                <w:spacing w:val="-2"/>
                <w:kern w:val="0"/>
                <w:sz w:val="22"/>
              </w:rPr>
              <w:t xml:space="preserve"> </w:t>
            </w:r>
            <w:r>
              <w:rPr>
                <w:rFonts w:cs="Times New Roman"/>
                <w:i/>
                <w:iCs/>
                <w:kern w:val="0"/>
                <w:sz w:val="22"/>
              </w:rPr>
              <w:t>amoena</w:t>
            </w:r>
            <w:r>
              <w:rPr>
                <w:rFonts w:cs="Times New Roman"/>
                <w:i/>
                <w:iCs/>
                <w:spacing w:val="-1"/>
                <w:kern w:val="0"/>
                <w:sz w:val="22"/>
              </w:rPr>
              <w:t xml:space="preserve"> </w:t>
            </w:r>
            <w:r>
              <w:rPr>
                <w:rFonts w:cs="Times New Roman"/>
                <w:i/>
                <w:iCs/>
                <w:kern w:val="0"/>
                <w:sz w:val="22"/>
              </w:rPr>
              <w:t>C.</w:t>
            </w:r>
            <w:r>
              <w:rPr>
                <w:rFonts w:cs="Times New Roman"/>
                <w:i/>
                <w:iCs/>
                <w:spacing w:val="-6"/>
                <w:kern w:val="0"/>
                <w:sz w:val="22"/>
              </w:rPr>
              <w:t xml:space="preserve"> </w:t>
            </w:r>
            <w:r>
              <w:rPr>
                <w:rFonts w:cs="Times New Roman"/>
                <w:i/>
                <w:iCs/>
                <w:kern w:val="0"/>
                <w:sz w:val="22"/>
              </w:rPr>
              <w:t>A.</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Mey.</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161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莎草科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藨草属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扁秆藨草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Scirpus</w:t>
            </w:r>
            <w:r>
              <w:rPr>
                <w:rFonts w:cs="Times New Roman"/>
                <w:i/>
                <w:iCs/>
                <w:spacing w:val="-6"/>
                <w:kern w:val="0"/>
                <w:sz w:val="22"/>
              </w:rPr>
              <w:t xml:space="preserve"> </w:t>
            </w:r>
            <w:r>
              <w:rPr>
                <w:rFonts w:cs="Times New Roman"/>
                <w:i/>
                <w:iCs/>
                <w:kern w:val="0"/>
                <w:sz w:val="22"/>
              </w:rPr>
              <w:t>planiculmis</w:t>
            </w:r>
            <w:r>
              <w:rPr>
                <w:rFonts w:cs="Times New Roman"/>
                <w:i/>
                <w:iCs/>
                <w:spacing w:val="-5"/>
                <w:kern w:val="0"/>
                <w:sz w:val="22"/>
              </w:rPr>
              <w:t xml:space="preserve"> </w:t>
            </w:r>
            <w:r>
              <w:rPr>
                <w:rFonts w:cs="Times New Roman"/>
                <w:i/>
                <w:iCs/>
                <w:kern w:val="0"/>
                <w:sz w:val="22"/>
              </w:rPr>
              <w:t>Fr.</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Schmidt</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162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莎草科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藨草属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荆三棱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Scirpus</w:t>
            </w:r>
            <w:r>
              <w:rPr>
                <w:rFonts w:cs="Times New Roman"/>
                <w:i/>
                <w:iCs/>
                <w:spacing w:val="-1"/>
                <w:kern w:val="0"/>
                <w:sz w:val="22"/>
              </w:rPr>
              <w:t xml:space="preserve"> </w:t>
            </w:r>
            <w:r>
              <w:rPr>
                <w:rFonts w:cs="Times New Roman"/>
                <w:i/>
                <w:iCs/>
                <w:kern w:val="0"/>
                <w:sz w:val="22"/>
              </w:rPr>
              <w:t>yagara</w:t>
            </w:r>
            <w:r>
              <w:rPr>
                <w:rFonts w:cs="Times New Roman"/>
                <w:i/>
                <w:iCs/>
                <w:spacing w:val="-1"/>
                <w:kern w:val="0"/>
                <w:sz w:val="22"/>
              </w:rPr>
              <w:t xml:space="preserve"> </w:t>
            </w:r>
            <w:r>
              <w:rPr>
                <w:rFonts w:cs="Times New Roman"/>
                <w:i/>
                <w:iCs/>
                <w:kern w:val="0"/>
                <w:sz w:val="22"/>
              </w:rPr>
              <w:t>Ohwi</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163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莎草科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藨草属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水葱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Scirpus</w:t>
            </w:r>
            <w:r>
              <w:rPr>
                <w:rFonts w:cs="Times New Roman"/>
                <w:i/>
                <w:iCs/>
                <w:spacing w:val="-5"/>
                <w:kern w:val="0"/>
                <w:sz w:val="22"/>
              </w:rPr>
              <w:t xml:space="preserve"> </w:t>
            </w:r>
            <w:r>
              <w:rPr>
                <w:rFonts w:cs="Times New Roman"/>
                <w:i/>
                <w:iCs/>
                <w:kern w:val="0"/>
                <w:sz w:val="22"/>
              </w:rPr>
              <w:t>validus</w:t>
            </w:r>
            <w:r>
              <w:rPr>
                <w:rFonts w:cs="Times New Roman"/>
                <w:i/>
                <w:iCs/>
                <w:spacing w:val="-5"/>
                <w:kern w:val="0"/>
                <w:sz w:val="22"/>
              </w:rPr>
              <w:t xml:space="preserve"> </w:t>
            </w:r>
            <w:r>
              <w:rPr>
                <w:rFonts w:cs="Times New Roman"/>
                <w:i/>
                <w:iCs/>
                <w:kern w:val="0"/>
                <w:sz w:val="22"/>
              </w:rPr>
              <w:t>Vahl</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164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莎草科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fldChar w:fldCharType="begin"/>
            </w:r>
            <w:r>
              <w:instrText xml:space="preserve"> HYPERLINK "https://baike.so.com/doc/6997531-7220411.html" </w:instrText>
            </w:r>
            <w:r>
              <w:fldChar w:fldCharType="separate"/>
            </w:r>
            <w:r>
              <w:rPr>
                <w:rFonts w:hint="eastAsia" w:ascii="宋体" w:eastAsia="宋体" w:cs="宋体"/>
                <w:kern w:val="0"/>
                <w:sz w:val="22"/>
              </w:rPr>
              <w:t>扁莎属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红鳞扁莎</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Pycreus</w:t>
            </w:r>
            <w:r>
              <w:rPr>
                <w:rFonts w:cs="Times New Roman"/>
                <w:i/>
                <w:iCs/>
                <w:spacing w:val="-9"/>
                <w:kern w:val="0"/>
                <w:sz w:val="22"/>
              </w:rPr>
              <w:t xml:space="preserve"> </w:t>
            </w:r>
            <w:r>
              <w:rPr>
                <w:rFonts w:cs="Times New Roman"/>
                <w:i/>
                <w:iCs/>
                <w:kern w:val="0"/>
                <w:sz w:val="22"/>
              </w:rPr>
              <w:t>sanguinolentus</w:t>
            </w:r>
            <w:r>
              <w:rPr>
                <w:rFonts w:cs="Times New Roman"/>
                <w:i/>
                <w:iCs/>
                <w:spacing w:val="-8"/>
                <w:kern w:val="0"/>
                <w:sz w:val="22"/>
              </w:rPr>
              <w:t xml:space="preserve"> </w:t>
            </w:r>
            <w:r>
              <w:rPr>
                <w:rFonts w:cs="Times New Roman"/>
                <w:i/>
                <w:iCs/>
                <w:kern w:val="0"/>
                <w:sz w:val="22"/>
              </w:rPr>
              <w:t>(Vahl)</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Nees</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165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莎草科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薹草属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准噶尔薹草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Carex</w:t>
            </w:r>
            <w:r>
              <w:rPr>
                <w:rFonts w:cs="Times New Roman"/>
                <w:i/>
                <w:iCs/>
                <w:spacing w:val="-9"/>
                <w:kern w:val="0"/>
                <w:sz w:val="22"/>
              </w:rPr>
              <w:t xml:space="preserve"> </w:t>
            </w:r>
            <w:r>
              <w:rPr>
                <w:rFonts w:cs="Times New Roman"/>
                <w:i/>
                <w:iCs/>
                <w:kern w:val="0"/>
                <w:sz w:val="22"/>
              </w:rPr>
              <w:t>songorica</w:t>
            </w:r>
            <w:r>
              <w:rPr>
                <w:rFonts w:cs="Times New Roman"/>
                <w:i/>
                <w:iCs/>
                <w:spacing w:val="-8"/>
                <w:kern w:val="0"/>
                <w:sz w:val="22"/>
              </w:rPr>
              <w:t xml:space="preserve"> </w:t>
            </w:r>
            <w:r>
              <w:rPr>
                <w:rFonts w:cs="Times New Roman"/>
                <w:i/>
                <w:iCs/>
                <w:kern w:val="0"/>
                <w:sz w:val="22"/>
              </w:rPr>
              <w:t>Kar.</w:t>
            </w:r>
            <w:r>
              <w:rPr>
                <w:rFonts w:cs="Times New Roman"/>
                <w:i/>
                <w:iCs/>
                <w:spacing w:val="-11"/>
                <w:kern w:val="0"/>
                <w:sz w:val="22"/>
              </w:rPr>
              <w:t xml:space="preserve"> </w:t>
            </w:r>
            <w:r>
              <w:rPr>
                <w:rFonts w:cs="Times New Roman"/>
                <w:i/>
                <w:iCs/>
                <w:kern w:val="0"/>
                <w:sz w:val="22"/>
              </w:rPr>
              <w:t>et</w:t>
            </w:r>
            <w:r>
              <w:rPr>
                <w:rFonts w:cs="Times New Roman"/>
                <w:i/>
                <w:iCs/>
                <w:spacing w:val="-8"/>
                <w:kern w:val="0"/>
                <w:sz w:val="22"/>
              </w:rPr>
              <w:t xml:space="preserve"> </w:t>
            </w:r>
            <w:r>
              <w:rPr>
                <w:rFonts w:cs="Times New Roman"/>
                <w:i/>
                <w:iCs/>
                <w:kern w:val="0"/>
                <w:sz w:val="22"/>
              </w:rPr>
              <w:t>Kir.</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166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香蒲科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香蒲属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宽叶香蒲</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2" w:firstLine="0" w:firstLineChars="0"/>
              <w:jc w:val="center"/>
              <w:rPr>
                <w:rFonts w:cs="Times New Roman"/>
                <w:i/>
                <w:iCs/>
                <w:kern w:val="0"/>
                <w:sz w:val="22"/>
              </w:rPr>
            </w:pPr>
            <w:r>
              <w:rPr>
                <w:rFonts w:cs="Times New Roman"/>
                <w:i/>
                <w:iCs/>
                <w:kern w:val="0"/>
                <w:sz w:val="22"/>
              </w:rPr>
              <w:t>Typha</w:t>
            </w:r>
            <w:r>
              <w:rPr>
                <w:rFonts w:cs="Times New Roman"/>
                <w:i/>
                <w:iCs/>
                <w:spacing w:val="-4"/>
                <w:kern w:val="0"/>
                <w:sz w:val="22"/>
              </w:rPr>
              <w:t xml:space="preserve"> </w:t>
            </w:r>
            <w:r>
              <w:rPr>
                <w:rFonts w:cs="Times New Roman"/>
                <w:i/>
                <w:iCs/>
                <w:kern w:val="0"/>
                <w:sz w:val="22"/>
              </w:rPr>
              <w:t>latifolia</w:t>
            </w:r>
            <w:r>
              <w:rPr>
                <w:rFonts w:cs="Times New Roman"/>
                <w:i/>
                <w:iCs/>
                <w:spacing w:val="-4"/>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167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香蒲科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香蒲属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小香蒲</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Typha</w:t>
            </w:r>
            <w:r>
              <w:rPr>
                <w:rFonts w:cs="Times New Roman"/>
                <w:i/>
                <w:iCs/>
                <w:spacing w:val="-4"/>
                <w:kern w:val="0"/>
                <w:sz w:val="22"/>
              </w:rPr>
              <w:t xml:space="preserve"> </w:t>
            </w:r>
            <w:r>
              <w:rPr>
                <w:rFonts w:cs="Times New Roman"/>
                <w:i/>
                <w:iCs/>
                <w:kern w:val="0"/>
                <w:sz w:val="22"/>
              </w:rPr>
              <w:t>minima</w:t>
            </w:r>
            <w:r>
              <w:rPr>
                <w:rFonts w:cs="Times New Roman"/>
                <w:i/>
                <w:iCs/>
                <w:spacing w:val="-3"/>
                <w:kern w:val="0"/>
                <w:sz w:val="22"/>
              </w:rPr>
              <w:t xml:space="preserve"> </w:t>
            </w:r>
            <w:r>
              <w:rPr>
                <w:rFonts w:cs="Times New Roman"/>
                <w:i/>
                <w:iCs/>
                <w:kern w:val="0"/>
                <w:sz w:val="22"/>
              </w:rPr>
              <w:t>Funk</w:t>
            </w:r>
          </w:p>
        </w:tc>
      </w:tr>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168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报春花科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海乳草属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海乳草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Glaux</w:t>
            </w:r>
            <w:r>
              <w:rPr>
                <w:rFonts w:cs="Times New Roman"/>
                <w:i/>
                <w:iCs/>
                <w:spacing w:val="-2"/>
                <w:kern w:val="0"/>
                <w:sz w:val="22"/>
              </w:rPr>
              <w:t xml:space="preserve"> </w:t>
            </w:r>
            <w:r>
              <w:rPr>
                <w:rFonts w:cs="Times New Roman"/>
                <w:i/>
                <w:iCs/>
                <w:kern w:val="0"/>
                <w:sz w:val="22"/>
              </w:rPr>
              <w:t>maritimaL.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169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车前科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车前属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车前</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Plantago</w:t>
            </w:r>
            <w:r>
              <w:rPr>
                <w:rFonts w:cs="Times New Roman"/>
                <w:i/>
                <w:iCs/>
                <w:spacing w:val="-1"/>
                <w:kern w:val="0"/>
                <w:sz w:val="22"/>
              </w:rPr>
              <w:t xml:space="preserve"> </w:t>
            </w:r>
            <w:r>
              <w:rPr>
                <w:rFonts w:cs="Times New Roman"/>
                <w:i/>
                <w:iCs/>
                <w:kern w:val="0"/>
                <w:sz w:val="22"/>
              </w:rPr>
              <w:t>asiatica</w:t>
            </w:r>
            <w:r>
              <w:rPr>
                <w:rFonts w:cs="Times New Roman"/>
                <w:i/>
                <w:iCs/>
                <w:spacing w:val="-1"/>
                <w:kern w:val="0"/>
                <w:sz w:val="22"/>
              </w:rPr>
              <w:t xml:space="preserve"> </w:t>
            </w:r>
            <w:r>
              <w:rPr>
                <w:rFonts w:cs="Times New Roman"/>
                <w:i/>
                <w:iCs/>
                <w:kern w:val="0"/>
                <w:sz w:val="22"/>
              </w:rPr>
              <w:t>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170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柽柳科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"https://baike.baidu.com/item/%E6%B0%B4%E6%9F%8F%E6%9E%9D%E5%B1%9E" </w:instrText>
            </w:r>
            <w:r>
              <w:fldChar w:fldCharType="separate"/>
            </w:r>
            <w:r>
              <w:rPr>
                <w:rFonts w:hint="eastAsia" w:ascii="宋体" w:eastAsia="宋体" w:cs="宋体"/>
                <w:kern w:val="0"/>
                <w:sz w:val="22"/>
              </w:rPr>
              <w:t>水柏枝属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宽苞水柏枝</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Myricaria</w:t>
            </w:r>
            <w:r>
              <w:rPr>
                <w:rFonts w:cs="Times New Roman"/>
                <w:i/>
                <w:iCs/>
                <w:spacing w:val="-4"/>
                <w:kern w:val="0"/>
                <w:sz w:val="22"/>
              </w:rPr>
              <w:t xml:space="preserve"> </w:t>
            </w:r>
            <w:r>
              <w:rPr>
                <w:rFonts w:cs="Times New Roman"/>
                <w:i/>
                <w:iCs/>
                <w:kern w:val="0"/>
                <w:sz w:val="22"/>
              </w:rPr>
              <w:t>bracteataRoyle</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171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柽柳科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柽柳属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细穗柽柳</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Tamarix</w:t>
            </w:r>
            <w:r>
              <w:rPr>
                <w:rFonts w:cs="Times New Roman"/>
                <w:i/>
                <w:iCs/>
                <w:spacing w:val="-5"/>
                <w:kern w:val="0"/>
                <w:sz w:val="22"/>
              </w:rPr>
              <w:t xml:space="preserve"> </w:t>
            </w:r>
            <w:r>
              <w:rPr>
                <w:rFonts w:cs="Times New Roman"/>
                <w:i/>
                <w:iCs/>
                <w:kern w:val="0"/>
                <w:sz w:val="22"/>
              </w:rPr>
              <w:t>leptostachys</w:t>
            </w:r>
            <w:r>
              <w:rPr>
                <w:rFonts w:cs="Times New Roman"/>
                <w:i/>
                <w:iCs/>
                <w:spacing w:val="-4"/>
                <w:kern w:val="0"/>
                <w:sz w:val="22"/>
              </w:rPr>
              <w:t xml:space="preserve"> </w:t>
            </w:r>
            <w:r>
              <w:rPr>
                <w:rFonts w:cs="Times New Roman"/>
                <w:i/>
                <w:iCs/>
                <w:kern w:val="0"/>
                <w:sz w:val="22"/>
              </w:rPr>
              <w:t>Bunge</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172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柽柳科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柽柳属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多枝柽柳</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Tamarix</w:t>
            </w:r>
            <w:r>
              <w:rPr>
                <w:rFonts w:cs="Times New Roman"/>
                <w:i/>
                <w:iCs/>
                <w:spacing w:val="-7"/>
                <w:kern w:val="0"/>
                <w:sz w:val="22"/>
              </w:rPr>
              <w:t xml:space="preserve"> </w:t>
            </w:r>
            <w:r>
              <w:rPr>
                <w:rFonts w:cs="Times New Roman"/>
                <w:i/>
                <w:iCs/>
                <w:kern w:val="0"/>
                <w:sz w:val="22"/>
              </w:rPr>
              <w:t>ramosissimaLedeb.</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173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fldChar w:fldCharType="begin"/>
            </w:r>
            <w:r>
              <w:instrText xml:space="preserve"> HYPERLINK "https://baike.so.com/doc/7722797-7996892.html" </w:instrText>
            </w:r>
            <w:r>
              <w:fldChar w:fldCharType="separate"/>
            </w:r>
            <w:r>
              <w:rPr>
                <w:rFonts w:hint="eastAsia" w:ascii="宋体" w:eastAsia="宋体" w:cs="宋体"/>
                <w:kern w:val="0"/>
                <w:sz w:val="22"/>
              </w:rPr>
              <w:t>灯心草科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"https://baike.so.com/doc/7722797-7996892.html" </w:instrText>
            </w:r>
            <w:r>
              <w:fldChar w:fldCharType="separate"/>
            </w:r>
            <w:r>
              <w:rPr>
                <w:rFonts w:hint="eastAsia" w:ascii="宋体" w:eastAsia="宋体" w:cs="宋体"/>
                <w:kern w:val="0"/>
                <w:sz w:val="22"/>
              </w:rPr>
              <w:t>灯心草属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小花灯心草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Juncus</w:t>
            </w:r>
            <w:r>
              <w:rPr>
                <w:rFonts w:cs="Times New Roman"/>
                <w:i/>
                <w:iCs/>
                <w:spacing w:val="-3"/>
                <w:kern w:val="0"/>
                <w:sz w:val="22"/>
              </w:rPr>
              <w:t xml:space="preserve"> </w:t>
            </w:r>
            <w:r>
              <w:rPr>
                <w:rFonts w:cs="Times New Roman"/>
                <w:i/>
                <w:iCs/>
                <w:kern w:val="0"/>
                <w:sz w:val="22"/>
              </w:rPr>
              <w:t>articulatus Linn.</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174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黑三棱科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黑三棱属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黑三棱</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Sparganium</w:t>
            </w:r>
            <w:r>
              <w:rPr>
                <w:rFonts w:cs="Times New Roman"/>
                <w:i/>
                <w:iCs/>
                <w:spacing w:val="-6"/>
                <w:kern w:val="0"/>
                <w:sz w:val="22"/>
              </w:rPr>
              <w:t xml:space="preserve"> </w:t>
            </w:r>
            <w:r>
              <w:rPr>
                <w:rFonts w:cs="Times New Roman"/>
                <w:i/>
                <w:iCs/>
                <w:kern w:val="0"/>
                <w:sz w:val="22"/>
              </w:rPr>
              <w:t>stoloniferum</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(Graebn.)</w:t>
            </w:r>
            <w:r>
              <w:rPr>
                <w:rFonts w:cs="Times New Roman"/>
                <w:i/>
                <w:iCs/>
                <w:spacing w:val="-2"/>
                <w:kern w:val="0"/>
                <w:sz w:val="22"/>
              </w:rPr>
              <w:t xml:space="preserve"> </w:t>
            </w:r>
            <w:r>
              <w:rPr>
                <w:rFonts w:cs="Times New Roman"/>
                <w:i/>
                <w:iCs/>
                <w:kern w:val="0"/>
                <w:sz w:val="22"/>
              </w:rPr>
              <w:t>Buch.-Ham.</w:t>
            </w:r>
            <w:r>
              <w:rPr>
                <w:rFonts w:cs="Times New Roman"/>
                <w:i/>
                <w:iCs/>
                <w:spacing w:val="-1"/>
                <w:kern w:val="0"/>
                <w:sz w:val="22"/>
              </w:rPr>
              <w:t xml:space="preserve"> </w:t>
            </w:r>
            <w:r>
              <w:rPr>
                <w:rFonts w:cs="Times New Roman"/>
                <w:i/>
                <w:iCs/>
                <w:kern w:val="0"/>
                <w:sz w:val="22"/>
              </w:rPr>
              <w:t>ex</w:t>
            </w:r>
            <w:r>
              <w:rPr>
                <w:rFonts w:cs="Times New Roman"/>
                <w:i/>
                <w:iCs/>
                <w:spacing w:val="-1"/>
                <w:kern w:val="0"/>
                <w:sz w:val="22"/>
              </w:rPr>
              <w:t xml:space="preserve"> </w:t>
            </w:r>
            <w:r>
              <w:rPr>
                <w:rFonts w:cs="Times New Roman"/>
                <w:i/>
                <w:iCs/>
                <w:kern w:val="0"/>
                <w:sz w:val="22"/>
              </w:rPr>
              <w:t>Juz.</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175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胡颓子科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胡颓子属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尖果沙枣</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Elaeagnus</w:t>
            </w:r>
            <w:r>
              <w:rPr>
                <w:rFonts w:cs="Times New Roman"/>
                <w:i/>
                <w:iCs/>
                <w:spacing w:val="-2"/>
                <w:kern w:val="0"/>
                <w:sz w:val="22"/>
              </w:rPr>
              <w:t xml:space="preserve"> </w:t>
            </w:r>
            <w:r>
              <w:rPr>
                <w:rFonts w:cs="Times New Roman"/>
                <w:i/>
                <w:iCs/>
                <w:kern w:val="0"/>
                <w:sz w:val="22"/>
              </w:rPr>
              <w:t>oxycarpaSchltdl.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176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蒺藜科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骆驼蓬属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骆驼蓬</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Peganum</w:t>
            </w:r>
            <w:r>
              <w:rPr>
                <w:rFonts w:cs="Times New Roman"/>
                <w:i/>
                <w:iCs/>
                <w:spacing w:val="-1"/>
                <w:kern w:val="0"/>
                <w:sz w:val="22"/>
              </w:rPr>
              <w:t xml:space="preserve"> </w:t>
            </w:r>
            <w:r>
              <w:rPr>
                <w:rFonts w:cs="Times New Roman"/>
                <w:i/>
                <w:iCs/>
                <w:kern w:val="0"/>
                <w:sz w:val="22"/>
              </w:rPr>
              <w:t>harmala 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177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蒺藜科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白刺属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小果白刺</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Nitraria</w:t>
            </w:r>
            <w:r>
              <w:rPr>
                <w:rFonts w:cs="Times New Roman"/>
                <w:i/>
                <w:iCs/>
                <w:spacing w:val="-5"/>
                <w:kern w:val="0"/>
                <w:sz w:val="22"/>
              </w:rPr>
              <w:t xml:space="preserve"> </w:t>
            </w:r>
            <w:r>
              <w:rPr>
                <w:rFonts w:cs="Times New Roman"/>
                <w:i/>
                <w:iCs/>
                <w:kern w:val="0"/>
                <w:sz w:val="22"/>
              </w:rPr>
              <w:t>sibirica</w:t>
            </w:r>
            <w:r>
              <w:rPr>
                <w:rFonts w:cs="Times New Roman"/>
                <w:i/>
                <w:iCs/>
                <w:spacing w:val="-1"/>
                <w:kern w:val="0"/>
                <w:sz w:val="22"/>
              </w:rPr>
              <w:t xml:space="preserve"> </w:t>
            </w:r>
            <w:r>
              <w:rPr>
                <w:rFonts w:cs="Times New Roman"/>
                <w:i/>
                <w:iCs/>
                <w:kern w:val="0"/>
                <w:sz w:val="22"/>
              </w:rPr>
              <w:t>Pall.</w:t>
            </w:r>
          </w:p>
        </w:tc>
      </w:tr>
      <w:tr>
        <w:tblPrEx>
          <w:tblCellMar>
            <w:top w:w="0" w:type="dxa"/>
            <w:left w:w="0" w:type="dxa"/>
            <w:bottom w:w="0" w:type="dxa"/>
            <w:right w:w="0" w:type="dxa"/>
          </w:tblCellMar>
        </w:tblPrEx>
        <w:trPr>
          <w:trHeight w:val="31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178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萝藦科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鹅绒藤属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9" w:firstLine="0" w:firstLineChars="0"/>
              <w:jc w:val="center"/>
              <w:rPr>
                <w:rFonts w:ascii="宋体" w:eastAsia="宋体" w:cs="宋体"/>
                <w:kern w:val="0"/>
                <w:sz w:val="22"/>
              </w:rPr>
            </w:pPr>
            <w:r>
              <w:rPr>
                <w:rFonts w:hint="eastAsia" w:ascii="宋体" w:eastAsia="宋体" w:cs="宋体"/>
                <w:kern w:val="0"/>
                <w:sz w:val="22"/>
              </w:rPr>
              <w:t>戟叶鹅绒藤</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Cynanchum</w:t>
            </w:r>
            <w:r>
              <w:rPr>
                <w:rFonts w:cs="Times New Roman"/>
                <w:i/>
                <w:iCs/>
                <w:spacing w:val="-4"/>
                <w:kern w:val="0"/>
                <w:sz w:val="22"/>
              </w:rPr>
              <w:t xml:space="preserve"> </w:t>
            </w:r>
            <w:r>
              <w:rPr>
                <w:rFonts w:cs="Times New Roman"/>
                <w:i/>
                <w:iCs/>
                <w:kern w:val="0"/>
                <w:sz w:val="22"/>
              </w:rPr>
              <w:t>sibiricum</w:t>
            </w:r>
            <w:r>
              <w:rPr>
                <w:rFonts w:cs="Times New Roman"/>
                <w:i/>
                <w:iCs/>
                <w:spacing w:val="-6"/>
                <w:kern w:val="0"/>
                <w:sz w:val="22"/>
              </w:rPr>
              <w:t xml:space="preserve"> </w:t>
            </w:r>
            <w:r>
              <w:rPr>
                <w:rFonts w:cs="Times New Roman"/>
                <w:i/>
                <w:iCs/>
                <w:kern w:val="0"/>
                <w:sz w:val="22"/>
              </w:rPr>
              <w:t>Willd.</w:t>
            </w:r>
          </w:p>
        </w:tc>
      </w:tr>
      <w:tr>
        <w:tblPrEx>
          <w:tblCellMar>
            <w:top w:w="0" w:type="dxa"/>
            <w:left w:w="0" w:type="dxa"/>
            <w:bottom w:w="0" w:type="dxa"/>
            <w:right w:w="0" w:type="dxa"/>
          </w:tblCellMar>
        </w:tblPrEx>
        <w:trPr>
          <w:trHeight w:val="312"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102" w:firstLine="0" w:firstLineChars="0"/>
              <w:jc w:val="center"/>
              <w:rPr>
                <w:rFonts w:cs="Times New Roman"/>
                <w:kern w:val="0"/>
                <w:sz w:val="22"/>
              </w:rPr>
            </w:pPr>
            <w:r>
              <w:rPr>
                <w:rFonts w:cs="Times New Roman"/>
                <w:kern w:val="0"/>
                <w:sz w:val="22"/>
              </w:rPr>
              <w:t>179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木贼科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问荆属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问荆</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3" w:firstLine="0" w:firstLineChars="0"/>
              <w:jc w:val="center"/>
              <w:rPr>
                <w:rFonts w:cs="Times New Roman"/>
                <w:i/>
                <w:iCs/>
                <w:kern w:val="0"/>
                <w:sz w:val="22"/>
              </w:rPr>
            </w:pPr>
            <w:r>
              <w:rPr>
                <w:rFonts w:cs="Times New Roman"/>
                <w:i/>
                <w:iCs/>
                <w:kern w:val="0"/>
                <w:sz w:val="22"/>
              </w:rPr>
              <w:t>Equisetum</w:t>
            </w:r>
            <w:r>
              <w:rPr>
                <w:rFonts w:cs="Times New Roman"/>
                <w:i/>
                <w:iCs/>
                <w:spacing w:val="-2"/>
                <w:kern w:val="0"/>
                <w:sz w:val="22"/>
              </w:rPr>
              <w:t xml:space="preserve"> </w:t>
            </w:r>
            <w:r>
              <w:rPr>
                <w:rFonts w:cs="Times New Roman"/>
                <w:i/>
                <w:iCs/>
                <w:kern w:val="0"/>
                <w:sz w:val="22"/>
              </w:rPr>
              <w:t>arvenseL.</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180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木贼科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木贼属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节节草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Equisetum</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ramosissimumDesf.</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181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茜草科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拉拉藤属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猪殃殃</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Galium</w:t>
            </w:r>
            <w:r>
              <w:rPr>
                <w:rFonts w:cs="Times New Roman"/>
                <w:i/>
                <w:iCs/>
                <w:spacing w:val="-5"/>
                <w:kern w:val="0"/>
                <w:sz w:val="22"/>
              </w:rPr>
              <w:t xml:space="preserve"> </w:t>
            </w:r>
            <w:r>
              <w:rPr>
                <w:rFonts w:cs="Times New Roman"/>
                <w:i/>
                <w:iCs/>
                <w:kern w:val="0"/>
                <w:sz w:val="22"/>
              </w:rPr>
              <w:t>aparine</w:t>
            </w:r>
            <w:r>
              <w:rPr>
                <w:rFonts w:cs="Times New Roman"/>
                <w:i/>
                <w:iCs/>
                <w:spacing w:val="-4"/>
                <w:kern w:val="0"/>
                <w:sz w:val="22"/>
              </w:rPr>
              <w:t xml:space="preserve"> </w:t>
            </w:r>
            <w:r>
              <w:rPr>
                <w:rFonts w:cs="Times New Roman"/>
                <w:i/>
                <w:iCs/>
                <w:kern w:val="0"/>
                <w:sz w:val="22"/>
              </w:rPr>
              <w:t>Linn.</w:t>
            </w:r>
            <w:r>
              <w:rPr>
                <w:rFonts w:cs="Times New Roman"/>
                <w:i/>
                <w:iCs/>
                <w:spacing w:val="-4"/>
                <w:kern w:val="0"/>
                <w:sz w:val="22"/>
              </w:rPr>
              <w:t xml:space="preserve"> </w:t>
            </w:r>
            <w:r>
              <w:rPr>
                <w:rFonts w:cs="Times New Roman"/>
                <w:i/>
                <w:iCs/>
                <w:kern w:val="0"/>
                <w:sz w:val="22"/>
              </w:rPr>
              <w:t>var.</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tenerum</w:t>
            </w:r>
            <w:r>
              <w:rPr>
                <w:rFonts w:cs="Times New Roman"/>
                <w:i/>
                <w:iCs/>
                <w:spacing w:val="-6"/>
                <w:kern w:val="0"/>
                <w:sz w:val="22"/>
              </w:rPr>
              <w:t xml:space="preserve"> </w:t>
            </w:r>
            <w:r>
              <w:rPr>
                <w:rFonts w:cs="Times New Roman"/>
                <w:i/>
                <w:iCs/>
                <w:kern w:val="0"/>
                <w:sz w:val="22"/>
              </w:rPr>
              <w:t>Gren.et</w:t>
            </w:r>
            <w:r>
              <w:rPr>
                <w:rFonts w:cs="Times New Roman"/>
                <w:i/>
                <w:iCs/>
                <w:spacing w:val="-5"/>
                <w:kern w:val="0"/>
                <w:sz w:val="22"/>
              </w:rPr>
              <w:t xml:space="preserve"> </w:t>
            </w:r>
            <w:r>
              <w:rPr>
                <w:rFonts w:cs="Times New Roman"/>
                <w:i/>
                <w:iCs/>
                <w:kern w:val="0"/>
                <w:sz w:val="22"/>
              </w:rPr>
              <w:t>Godr.)</w:t>
            </w:r>
            <w:r>
              <w:rPr>
                <w:rFonts w:cs="Times New Roman"/>
                <w:i/>
                <w:iCs/>
                <w:spacing w:val="-6"/>
                <w:kern w:val="0"/>
                <w:sz w:val="22"/>
              </w:rPr>
              <w:t xml:space="preserve"> </w:t>
            </w:r>
            <w:r>
              <w:rPr>
                <w:rFonts w:cs="Times New Roman"/>
                <w:i/>
                <w:iCs/>
                <w:kern w:val="0"/>
                <w:sz w:val="22"/>
              </w:rPr>
              <w:t>Rebb.</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182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蔷薇科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委陵菜属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匍匐委陵菜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Potentilla</w:t>
            </w:r>
            <w:r>
              <w:rPr>
                <w:rFonts w:cs="Times New Roman"/>
                <w:i/>
                <w:iCs/>
                <w:spacing w:val="-6"/>
                <w:kern w:val="0"/>
                <w:sz w:val="22"/>
              </w:rPr>
              <w:t xml:space="preserve"> </w:t>
            </w:r>
            <w:r>
              <w:rPr>
                <w:rFonts w:cs="Times New Roman"/>
                <w:i/>
                <w:iCs/>
                <w:kern w:val="0"/>
                <w:sz w:val="22"/>
              </w:rPr>
              <w:t>reptansL.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183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水麦冬科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水麦冬属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水麦冬</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Triglochin</w:t>
            </w:r>
            <w:r>
              <w:rPr>
                <w:rFonts w:cs="Times New Roman"/>
                <w:i/>
                <w:iCs/>
                <w:spacing w:val="-5"/>
                <w:kern w:val="0"/>
                <w:sz w:val="22"/>
              </w:rPr>
              <w:t xml:space="preserve"> </w:t>
            </w:r>
            <w:r>
              <w:rPr>
                <w:rFonts w:cs="Times New Roman"/>
                <w:i/>
                <w:iCs/>
                <w:kern w:val="0"/>
                <w:sz w:val="22"/>
              </w:rPr>
              <w:t>palustre</w:t>
            </w:r>
            <w:r>
              <w:rPr>
                <w:rFonts w:cs="Times New Roman"/>
                <w:i/>
                <w:iCs/>
                <w:spacing w:val="-5"/>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184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锦葵科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苘麻属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苘麻</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Abutilon</w:t>
            </w:r>
            <w:r>
              <w:rPr>
                <w:rFonts w:cs="Times New Roman"/>
                <w:i/>
                <w:iCs/>
                <w:spacing w:val="-4"/>
                <w:kern w:val="0"/>
                <w:sz w:val="22"/>
              </w:rPr>
              <w:t xml:space="preserve"> </w:t>
            </w:r>
            <w:r>
              <w:rPr>
                <w:rFonts w:cs="Times New Roman"/>
                <w:i/>
                <w:iCs/>
                <w:kern w:val="0"/>
                <w:sz w:val="22"/>
              </w:rPr>
              <w:t>theophrasti Medicus</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185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锦葵科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木槿属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野西瓜苗</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Hibiscus</w:t>
            </w:r>
            <w:r>
              <w:rPr>
                <w:rFonts w:cs="Times New Roman"/>
                <w:i/>
                <w:iCs/>
                <w:spacing w:val="-3"/>
                <w:kern w:val="0"/>
                <w:sz w:val="22"/>
              </w:rPr>
              <w:t xml:space="preserve"> </w:t>
            </w:r>
            <w:r>
              <w:rPr>
                <w:rFonts w:cs="Times New Roman"/>
                <w:i/>
                <w:iCs/>
                <w:kern w:val="0"/>
                <w:sz w:val="22"/>
              </w:rPr>
              <w:t>trionum</w:t>
            </w:r>
            <w:r>
              <w:rPr>
                <w:rFonts w:cs="Times New Roman"/>
                <w:i/>
                <w:iCs/>
                <w:spacing w:val="-2"/>
                <w:kern w:val="0"/>
                <w:sz w:val="22"/>
              </w:rPr>
              <w:t xml:space="preserve"> </w:t>
            </w:r>
            <w:r>
              <w:rPr>
                <w:rFonts w:cs="Times New Roman"/>
                <w:i/>
                <w:iCs/>
                <w:kern w:val="0"/>
                <w:sz w:val="22"/>
              </w:rPr>
              <w:t>Linn.</w:t>
            </w:r>
          </w:p>
        </w:tc>
      </w:tr>
    </w:tbl>
    <w:p>
      <w:pPr>
        <w:autoSpaceDE w:val="0"/>
        <w:autoSpaceDN w:val="0"/>
        <w:adjustRightInd w:val="0"/>
        <w:spacing w:line="240" w:lineRule="auto"/>
        <w:ind w:firstLine="0" w:firstLineChars="0"/>
        <w:jc w:val="left"/>
        <w:rPr>
          <w:rFonts w:ascii="黑体" w:eastAsia="黑体" w:cs="黑体"/>
          <w:b/>
          <w:bCs/>
          <w:kern w:val="0"/>
          <w:sz w:val="15"/>
          <w:szCs w:val="15"/>
        </w:rPr>
        <w:sectPr>
          <w:pgSz w:w="11910" w:h="16840"/>
          <w:pgMar w:top="1420" w:right="200" w:bottom="280" w:left="780" w:header="720" w:footer="720" w:gutter="0"/>
          <w:cols w:space="720" w:num="1"/>
        </w:sectPr>
      </w:pPr>
    </w:p>
    <w:tbl>
      <w:tblPr>
        <w:tblStyle w:val="25"/>
        <w:tblW w:w="8295" w:type="dxa"/>
        <w:tblInd w:w="5" w:type="dxa"/>
        <w:tblLayout w:type="fixed"/>
        <w:tblCellMar>
          <w:top w:w="0" w:type="dxa"/>
          <w:left w:w="0" w:type="dxa"/>
          <w:bottom w:w="0" w:type="dxa"/>
          <w:right w:w="0" w:type="dxa"/>
        </w:tblCellMar>
      </w:tblPr>
      <w:tblGrid>
        <w:gridCol w:w="703"/>
        <w:gridCol w:w="1277"/>
        <w:gridCol w:w="1701"/>
        <w:gridCol w:w="1701"/>
        <w:gridCol w:w="2913"/>
      </w:tblGrid>
      <w:tr>
        <w:tblPrEx>
          <w:tblCellMar>
            <w:top w:w="0" w:type="dxa"/>
            <w:left w:w="0" w:type="dxa"/>
            <w:bottom w:w="0" w:type="dxa"/>
            <w:right w:w="0" w:type="dxa"/>
          </w:tblCellMar>
        </w:tblPrEx>
        <w:trPr>
          <w:trHeight w:val="62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6" w:line="240" w:lineRule="auto"/>
              <w:ind w:right="102" w:firstLine="0" w:firstLineChars="0"/>
              <w:jc w:val="center"/>
              <w:rPr>
                <w:rFonts w:cs="Times New Roman"/>
                <w:kern w:val="0"/>
                <w:sz w:val="22"/>
              </w:rPr>
            </w:pPr>
            <w:r>
              <w:rPr>
                <w:rFonts w:cs="Times New Roman"/>
                <w:kern w:val="0"/>
                <w:sz w:val="22"/>
              </w:rPr>
              <w:t>186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40" w:lineRule="auto"/>
              <w:ind w:right="169" w:firstLine="0" w:firstLineChars="0"/>
              <w:jc w:val="center"/>
              <w:rPr>
                <w:rFonts w:ascii="宋体" w:eastAsia="宋体" w:cs="宋体"/>
                <w:kern w:val="0"/>
                <w:sz w:val="22"/>
              </w:rPr>
            </w:pPr>
            <w:r>
              <w:rPr>
                <w:rFonts w:hint="eastAsia" w:ascii="宋体" w:eastAsia="宋体" w:cs="宋体"/>
                <w:kern w:val="0"/>
                <w:sz w:val="22"/>
              </w:rPr>
              <w:t>小二仙草</w:t>
            </w:r>
          </w:p>
          <w:p>
            <w:pPr>
              <w:kinsoku w:val="0"/>
              <w:overflowPunct w:val="0"/>
              <w:autoSpaceDE w:val="0"/>
              <w:autoSpaceDN w:val="0"/>
              <w:adjustRightInd w:val="0"/>
              <w:spacing w:before="30" w:line="277" w:lineRule="exact"/>
              <w:ind w:firstLine="0" w:firstLineChars="0"/>
              <w:jc w:val="center"/>
              <w:rPr>
                <w:rFonts w:ascii="宋体" w:eastAsia="宋体" w:cs="宋体"/>
                <w:kern w:val="0"/>
                <w:sz w:val="22"/>
              </w:rPr>
            </w:pPr>
            <w:r>
              <w:rPr>
                <w:rFonts w:hint="eastAsia" w:ascii="宋体" w:eastAsia="宋体" w:cs="宋体"/>
                <w:kern w:val="0"/>
                <w:sz w:val="22"/>
              </w:rPr>
              <w:t>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狐尾藻属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狐尾藻</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0" w:line="240" w:lineRule="auto"/>
              <w:ind w:right="73" w:firstLine="0" w:firstLineChars="0"/>
              <w:jc w:val="center"/>
              <w:rPr>
                <w:rFonts w:cs="Times New Roman"/>
                <w:i/>
                <w:iCs/>
                <w:kern w:val="0"/>
                <w:sz w:val="22"/>
              </w:rPr>
            </w:pPr>
            <w:r>
              <w:rPr>
                <w:rFonts w:cs="Times New Roman"/>
                <w:i/>
                <w:iCs/>
                <w:kern w:val="0"/>
                <w:sz w:val="22"/>
              </w:rPr>
              <w:t>Myriophyllum</w:t>
            </w:r>
            <w:r>
              <w:rPr>
                <w:rFonts w:cs="Times New Roman"/>
                <w:i/>
                <w:iCs/>
                <w:spacing w:val="-3"/>
                <w:kern w:val="0"/>
                <w:sz w:val="22"/>
              </w:rPr>
              <w:t xml:space="preserve"> </w:t>
            </w:r>
            <w:r>
              <w:rPr>
                <w:rFonts w:cs="Times New Roman"/>
                <w:i/>
                <w:iCs/>
                <w:kern w:val="0"/>
                <w:sz w:val="22"/>
              </w:rPr>
              <w:t>verticillatum</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187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蒺藜科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蒺藜属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蒺藜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Tribulus</w:t>
            </w:r>
            <w:r>
              <w:rPr>
                <w:rFonts w:cs="Times New Roman"/>
                <w:i/>
                <w:iCs/>
                <w:spacing w:val="-7"/>
                <w:kern w:val="0"/>
                <w:sz w:val="22"/>
              </w:rPr>
              <w:t xml:space="preserve"> </w:t>
            </w:r>
            <w:r>
              <w:rPr>
                <w:rFonts w:cs="Times New Roman"/>
                <w:i/>
                <w:iCs/>
                <w:kern w:val="0"/>
                <w:sz w:val="22"/>
              </w:rPr>
              <w:t>terrester</w:t>
            </w:r>
            <w:r>
              <w:rPr>
                <w:rFonts w:cs="Times New Roman"/>
                <w:i/>
                <w:iCs/>
                <w:spacing w:val="-4"/>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188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槐叶蘋科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槐叶苹属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槐叶苹</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Salvinia</w:t>
            </w:r>
            <w:r>
              <w:rPr>
                <w:rFonts w:cs="Times New Roman"/>
                <w:i/>
                <w:iCs/>
                <w:spacing w:val="-1"/>
                <w:kern w:val="0"/>
                <w:sz w:val="22"/>
              </w:rPr>
              <w:t xml:space="preserve"> </w:t>
            </w:r>
            <w:r>
              <w:rPr>
                <w:rFonts w:cs="Times New Roman"/>
                <w:i/>
                <w:iCs/>
                <w:kern w:val="0"/>
                <w:sz w:val="22"/>
              </w:rPr>
              <w:t>natans</w:t>
            </w:r>
            <w:r>
              <w:rPr>
                <w:rFonts w:cs="Times New Roman"/>
                <w:i/>
                <w:iCs/>
                <w:spacing w:val="-3"/>
                <w:kern w:val="0"/>
                <w:sz w:val="22"/>
              </w:rPr>
              <w:t xml:space="preserve"> </w:t>
            </w:r>
            <w:r>
              <w:rPr>
                <w:rFonts w:cs="Times New Roman"/>
                <w:i/>
                <w:iCs/>
                <w:kern w:val="0"/>
                <w:sz w:val="22"/>
              </w:rPr>
              <w:t>(L.)</w:t>
            </w:r>
            <w:r>
              <w:rPr>
                <w:rFonts w:cs="Times New Roman"/>
                <w:i/>
                <w:iCs/>
                <w:spacing w:val="-5"/>
                <w:kern w:val="0"/>
                <w:sz w:val="22"/>
              </w:rPr>
              <w:t xml:space="preserve"> </w:t>
            </w:r>
            <w:r>
              <w:rPr>
                <w:rFonts w:cs="Times New Roman"/>
                <w:i/>
                <w:iCs/>
                <w:kern w:val="0"/>
                <w:sz w:val="22"/>
              </w:rPr>
              <w:t>All.</w:t>
            </w:r>
          </w:p>
        </w:tc>
      </w:tr>
      <w:tr>
        <w:tblPrEx>
          <w:tblCellMar>
            <w:top w:w="0" w:type="dxa"/>
            <w:left w:w="0" w:type="dxa"/>
            <w:bottom w:w="0" w:type="dxa"/>
            <w:right w:w="0" w:type="dxa"/>
          </w:tblCellMar>
        </w:tblPrEx>
        <w:trPr>
          <w:trHeight w:val="31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189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fldChar w:fldCharType="begin"/>
            </w:r>
            <w:r>
              <w:instrText xml:space="preserve"> HYPERLINK "https://baike.so.com/doc/23847015-24403629.html" </w:instrText>
            </w:r>
            <w:r>
              <w:fldChar w:fldCharType="separate"/>
            </w:r>
            <w:r>
              <w:rPr>
                <w:rFonts w:hint="eastAsia" w:ascii="宋体" w:eastAsia="宋体" w:cs="宋体"/>
                <w:kern w:val="0"/>
                <w:sz w:val="22"/>
              </w:rPr>
              <w:t>花蔺科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fldChar w:fldCharType="begin"/>
            </w:r>
            <w:r>
              <w:instrText xml:space="preserve"> HYPERLINK "https://baike.so.com/doc/23847015-24403629.html" </w:instrText>
            </w:r>
            <w:r>
              <w:fldChar w:fldCharType="separate"/>
            </w:r>
            <w:r>
              <w:rPr>
                <w:rFonts w:hint="eastAsia" w:ascii="宋体" w:eastAsia="宋体" w:cs="宋体"/>
                <w:kern w:val="0"/>
                <w:sz w:val="22"/>
              </w:rPr>
              <w:t>花蔺属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花蔺</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1" w:firstLine="0" w:firstLineChars="0"/>
              <w:jc w:val="center"/>
              <w:rPr>
                <w:rFonts w:cs="Times New Roman"/>
                <w:i/>
                <w:iCs/>
                <w:kern w:val="0"/>
                <w:sz w:val="22"/>
              </w:rPr>
            </w:pPr>
            <w:r>
              <w:rPr>
                <w:rFonts w:cs="Times New Roman"/>
                <w:i/>
                <w:iCs/>
                <w:kern w:val="0"/>
                <w:sz w:val="22"/>
              </w:rPr>
              <w:t>Butomus</w:t>
            </w:r>
            <w:r>
              <w:rPr>
                <w:rFonts w:cs="Times New Roman"/>
                <w:i/>
                <w:iCs/>
                <w:spacing w:val="-2"/>
                <w:kern w:val="0"/>
                <w:sz w:val="22"/>
              </w:rPr>
              <w:t xml:space="preserve"> </w:t>
            </w:r>
            <w:r>
              <w:rPr>
                <w:rFonts w:cs="Times New Roman"/>
                <w:i/>
                <w:iCs/>
                <w:kern w:val="0"/>
                <w:sz w:val="22"/>
              </w:rPr>
              <w:t>umbellatusL.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190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眼子菜科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眼子菜属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小眼子菜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Potarmogeton</w:t>
            </w:r>
            <w:r>
              <w:rPr>
                <w:rFonts w:cs="Times New Roman"/>
                <w:i/>
                <w:iCs/>
                <w:spacing w:val="-4"/>
                <w:kern w:val="0"/>
                <w:sz w:val="22"/>
              </w:rPr>
              <w:t xml:space="preserve"> </w:t>
            </w:r>
            <w:r>
              <w:rPr>
                <w:rFonts w:cs="Times New Roman"/>
                <w:i/>
                <w:iCs/>
                <w:kern w:val="0"/>
                <w:sz w:val="22"/>
              </w:rPr>
              <w:t>pusillus</w:t>
            </w:r>
            <w:r>
              <w:rPr>
                <w:rFonts w:cs="Times New Roman"/>
                <w:i/>
                <w:iCs/>
                <w:spacing w:val="-1"/>
                <w:kern w:val="0"/>
                <w:sz w:val="22"/>
              </w:rPr>
              <w:t xml:space="preserve"> </w:t>
            </w:r>
            <w:r>
              <w:rPr>
                <w:rFonts w:cs="Times New Roman"/>
                <w:i/>
                <w:iCs/>
                <w:kern w:val="0"/>
                <w:sz w:val="22"/>
              </w:rPr>
              <w:t>Linn.</w:t>
            </w:r>
            <w:r>
              <w:rPr>
                <w:rFonts w:cs="Times New Roman"/>
                <w:i/>
                <w:iCs/>
                <w:spacing w:val="-1"/>
                <w:kern w:val="0"/>
                <w:sz w:val="22"/>
              </w:rPr>
              <w:t xml:space="preserve"> </w:t>
            </w:r>
            <w:r>
              <w:rPr>
                <w:rFonts w:cs="Times New Roman"/>
                <w:i/>
                <w:iCs/>
                <w:kern w:val="0"/>
                <w:sz w:val="22"/>
              </w:rPr>
              <w:t>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191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浮萍科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浮萍属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浮萍</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Lemna</w:t>
            </w:r>
            <w:r>
              <w:rPr>
                <w:rFonts w:cs="Times New Roman"/>
                <w:i/>
                <w:iCs/>
                <w:spacing w:val="-2"/>
                <w:kern w:val="0"/>
                <w:sz w:val="22"/>
              </w:rPr>
              <w:t xml:space="preserve"> </w:t>
            </w:r>
            <w:r>
              <w:rPr>
                <w:rFonts w:cs="Times New Roman"/>
                <w:i/>
                <w:iCs/>
                <w:kern w:val="0"/>
                <w:sz w:val="22"/>
              </w:rPr>
              <w:t>minor</w:t>
            </w:r>
            <w:r>
              <w:rPr>
                <w:rFonts w:cs="Times New Roman"/>
                <w:i/>
                <w:iCs/>
                <w:spacing w:val="-1"/>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192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毛茛科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碱毛茛属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水葫芦苗</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Halerpestes</w:t>
            </w:r>
            <w:r>
              <w:rPr>
                <w:rFonts w:cs="Times New Roman"/>
                <w:i/>
                <w:iCs/>
                <w:spacing w:val="-1"/>
                <w:kern w:val="0"/>
                <w:sz w:val="22"/>
              </w:rPr>
              <w:t xml:space="preserve"> </w:t>
            </w:r>
            <w:r>
              <w:rPr>
                <w:rFonts w:cs="Times New Roman"/>
                <w:i/>
                <w:iCs/>
                <w:kern w:val="0"/>
                <w:sz w:val="22"/>
              </w:rPr>
              <w:t>cymbalaria</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(Pursh)</w:t>
            </w:r>
            <w:r>
              <w:rPr>
                <w:rFonts w:cs="Times New Roman"/>
                <w:i/>
                <w:iCs/>
                <w:spacing w:val="-2"/>
                <w:kern w:val="0"/>
                <w:sz w:val="22"/>
              </w:rPr>
              <w:t xml:space="preserve"> </w:t>
            </w:r>
            <w:r>
              <w:rPr>
                <w:rFonts w:cs="Times New Roman"/>
                <w:i/>
                <w:iCs/>
                <w:kern w:val="0"/>
                <w:sz w:val="22"/>
              </w:rPr>
              <w:t>Green</w:t>
            </w:r>
          </w:p>
        </w:tc>
      </w:tr>
      <w:tr>
        <w:tblPrEx>
          <w:tblCellMar>
            <w:top w:w="0" w:type="dxa"/>
            <w:left w:w="0" w:type="dxa"/>
            <w:bottom w:w="0" w:type="dxa"/>
            <w:right w:w="0" w:type="dxa"/>
          </w:tblCellMar>
        </w:tblPrEx>
        <w:trPr>
          <w:trHeight w:val="936"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8" w:line="240" w:lineRule="auto"/>
              <w:ind w:firstLine="0" w:firstLineChars="0"/>
              <w:jc w:val="left"/>
              <w:rPr>
                <w:rFonts w:ascii="黑体" w:eastAsia="黑体" w:cs="黑体"/>
                <w:b/>
                <w:bCs/>
                <w:kern w:val="0"/>
                <w:sz w:val="26"/>
                <w:szCs w:val="26"/>
              </w:rPr>
            </w:pPr>
          </w:p>
          <w:p>
            <w:pPr>
              <w:kinsoku w:val="0"/>
              <w:overflowPunct w:val="0"/>
              <w:autoSpaceDE w:val="0"/>
              <w:autoSpaceDN w:val="0"/>
              <w:adjustRightInd w:val="0"/>
              <w:spacing w:line="240" w:lineRule="auto"/>
              <w:ind w:right="102" w:firstLine="0" w:firstLineChars="0"/>
              <w:jc w:val="center"/>
              <w:rPr>
                <w:rFonts w:cs="Times New Roman"/>
                <w:kern w:val="0"/>
                <w:sz w:val="22"/>
              </w:rPr>
            </w:pPr>
            <w:r>
              <w:rPr>
                <w:rFonts w:cs="Times New Roman"/>
                <w:kern w:val="0"/>
                <w:sz w:val="22"/>
              </w:rPr>
              <w:t>193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69" w:firstLine="0" w:firstLineChars="0"/>
              <w:jc w:val="center"/>
              <w:rPr>
                <w:rFonts w:ascii="宋体" w:eastAsia="宋体" w:cs="宋体"/>
                <w:kern w:val="0"/>
                <w:sz w:val="22"/>
              </w:rPr>
            </w:pPr>
            <w:r>
              <w:fldChar w:fldCharType="begin"/>
            </w:r>
            <w:r>
              <w:instrText xml:space="preserve"> HYPERLINK "https://baike.so.com/doc/5809576-6022377.html" </w:instrText>
            </w:r>
            <w:r>
              <w:fldChar w:fldCharType="separate"/>
            </w:r>
            <w:r>
              <w:rPr>
                <w:rFonts w:hint="eastAsia" w:ascii="宋体" w:eastAsia="宋体" w:cs="宋体"/>
                <w:kern w:val="0"/>
                <w:sz w:val="22"/>
              </w:rPr>
              <w:t>毛茛科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58" w:firstLine="0" w:firstLineChars="0"/>
              <w:jc w:val="center"/>
              <w:rPr>
                <w:rFonts w:ascii="宋体" w:eastAsia="宋体" w:cs="宋体"/>
                <w:kern w:val="0"/>
                <w:sz w:val="22"/>
              </w:rPr>
            </w:pPr>
            <w:r>
              <w:rPr>
                <w:rFonts w:hint="eastAsia" w:ascii="宋体" w:eastAsia="宋体" w:cs="宋体"/>
                <w:kern w:val="0"/>
                <w:sz w:val="22"/>
              </w:rPr>
              <w:t>唐松草属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6" w:line="240" w:lineRule="auto"/>
              <w:ind w:firstLine="0" w:firstLineChars="0"/>
              <w:jc w:val="left"/>
              <w:rPr>
                <w:rFonts w:ascii="黑体" w:eastAsia="黑体" w:cs="黑体"/>
                <w:b/>
                <w:bCs/>
                <w:kern w:val="0"/>
                <w:sz w:val="25"/>
                <w:szCs w:val="25"/>
              </w:rPr>
            </w:pPr>
          </w:p>
          <w:p>
            <w:pPr>
              <w:kinsoku w:val="0"/>
              <w:overflowPunct w:val="0"/>
              <w:autoSpaceDE w:val="0"/>
              <w:autoSpaceDN w:val="0"/>
              <w:adjustRightInd w:val="0"/>
              <w:spacing w:line="240" w:lineRule="auto"/>
              <w:ind w:right="157" w:firstLine="0" w:firstLineChars="0"/>
              <w:jc w:val="center"/>
              <w:rPr>
                <w:rFonts w:ascii="宋体" w:eastAsia="宋体" w:cs="宋体"/>
                <w:kern w:val="0"/>
                <w:sz w:val="22"/>
              </w:rPr>
            </w:pPr>
            <w:r>
              <w:rPr>
                <w:rFonts w:hint="eastAsia" w:ascii="宋体" w:eastAsia="宋体" w:cs="宋体"/>
                <w:kern w:val="0"/>
                <w:sz w:val="22"/>
              </w:rPr>
              <w:t>唐松草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Thalictrum</w:t>
            </w:r>
            <w:r>
              <w:rPr>
                <w:rFonts w:cs="Times New Roman"/>
                <w:i/>
                <w:iCs/>
                <w:spacing w:val="-2"/>
                <w:kern w:val="0"/>
                <w:sz w:val="22"/>
              </w:rPr>
              <w:t xml:space="preserve"> </w:t>
            </w:r>
            <w:r>
              <w:rPr>
                <w:rFonts w:cs="Times New Roman"/>
                <w:i/>
                <w:iCs/>
                <w:kern w:val="0"/>
                <w:sz w:val="22"/>
              </w:rPr>
              <w:t>aquilegifolium</w:t>
            </w:r>
          </w:p>
          <w:p>
            <w:pPr>
              <w:kinsoku w:val="0"/>
              <w:overflowPunct w:val="0"/>
              <w:autoSpaceDE w:val="0"/>
              <w:autoSpaceDN w:val="0"/>
              <w:adjustRightInd w:val="0"/>
              <w:spacing w:before="2" w:line="310" w:lineRule="atLeast"/>
              <w:ind w:right="192" w:firstLine="0" w:firstLineChars="0"/>
              <w:jc w:val="left"/>
              <w:rPr>
                <w:rFonts w:cs="Times New Roman"/>
                <w:i/>
                <w:iCs/>
                <w:kern w:val="0"/>
                <w:sz w:val="22"/>
              </w:rPr>
            </w:pPr>
            <w:r>
              <w:rPr>
                <w:rFonts w:cs="Times New Roman"/>
                <w:i/>
                <w:iCs/>
                <w:kern w:val="0"/>
                <w:sz w:val="22"/>
              </w:rPr>
              <w:t>Linn.</w:t>
            </w:r>
            <w:r>
              <w:rPr>
                <w:rFonts w:cs="Times New Roman"/>
                <w:i/>
                <w:iCs/>
                <w:spacing w:val="-9"/>
                <w:kern w:val="0"/>
                <w:sz w:val="22"/>
              </w:rPr>
              <w:t xml:space="preserve"> </w:t>
            </w:r>
            <w:r>
              <w:rPr>
                <w:rFonts w:cs="Times New Roman"/>
                <w:i/>
                <w:iCs/>
                <w:kern w:val="0"/>
                <w:sz w:val="22"/>
              </w:rPr>
              <w:t>var.</w:t>
            </w:r>
            <w:r>
              <w:rPr>
                <w:rFonts w:cs="Times New Roman"/>
                <w:i/>
                <w:iCs/>
                <w:spacing w:val="-9"/>
                <w:kern w:val="0"/>
                <w:sz w:val="22"/>
              </w:rPr>
              <w:t xml:space="preserve"> </w:t>
            </w:r>
            <w:r>
              <w:rPr>
                <w:rFonts w:cs="Times New Roman"/>
                <w:i/>
                <w:iCs/>
                <w:kern w:val="0"/>
                <w:sz w:val="22"/>
              </w:rPr>
              <w:t>sibiricum</w:t>
            </w:r>
            <w:r>
              <w:rPr>
                <w:rFonts w:cs="Times New Roman"/>
                <w:i/>
                <w:iCs/>
                <w:spacing w:val="-8"/>
                <w:kern w:val="0"/>
                <w:sz w:val="22"/>
              </w:rPr>
              <w:t xml:space="preserve"> </w:t>
            </w:r>
            <w:r>
              <w:rPr>
                <w:rFonts w:cs="Times New Roman"/>
                <w:i/>
                <w:iCs/>
                <w:kern w:val="0"/>
                <w:sz w:val="22"/>
              </w:rPr>
              <w:t>Regel</w:t>
            </w:r>
            <w:r>
              <w:rPr>
                <w:rFonts w:cs="Times New Roman"/>
                <w:i/>
                <w:iCs/>
                <w:spacing w:val="-10"/>
                <w:kern w:val="0"/>
                <w:sz w:val="22"/>
              </w:rPr>
              <w:t xml:space="preserve"> </w:t>
            </w:r>
            <w:r>
              <w:rPr>
                <w:rFonts w:cs="Times New Roman"/>
                <w:i/>
                <w:iCs/>
                <w:kern w:val="0"/>
                <w:sz w:val="22"/>
              </w:rPr>
              <w:t>et</w:t>
            </w:r>
            <w:r>
              <w:rPr>
                <w:rFonts w:cs="Times New Roman"/>
                <w:i/>
                <w:iCs/>
                <w:spacing w:val="-52"/>
                <w:kern w:val="0"/>
                <w:sz w:val="22"/>
              </w:rPr>
              <w:t xml:space="preserve"> </w:t>
            </w:r>
            <w:r>
              <w:rPr>
                <w:rFonts w:cs="Times New Roman"/>
                <w:i/>
                <w:iCs/>
                <w:kern w:val="0"/>
                <w:sz w:val="22"/>
              </w:rPr>
              <w:t>Tiling</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194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fldChar w:fldCharType="begin"/>
            </w:r>
            <w:r>
              <w:instrText xml:space="preserve"> HYPERLINK "https://baike.so.com/doc/6261361-6474781.html" </w:instrText>
            </w:r>
            <w:r>
              <w:fldChar w:fldCharType="separate"/>
            </w:r>
            <w:r>
              <w:rPr>
                <w:rFonts w:hint="eastAsia" w:ascii="宋体" w:eastAsia="宋体" w:cs="宋体"/>
                <w:kern w:val="0"/>
                <w:sz w:val="22"/>
              </w:rPr>
              <w:t>麻黄科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"https://baike.so.com/doc/6261361-6474781.html" </w:instrText>
            </w:r>
            <w:r>
              <w:fldChar w:fldCharType="separate"/>
            </w:r>
            <w:r>
              <w:rPr>
                <w:rFonts w:hint="eastAsia" w:ascii="宋体" w:eastAsia="宋体" w:cs="宋体"/>
                <w:kern w:val="0"/>
                <w:sz w:val="22"/>
              </w:rPr>
              <w:t>麻黄属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膜果麻黄</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Ephedra</w:t>
            </w:r>
            <w:r>
              <w:rPr>
                <w:rFonts w:cs="Times New Roman"/>
                <w:i/>
                <w:iCs/>
                <w:spacing w:val="-3"/>
                <w:kern w:val="0"/>
                <w:sz w:val="22"/>
              </w:rPr>
              <w:t xml:space="preserve"> </w:t>
            </w:r>
            <w:r>
              <w:rPr>
                <w:rFonts w:cs="Times New Roman"/>
                <w:i/>
                <w:iCs/>
                <w:kern w:val="0"/>
                <w:sz w:val="22"/>
              </w:rPr>
              <w:t>przewalskii</w:t>
            </w:r>
            <w:r>
              <w:rPr>
                <w:rFonts w:cs="Times New Roman"/>
                <w:i/>
                <w:iCs/>
                <w:spacing w:val="1"/>
                <w:kern w:val="0"/>
                <w:sz w:val="22"/>
              </w:rPr>
              <w:t xml:space="preserve"> </w:t>
            </w:r>
            <w:r>
              <w:rPr>
                <w:rFonts w:cs="Times New Roman"/>
                <w:i/>
                <w:iCs/>
                <w:kern w:val="0"/>
                <w:sz w:val="22"/>
              </w:rPr>
              <w:t>Stapf</w:t>
            </w:r>
          </w:p>
        </w:tc>
      </w:tr>
      <w:tr>
        <w:tblPrEx>
          <w:tblCellMar>
            <w:top w:w="0" w:type="dxa"/>
            <w:left w:w="0" w:type="dxa"/>
            <w:bottom w:w="0" w:type="dxa"/>
            <w:right w:w="0" w:type="dxa"/>
          </w:tblCellMar>
        </w:tblPrEx>
        <w:trPr>
          <w:trHeight w:val="31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195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蔷薇科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委陵菜属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9" w:firstLine="0" w:firstLineChars="0"/>
              <w:jc w:val="center"/>
              <w:rPr>
                <w:rFonts w:ascii="宋体" w:eastAsia="宋体" w:cs="宋体"/>
                <w:kern w:val="0"/>
                <w:sz w:val="22"/>
              </w:rPr>
            </w:pPr>
            <w:r>
              <w:rPr>
                <w:rFonts w:hint="eastAsia" w:ascii="宋体" w:eastAsia="宋体" w:cs="宋体"/>
                <w:kern w:val="0"/>
                <w:sz w:val="22"/>
              </w:rPr>
              <w:t>鹅绒委陵菜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1" w:firstLine="0" w:firstLineChars="0"/>
              <w:jc w:val="center"/>
              <w:rPr>
                <w:rFonts w:cs="Times New Roman"/>
                <w:i/>
                <w:iCs/>
                <w:kern w:val="0"/>
                <w:sz w:val="22"/>
              </w:rPr>
            </w:pPr>
            <w:r>
              <w:rPr>
                <w:rFonts w:cs="Times New Roman"/>
                <w:i/>
                <w:iCs/>
                <w:kern w:val="0"/>
                <w:sz w:val="22"/>
              </w:rPr>
              <w:t>Potentilla</w:t>
            </w:r>
            <w:r>
              <w:rPr>
                <w:rFonts w:cs="Times New Roman"/>
                <w:i/>
                <w:iCs/>
                <w:spacing w:val="-4"/>
                <w:kern w:val="0"/>
                <w:sz w:val="22"/>
              </w:rPr>
              <w:t xml:space="preserve"> </w:t>
            </w:r>
            <w:r>
              <w:rPr>
                <w:rFonts w:cs="Times New Roman"/>
                <w:i/>
                <w:iCs/>
                <w:kern w:val="0"/>
                <w:sz w:val="22"/>
              </w:rPr>
              <w:t>anserina</w:t>
            </w:r>
            <w:r>
              <w:rPr>
                <w:rFonts w:cs="Times New Roman"/>
                <w:i/>
                <w:iCs/>
                <w:spacing w:val="-1"/>
                <w:kern w:val="0"/>
                <w:sz w:val="22"/>
              </w:rPr>
              <w:t xml:space="preserve"> </w:t>
            </w:r>
            <w:r>
              <w:rPr>
                <w:rFonts w:cs="Times New Roman"/>
                <w:i/>
                <w:iCs/>
                <w:kern w:val="0"/>
                <w:sz w:val="22"/>
              </w:rPr>
              <w:t>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196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fldChar w:fldCharType="begin"/>
            </w:r>
            <w:r>
              <w:instrText xml:space="preserve"> HYPERLINK "https://baike.so.com/doc/7722797-7996892.html" </w:instrText>
            </w:r>
            <w:r>
              <w:fldChar w:fldCharType="separate"/>
            </w:r>
            <w:r>
              <w:rPr>
                <w:rFonts w:hint="eastAsia" w:ascii="宋体" w:eastAsia="宋体" w:cs="宋体"/>
                <w:kern w:val="0"/>
                <w:sz w:val="22"/>
              </w:rPr>
              <w:t>灯心草科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"https://baike.so.com/doc/7722797-7996892.html" </w:instrText>
            </w:r>
            <w:r>
              <w:fldChar w:fldCharType="separate"/>
            </w:r>
            <w:r>
              <w:rPr>
                <w:rFonts w:hint="eastAsia" w:ascii="宋体" w:eastAsia="宋体" w:cs="宋体"/>
                <w:kern w:val="0"/>
                <w:sz w:val="22"/>
              </w:rPr>
              <w:t>灯心草属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9" w:firstLine="0" w:firstLineChars="0"/>
              <w:jc w:val="center"/>
              <w:rPr>
                <w:rFonts w:ascii="宋体" w:eastAsia="宋体" w:cs="宋体"/>
                <w:kern w:val="0"/>
                <w:sz w:val="22"/>
              </w:rPr>
            </w:pPr>
            <w:r>
              <w:rPr>
                <w:rFonts w:hint="eastAsia" w:ascii="宋体" w:eastAsia="宋体" w:cs="宋体"/>
                <w:kern w:val="0"/>
                <w:sz w:val="22"/>
              </w:rPr>
              <w:t>片髓灯心草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Juncus</w:t>
            </w:r>
            <w:r>
              <w:rPr>
                <w:rFonts w:cs="Times New Roman"/>
                <w:i/>
                <w:iCs/>
                <w:spacing w:val="-3"/>
                <w:kern w:val="0"/>
                <w:sz w:val="22"/>
              </w:rPr>
              <w:t xml:space="preserve"> </w:t>
            </w:r>
            <w:r>
              <w:rPr>
                <w:rFonts w:cs="Times New Roman"/>
                <w:i/>
                <w:iCs/>
                <w:kern w:val="0"/>
                <w:sz w:val="22"/>
              </w:rPr>
              <w:t>inflexus</w:t>
            </w:r>
            <w:r>
              <w:rPr>
                <w:rFonts w:cs="Times New Roman"/>
                <w:i/>
                <w:iCs/>
                <w:spacing w:val="2"/>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197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鸢尾科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鸢尾属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鸢尾</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Iris</w:t>
            </w:r>
            <w:r>
              <w:rPr>
                <w:rFonts w:cs="Times New Roman"/>
                <w:i/>
                <w:iCs/>
                <w:spacing w:val="-1"/>
                <w:kern w:val="0"/>
                <w:sz w:val="22"/>
              </w:rPr>
              <w:t xml:space="preserve"> </w:t>
            </w:r>
            <w:r>
              <w:rPr>
                <w:rFonts w:cs="Times New Roman"/>
                <w:i/>
                <w:iCs/>
                <w:kern w:val="0"/>
                <w:sz w:val="22"/>
              </w:rPr>
              <w:t>tectorum</w:t>
            </w:r>
            <w:r>
              <w:rPr>
                <w:rFonts w:cs="Times New Roman"/>
                <w:i/>
                <w:iCs/>
                <w:spacing w:val="-3"/>
                <w:kern w:val="0"/>
                <w:sz w:val="22"/>
              </w:rPr>
              <w:t xml:space="preserve"> </w:t>
            </w:r>
            <w:r>
              <w:rPr>
                <w:rFonts w:cs="Times New Roman"/>
                <w:i/>
                <w:iCs/>
                <w:kern w:val="0"/>
                <w:sz w:val="22"/>
              </w:rPr>
              <w:t>Maxim.</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198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葱科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葱属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棱叶韭</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Allium</w:t>
            </w:r>
            <w:r>
              <w:rPr>
                <w:rFonts w:cs="Times New Roman"/>
                <w:i/>
                <w:iCs/>
                <w:spacing w:val="-2"/>
                <w:kern w:val="0"/>
                <w:sz w:val="22"/>
              </w:rPr>
              <w:t xml:space="preserve"> </w:t>
            </w:r>
            <w:r>
              <w:rPr>
                <w:rFonts w:cs="Times New Roman"/>
                <w:i/>
                <w:iCs/>
                <w:kern w:val="0"/>
                <w:sz w:val="22"/>
              </w:rPr>
              <w:t>caeruleum Pall.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199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唇形科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薄荷属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薄荷</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2" w:firstLine="0" w:firstLineChars="0"/>
              <w:jc w:val="center"/>
              <w:rPr>
                <w:rFonts w:cs="Times New Roman"/>
                <w:i/>
                <w:iCs/>
                <w:kern w:val="0"/>
                <w:sz w:val="22"/>
              </w:rPr>
            </w:pPr>
            <w:r>
              <w:rPr>
                <w:rFonts w:cs="Times New Roman"/>
                <w:i/>
                <w:iCs/>
                <w:kern w:val="0"/>
                <w:sz w:val="22"/>
              </w:rPr>
              <w:t>Mentha</w:t>
            </w:r>
            <w:r>
              <w:rPr>
                <w:rFonts w:cs="Times New Roman"/>
                <w:i/>
                <w:iCs/>
                <w:spacing w:val="-1"/>
                <w:kern w:val="0"/>
                <w:sz w:val="22"/>
              </w:rPr>
              <w:t xml:space="preserve"> </w:t>
            </w:r>
            <w:r>
              <w:rPr>
                <w:rFonts w:cs="Times New Roman"/>
                <w:i/>
                <w:iCs/>
                <w:kern w:val="0"/>
                <w:sz w:val="22"/>
              </w:rPr>
              <w:t>haplocalyx</w:t>
            </w:r>
            <w:r>
              <w:rPr>
                <w:rFonts w:cs="Times New Roman"/>
                <w:i/>
                <w:iCs/>
                <w:spacing w:val="-1"/>
                <w:kern w:val="0"/>
                <w:sz w:val="22"/>
              </w:rPr>
              <w:t xml:space="preserve"> </w:t>
            </w:r>
            <w:r>
              <w:rPr>
                <w:rFonts w:cs="Times New Roman"/>
                <w:i/>
                <w:iCs/>
                <w:kern w:val="0"/>
                <w:sz w:val="22"/>
              </w:rPr>
              <w:t>Briq.</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200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唇形科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"https://baike.so.com/doc/7743503-8017598.html" </w:instrText>
            </w:r>
            <w:r>
              <w:fldChar w:fldCharType="separate"/>
            </w:r>
            <w:r>
              <w:rPr>
                <w:rFonts w:hint="eastAsia" w:ascii="宋体" w:eastAsia="宋体" w:cs="宋体"/>
                <w:kern w:val="0"/>
                <w:sz w:val="22"/>
              </w:rPr>
              <w:t>糙苏属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糙苏</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Phlomis</w:t>
            </w:r>
            <w:r>
              <w:rPr>
                <w:rFonts w:cs="Times New Roman"/>
                <w:i/>
                <w:iCs/>
                <w:spacing w:val="-6"/>
                <w:kern w:val="0"/>
                <w:sz w:val="22"/>
              </w:rPr>
              <w:t xml:space="preserve"> </w:t>
            </w:r>
            <w:r>
              <w:rPr>
                <w:rFonts w:cs="Times New Roman"/>
                <w:i/>
                <w:iCs/>
                <w:kern w:val="0"/>
                <w:sz w:val="22"/>
              </w:rPr>
              <w:t>umbrosa</w:t>
            </w:r>
            <w:r>
              <w:rPr>
                <w:rFonts w:cs="Times New Roman"/>
                <w:i/>
                <w:iCs/>
                <w:spacing w:val="-5"/>
                <w:kern w:val="0"/>
                <w:sz w:val="22"/>
              </w:rPr>
              <w:t xml:space="preserve"> </w:t>
            </w:r>
            <w:r>
              <w:rPr>
                <w:rFonts w:cs="Times New Roman"/>
                <w:i/>
                <w:iCs/>
                <w:kern w:val="0"/>
                <w:sz w:val="22"/>
              </w:rPr>
              <w:t>Turcz.</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201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车前科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车前属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7" w:firstLine="0" w:firstLineChars="0"/>
              <w:jc w:val="center"/>
              <w:rPr>
                <w:rFonts w:ascii="宋体" w:eastAsia="宋体" w:cs="宋体"/>
                <w:kern w:val="0"/>
                <w:sz w:val="22"/>
              </w:rPr>
            </w:pPr>
            <w:r>
              <w:rPr>
                <w:rFonts w:hint="eastAsia" w:ascii="宋体" w:eastAsia="宋体" w:cs="宋体"/>
                <w:kern w:val="0"/>
                <w:sz w:val="22"/>
              </w:rPr>
              <w:t>大车前</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1" w:firstLine="0" w:firstLineChars="0"/>
              <w:jc w:val="center"/>
              <w:rPr>
                <w:rFonts w:cs="Times New Roman"/>
                <w:i/>
                <w:iCs/>
                <w:kern w:val="0"/>
                <w:sz w:val="22"/>
              </w:rPr>
            </w:pPr>
            <w:r>
              <w:rPr>
                <w:rFonts w:cs="Times New Roman"/>
                <w:i/>
                <w:iCs/>
                <w:kern w:val="0"/>
                <w:sz w:val="22"/>
              </w:rPr>
              <w:t>Plantago majorL.</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202</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车前科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车前属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小车前</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Plantago</w:t>
            </w:r>
            <w:r>
              <w:rPr>
                <w:rFonts w:cs="Times New Roman"/>
                <w:i/>
                <w:iCs/>
                <w:spacing w:val="-1"/>
                <w:kern w:val="0"/>
                <w:sz w:val="22"/>
              </w:rPr>
              <w:t xml:space="preserve"> </w:t>
            </w:r>
            <w:r>
              <w:rPr>
                <w:rFonts w:cs="Times New Roman"/>
                <w:i/>
                <w:iCs/>
                <w:kern w:val="0"/>
                <w:sz w:val="22"/>
              </w:rPr>
              <w:t>minuta</w:t>
            </w:r>
            <w:r>
              <w:rPr>
                <w:rFonts w:cs="Times New Roman"/>
                <w:i/>
                <w:iCs/>
                <w:spacing w:val="-1"/>
                <w:kern w:val="0"/>
                <w:sz w:val="22"/>
              </w:rPr>
              <w:t xml:space="preserve"> </w:t>
            </w:r>
            <w:r>
              <w:rPr>
                <w:rFonts w:cs="Times New Roman"/>
                <w:i/>
                <w:iCs/>
                <w:kern w:val="0"/>
                <w:sz w:val="22"/>
              </w:rPr>
              <w:t>Pall.</w:t>
            </w:r>
          </w:p>
        </w:tc>
      </w:tr>
      <w:tr>
        <w:tblPrEx>
          <w:tblCellMar>
            <w:top w:w="0" w:type="dxa"/>
            <w:left w:w="0" w:type="dxa"/>
            <w:bottom w:w="0" w:type="dxa"/>
            <w:right w:w="0" w:type="dxa"/>
          </w:tblCellMar>
        </w:tblPrEx>
        <w:trPr>
          <w:trHeight w:val="62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203</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白花丹科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补血草属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耳叶补血草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Limonium</w:t>
            </w:r>
            <w:r>
              <w:rPr>
                <w:rFonts w:cs="Times New Roman"/>
                <w:i/>
                <w:iCs/>
                <w:spacing w:val="-3"/>
                <w:kern w:val="0"/>
                <w:sz w:val="22"/>
              </w:rPr>
              <w:t xml:space="preserve"> </w:t>
            </w:r>
            <w:r>
              <w:rPr>
                <w:rFonts w:cs="Times New Roman"/>
                <w:i/>
                <w:iCs/>
                <w:kern w:val="0"/>
                <w:sz w:val="22"/>
              </w:rPr>
              <w:t>otolepis</w:t>
            </w:r>
            <w:r>
              <w:rPr>
                <w:rFonts w:cs="Times New Roman"/>
                <w:i/>
                <w:iCs/>
                <w:spacing w:val="-5"/>
                <w:kern w:val="0"/>
                <w:sz w:val="22"/>
              </w:rPr>
              <w:t xml:space="preserve"> </w:t>
            </w:r>
            <w:r>
              <w:rPr>
                <w:rFonts w:cs="Times New Roman"/>
                <w:i/>
                <w:iCs/>
                <w:kern w:val="0"/>
                <w:sz w:val="22"/>
              </w:rPr>
              <w:t>(Schrenk)</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Kuntze</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204</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白花丹科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白花丹属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9" w:firstLine="0" w:firstLineChars="0"/>
              <w:jc w:val="center"/>
              <w:rPr>
                <w:rFonts w:ascii="宋体" w:eastAsia="宋体" w:cs="宋体"/>
                <w:kern w:val="0"/>
                <w:sz w:val="22"/>
              </w:rPr>
            </w:pPr>
            <w:r>
              <w:rPr>
                <w:rFonts w:hint="eastAsia" w:ascii="宋体" w:eastAsia="宋体" w:cs="宋体"/>
                <w:kern w:val="0"/>
                <w:sz w:val="22"/>
              </w:rPr>
              <w:t>大叶驼舌草</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3" w:firstLine="0" w:firstLineChars="0"/>
              <w:jc w:val="center"/>
              <w:rPr>
                <w:rFonts w:cs="Times New Roman"/>
                <w:i/>
                <w:iCs/>
                <w:kern w:val="0"/>
                <w:sz w:val="22"/>
              </w:rPr>
            </w:pPr>
            <w:r>
              <w:rPr>
                <w:rFonts w:cs="Times New Roman"/>
                <w:i/>
                <w:iCs/>
                <w:kern w:val="0"/>
                <w:sz w:val="22"/>
              </w:rPr>
              <w:t>Goniolimon</w:t>
            </w:r>
            <w:r>
              <w:rPr>
                <w:rFonts w:cs="Times New Roman"/>
                <w:i/>
                <w:iCs/>
                <w:spacing w:val="-2"/>
                <w:kern w:val="0"/>
                <w:sz w:val="22"/>
              </w:rPr>
              <w:t xml:space="preserve"> </w:t>
            </w:r>
            <w:r>
              <w:rPr>
                <w:rFonts w:cs="Times New Roman"/>
                <w:i/>
                <w:iCs/>
                <w:kern w:val="0"/>
                <w:sz w:val="22"/>
              </w:rPr>
              <w:t>dschungaricum</w:t>
            </w:r>
          </w:p>
          <w:p>
            <w:pPr>
              <w:kinsoku w:val="0"/>
              <w:overflowPunct w:val="0"/>
              <w:autoSpaceDE w:val="0"/>
              <w:autoSpaceDN w:val="0"/>
              <w:adjustRightInd w:val="0"/>
              <w:spacing w:before="59" w:line="240" w:lineRule="auto"/>
              <w:ind w:right="74" w:firstLine="0" w:firstLineChars="0"/>
              <w:jc w:val="center"/>
              <w:rPr>
                <w:rFonts w:cs="Times New Roman"/>
                <w:i/>
                <w:iCs/>
                <w:kern w:val="0"/>
                <w:sz w:val="22"/>
              </w:rPr>
            </w:pPr>
            <w:r>
              <w:rPr>
                <w:rFonts w:cs="Times New Roman"/>
                <w:i/>
                <w:iCs/>
                <w:kern w:val="0"/>
                <w:sz w:val="22"/>
              </w:rPr>
              <w:t>(Regel)</w:t>
            </w:r>
            <w:r>
              <w:rPr>
                <w:rFonts w:cs="Times New Roman"/>
                <w:i/>
                <w:iCs/>
                <w:spacing w:val="-1"/>
                <w:kern w:val="0"/>
                <w:sz w:val="22"/>
              </w:rPr>
              <w:t xml:space="preserve"> </w:t>
            </w:r>
            <w:r>
              <w:rPr>
                <w:rFonts w:cs="Times New Roman"/>
                <w:i/>
                <w:iCs/>
                <w:kern w:val="0"/>
                <w:sz w:val="22"/>
              </w:rPr>
              <w:t>O.</w:t>
            </w:r>
            <w:r>
              <w:rPr>
                <w:rFonts w:cs="Times New Roman"/>
                <w:i/>
                <w:iCs/>
                <w:spacing w:val="-4"/>
                <w:kern w:val="0"/>
                <w:sz w:val="22"/>
              </w:rPr>
              <w:t xml:space="preserve"> </w:t>
            </w:r>
            <w:r>
              <w:rPr>
                <w:rFonts w:cs="Times New Roman"/>
                <w:i/>
                <w:iCs/>
                <w:kern w:val="0"/>
                <w:sz w:val="22"/>
              </w:rPr>
              <w:t>et</w:t>
            </w:r>
            <w:r>
              <w:rPr>
                <w:rFonts w:cs="Times New Roman"/>
                <w:i/>
                <w:iCs/>
                <w:spacing w:val="1"/>
                <w:kern w:val="0"/>
                <w:sz w:val="22"/>
              </w:rPr>
              <w:t xml:space="preserve"> </w:t>
            </w:r>
            <w:r>
              <w:rPr>
                <w:rFonts w:cs="Times New Roman"/>
                <w:i/>
                <w:iCs/>
                <w:kern w:val="0"/>
                <w:sz w:val="22"/>
              </w:rPr>
              <w:t>B.</w:t>
            </w:r>
            <w:r>
              <w:rPr>
                <w:rFonts w:cs="Times New Roman"/>
                <w:i/>
                <w:iCs/>
                <w:spacing w:val="-1"/>
                <w:kern w:val="0"/>
                <w:sz w:val="22"/>
              </w:rPr>
              <w:t xml:space="preserve"> </w:t>
            </w:r>
            <w:r>
              <w:rPr>
                <w:rFonts w:cs="Times New Roman"/>
                <w:i/>
                <w:iCs/>
                <w:kern w:val="0"/>
                <w:sz w:val="22"/>
              </w:rPr>
              <w:t>Fedtsch.</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205</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石蒜科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鸢尾蒜属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鸢尾蒜</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Ixiolirion</w:t>
            </w:r>
            <w:r>
              <w:rPr>
                <w:rFonts w:cs="Times New Roman"/>
                <w:i/>
                <w:iCs/>
                <w:spacing w:val="-2"/>
                <w:kern w:val="0"/>
                <w:sz w:val="22"/>
              </w:rPr>
              <w:t xml:space="preserve"> </w:t>
            </w:r>
            <w:r>
              <w:rPr>
                <w:rFonts w:cs="Times New Roman"/>
                <w:i/>
                <w:iCs/>
                <w:kern w:val="0"/>
                <w:sz w:val="22"/>
              </w:rPr>
              <w:t>tataricum</w:t>
            </w:r>
            <w:r>
              <w:rPr>
                <w:rFonts w:cs="Times New Roman"/>
                <w:i/>
                <w:iCs/>
                <w:spacing w:val="-3"/>
                <w:kern w:val="0"/>
                <w:sz w:val="22"/>
              </w:rPr>
              <w:t xml:space="preserve"> </w:t>
            </w:r>
            <w:r>
              <w:rPr>
                <w:rFonts w:cs="Times New Roman"/>
                <w:i/>
                <w:iCs/>
                <w:kern w:val="0"/>
                <w:sz w:val="22"/>
              </w:rPr>
              <w:t>(Pall.)</w:t>
            </w:r>
          </w:p>
          <w:p>
            <w:pPr>
              <w:kinsoku w:val="0"/>
              <w:overflowPunct w:val="0"/>
              <w:autoSpaceDE w:val="0"/>
              <w:autoSpaceDN w:val="0"/>
              <w:adjustRightInd w:val="0"/>
              <w:spacing w:before="59" w:line="240" w:lineRule="auto"/>
              <w:ind w:right="73" w:firstLine="0" w:firstLineChars="0"/>
              <w:jc w:val="center"/>
              <w:rPr>
                <w:rFonts w:cs="Times New Roman"/>
                <w:i/>
                <w:iCs/>
                <w:kern w:val="0"/>
                <w:sz w:val="22"/>
              </w:rPr>
            </w:pPr>
            <w:r>
              <w:rPr>
                <w:rFonts w:cs="Times New Roman"/>
                <w:i/>
                <w:iCs/>
                <w:kern w:val="0"/>
                <w:sz w:val="22"/>
              </w:rPr>
              <w:t>Herb.</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206</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石蒜科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鸢尾蒜属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喜盐鸢尾</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Kalidium</w:t>
            </w:r>
            <w:r>
              <w:rPr>
                <w:rFonts w:cs="Times New Roman"/>
                <w:i/>
                <w:iCs/>
                <w:spacing w:val="-3"/>
                <w:kern w:val="0"/>
                <w:sz w:val="22"/>
              </w:rPr>
              <w:t xml:space="preserve"> </w:t>
            </w:r>
            <w:r>
              <w:rPr>
                <w:rFonts w:cs="Times New Roman"/>
                <w:i/>
                <w:iCs/>
                <w:kern w:val="0"/>
                <w:sz w:val="22"/>
              </w:rPr>
              <w:t>foliatum(Pall.)</w:t>
            </w:r>
            <w:r>
              <w:rPr>
                <w:rFonts w:cs="Times New Roman"/>
                <w:i/>
                <w:iCs/>
                <w:spacing w:val="-3"/>
                <w:kern w:val="0"/>
                <w:sz w:val="22"/>
              </w:rPr>
              <w:t xml:space="preserve"> </w:t>
            </w:r>
            <w:r>
              <w:rPr>
                <w:rFonts w:cs="Times New Roman"/>
                <w:i/>
                <w:iCs/>
                <w:kern w:val="0"/>
                <w:sz w:val="22"/>
              </w:rPr>
              <w:t>Moq.</w:t>
            </w:r>
          </w:p>
        </w:tc>
      </w:tr>
      <w:tr>
        <w:tblPrEx>
          <w:tblCellMar>
            <w:top w:w="0" w:type="dxa"/>
            <w:left w:w="0" w:type="dxa"/>
            <w:bottom w:w="0" w:type="dxa"/>
            <w:right w:w="0" w:type="dxa"/>
          </w:tblCellMar>
        </w:tblPrEx>
        <w:trPr>
          <w:trHeight w:val="314"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102" w:firstLine="0" w:firstLineChars="0"/>
              <w:jc w:val="center"/>
              <w:rPr>
                <w:rFonts w:cs="Times New Roman"/>
                <w:kern w:val="0"/>
                <w:sz w:val="22"/>
              </w:rPr>
            </w:pPr>
            <w:r>
              <w:rPr>
                <w:rFonts w:cs="Times New Roman"/>
                <w:kern w:val="0"/>
                <w:sz w:val="22"/>
              </w:rPr>
              <w:t>207</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69" w:firstLine="0" w:firstLineChars="0"/>
              <w:jc w:val="center"/>
              <w:rPr>
                <w:rFonts w:ascii="宋体" w:eastAsia="宋体" w:cs="宋体"/>
                <w:kern w:val="0"/>
                <w:sz w:val="22"/>
              </w:rPr>
            </w:pPr>
            <w:r>
              <w:rPr>
                <w:rFonts w:hint="eastAsia" w:ascii="宋体" w:eastAsia="宋体" w:cs="宋体"/>
                <w:kern w:val="0"/>
                <w:sz w:val="22"/>
              </w:rPr>
              <w:t>茄科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8" w:firstLine="0" w:firstLineChars="0"/>
              <w:jc w:val="center"/>
              <w:rPr>
                <w:rFonts w:ascii="宋体" w:eastAsia="宋体" w:cs="宋体"/>
                <w:kern w:val="0"/>
                <w:sz w:val="22"/>
              </w:rPr>
            </w:pPr>
            <w:r>
              <w:rPr>
                <w:rFonts w:hint="eastAsia" w:ascii="宋体" w:eastAsia="宋体" w:cs="宋体"/>
                <w:kern w:val="0"/>
                <w:sz w:val="22"/>
              </w:rPr>
              <w:t>天仙子属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 w:line="277" w:lineRule="exact"/>
              <w:ind w:right="159" w:firstLine="0" w:firstLineChars="0"/>
              <w:jc w:val="center"/>
              <w:rPr>
                <w:rFonts w:ascii="宋体" w:eastAsia="宋体" w:cs="宋体"/>
                <w:kern w:val="0"/>
                <w:sz w:val="22"/>
              </w:rPr>
            </w:pPr>
            <w:r>
              <w:rPr>
                <w:rFonts w:hint="eastAsia" w:ascii="宋体" w:eastAsia="宋体" w:cs="宋体"/>
                <w:kern w:val="0"/>
                <w:sz w:val="22"/>
              </w:rPr>
              <w:t>中亚天仙子</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2" w:line="240" w:lineRule="auto"/>
              <w:ind w:right="74" w:firstLine="0" w:firstLineChars="0"/>
              <w:jc w:val="center"/>
              <w:rPr>
                <w:rFonts w:cs="Times New Roman"/>
                <w:i/>
                <w:iCs/>
                <w:kern w:val="0"/>
                <w:sz w:val="22"/>
              </w:rPr>
            </w:pPr>
            <w:r>
              <w:rPr>
                <w:rFonts w:cs="Times New Roman"/>
                <w:i/>
                <w:iCs/>
                <w:kern w:val="0"/>
                <w:sz w:val="22"/>
              </w:rPr>
              <w:t>Hyoscyamus</w:t>
            </w:r>
            <w:r>
              <w:rPr>
                <w:rFonts w:cs="Times New Roman"/>
                <w:i/>
                <w:iCs/>
                <w:spacing w:val="-2"/>
                <w:kern w:val="0"/>
                <w:sz w:val="22"/>
              </w:rPr>
              <w:t xml:space="preserve"> </w:t>
            </w:r>
            <w:r>
              <w:rPr>
                <w:rFonts w:cs="Times New Roman"/>
                <w:i/>
                <w:iCs/>
                <w:kern w:val="0"/>
                <w:sz w:val="22"/>
              </w:rPr>
              <w:t>pusillus</w:t>
            </w:r>
            <w:r>
              <w:rPr>
                <w:rFonts w:cs="Times New Roman"/>
                <w:i/>
                <w:iCs/>
                <w:spacing w:val="-3"/>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623"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85" w:line="240" w:lineRule="auto"/>
              <w:ind w:right="102" w:firstLine="0" w:firstLineChars="0"/>
              <w:jc w:val="center"/>
              <w:rPr>
                <w:rFonts w:cs="Times New Roman"/>
                <w:kern w:val="0"/>
                <w:sz w:val="22"/>
              </w:rPr>
            </w:pPr>
            <w:r>
              <w:rPr>
                <w:rFonts w:cs="Times New Roman"/>
                <w:kern w:val="0"/>
                <w:sz w:val="22"/>
              </w:rPr>
              <w:t>208</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69" w:firstLine="0" w:firstLineChars="0"/>
              <w:jc w:val="center"/>
              <w:rPr>
                <w:rFonts w:ascii="宋体" w:eastAsia="宋体" w:cs="宋体"/>
                <w:kern w:val="0"/>
                <w:sz w:val="22"/>
              </w:rPr>
            </w:pPr>
            <w:r>
              <w:rPr>
                <w:rFonts w:hint="eastAsia" w:ascii="宋体" w:eastAsia="宋体" w:cs="宋体"/>
                <w:kern w:val="0"/>
                <w:sz w:val="22"/>
              </w:rPr>
              <w:t>毛茛科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8" w:firstLine="0" w:firstLineChars="0"/>
              <w:jc w:val="center"/>
              <w:rPr>
                <w:rFonts w:ascii="宋体" w:eastAsia="宋体" w:cs="宋体"/>
                <w:kern w:val="0"/>
                <w:sz w:val="22"/>
              </w:rPr>
            </w:pPr>
            <w:r>
              <w:rPr>
                <w:rFonts w:hint="eastAsia" w:ascii="宋体" w:eastAsia="宋体" w:cs="宋体"/>
                <w:kern w:val="0"/>
                <w:sz w:val="22"/>
              </w:rPr>
              <w:t>碱毛茛属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71" w:line="240" w:lineRule="auto"/>
              <w:ind w:right="157" w:firstLine="0" w:firstLineChars="0"/>
              <w:jc w:val="center"/>
              <w:rPr>
                <w:rFonts w:ascii="宋体" w:eastAsia="宋体" w:cs="宋体"/>
                <w:kern w:val="0"/>
                <w:sz w:val="22"/>
              </w:rPr>
            </w:pPr>
            <w:r>
              <w:rPr>
                <w:rFonts w:hint="eastAsia" w:ascii="宋体" w:eastAsia="宋体" w:cs="宋体"/>
                <w:kern w:val="0"/>
                <w:sz w:val="22"/>
              </w:rPr>
              <w:t>碱毛茛</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Halerpestes</w:t>
            </w:r>
            <w:r>
              <w:rPr>
                <w:rFonts w:cs="Times New Roman"/>
                <w:i/>
                <w:iCs/>
                <w:spacing w:val="-4"/>
                <w:kern w:val="0"/>
                <w:sz w:val="22"/>
              </w:rPr>
              <w:t xml:space="preserve"> </w:t>
            </w:r>
            <w:r>
              <w:rPr>
                <w:rFonts w:cs="Times New Roman"/>
                <w:i/>
                <w:iCs/>
                <w:kern w:val="0"/>
                <w:sz w:val="22"/>
              </w:rPr>
              <w:t>lancifolia</w:t>
            </w:r>
            <w:r>
              <w:rPr>
                <w:rFonts w:cs="Times New Roman"/>
                <w:i/>
                <w:iCs/>
                <w:spacing w:val="-2"/>
                <w:kern w:val="0"/>
                <w:sz w:val="22"/>
              </w:rPr>
              <w:t xml:space="preserve"> </w:t>
            </w:r>
            <w:r>
              <w:rPr>
                <w:rFonts w:cs="Times New Roman"/>
                <w:i/>
                <w:iCs/>
                <w:kern w:val="0"/>
                <w:sz w:val="22"/>
              </w:rPr>
              <w:t>(Bert.)</w:t>
            </w:r>
          </w:p>
          <w:p>
            <w:pPr>
              <w:kinsoku w:val="0"/>
              <w:overflowPunct w:val="0"/>
              <w:autoSpaceDE w:val="0"/>
              <w:autoSpaceDN w:val="0"/>
              <w:adjustRightInd w:val="0"/>
              <w:spacing w:before="59" w:line="240" w:lineRule="auto"/>
              <w:ind w:right="71" w:firstLine="0" w:firstLineChars="0"/>
              <w:jc w:val="center"/>
              <w:rPr>
                <w:rFonts w:cs="Times New Roman"/>
                <w:i/>
                <w:iCs/>
                <w:kern w:val="0"/>
                <w:sz w:val="22"/>
              </w:rPr>
            </w:pPr>
            <w:r>
              <w:rPr>
                <w:rFonts w:cs="Times New Roman"/>
                <w:i/>
                <w:iCs/>
                <w:kern w:val="0"/>
                <w:sz w:val="22"/>
              </w:rPr>
              <w:t>Hand.-Mazz.</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209</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茄科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茄属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龙葵</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4" w:firstLine="0" w:firstLineChars="0"/>
              <w:jc w:val="center"/>
              <w:rPr>
                <w:rFonts w:cs="Times New Roman"/>
                <w:i/>
                <w:iCs/>
                <w:kern w:val="0"/>
                <w:sz w:val="22"/>
              </w:rPr>
            </w:pPr>
            <w:r>
              <w:rPr>
                <w:rFonts w:cs="Times New Roman"/>
                <w:i/>
                <w:iCs/>
                <w:kern w:val="0"/>
                <w:sz w:val="22"/>
              </w:rPr>
              <w:t>Solanum</w:t>
            </w:r>
            <w:r>
              <w:rPr>
                <w:rFonts w:cs="Times New Roman"/>
                <w:i/>
                <w:iCs/>
                <w:spacing w:val="-2"/>
                <w:kern w:val="0"/>
                <w:sz w:val="22"/>
              </w:rPr>
              <w:t xml:space="preserve"> </w:t>
            </w:r>
            <w:r>
              <w:rPr>
                <w:rFonts w:cs="Times New Roman"/>
                <w:i/>
                <w:iCs/>
                <w:kern w:val="0"/>
                <w:sz w:val="22"/>
              </w:rPr>
              <w:t>nigrum</w:t>
            </w:r>
            <w:r>
              <w:rPr>
                <w:rFonts w:cs="Times New Roman"/>
                <w:i/>
                <w:iCs/>
                <w:spacing w:val="-2"/>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2" w:firstLine="0" w:firstLineChars="0"/>
              <w:jc w:val="center"/>
              <w:rPr>
                <w:rFonts w:cs="Times New Roman"/>
                <w:kern w:val="0"/>
                <w:sz w:val="22"/>
              </w:rPr>
            </w:pPr>
            <w:r>
              <w:rPr>
                <w:rFonts w:cs="Times New Roman"/>
                <w:kern w:val="0"/>
                <w:sz w:val="22"/>
              </w:rPr>
              <w:t>210</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fldChar w:fldCharType="begin"/>
            </w:r>
            <w:r>
              <w:instrText xml:space="preserve"> HYPERLINK "https://baike.so.com/doc/7574684-7848778.html" </w:instrText>
            </w:r>
            <w:r>
              <w:fldChar w:fldCharType="separate"/>
            </w:r>
            <w:r>
              <w:rPr>
                <w:rFonts w:hint="eastAsia" w:ascii="宋体" w:eastAsia="宋体" w:cs="宋体"/>
                <w:kern w:val="0"/>
                <w:sz w:val="22"/>
              </w:rPr>
              <w:t>蒺藜科</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rPr>
                <w:rFonts w:hint="eastAsia" w:ascii="宋体" w:eastAsia="宋体" w:cs="宋体"/>
                <w:kern w:val="0"/>
                <w:sz w:val="22"/>
              </w:rPr>
              <w:t>驼蹄瓣属</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驼蹄瓣</w:t>
            </w:r>
          </w:p>
        </w:tc>
        <w:tc>
          <w:tcPr>
            <w:tcW w:w="291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71" w:firstLine="0" w:firstLineChars="0"/>
              <w:jc w:val="center"/>
              <w:rPr>
                <w:rFonts w:cs="Times New Roman"/>
                <w:i/>
                <w:iCs/>
                <w:kern w:val="0"/>
                <w:sz w:val="22"/>
              </w:rPr>
            </w:pPr>
            <w:r>
              <w:rPr>
                <w:rFonts w:cs="Times New Roman"/>
                <w:i/>
                <w:iCs/>
                <w:kern w:val="0"/>
                <w:sz w:val="22"/>
              </w:rPr>
              <w:t>Zygophyllum</w:t>
            </w:r>
            <w:r>
              <w:rPr>
                <w:rFonts w:cs="Times New Roman"/>
                <w:i/>
                <w:iCs/>
                <w:spacing w:val="-3"/>
                <w:kern w:val="0"/>
                <w:sz w:val="22"/>
              </w:rPr>
              <w:t xml:space="preserve"> </w:t>
            </w:r>
            <w:r>
              <w:rPr>
                <w:rFonts w:cs="Times New Roman"/>
                <w:i/>
                <w:iCs/>
                <w:kern w:val="0"/>
                <w:sz w:val="22"/>
              </w:rPr>
              <w:t>fabago</w:t>
            </w:r>
            <w:r>
              <w:rPr>
                <w:rFonts w:cs="Times New Roman"/>
                <w:i/>
                <w:iCs/>
                <w:spacing w:val="-1"/>
                <w:kern w:val="0"/>
                <w:sz w:val="22"/>
              </w:rPr>
              <w:t xml:space="preserve"> </w:t>
            </w:r>
            <w:r>
              <w:rPr>
                <w:rFonts w:cs="Times New Roman"/>
                <w:i/>
                <w:iCs/>
                <w:kern w:val="0"/>
                <w:sz w:val="22"/>
              </w:rPr>
              <w:t>Linn.</w:t>
            </w:r>
          </w:p>
        </w:tc>
      </w:tr>
      <w:tr>
        <w:tblPrEx>
          <w:tblCellMar>
            <w:top w:w="0" w:type="dxa"/>
            <w:left w:w="0" w:type="dxa"/>
            <w:bottom w:w="0" w:type="dxa"/>
            <w:right w:w="0" w:type="dxa"/>
          </w:tblCellMar>
        </w:tblPrEx>
        <w:trPr>
          <w:trHeight w:val="311" w:hRule="atLeast"/>
        </w:trPr>
        <w:tc>
          <w:tcPr>
            <w:tcW w:w="70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29" w:line="240" w:lineRule="auto"/>
              <w:ind w:right="100" w:firstLine="0" w:firstLineChars="0"/>
              <w:jc w:val="center"/>
              <w:rPr>
                <w:rFonts w:cs="Times New Roman"/>
                <w:kern w:val="0"/>
                <w:sz w:val="22"/>
              </w:rPr>
            </w:pPr>
            <w:r>
              <w:rPr>
                <w:rFonts w:cs="Times New Roman"/>
                <w:kern w:val="0"/>
                <w:sz w:val="22"/>
              </w:rPr>
              <w:t>211</w:t>
            </w:r>
          </w:p>
        </w:tc>
        <w:tc>
          <w:tcPr>
            <w:tcW w:w="127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69" w:firstLine="0" w:firstLineChars="0"/>
              <w:jc w:val="center"/>
              <w:rPr>
                <w:rFonts w:ascii="宋体" w:eastAsia="宋体" w:cs="宋体"/>
                <w:kern w:val="0"/>
                <w:sz w:val="22"/>
              </w:rPr>
            </w:pPr>
            <w:r>
              <w:rPr>
                <w:rFonts w:hint="eastAsia" w:ascii="宋体" w:eastAsia="宋体" w:cs="宋体"/>
                <w:kern w:val="0"/>
                <w:sz w:val="22"/>
              </w:rPr>
              <w:t>夹竹桃科</w:t>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8" w:firstLine="0" w:firstLineChars="0"/>
              <w:jc w:val="center"/>
              <w:rPr>
                <w:rFonts w:ascii="宋体" w:eastAsia="宋体" w:cs="宋体"/>
                <w:kern w:val="0"/>
                <w:sz w:val="22"/>
              </w:rPr>
            </w:pPr>
            <w:r>
              <w:fldChar w:fldCharType="begin"/>
            </w:r>
            <w:r>
              <w:instrText xml:space="preserve"> HYPERLINK "https://www.so.com/s?src=biu_graph&amp;q=%E7%BD%97%E5%B8%83%E9%BA%BB%E5%B1%9E&amp;fr=so.com" </w:instrText>
            </w:r>
            <w:r>
              <w:fldChar w:fldCharType="separate"/>
            </w:r>
            <w:r>
              <w:rPr>
                <w:rFonts w:hint="eastAsia" w:ascii="宋体" w:eastAsia="宋体" w:cs="宋体"/>
                <w:kern w:val="0"/>
                <w:sz w:val="22"/>
              </w:rPr>
              <w:t>罗布麻属</w:t>
            </w:r>
            <w:r>
              <w:rPr>
                <w:rFonts w:hint="eastAsia" w:ascii="宋体" w:eastAsia="宋体" w:cs="宋体"/>
                <w:kern w:val="0"/>
                <w:sz w:val="22"/>
              </w:rPr>
              <w:fldChar w:fldCharType="end"/>
            </w:r>
          </w:p>
        </w:tc>
        <w:tc>
          <w:tcPr>
            <w:tcW w:w="170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5" w:line="277" w:lineRule="exact"/>
              <w:ind w:right="157" w:firstLine="0" w:firstLineChars="0"/>
              <w:jc w:val="center"/>
              <w:rPr>
                <w:rFonts w:ascii="宋体" w:eastAsia="宋体" w:cs="宋体"/>
                <w:kern w:val="0"/>
                <w:sz w:val="22"/>
              </w:rPr>
            </w:pPr>
            <w:r>
              <w:rPr>
                <w:rFonts w:hint="eastAsia" w:ascii="宋体" w:eastAsia="宋体" w:cs="宋体"/>
                <w:kern w:val="0"/>
                <w:sz w:val="22"/>
              </w:rPr>
              <w:t>罗布麻</w:t>
            </w:r>
          </w:p>
        </w:tc>
        <w:tc>
          <w:tcPr>
            <w:tcW w:w="2913" w:type="dxa"/>
            <w:tcBorders>
              <w:top w:val="single" w:color="000000" w:sz="4" w:space="0"/>
              <w:left w:val="single" w:color="000000" w:sz="4" w:space="0"/>
              <w:bottom w:val="single" w:color="000000" w:sz="4" w:space="0"/>
              <w:right w:val="single" w:color="000000" w:sz="4" w:space="0"/>
            </w:tcBorders>
          </w:tcPr>
          <w:p>
            <w:pPr>
              <w:tabs>
                <w:tab w:val="left" w:pos="1969"/>
              </w:tabs>
              <w:kinsoku w:val="0"/>
              <w:overflowPunct w:val="0"/>
              <w:autoSpaceDE w:val="0"/>
              <w:autoSpaceDN w:val="0"/>
              <w:adjustRightInd w:val="0"/>
              <w:spacing w:before="29" w:line="240" w:lineRule="auto"/>
              <w:ind w:firstLine="0" w:firstLineChars="0"/>
              <w:jc w:val="left"/>
              <w:rPr>
                <w:rFonts w:cs="Times New Roman"/>
                <w:i/>
                <w:iCs/>
                <w:kern w:val="0"/>
                <w:sz w:val="22"/>
              </w:rPr>
            </w:pPr>
            <w:r>
              <w:rPr>
                <w:rFonts w:cs="Times New Roman"/>
                <w:i/>
                <w:iCs/>
                <w:kern w:val="0"/>
                <w:sz w:val="22"/>
              </w:rPr>
              <w:t>A. venetum</w:t>
            </w:r>
            <w:r>
              <w:rPr>
                <w:rFonts w:cs="Times New Roman"/>
                <w:i/>
                <w:iCs/>
                <w:kern w:val="0"/>
                <w:sz w:val="22"/>
              </w:rPr>
              <w:tab/>
            </w:r>
            <w:r>
              <w:rPr>
                <w:rFonts w:cs="Times New Roman"/>
                <w:i/>
                <w:iCs/>
                <w:kern w:val="0"/>
                <w:sz w:val="22"/>
              </w:rPr>
              <w:t>L.</w:t>
            </w:r>
          </w:p>
        </w:tc>
      </w:tr>
    </w:tbl>
    <w:p>
      <w:pPr>
        <w:widowControl/>
        <w:spacing w:line="240" w:lineRule="auto"/>
        <w:ind w:firstLine="0" w:firstLineChars="0"/>
        <w:jc w:val="left"/>
      </w:pPr>
    </w:p>
    <w:p>
      <w:pPr>
        <w:widowControl/>
        <w:spacing w:line="240" w:lineRule="auto"/>
        <w:ind w:firstLine="0" w:firstLineChars="0"/>
        <w:jc w:val="left"/>
      </w:pPr>
      <w:r>
        <w:br w:type="page"/>
      </w:r>
    </w:p>
    <w:p>
      <w:pPr>
        <w:widowControl/>
        <w:spacing w:line="240" w:lineRule="auto"/>
        <w:ind w:firstLine="0" w:firstLineChars="0"/>
        <w:jc w:val="left"/>
        <w:rPr>
          <w:rFonts w:eastAsia="宋体" w:cs="Times New Roman"/>
          <w:b/>
          <w:sz w:val="28"/>
          <w:szCs w:val="28"/>
        </w:rPr>
        <w:sectPr>
          <w:pgSz w:w="11906" w:h="16838"/>
          <w:pgMar w:top="1440" w:right="1800" w:bottom="1440" w:left="1800" w:header="851" w:footer="992" w:gutter="0"/>
          <w:cols w:space="425" w:num="1"/>
          <w:docGrid w:type="lines" w:linePitch="312" w:charSpace="0"/>
        </w:sectPr>
      </w:pPr>
      <w:bookmarkStart w:id="177" w:name="_Toc128353282"/>
    </w:p>
    <w:p>
      <w:pPr>
        <w:pStyle w:val="3"/>
        <w:spacing w:before="120" w:beforeLines="50" w:after="120" w:afterLines="50" w:line="360" w:lineRule="auto"/>
        <w:ind w:firstLine="643"/>
        <w:jc w:val="left"/>
        <w:rPr>
          <w:rFonts w:ascii="Times New Roman" w:hAnsi="Times New Roman"/>
        </w:rPr>
      </w:pPr>
      <w:bookmarkStart w:id="178" w:name="_Toc130121704"/>
      <w:r>
        <w:rPr>
          <w:rFonts w:ascii="Times New Roman" w:hAnsi="Times New Roman"/>
        </w:rPr>
        <w:t>附</w:t>
      </w:r>
      <w:r>
        <w:rPr>
          <w:rFonts w:hint="eastAsia" w:ascii="Times New Roman" w:hAnsi="Times New Roman"/>
        </w:rPr>
        <w:t>录2</w:t>
      </w:r>
      <w:r>
        <w:rPr>
          <w:rFonts w:ascii="Times New Roman" w:hAnsi="Times New Roman"/>
        </w:rPr>
        <w:t>：玛纳斯国家湿地公园</w:t>
      </w:r>
      <w:bookmarkEnd w:id="177"/>
      <w:r>
        <w:rPr>
          <w:rFonts w:hint="eastAsia" w:ascii="Times New Roman" w:hAnsi="Times New Roman"/>
        </w:rPr>
        <w:t>鸟类名录</w:t>
      </w:r>
      <w:bookmarkEnd w:id="178"/>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一</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鸊鷉目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3" w:firstLine="0" w:firstLineChars="0"/>
              <w:jc w:val="center"/>
              <w:rPr>
                <w:rFonts w:cs="Times New Roman"/>
                <w:i/>
                <w:iCs/>
                <w:kern w:val="0"/>
                <w:sz w:val="21"/>
                <w:szCs w:val="21"/>
              </w:rPr>
            </w:pPr>
            <w:r>
              <w:rPr>
                <w:rFonts w:cs="Times New Roman"/>
                <w:i/>
                <w:iCs/>
                <w:kern w:val="0"/>
                <w:sz w:val="21"/>
                <w:szCs w:val="21"/>
              </w:rPr>
              <w:t>Podicipediformes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firstLine="0" w:firstLineChars="0"/>
              <w:jc w:val="left"/>
              <w:rPr>
                <w:rFonts w:ascii="仿宋" w:eastAsia="仿宋" w:cs="仿宋"/>
                <w:kern w:val="0"/>
                <w:sz w:val="16"/>
                <w:szCs w:val="16"/>
              </w:rPr>
            </w:pPr>
            <w:r>
              <w:rPr>
                <w:rFonts w:hint="eastAsia" w:ascii="仿宋" w:eastAsia="仿宋" w:cs="仿宋"/>
                <w:kern w:val="0"/>
                <w:sz w:val="16"/>
                <w:szCs w:val="16"/>
              </w:rPr>
              <w:t>（一）</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鸊鷉科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Podicipedidae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right="94" w:firstLine="0" w:firstLineChars="0"/>
              <w:jc w:val="right"/>
              <w:rPr>
                <w:rFonts w:ascii="仿宋" w:eastAsia="仿宋" w:cs="仿宋"/>
                <w:kern w:val="0"/>
                <w:sz w:val="21"/>
                <w:szCs w:val="21"/>
              </w:rPr>
            </w:pPr>
            <w:r>
              <w:rPr>
                <w:rFonts w:hint="eastAsia" w:ascii="仿宋" w:eastAsia="仿宋" w:cs="仿宋"/>
                <w:kern w:val="0"/>
                <w:sz w:val="21"/>
                <w:szCs w:val="21"/>
              </w:rPr>
              <w:t>小鸊鷉</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Tachybapus</w:t>
            </w:r>
            <w:r>
              <w:rPr>
                <w:rFonts w:cs="Times New Roman"/>
                <w:i/>
                <w:iCs/>
                <w:spacing w:val="-5"/>
                <w:kern w:val="0"/>
                <w:sz w:val="21"/>
                <w:szCs w:val="21"/>
              </w:rPr>
              <w:t xml:space="preserve"> </w:t>
            </w:r>
            <w:r>
              <w:rPr>
                <w:rFonts w:cs="Times New Roman"/>
                <w:i/>
                <w:iCs/>
                <w:kern w:val="0"/>
                <w:sz w:val="21"/>
                <w:szCs w:val="21"/>
              </w:rPr>
              <w:t>ruficollis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W</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right="94" w:firstLine="0" w:firstLineChars="0"/>
              <w:jc w:val="right"/>
              <w:rPr>
                <w:rFonts w:ascii="仿宋" w:eastAsia="仿宋" w:cs="仿宋"/>
                <w:kern w:val="0"/>
                <w:sz w:val="21"/>
                <w:szCs w:val="21"/>
              </w:rPr>
            </w:pPr>
            <w:r>
              <w:rPr>
                <w:rFonts w:hint="eastAsia" w:ascii="仿宋" w:eastAsia="仿宋" w:cs="仿宋"/>
                <w:kern w:val="0"/>
                <w:sz w:val="21"/>
                <w:szCs w:val="21"/>
              </w:rPr>
              <w:t>角鸊鷉</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Podiceps</w:t>
            </w:r>
            <w:r>
              <w:rPr>
                <w:rFonts w:cs="Times New Roman"/>
                <w:i/>
                <w:iCs/>
                <w:spacing w:val="-3"/>
                <w:kern w:val="0"/>
                <w:sz w:val="21"/>
                <w:szCs w:val="21"/>
              </w:rPr>
              <w:t xml:space="preserve"> </w:t>
            </w:r>
            <w:r>
              <w:rPr>
                <w:rFonts w:cs="Times New Roman"/>
                <w:i/>
                <w:iCs/>
                <w:kern w:val="0"/>
                <w:sz w:val="21"/>
                <w:szCs w:val="21"/>
              </w:rPr>
              <w:t>auritus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right="94" w:firstLine="0" w:firstLineChars="0"/>
              <w:jc w:val="right"/>
              <w:rPr>
                <w:rFonts w:ascii="仿宋" w:eastAsia="仿宋" w:cs="仿宋"/>
                <w:kern w:val="0"/>
                <w:sz w:val="21"/>
                <w:szCs w:val="21"/>
              </w:rPr>
            </w:pPr>
            <w:r>
              <w:rPr>
                <w:rFonts w:hint="eastAsia" w:ascii="仿宋" w:eastAsia="仿宋" w:cs="仿宋"/>
                <w:kern w:val="0"/>
                <w:sz w:val="21"/>
                <w:szCs w:val="21"/>
              </w:rPr>
              <w:t>黑颈鸊鷉</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Podiceps</w:t>
            </w:r>
            <w:r>
              <w:rPr>
                <w:rFonts w:cs="Times New Roman"/>
                <w:i/>
                <w:iCs/>
                <w:spacing w:val="-4"/>
                <w:kern w:val="0"/>
                <w:sz w:val="21"/>
                <w:szCs w:val="21"/>
              </w:rPr>
              <w:t xml:space="preserve"> </w:t>
            </w:r>
            <w:r>
              <w:rPr>
                <w:rFonts w:cs="Times New Roman"/>
                <w:i/>
                <w:iCs/>
                <w:kern w:val="0"/>
                <w:sz w:val="21"/>
                <w:szCs w:val="21"/>
              </w:rPr>
              <w:t>nigricollis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right="94" w:firstLine="0" w:firstLineChars="0"/>
              <w:jc w:val="right"/>
              <w:rPr>
                <w:rFonts w:ascii="仿宋" w:eastAsia="仿宋" w:cs="仿宋"/>
                <w:kern w:val="0"/>
                <w:sz w:val="21"/>
                <w:szCs w:val="21"/>
              </w:rPr>
            </w:pPr>
            <w:r>
              <w:rPr>
                <w:rFonts w:hint="eastAsia" w:ascii="仿宋" w:eastAsia="仿宋" w:cs="仿宋"/>
                <w:kern w:val="0"/>
                <w:sz w:val="21"/>
                <w:szCs w:val="21"/>
              </w:rPr>
              <w:t>凤头鸊鷉</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Podiceps</w:t>
            </w:r>
            <w:r>
              <w:rPr>
                <w:rFonts w:cs="Times New Roman"/>
                <w:i/>
                <w:iCs/>
                <w:spacing w:val="-4"/>
                <w:kern w:val="0"/>
                <w:sz w:val="21"/>
                <w:szCs w:val="21"/>
              </w:rPr>
              <w:t xml:space="preserve"> </w:t>
            </w:r>
            <w:r>
              <w:rPr>
                <w:rFonts w:cs="Times New Roman"/>
                <w:i/>
                <w:iCs/>
                <w:kern w:val="0"/>
                <w:sz w:val="21"/>
                <w:szCs w:val="21"/>
              </w:rPr>
              <w:t>cristatus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right="94" w:firstLine="0" w:firstLineChars="0"/>
              <w:jc w:val="right"/>
              <w:rPr>
                <w:rFonts w:ascii="仿宋" w:eastAsia="仿宋" w:cs="仿宋"/>
                <w:kern w:val="0"/>
                <w:sz w:val="21"/>
                <w:szCs w:val="21"/>
              </w:rPr>
            </w:pPr>
            <w:r>
              <w:rPr>
                <w:rFonts w:hint="eastAsia" w:ascii="仿宋" w:eastAsia="仿宋" w:cs="仿宋"/>
                <w:kern w:val="0"/>
                <w:sz w:val="21"/>
                <w:szCs w:val="21"/>
              </w:rPr>
              <w:t>赤颈鸊鷉</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Podliceps</w:t>
            </w:r>
            <w:r>
              <w:rPr>
                <w:rFonts w:cs="Times New Roman"/>
                <w:i/>
                <w:iCs/>
                <w:spacing w:val="-1"/>
                <w:kern w:val="0"/>
                <w:sz w:val="21"/>
                <w:szCs w:val="21"/>
              </w:rPr>
              <w:t xml:space="preserve"> </w:t>
            </w:r>
            <w:r>
              <w:rPr>
                <w:rFonts w:cs="Times New Roman"/>
                <w:i/>
                <w:iCs/>
                <w:kern w:val="0"/>
                <w:sz w:val="21"/>
                <w:szCs w:val="21"/>
              </w:rPr>
              <w:t>grisegena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二</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鹈形目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Pelecaniformes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鹈鹕科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Pelecanidae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白鹈鹕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Pelecamus</w:t>
            </w:r>
            <w:r>
              <w:rPr>
                <w:rFonts w:cs="Times New Roman"/>
                <w:i/>
                <w:iCs/>
                <w:spacing w:val="-2"/>
                <w:kern w:val="0"/>
                <w:sz w:val="21"/>
                <w:szCs w:val="21"/>
              </w:rPr>
              <w:t xml:space="preserve"> </w:t>
            </w:r>
            <w:r>
              <w:rPr>
                <w:rFonts w:cs="Times New Roman"/>
                <w:i/>
                <w:iCs/>
                <w:kern w:val="0"/>
                <w:sz w:val="21"/>
                <w:szCs w:val="21"/>
              </w:rPr>
              <w:t>onocrotalus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卷羽鹈鹕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4" w:firstLine="0" w:firstLineChars="0"/>
              <w:jc w:val="center"/>
              <w:rPr>
                <w:rFonts w:cs="Times New Roman"/>
                <w:i/>
                <w:iCs/>
                <w:kern w:val="0"/>
                <w:sz w:val="21"/>
                <w:szCs w:val="21"/>
              </w:rPr>
            </w:pPr>
            <w:r>
              <w:rPr>
                <w:rFonts w:cs="Times New Roman"/>
                <w:i/>
                <w:iCs/>
                <w:kern w:val="0"/>
                <w:sz w:val="21"/>
                <w:szCs w:val="21"/>
              </w:rPr>
              <w:t>Pelecanus</w:t>
            </w:r>
            <w:r>
              <w:rPr>
                <w:rFonts w:cs="Times New Roman"/>
                <w:i/>
                <w:iCs/>
                <w:spacing w:val="-4"/>
                <w:kern w:val="0"/>
                <w:sz w:val="21"/>
                <w:szCs w:val="21"/>
              </w:rPr>
              <w:t xml:space="preserve"> </w:t>
            </w:r>
            <w:r>
              <w:rPr>
                <w:rFonts w:cs="Times New Roman"/>
                <w:i/>
                <w:iCs/>
                <w:kern w:val="0"/>
                <w:sz w:val="21"/>
                <w:szCs w:val="21"/>
              </w:rPr>
              <w:t>crispus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Ⅴ</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鸬鹚科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Phalacrocoracidae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（普通）鸬鹚</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Phalacrocorar</w:t>
            </w:r>
            <w:r>
              <w:rPr>
                <w:rFonts w:cs="Times New Roman"/>
                <w:i/>
                <w:iCs/>
                <w:spacing w:val="-2"/>
                <w:kern w:val="0"/>
                <w:sz w:val="21"/>
                <w:szCs w:val="21"/>
              </w:rPr>
              <w:t xml:space="preserve"> </w:t>
            </w:r>
            <w:r>
              <w:rPr>
                <w:rFonts w:cs="Times New Roman"/>
                <w:i/>
                <w:iCs/>
                <w:kern w:val="0"/>
                <w:sz w:val="21"/>
                <w:szCs w:val="21"/>
              </w:rPr>
              <w:t>carbo</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Cs w:val="24"/>
        </w:rPr>
        <w:sectPr>
          <w:pgSz w:w="16840" w:h="11910" w:orient="landscape"/>
          <w:pgMar w:top="1100" w:right="1480" w:bottom="280" w:left="1480" w:header="720" w:footer="720" w:gutter="0"/>
          <w:cols w:equalWidth="0" w:num="1">
            <w:col w:w="13880"/>
          </w:cols>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侏鸬鹚</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Phalacrocorax</w:t>
            </w:r>
            <w:r>
              <w:rPr>
                <w:rFonts w:cs="Times New Roman"/>
                <w:i/>
                <w:iCs/>
                <w:spacing w:val="-5"/>
                <w:kern w:val="0"/>
                <w:sz w:val="21"/>
                <w:szCs w:val="21"/>
              </w:rPr>
              <w:t xml:space="preserve"> </w:t>
            </w:r>
            <w:r>
              <w:rPr>
                <w:rFonts w:cs="Times New Roman"/>
                <w:i/>
                <w:iCs/>
                <w:kern w:val="0"/>
                <w:sz w:val="21"/>
                <w:szCs w:val="21"/>
              </w:rPr>
              <w:t>pygmaeus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三</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鹳形目</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6" w:firstLine="0" w:firstLineChars="0"/>
              <w:jc w:val="center"/>
              <w:rPr>
                <w:rFonts w:cs="Times New Roman"/>
                <w:i/>
                <w:iCs/>
                <w:kern w:val="0"/>
                <w:sz w:val="21"/>
                <w:szCs w:val="21"/>
              </w:rPr>
            </w:pPr>
            <w:r>
              <w:rPr>
                <w:rFonts w:cs="Times New Roman"/>
                <w:i/>
                <w:iCs/>
                <w:kern w:val="0"/>
                <w:sz w:val="21"/>
                <w:szCs w:val="21"/>
              </w:rPr>
              <w:t>Ciconiformes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鹭科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Ardedae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苍鹭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Ardea</w:t>
            </w:r>
            <w:r>
              <w:rPr>
                <w:rFonts w:cs="Times New Roman"/>
                <w:i/>
                <w:iCs/>
                <w:spacing w:val="-6"/>
                <w:kern w:val="0"/>
                <w:sz w:val="21"/>
                <w:szCs w:val="21"/>
              </w:rPr>
              <w:t xml:space="preserve"> </w:t>
            </w:r>
            <w:r>
              <w:rPr>
                <w:rFonts w:cs="Times New Roman"/>
                <w:i/>
                <w:iCs/>
                <w:kern w:val="0"/>
                <w:sz w:val="21"/>
                <w:szCs w:val="21"/>
              </w:rPr>
              <w:t>cinerea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牛背鹭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Bubulcus ibis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大白鹭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Casmerodius</w:t>
            </w:r>
            <w:r>
              <w:rPr>
                <w:rFonts w:cs="Times New Roman"/>
                <w:i/>
                <w:iCs/>
                <w:spacing w:val="-5"/>
                <w:kern w:val="0"/>
                <w:sz w:val="21"/>
                <w:szCs w:val="21"/>
              </w:rPr>
              <w:t xml:space="preserve"> </w:t>
            </w:r>
            <w:r>
              <w:rPr>
                <w:rFonts w:cs="Times New Roman"/>
                <w:i/>
                <w:iCs/>
                <w:kern w:val="0"/>
                <w:sz w:val="21"/>
                <w:szCs w:val="21"/>
              </w:rPr>
              <w:t>albus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夜鹭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Nycticorat</w:t>
            </w:r>
            <w:r>
              <w:rPr>
                <w:rFonts w:cs="Times New Roman"/>
                <w:i/>
                <w:iCs/>
                <w:spacing w:val="-1"/>
                <w:kern w:val="0"/>
                <w:sz w:val="21"/>
                <w:szCs w:val="21"/>
              </w:rPr>
              <w:t xml:space="preserve"> </w:t>
            </w:r>
            <w:r>
              <w:rPr>
                <w:rFonts w:cs="Times New Roman"/>
                <w:i/>
                <w:iCs/>
                <w:kern w:val="0"/>
                <w:sz w:val="21"/>
                <w:szCs w:val="21"/>
              </w:rPr>
              <w:t>nycticorax</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小苇鳱</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Lxobrychus</w:t>
            </w:r>
            <w:r>
              <w:rPr>
                <w:rFonts w:cs="Times New Roman"/>
                <w:i/>
                <w:iCs/>
                <w:spacing w:val="-4"/>
                <w:kern w:val="0"/>
                <w:sz w:val="21"/>
                <w:szCs w:val="21"/>
              </w:rPr>
              <w:t xml:space="preserve"> </w:t>
            </w:r>
            <w:r>
              <w:rPr>
                <w:rFonts w:cs="Times New Roman"/>
                <w:i/>
                <w:iCs/>
                <w:kern w:val="0"/>
                <w:sz w:val="21"/>
                <w:szCs w:val="21"/>
              </w:rPr>
              <w:t>minutus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大麻鳱</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Botaurus</w:t>
            </w:r>
            <w:r>
              <w:rPr>
                <w:rFonts w:cs="Times New Roman"/>
                <w:i/>
                <w:iCs/>
                <w:spacing w:val="-1"/>
                <w:kern w:val="0"/>
                <w:sz w:val="21"/>
                <w:szCs w:val="21"/>
              </w:rPr>
              <w:t xml:space="preserve"> </w:t>
            </w:r>
            <w:r>
              <w:rPr>
                <w:rFonts w:cs="Times New Roman"/>
                <w:i/>
                <w:iCs/>
                <w:kern w:val="0"/>
                <w:sz w:val="21"/>
                <w:szCs w:val="21"/>
              </w:rPr>
              <w:t>stellaris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鹳科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Ciconid 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黑鹳</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Ciconia nigra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（六）</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鹮科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5" w:firstLine="0" w:firstLineChars="0"/>
              <w:jc w:val="center"/>
              <w:rPr>
                <w:rFonts w:cs="Times New Roman"/>
                <w:i/>
                <w:iCs/>
                <w:kern w:val="0"/>
                <w:sz w:val="21"/>
                <w:szCs w:val="21"/>
              </w:rPr>
            </w:pPr>
            <w:r>
              <w:rPr>
                <w:rFonts w:cs="Times New Roman"/>
                <w:i/>
                <w:iCs/>
                <w:kern w:val="0"/>
                <w:sz w:val="21"/>
                <w:szCs w:val="21"/>
              </w:rPr>
              <w:t>Threskiornithidae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白琵鹭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Platalea</w:t>
            </w:r>
            <w:r>
              <w:rPr>
                <w:rFonts w:cs="Times New Roman"/>
                <w:i/>
                <w:iCs/>
                <w:spacing w:val="-2"/>
                <w:kern w:val="0"/>
                <w:sz w:val="21"/>
                <w:szCs w:val="21"/>
              </w:rPr>
              <w:t xml:space="preserve"> </w:t>
            </w:r>
            <w:r>
              <w:rPr>
                <w:rFonts w:cs="Times New Roman"/>
                <w:i/>
                <w:iCs/>
                <w:kern w:val="0"/>
                <w:sz w:val="21"/>
                <w:szCs w:val="21"/>
              </w:rPr>
              <w:t>leucorodia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（七）</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红鹳科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Phoenicopteridae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936"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 w:line="240" w:lineRule="auto"/>
              <w:ind w:firstLine="0" w:firstLineChars="0"/>
              <w:jc w:val="left"/>
              <w:rPr>
                <w:rFonts w:ascii="宋体" w:eastAsia="宋体" w:cs="宋体"/>
                <w:b/>
                <w:bCs/>
                <w:kern w:val="0"/>
                <w:sz w:val="27"/>
                <w:szCs w:val="27"/>
              </w:rPr>
            </w:pPr>
          </w:p>
          <w:p>
            <w:pPr>
              <w:kinsoku w:val="0"/>
              <w:overflowPunct w:val="0"/>
              <w:autoSpaceDE w:val="0"/>
              <w:autoSpaceDN w:val="0"/>
              <w:adjustRightInd w:val="0"/>
              <w:spacing w:line="240" w:lineRule="auto"/>
              <w:ind w:firstLine="0" w:firstLineChars="0"/>
              <w:jc w:val="left"/>
              <w:rPr>
                <w:rFonts w:cs="Times New Roman"/>
                <w:kern w:val="0"/>
                <w:sz w:val="21"/>
                <w:szCs w:val="21"/>
              </w:rPr>
            </w:pPr>
            <w:r>
              <w:rPr>
                <w:rFonts w:cs="Times New Roman"/>
                <w:kern w:val="0"/>
                <w:sz w:val="21"/>
                <w:szCs w:val="21"/>
              </w:rPr>
              <w:t>18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spacing w:val="8"/>
                <w:kern w:val="0"/>
                <w:sz w:val="21"/>
                <w:szCs w:val="21"/>
              </w:rPr>
            </w:pPr>
            <w:r>
              <w:rPr>
                <w:rFonts w:hint="eastAsia" w:ascii="仿宋" w:eastAsia="仿宋" w:cs="仿宋"/>
                <w:spacing w:val="15"/>
                <w:kern w:val="0"/>
                <w:sz w:val="21"/>
                <w:szCs w:val="21"/>
              </w:rPr>
              <w:t>大红鹳</w:t>
            </w:r>
            <w:r>
              <w:rPr>
                <w:rFonts w:hint="eastAsia" w:ascii="仿宋" w:eastAsia="仿宋" w:cs="仿宋"/>
                <w:spacing w:val="14"/>
                <w:kern w:val="0"/>
                <w:sz w:val="21"/>
                <w:szCs w:val="21"/>
              </w:rPr>
              <w:t>（</w:t>
            </w:r>
            <w:r>
              <w:rPr>
                <w:rFonts w:hint="eastAsia" w:ascii="仿宋" w:eastAsia="仿宋" w:cs="仿宋"/>
                <w:spacing w:val="8"/>
                <w:kern w:val="0"/>
                <w:sz w:val="21"/>
                <w:szCs w:val="21"/>
              </w:rPr>
              <w:t>火烈</w:t>
            </w:r>
          </w:p>
          <w:p>
            <w:pPr>
              <w:kinsoku w:val="0"/>
              <w:overflowPunct w:val="0"/>
              <w:autoSpaceDE w:val="0"/>
              <w:autoSpaceDN w:val="0"/>
              <w:adjustRightInd w:val="0"/>
              <w:spacing w:before="7" w:line="240" w:lineRule="auto"/>
              <w:ind w:firstLine="0" w:firstLineChars="0"/>
              <w:jc w:val="left"/>
              <w:rPr>
                <w:rFonts w:ascii="宋体" w:eastAsia="宋体" w:cs="宋体"/>
                <w:b/>
                <w:bCs/>
                <w:kern w:val="0"/>
                <w:sz w:val="15"/>
                <w:szCs w:val="15"/>
              </w:rPr>
            </w:pPr>
          </w:p>
          <w:p>
            <w:pPr>
              <w:kinsoku w:val="0"/>
              <w:overflowPunct w:val="0"/>
              <w:autoSpaceDE w:val="0"/>
              <w:autoSpaceDN w:val="0"/>
              <w:adjustRightInd w:val="0"/>
              <w:spacing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鸟）</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 w:line="240" w:lineRule="auto"/>
              <w:ind w:firstLine="0" w:firstLineChars="0"/>
              <w:jc w:val="left"/>
              <w:rPr>
                <w:rFonts w:ascii="宋体" w:eastAsia="宋体" w:cs="宋体"/>
                <w:b/>
                <w:bCs/>
                <w:kern w:val="0"/>
                <w:sz w:val="27"/>
                <w:szCs w:val="27"/>
              </w:rPr>
            </w:pPr>
          </w:p>
          <w:p>
            <w:pPr>
              <w:kinsoku w:val="0"/>
              <w:overflowPunct w:val="0"/>
              <w:autoSpaceDE w:val="0"/>
              <w:autoSpaceDN w:val="0"/>
              <w:adjustRightInd w:val="0"/>
              <w:spacing w:line="240" w:lineRule="auto"/>
              <w:ind w:right="314" w:firstLine="0" w:firstLineChars="0"/>
              <w:jc w:val="center"/>
              <w:rPr>
                <w:rFonts w:cs="Times New Roman"/>
                <w:i/>
                <w:iCs/>
                <w:kern w:val="0"/>
                <w:sz w:val="21"/>
                <w:szCs w:val="21"/>
              </w:rPr>
            </w:pPr>
            <w:r>
              <w:rPr>
                <w:rFonts w:cs="Times New Roman"/>
                <w:i/>
                <w:iCs/>
                <w:kern w:val="0"/>
                <w:sz w:val="21"/>
                <w:szCs w:val="21"/>
              </w:rPr>
              <w:t>Phoenicopterus ruber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 w:line="240" w:lineRule="auto"/>
              <w:ind w:firstLine="0" w:firstLineChars="0"/>
              <w:jc w:val="left"/>
              <w:rPr>
                <w:rFonts w:ascii="宋体" w:eastAsia="宋体" w:cs="宋体"/>
                <w:b/>
                <w:bCs/>
                <w:kern w:val="0"/>
                <w:sz w:val="27"/>
                <w:szCs w:val="27"/>
              </w:rPr>
            </w:pPr>
          </w:p>
          <w:p>
            <w:pPr>
              <w:kinsoku w:val="0"/>
              <w:overflowPunct w:val="0"/>
              <w:autoSpaceDE w:val="0"/>
              <w:autoSpaceDN w:val="0"/>
              <w:adjustRightInd w:val="0"/>
              <w:spacing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3" w:line="240" w:lineRule="auto"/>
              <w:ind w:firstLine="0" w:firstLineChars="0"/>
              <w:jc w:val="left"/>
              <w:rPr>
                <w:rFonts w:ascii="宋体" w:eastAsia="宋体" w:cs="宋体"/>
                <w:b/>
                <w:bCs/>
                <w:kern w:val="0"/>
                <w:sz w:val="27"/>
                <w:szCs w:val="27"/>
              </w:rPr>
            </w:pPr>
          </w:p>
          <w:p>
            <w:pPr>
              <w:kinsoku w:val="0"/>
              <w:overflowPunct w:val="0"/>
              <w:autoSpaceDE w:val="0"/>
              <w:autoSpaceDN w:val="0"/>
              <w:adjustRightInd w:val="0"/>
              <w:spacing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四</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雁形目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Anseriformes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（八）</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鸭科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Anatidae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大天鹅</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Cygnus cygmus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疣鼻天鹅</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Cygnus olor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鸿雁</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Anser</w:t>
            </w:r>
            <w:r>
              <w:rPr>
                <w:rFonts w:cs="Times New Roman"/>
                <w:i/>
                <w:iCs/>
                <w:spacing w:val="-1"/>
                <w:kern w:val="0"/>
                <w:sz w:val="21"/>
                <w:szCs w:val="21"/>
              </w:rPr>
              <w:t xml:space="preserve"> </w:t>
            </w:r>
            <w:r>
              <w:rPr>
                <w:rFonts w:cs="Times New Roman"/>
                <w:i/>
                <w:iCs/>
                <w:kern w:val="0"/>
                <w:sz w:val="21"/>
                <w:szCs w:val="21"/>
              </w:rPr>
              <w:t>cygnoides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Ⅴ</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豆雁</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Anser</w:t>
            </w:r>
            <w:r>
              <w:rPr>
                <w:rFonts w:cs="Times New Roman"/>
                <w:i/>
                <w:iCs/>
                <w:spacing w:val="-1"/>
                <w:kern w:val="0"/>
                <w:sz w:val="21"/>
                <w:szCs w:val="21"/>
              </w:rPr>
              <w:t xml:space="preserve"> </w:t>
            </w:r>
            <w:r>
              <w:rPr>
                <w:rFonts w:cs="Times New Roman"/>
                <w:i/>
                <w:iCs/>
                <w:kern w:val="0"/>
                <w:sz w:val="21"/>
                <w:szCs w:val="21"/>
              </w:rPr>
              <w:t>fabalis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白额雁</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Anser</w:t>
            </w:r>
            <w:r>
              <w:rPr>
                <w:rFonts w:cs="Times New Roman"/>
                <w:i/>
                <w:iCs/>
                <w:spacing w:val="-3"/>
                <w:kern w:val="0"/>
                <w:sz w:val="21"/>
                <w:szCs w:val="21"/>
              </w:rPr>
              <w:t xml:space="preserve"> </w:t>
            </w:r>
            <w:r>
              <w:rPr>
                <w:rFonts w:cs="Times New Roman"/>
                <w:i/>
                <w:iCs/>
                <w:kern w:val="0"/>
                <w:sz w:val="21"/>
                <w:szCs w:val="21"/>
              </w:rPr>
              <w:t>albifrons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Ⅴ</w:t>
            </w: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灰雁</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Anser</w:t>
            </w:r>
            <w:r>
              <w:rPr>
                <w:rFonts w:cs="Times New Roman"/>
                <w:i/>
                <w:iCs/>
                <w:spacing w:val="-1"/>
                <w:kern w:val="0"/>
                <w:sz w:val="21"/>
                <w:szCs w:val="21"/>
              </w:rPr>
              <w:t xml:space="preserve"> </w:t>
            </w:r>
            <w:r>
              <w:rPr>
                <w:rFonts w:cs="Times New Roman"/>
                <w:i/>
                <w:iCs/>
                <w:kern w:val="0"/>
                <w:sz w:val="21"/>
                <w:szCs w:val="21"/>
              </w:rPr>
              <w:t>anser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斑头雁</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Bar-headed</w:t>
            </w:r>
            <w:r>
              <w:rPr>
                <w:rFonts w:cs="Times New Roman"/>
                <w:i/>
                <w:iCs/>
                <w:spacing w:val="-4"/>
                <w:kern w:val="0"/>
                <w:sz w:val="21"/>
                <w:szCs w:val="21"/>
              </w:rPr>
              <w:t xml:space="preserve"> </w:t>
            </w:r>
            <w:r>
              <w:rPr>
                <w:rFonts w:cs="Times New Roman"/>
                <w:i/>
                <w:iCs/>
                <w:kern w:val="0"/>
                <w:sz w:val="21"/>
                <w:szCs w:val="21"/>
              </w:rPr>
              <w:t>Goose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26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赤麻鸭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3" w:firstLine="0" w:firstLineChars="0"/>
              <w:jc w:val="center"/>
              <w:rPr>
                <w:rFonts w:cs="Times New Roman"/>
                <w:i/>
                <w:iCs/>
                <w:kern w:val="0"/>
                <w:sz w:val="21"/>
                <w:szCs w:val="21"/>
              </w:rPr>
            </w:pPr>
            <w:r>
              <w:rPr>
                <w:rFonts w:cs="Times New Roman"/>
                <w:i/>
                <w:iCs/>
                <w:kern w:val="0"/>
                <w:sz w:val="21"/>
                <w:szCs w:val="21"/>
              </w:rPr>
              <w:t>Tadorna</w:t>
            </w:r>
            <w:r>
              <w:rPr>
                <w:rFonts w:cs="Times New Roman"/>
                <w:i/>
                <w:iCs/>
                <w:spacing w:val="-5"/>
                <w:kern w:val="0"/>
                <w:sz w:val="21"/>
                <w:szCs w:val="21"/>
              </w:rPr>
              <w:t xml:space="preserve"> </w:t>
            </w:r>
            <w:r>
              <w:rPr>
                <w:rFonts w:cs="Times New Roman"/>
                <w:i/>
                <w:iCs/>
                <w:kern w:val="0"/>
                <w:sz w:val="21"/>
                <w:szCs w:val="21"/>
              </w:rPr>
              <w:t>ferruginea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翘鼻麻鸭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Tadorna</w:t>
            </w:r>
            <w:r>
              <w:rPr>
                <w:rFonts w:cs="Times New Roman"/>
                <w:i/>
                <w:iCs/>
                <w:spacing w:val="-5"/>
                <w:kern w:val="0"/>
                <w:sz w:val="21"/>
                <w:szCs w:val="21"/>
              </w:rPr>
              <w:t xml:space="preserve"> </w:t>
            </w:r>
            <w:r>
              <w:rPr>
                <w:rFonts w:cs="Times New Roman"/>
                <w:i/>
                <w:iCs/>
                <w:kern w:val="0"/>
                <w:sz w:val="21"/>
                <w:szCs w:val="21"/>
              </w:rPr>
              <w:t>cristata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针尾鸭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Anas acuta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29</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绿翅鸭</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Anas</w:t>
            </w:r>
            <w:r>
              <w:rPr>
                <w:rFonts w:cs="Times New Roman"/>
                <w:i/>
                <w:iCs/>
                <w:spacing w:val="-2"/>
                <w:kern w:val="0"/>
                <w:sz w:val="21"/>
                <w:szCs w:val="21"/>
              </w:rPr>
              <w:t xml:space="preserve"> </w:t>
            </w:r>
            <w:r>
              <w:rPr>
                <w:rFonts w:cs="Times New Roman"/>
                <w:i/>
                <w:iCs/>
                <w:kern w:val="0"/>
                <w:sz w:val="21"/>
                <w:szCs w:val="21"/>
              </w:rPr>
              <w:t>crecca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30</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白眉鸭</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5" w:firstLine="0" w:firstLineChars="0"/>
              <w:jc w:val="center"/>
              <w:rPr>
                <w:rFonts w:cs="Times New Roman"/>
                <w:i/>
                <w:iCs/>
                <w:kern w:val="0"/>
                <w:sz w:val="21"/>
                <w:szCs w:val="21"/>
              </w:rPr>
            </w:pPr>
            <w:r>
              <w:rPr>
                <w:rFonts w:cs="Times New Roman"/>
                <w:i/>
                <w:iCs/>
                <w:kern w:val="0"/>
                <w:sz w:val="21"/>
                <w:szCs w:val="21"/>
              </w:rPr>
              <w:t>Anas</w:t>
            </w:r>
            <w:r>
              <w:rPr>
                <w:rFonts w:cs="Times New Roman"/>
                <w:i/>
                <w:iCs/>
                <w:spacing w:val="-2"/>
                <w:kern w:val="0"/>
                <w:sz w:val="21"/>
                <w:szCs w:val="21"/>
              </w:rPr>
              <w:t xml:space="preserve"> </w:t>
            </w:r>
            <w:r>
              <w:rPr>
                <w:rFonts w:cs="Times New Roman"/>
                <w:i/>
                <w:iCs/>
                <w:kern w:val="0"/>
                <w:sz w:val="21"/>
                <w:szCs w:val="21"/>
              </w:rPr>
              <w:t>querquedula</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31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绿头鸭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2" w:firstLine="0" w:firstLineChars="0"/>
              <w:jc w:val="center"/>
              <w:rPr>
                <w:rFonts w:cs="Times New Roman"/>
                <w:i/>
                <w:iCs/>
                <w:kern w:val="0"/>
                <w:sz w:val="21"/>
                <w:szCs w:val="21"/>
              </w:rPr>
            </w:pPr>
            <w:r>
              <w:rPr>
                <w:rFonts w:cs="Times New Roman"/>
                <w:i/>
                <w:iCs/>
                <w:kern w:val="0"/>
                <w:sz w:val="21"/>
                <w:szCs w:val="21"/>
              </w:rPr>
              <w:t>Anas</w:t>
            </w:r>
            <w:r>
              <w:rPr>
                <w:rFonts w:cs="Times New Roman"/>
                <w:i/>
                <w:iCs/>
                <w:spacing w:val="-1"/>
                <w:kern w:val="0"/>
                <w:sz w:val="21"/>
                <w:szCs w:val="21"/>
              </w:rPr>
              <w:t xml:space="preserve"> </w:t>
            </w:r>
            <w:r>
              <w:rPr>
                <w:rFonts w:cs="Times New Roman"/>
                <w:i/>
                <w:iCs/>
                <w:kern w:val="0"/>
                <w:sz w:val="21"/>
                <w:szCs w:val="21"/>
              </w:rPr>
              <w:t>platyrhynchos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WST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32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赤膀鸭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Anas</w:t>
            </w:r>
            <w:r>
              <w:rPr>
                <w:rFonts w:cs="Times New Roman"/>
                <w:i/>
                <w:iCs/>
                <w:spacing w:val="-2"/>
                <w:kern w:val="0"/>
                <w:sz w:val="21"/>
                <w:szCs w:val="21"/>
              </w:rPr>
              <w:t xml:space="preserve"> </w:t>
            </w:r>
            <w:r>
              <w:rPr>
                <w:rFonts w:cs="Times New Roman"/>
                <w:i/>
                <w:iCs/>
                <w:kern w:val="0"/>
                <w:sz w:val="21"/>
                <w:szCs w:val="21"/>
              </w:rPr>
              <w:t>strepera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33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赤颈鸭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Anas penelope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34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琵嘴鸭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Anas</w:t>
            </w:r>
            <w:r>
              <w:rPr>
                <w:rFonts w:cs="Times New Roman"/>
                <w:i/>
                <w:iCs/>
                <w:spacing w:val="-1"/>
                <w:kern w:val="0"/>
                <w:sz w:val="21"/>
                <w:szCs w:val="21"/>
              </w:rPr>
              <w:t xml:space="preserve"> </w:t>
            </w:r>
            <w:r>
              <w:rPr>
                <w:rFonts w:cs="Times New Roman"/>
                <w:i/>
                <w:iCs/>
                <w:kern w:val="0"/>
                <w:sz w:val="21"/>
                <w:szCs w:val="21"/>
              </w:rPr>
              <w:t>clypeata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35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赤嘴潜鸭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Rhodonessa</w:t>
            </w:r>
            <w:r>
              <w:rPr>
                <w:rFonts w:cs="Times New Roman"/>
                <w:i/>
                <w:iCs/>
                <w:spacing w:val="-1"/>
                <w:kern w:val="0"/>
                <w:sz w:val="21"/>
                <w:szCs w:val="21"/>
              </w:rPr>
              <w:t xml:space="preserve"> </w:t>
            </w:r>
            <w:r>
              <w:rPr>
                <w:rFonts w:cs="Times New Roman"/>
                <w:i/>
                <w:iCs/>
                <w:kern w:val="0"/>
                <w:sz w:val="21"/>
                <w:szCs w:val="21"/>
              </w:rPr>
              <w:t>rufina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36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红头潜鸭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Aythya</w:t>
            </w:r>
            <w:r>
              <w:rPr>
                <w:rFonts w:cs="Times New Roman"/>
                <w:i/>
                <w:iCs/>
                <w:spacing w:val="-3"/>
                <w:kern w:val="0"/>
                <w:sz w:val="21"/>
                <w:szCs w:val="21"/>
              </w:rPr>
              <w:t xml:space="preserve"> </w:t>
            </w:r>
            <w:r>
              <w:rPr>
                <w:rFonts w:cs="Times New Roman"/>
                <w:i/>
                <w:iCs/>
                <w:kern w:val="0"/>
                <w:sz w:val="21"/>
                <w:szCs w:val="21"/>
              </w:rPr>
              <w:t>ferina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37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白眼潜鸭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Aythya</w:t>
            </w:r>
            <w:r>
              <w:rPr>
                <w:rFonts w:cs="Times New Roman"/>
                <w:i/>
                <w:iCs/>
                <w:spacing w:val="-4"/>
                <w:kern w:val="0"/>
                <w:sz w:val="21"/>
                <w:szCs w:val="21"/>
              </w:rPr>
              <w:t xml:space="preserve"> </w:t>
            </w:r>
            <w:r>
              <w:rPr>
                <w:rFonts w:cs="Times New Roman"/>
                <w:i/>
                <w:iCs/>
                <w:kern w:val="0"/>
                <w:sz w:val="21"/>
                <w:szCs w:val="21"/>
              </w:rPr>
              <w:t>nyroca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ascii="宋体" w:hAnsi="宋体" w:eastAsia="宋体" w:cs="宋体"/>
                <w:kern w:val="0"/>
                <w:sz w:val="21"/>
                <w:szCs w:val="21"/>
              </w:rPr>
              <w:t>Ⅴ</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38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凤头潜鸭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Aythya</w:t>
            </w:r>
            <w:r>
              <w:rPr>
                <w:rFonts w:cs="Times New Roman"/>
                <w:i/>
                <w:iCs/>
                <w:spacing w:val="-3"/>
                <w:kern w:val="0"/>
                <w:sz w:val="21"/>
                <w:szCs w:val="21"/>
              </w:rPr>
              <w:t xml:space="preserve"> </w:t>
            </w:r>
            <w:r>
              <w:rPr>
                <w:rFonts w:cs="Times New Roman"/>
                <w:i/>
                <w:iCs/>
                <w:kern w:val="0"/>
                <w:sz w:val="21"/>
                <w:szCs w:val="21"/>
              </w:rPr>
              <w:t>fuligula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39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斑背潜鸭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Aythya</w:t>
            </w:r>
            <w:r>
              <w:rPr>
                <w:rFonts w:cs="Times New Roman"/>
                <w:i/>
                <w:iCs/>
                <w:spacing w:val="-6"/>
                <w:kern w:val="0"/>
                <w:sz w:val="21"/>
                <w:szCs w:val="21"/>
              </w:rPr>
              <w:t xml:space="preserve"> </w:t>
            </w:r>
            <w:r>
              <w:rPr>
                <w:rFonts w:cs="Times New Roman"/>
                <w:i/>
                <w:iCs/>
                <w:kern w:val="0"/>
                <w:sz w:val="21"/>
                <w:szCs w:val="21"/>
              </w:rPr>
              <w:t>marilu</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40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白头硬尾鸭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3" w:firstLine="0" w:firstLineChars="0"/>
              <w:jc w:val="center"/>
              <w:rPr>
                <w:rFonts w:cs="Times New Roman"/>
                <w:i/>
                <w:iCs/>
                <w:kern w:val="0"/>
                <w:sz w:val="21"/>
                <w:szCs w:val="21"/>
              </w:rPr>
            </w:pPr>
            <w:r>
              <w:rPr>
                <w:rFonts w:cs="Times New Roman"/>
                <w:i/>
                <w:iCs/>
                <w:kern w:val="0"/>
                <w:sz w:val="21"/>
                <w:szCs w:val="21"/>
              </w:rPr>
              <w:t>Oxyura</w:t>
            </w:r>
            <w:r>
              <w:rPr>
                <w:rFonts w:cs="Times New Roman"/>
                <w:i/>
                <w:iCs/>
                <w:spacing w:val="-1"/>
                <w:kern w:val="0"/>
                <w:sz w:val="21"/>
                <w:szCs w:val="21"/>
              </w:rPr>
              <w:t xml:space="preserve"> </w:t>
            </w:r>
            <w:r>
              <w:rPr>
                <w:rFonts w:cs="Times New Roman"/>
                <w:i/>
                <w:iCs/>
                <w:kern w:val="0"/>
                <w:sz w:val="21"/>
                <w:szCs w:val="21"/>
              </w:rPr>
              <w:t>leucocephala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MTS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ascii="宋体" w:hAnsi="宋体" w:eastAsia="宋体" w:cs="宋体"/>
                <w:kern w:val="0"/>
                <w:sz w:val="21"/>
                <w:szCs w:val="21"/>
              </w:rPr>
              <w:t>Ⅵ</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白秋沙鸭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Mergellus</w:t>
            </w:r>
            <w:r>
              <w:rPr>
                <w:rFonts w:cs="Times New Roman"/>
                <w:i/>
                <w:iCs/>
                <w:spacing w:val="-2"/>
                <w:kern w:val="0"/>
                <w:sz w:val="21"/>
                <w:szCs w:val="21"/>
              </w:rPr>
              <w:t xml:space="preserve"> </w:t>
            </w:r>
            <w:r>
              <w:rPr>
                <w:rFonts w:cs="Times New Roman"/>
                <w:i/>
                <w:iCs/>
                <w:kern w:val="0"/>
                <w:sz w:val="21"/>
                <w:szCs w:val="21"/>
              </w:rPr>
              <w:t>albelhus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普通秋沙鸭</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Mergus</w:t>
            </w:r>
            <w:r>
              <w:rPr>
                <w:rFonts w:cs="Times New Roman"/>
                <w:i/>
                <w:iCs/>
                <w:spacing w:val="-6"/>
                <w:kern w:val="0"/>
                <w:sz w:val="21"/>
                <w:szCs w:val="21"/>
              </w:rPr>
              <w:t xml:space="preserve"> </w:t>
            </w:r>
            <w:r>
              <w:rPr>
                <w:rFonts w:cs="Times New Roman"/>
                <w:i/>
                <w:iCs/>
                <w:kern w:val="0"/>
                <w:sz w:val="21"/>
                <w:szCs w:val="21"/>
              </w:rPr>
              <w:t>merganser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43</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鹊鸭</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Bucephala</w:t>
            </w:r>
            <w:r>
              <w:rPr>
                <w:rFonts w:cs="Times New Roman"/>
                <w:i/>
                <w:iCs/>
                <w:spacing w:val="-1"/>
                <w:kern w:val="0"/>
                <w:sz w:val="21"/>
                <w:szCs w:val="21"/>
              </w:rPr>
              <w:t xml:space="preserve"> </w:t>
            </w:r>
            <w:r>
              <w:rPr>
                <w:rFonts w:cs="Times New Roman"/>
                <w:i/>
                <w:iCs/>
                <w:kern w:val="0"/>
                <w:sz w:val="21"/>
                <w:szCs w:val="21"/>
              </w:rPr>
              <w:t>clangula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五</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隼形目</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i/>
                <w:iCs/>
                <w:kern w:val="0"/>
                <w:sz w:val="21"/>
                <w:szCs w:val="21"/>
              </w:rPr>
            </w:pPr>
            <w:r>
              <w:rPr>
                <w:rFonts w:cs="Times New Roman"/>
                <w:i/>
                <w:iCs/>
                <w:kern w:val="0"/>
                <w:sz w:val="21"/>
                <w:szCs w:val="21"/>
              </w:rPr>
              <w:t>Falconiformes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（九）</w:t>
            </w:r>
          </w:p>
        </w:tc>
        <w:tc>
          <w:tcPr>
            <w:tcW w:w="1560" w:type="dxa"/>
            <w:tcBorders>
              <w:top w:val="single" w:color="000000" w:sz="4" w:space="0"/>
              <w:left w:val="single" w:color="000000" w:sz="4" w:space="0"/>
              <w:bottom w:val="single" w:color="000000" w:sz="4" w:space="0"/>
              <w:right w:val="single" w:color="000000" w:sz="4" w:space="0"/>
            </w:tcBorders>
          </w:tcPr>
          <w:p>
            <w:pPr>
              <w:tabs>
                <w:tab w:val="left" w:pos="1172"/>
              </w:tabs>
              <w:kinsoku w:val="0"/>
              <w:overflowPunct w:val="0"/>
              <w:autoSpaceDE w:val="0"/>
              <w:autoSpaceDN w:val="0"/>
              <w:adjustRightInd w:val="0"/>
              <w:spacing w:before="102" w:line="240" w:lineRule="auto"/>
              <w:ind w:right="-58" w:firstLine="0" w:firstLineChars="0"/>
              <w:jc w:val="left"/>
              <w:rPr>
                <w:rFonts w:ascii="黑体" w:eastAsia="黑体" w:cs="黑体"/>
                <w:kern w:val="0"/>
                <w:sz w:val="21"/>
                <w:szCs w:val="21"/>
              </w:rPr>
            </w:pPr>
            <w:r>
              <w:rPr>
                <w:rFonts w:hint="eastAsia" w:ascii="黑体" w:eastAsia="黑体" w:cs="黑体"/>
                <w:kern w:val="0"/>
                <w:sz w:val="21"/>
                <w:szCs w:val="21"/>
              </w:rPr>
              <w:t>鹗科</w:t>
            </w:r>
            <w:r>
              <w:rPr>
                <w:rFonts w:ascii="黑体" w:eastAsia="黑体" w:cs="黑体"/>
                <w:kern w:val="0"/>
                <w:sz w:val="21"/>
                <w:szCs w:val="21"/>
              </w:rPr>
              <w:tab/>
            </w:r>
            <w:r>
              <w:rPr>
                <w:rFonts w:hint="eastAsia" w:ascii="黑体" w:eastAsia="黑体" w:cs="黑体"/>
                <w:kern w:val="0"/>
                <w:sz w:val="21"/>
                <w:szCs w:val="21"/>
              </w:rPr>
              <w:t>鹗科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Falconiformes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鹗</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Pandion</w:t>
            </w:r>
            <w:r>
              <w:rPr>
                <w:rFonts w:cs="Times New Roman"/>
                <w:i/>
                <w:iCs/>
                <w:spacing w:val="-3"/>
                <w:kern w:val="0"/>
                <w:sz w:val="21"/>
                <w:szCs w:val="21"/>
              </w:rPr>
              <w:t xml:space="preserve"> </w:t>
            </w:r>
            <w:r>
              <w:rPr>
                <w:rFonts w:cs="Times New Roman"/>
                <w:i/>
                <w:iCs/>
                <w:kern w:val="0"/>
                <w:sz w:val="21"/>
                <w:szCs w:val="21"/>
              </w:rPr>
              <w:t>halicetus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鹰科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Accipitridae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黑耳鸢</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Milvus</w:t>
            </w:r>
            <w:r>
              <w:rPr>
                <w:rFonts w:cs="Times New Roman"/>
                <w:i/>
                <w:iCs/>
                <w:spacing w:val="-2"/>
                <w:kern w:val="0"/>
                <w:sz w:val="21"/>
                <w:szCs w:val="21"/>
              </w:rPr>
              <w:t xml:space="preserve"> </w:t>
            </w:r>
            <w:r>
              <w:rPr>
                <w:rFonts w:cs="Times New Roman"/>
                <w:i/>
                <w:iCs/>
                <w:kern w:val="0"/>
                <w:sz w:val="21"/>
                <w:szCs w:val="21"/>
              </w:rPr>
              <w:t>lineatus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雀鹰</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Accipiter</w:t>
            </w:r>
            <w:r>
              <w:rPr>
                <w:rFonts w:cs="Times New Roman"/>
                <w:i/>
                <w:iCs/>
                <w:spacing w:val="-2"/>
                <w:kern w:val="0"/>
                <w:sz w:val="21"/>
                <w:szCs w:val="21"/>
              </w:rPr>
              <w:t xml:space="preserve"> </w:t>
            </w:r>
            <w:r>
              <w:rPr>
                <w:rFonts w:cs="Times New Roman"/>
                <w:i/>
                <w:iCs/>
                <w:kern w:val="0"/>
                <w:sz w:val="21"/>
                <w:szCs w:val="21"/>
              </w:rPr>
              <w:t>nisus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苍鹰</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Accipiter</w:t>
            </w:r>
            <w:r>
              <w:rPr>
                <w:rFonts w:cs="Times New Roman"/>
                <w:i/>
                <w:iCs/>
                <w:spacing w:val="-2"/>
                <w:kern w:val="0"/>
                <w:sz w:val="21"/>
                <w:szCs w:val="21"/>
              </w:rPr>
              <w:t xml:space="preserve"> </w:t>
            </w:r>
            <w:r>
              <w:rPr>
                <w:rFonts w:cs="Times New Roman"/>
                <w:i/>
                <w:iCs/>
                <w:kern w:val="0"/>
                <w:sz w:val="21"/>
                <w:szCs w:val="21"/>
              </w:rPr>
              <w:t>gentilis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48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棕尾鵟</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Buteo</w:t>
            </w:r>
            <w:r>
              <w:rPr>
                <w:rFonts w:cs="Times New Roman"/>
                <w:i/>
                <w:iCs/>
                <w:spacing w:val="-1"/>
                <w:kern w:val="0"/>
                <w:sz w:val="21"/>
                <w:szCs w:val="21"/>
              </w:rPr>
              <w:t xml:space="preserve"> </w:t>
            </w:r>
            <w:r>
              <w:rPr>
                <w:rFonts w:cs="Times New Roman"/>
                <w:i/>
                <w:iCs/>
                <w:kern w:val="0"/>
                <w:sz w:val="21"/>
                <w:szCs w:val="21"/>
              </w:rPr>
              <w:t>rufinus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49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大鵟</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Buteo</w:t>
            </w:r>
            <w:r>
              <w:rPr>
                <w:rFonts w:cs="Times New Roman"/>
                <w:i/>
                <w:iCs/>
                <w:spacing w:val="-1"/>
                <w:kern w:val="0"/>
                <w:sz w:val="21"/>
                <w:szCs w:val="21"/>
              </w:rPr>
              <w:t xml:space="preserve"> </w:t>
            </w:r>
            <w:r>
              <w:rPr>
                <w:rFonts w:cs="Times New Roman"/>
                <w:i/>
                <w:iCs/>
                <w:kern w:val="0"/>
                <w:sz w:val="21"/>
                <w:szCs w:val="21"/>
              </w:rPr>
              <w:t>hemilasius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50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普通鵟</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Buteo</w:t>
            </w:r>
            <w:r>
              <w:rPr>
                <w:rFonts w:cs="Times New Roman"/>
                <w:i/>
                <w:iCs/>
                <w:spacing w:val="-1"/>
                <w:kern w:val="0"/>
                <w:sz w:val="21"/>
                <w:szCs w:val="21"/>
              </w:rPr>
              <w:t xml:space="preserve"> </w:t>
            </w:r>
            <w:r>
              <w:rPr>
                <w:rFonts w:cs="Times New Roman"/>
                <w:i/>
                <w:iCs/>
                <w:kern w:val="0"/>
                <w:sz w:val="21"/>
                <w:szCs w:val="21"/>
              </w:rPr>
              <w:t>buteo</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51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毛脚鵟</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i/>
                <w:iCs/>
                <w:kern w:val="0"/>
                <w:sz w:val="21"/>
                <w:szCs w:val="21"/>
              </w:rPr>
            </w:pPr>
            <w:r>
              <w:rPr>
                <w:rFonts w:cs="Times New Roman"/>
                <w:i/>
                <w:iCs/>
                <w:kern w:val="0"/>
                <w:sz w:val="21"/>
                <w:szCs w:val="21"/>
              </w:rPr>
              <w:t>Buteo lagopus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52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金雕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Aquila</w:t>
            </w:r>
            <w:r>
              <w:rPr>
                <w:rFonts w:cs="Times New Roman"/>
                <w:i/>
                <w:iCs/>
                <w:spacing w:val="-1"/>
                <w:kern w:val="0"/>
                <w:sz w:val="21"/>
                <w:szCs w:val="21"/>
              </w:rPr>
              <w:t xml:space="preserve"> </w:t>
            </w:r>
            <w:r>
              <w:rPr>
                <w:rFonts w:cs="Times New Roman"/>
                <w:i/>
                <w:iCs/>
                <w:kern w:val="0"/>
                <w:sz w:val="21"/>
                <w:szCs w:val="21"/>
              </w:rPr>
              <w:t>chrysaetos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53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白肩雕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Aquila</w:t>
            </w:r>
            <w:r>
              <w:rPr>
                <w:rFonts w:cs="Times New Roman"/>
                <w:i/>
                <w:iCs/>
                <w:spacing w:val="-3"/>
                <w:kern w:val="0"/>
                <w:sz w:val="21"/>
                <w:szCs w:val="21"/>
              </w:rPr>
              <w:t xml:space="preserve"> </w:t>
            </w:r>
            <w:r>
              <w:rPr>
                <w:rFonts w:cs="Times New Roman"/>
                <w:i/>
                <w:iCs/>
                <w:kern w:val="0"/>
                <w:sz w:val="21"/>
                <w:szCs w:val="21"/>
              </w:rPr>
              <w:t>Heliaca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Ⅵ</w:t>
            </w: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54</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草原雕</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Aquila</w:t>
            </w:r>
            <w:r>
              <w:rPr>
                <w:rFonts w:cs="Times New Roman"/>
                <w:i/>
                <w:iCs/>
                <w:spacing w:val="-1"/>
                <w:kern w:val="0"/>
                <w:sz w:val="21"/>
                <w:szCs w:val="21"/>
              </w:rPr>
              <w:t xml:space="preserve"> </w:t>
            </w:r>
            <w:r>
              <w:rPr>
                <w:rFonts w:cs="Times New Roman"/>
                <w:i/>
                <w:iCs/>
                <w:kern w:val="0"/>
                <w:sz w:val="21"/>
                <w:szCs w:val="21"/>
              </w:rPr>
              <w:t>nipalensis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55</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靴隼雕</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3" w:firstLine="0" w:firstLineChars="0"/>
              <w:jc w:val="center"/>
              <w:rPr>
                <w:rFonts w:cs="Times New Roman"/>
                <w:i/>
                <w:iCs/>
                <w:kern w:val="0"/>
                <w:sz w:val="21"/>
                <w:szCs w:val="21"/>
              </w:rPr>
            </w:pPr>
            <w:r>
              <w:rPr>
                <w:rFonts w:cs="Times New Roman"/>
                <w:i/>
                <w:iCs/>
                <w:kern w:val="0"/>
                <w:sz w:val="21"/>
                <w:szCs w:val="21"/>
              </w:rPr>
              <w:t>Hieraaetus</w:t>
            </w:r>
            <w:r>
              <w:rPr>
                <w:rFonts w:cs="Times New Roman"/>
                <w:i/>
                <w:iCs/>
                <w:spacing w:val="-3"/>
                <w:kern w:val="0"/>
                <w:sz w:val="21"/>
                <w:szCs w:val="21"/>
              </w:rPr>
              <w:t xml:space="preserve"> </w:t>
            </w:r>
            <w:r>
              <w:rPr>
                <w:rFonts w:cs="Times New Roman"/>
                <w:i/>
                <w:iCs/>
                <w:kern w:val="0"/>
                <w:sz w:val="21"/>
                <w:szCs w:val="21"/>
              </w:rPr>
              <w:t>pennatus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ST</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56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玉带海雕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Haliaeetus</w:t>
            </w:r>
            <w:r>
              <w:rPr>
                <w:rFonts w:cs="Times New Roman"/>
                <w:i/>
                <w:iCs/>
                <w:spacing w:val="-1"/>
                <w:kern w:val="0"/>
                <w:sz w:val="21"/>
                <w:szCs w:val="21"/>
              </w:rPr>
              <w:t xml:space="preserve"> </w:t>
            </w:r>
            <w:r>
              <w:rPr>
                <w:rFonts w:cs="Times New Roman"/>
                <w:i/>
                <w:iCs/>
                <w:kern w:val="0"/>
                <w:sz w:val="21"/>
                <w:szCs w:val="21"/>
              </w:rPr>
              <w:t>leucoryphus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Ⅰ</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Ⅰ</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ascii="宋体" w:hAnsi="宋体" w:eastAsia="宋体" w:cs="宋体"/>
                <w:kern w:val="0"/>
                <w:sz w:val="21"/>
                <w:szCs w:val="21"/>
              </w:rPr>
              <w:t>Ⅶ</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57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白尾海雕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Haliceetus</w:t>
            </w:r>
            <w:r>
              <w:rPr>
                <w:rFonts w:cs="Times New Roman"/>
                <w:i/>
                <w:iCs/>
                <w:spacing w:val="-2"/>
                <w:kern w:val="0"/>
                <w:sz w:val="21"/>
                <w:szCs w:val="21"/>
              </w:rPr>
              <w:t xml:space="preserve"> </w:t>
            </w:r>
            <w:r>
              <w:rPr>
                <w:rFonts w:cs="Times New Roman"/>
                <w:i/>
                <w:iCs/>
                <w:kern w:val="0"/>
                <w:sz w:val="21"/>
                <w:szCs w:val="21"/>
              </w:rPr>
              <w:t>albicilla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NT</w:t>
            </w:r>
            <w:r>
              <w:rPr>
                <w:rFonts w:cs="Times New Roman"/>
                <w:spacing w:val="-4"/>
                <w:kern w:val="0"/>
                <w:sz w:val="21"/>
                <w:szCs w:val="21"/>
              </w:rPr>
              <w:t xml:space="preserve"> </w:t>
            </w:r>
            <w:r>
              <w:rPr>
                <w:rFonts w:ascii="宋体" w:hAnsi="宋体" w:eastAsia="宋体" w:cs="宋体"/>
                <w:kern w:val="0"/>
                <w:sz w:val="21"/>
                <w:szCs w:val="21"/>
              </w:rPr>
              <w:t>Ⅰ</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58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高山兀鹫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Cyps</w:t>
            </w:r>
            <w:r>
              <w:rPr>
                <w:rFonts w:cs="Times New Roman"/>
                <w:i/>
                <w:iCs/>
                <w:spacing w:val="-2"/>
                <w:kern w:val="0"/>
                <w:sz w:val="21"/>
                <w:szCs w:val="21"/>
              </w:rPr>
              <w:t xml:space="preserve"> </w:t>
            </w:r>
            <w:r>
              <w:rPr>
                <w:rFonts w:cs="Times New Roman"/>
                <w:i/>
                <w:iCs/>
                <w:kern w:val="0"/>
                <w:sz w:val="21"/>
                <w:szCs w:val="21"/>
              </w:rPr>
              <w:t>himalayensis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59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白尾鹞</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Circus</w:t>
            </w:r>
            <w:r>
              <w:rPr>
                <w:rFonts w:cs="Times New Roman"/>
                <w:i/>
                <w:iCs/>
                <w:spacing w:val="-3"/>
                <w:kern w:val="0"/>
                <w:sz w:val="21"/>
                <w:szCs w:val="21"/>
              </w:rPr>
              <w:t xml:space="preserve"> </w:t>
            </w:r>
            <w:r>
              <w:rPr>
                <w:rFonts w:cs="Times New Roman"/>
                <w:i/>
                <w:iCs/>
                <w:kern w:val="0"/>
                <w:sz w:val="21"/>
                <w:szCs w:val="21"/>
              </w:rPr>
              <w:t>cyanenus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白头鹞</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Circus</w:t>
            </w:r>
            <w:r>
              <w:rPr>
                <w:rFonts w:cs="Times New Roman"/>
                <w:i/>
                <w:iCs/>
                <w:spacing w:val="-3"/>
                <w:kern w:val="0"/>
                <w:sz w:val="21"/>
                <w:szCs w:val="21"/>
              </w:rPr>
              <w:t xml:space="preserve"> </w:t>
            </w:r>
            <w:r>
              <w:rPr>
                <w:rFonts w:cs="Times New Roman"/>
                <w:i/>
                <w:iCs/>
                <w:kern w:val="0"/>
                <w:sz w:val="21"/>
                <w:szCs w:val="21"/>
              </w:rPr>
              <w:t>aeruginosus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短趾雕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Circaetus</w:t>
            </w:r>
            <w:r>
              <w:rPr>
                <w:rFonts w:cs="Times New Roman"/>
                <w:i/>
                <w:iCs/>
                <w:spacing w:val="-3"/>
                <w:kern w:val="0"/>
                <w:sz w:val="21"/>
                <w:szCs w:val="21"/>
              </w:rPr>
              <w:t xml:space="preserve"> </w:t>
            </w:r>
            <w:r>
              <w:rPr>
                <w:rFonts w:cs="Times New Roman"/>
                <w:i/>
                <w:iCs/>
                <w:kern w:val="0"/>
                <w:sz w:val="21"/>
                <w:szCs w:val="21"/>
              </w:rPr>
              <w:t>gallicus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（十一）</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隼科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Falconidae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猎隼</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Falco</w:t>
            </w:r>
            <w:r>
              <w:rPr>
                <w:rFonts w:cs="Times New Roman"/>
                <w:i/>
                <w:iCs/>
                <w:spacing w:val="-1"/>
                <w:kern w:val="0"/>
                <w:sz w:val="21"/>
                <w:szCs w:val="21"/>
              </w:rPr>
              <w:t xml:space="preserve"> </w:t>
            </w:r>
            <w:r>
              <w:rPr>
                <w:rFonts w:cs="Times New Roman"/>
                <w:i/>
                <w:iCs/>
                <w:kern w:val="0"/>
                <w:sz w:val="21"/>
                <w:szCs w:val="21"/>
              </w:rPr>
              <w:t>cherrug</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游隼</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Falco</w:t>
            </w:r>
            <w:r>
              <w:rPr>
                <w:rFonts w:cs="Times New Roman"/>
                <w:i/>
                <w:iCs/>
                <w:spacing w:val="-2"/>
                <w:kern w:val="0"/>
                <w:sz w:val="21"/>
                <w:szCs w:val="21"/>
              </w:rPr>
              <w:t xml:space="preserve"> </w:t>
            </w:r>
            <w:r>
              <w:rPr>
                <w:rFonts w:cs="Times New Roman"/>
                <w:i/>
                <w:iCs/>
                <w:kern w:val="0"/>
                <w:sz w:val="21"/>
                <w:szCs w:val="21"/>
              </w:rPr>
              <w:t>peregrimus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64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燕隼</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5" w:firstLine="0" w:firstLineChars="0"/>
              <w:jc w:val="center"/>
              <w:rPr>
                <w:rFonts w:cs="Times New Roman"/>
                <w:i/>
                <w:iCs/>
                <w:kern w:val="0"/>
                <w:sz w:val="21"/>
                <w:szCs w:val="21"/>
              </w:rPr>
            </w:pPr>
            <w:r>
              <w:rPr>
                <w:rFonts w:cs="Times New Roman"/>
                <w:i/>
                <w:iCs/>
                <w:kern w:val="0"/>
                <w:sz w:val="21"/>
                <w:szCs w:val="21"/>
              </w:rPr>
              <w:t>Falco</w:t>
            </w:r>
            <w:r>
              <w:rPr>
                <w:rFonts w:cs="Times New Roman"/>
                <w:i/>
                <w:iCs/>
                <w:spacing w:val="-1"/>
                <w:kern w:val="0"/>
                <w:sz w:val="21"/>
                <w:szCs w:val="21"/>
              </w:rPr>
              <w:t xml:space="preserve"> </w:t>
            </w:r>
            <w:r>
              <w:rPr>
                <w:rFonts w:cs="Times New Roman"/>
                <w:i/>
                <w:iCs/>
                <w:kern w:val="0"/>
                <w:sz w:val="21"/>
                <w:szCs w:val="21"/>
              </w:rPr>
              <w:t>subbuteo</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灰背隼</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Falco</w:t>
            </w:r>
            <w:r>
              <w:rPr>
                <w:rFonts w:cs="Times New Roman"/>
                <w:i/>
                <w:iCs/>
                <w:spacing w:val="-1"/>
                <w:kern w:val="0"/>
                <w:sz w:val="21"/>
                <w:szCs w:val="21"/>
              </w:rPr>
              <w:t xml:space="preserve"> </w:t>
            </w:r>
            <w:r>
              <w:rPr>
                <w:rFonts w:cs="Times New Roman"/>
                <w:i/>
                <w:iCs/>
                <w:kern w:val="0"/>
                <w:sz w:val="21"/>
                <w:szCs w:val="21"/>
              </w:rPr>
              <w:t>columbarins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黄爪隼</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Falco naumanni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Ⅴ</w:t>
            </w: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67</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红隼</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Falco</w:t>
            </w:r>
            <w:r>
              <w:rPr>
                <w:rFonts w:cs="Times New Roman"/>
                <w:i/>
                <w:iCs/>
                <w:spacing w:val="-1"/>
                <w:kern w:val="0"/>
                <w:sz w:val="21"/>
                <w:szCs w:val="21"/>
              </w:rPr>
              <w:t xml:space="preserve"> </w:t>
            </w:r>
            <w:r>
              <w:rPr>
                <w:rFonts w:cs="Times New Roman"/>
                <w:i/>
                <w:iCs/>
                <w:kern w:val="0"/>
                <w:sz w:val="21"/>
                <w:szCs w:val="21"/>
              </w:rPr>
              <w:t>tinmunculus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六</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鸡形目</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6" w:firstLine="0" w:firstLineChars="0"/>
              <w:jc w:val="center"/>
              <w:rPr>
                <w:rFonts w:cs="Times New Roman"/>
                <w:i/>
                <w:iCs/>
                <w:kern w:val="0"/>
                <w:sz w:val="21"/>
                <w:szCs w:val="21"/>
              </w:rPr>
            </w:pPr>
            <w:r>
              <w:rPr>
                <w:rFonts w:cs="Times New Roman"/>
                <w:i/>
                <w:iCs/>
                <w:kern w:val="0"/>
                <w:sz w:val="21"/>
                <w:szCs w:val="21"/>
              </w:rPr>
              <w:t>Galliformes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（十二）</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雉科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Phasianid</w:t>
            </w:r>
            <w:r>
              <w:rPr>
                <w:rFonts w:cs="Times New Roman"/>
                <w:i/>
                <w:iCs/>
                <w:spacing w:val="-1"/>
                <w:kern w:val="0"/>
                <w:sz w:val="21"/>
                <w:szCs w:val="21"/>
              </w:rPr>
              <w:t xml:space="preserve"> </w:t>
            </w:r>
            <w:r>
              <w:rPr>
                <w:rFonts w:cs="Times New Roman"/>
                <w:i/>
                <w:iCs/>
                <w:kern w:val="0"/>
                <w:sz w:val="21"/>
                <w:szCs w:val="21"/>
              </w:rPr>
              <w:t>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雉鸡</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Phasiamus</w:t>
            </w:r>
            <w:r>
              <w:rPr>
                <w:rFonts w:cs="Times New Roman"/>
                <w:i/>
                <w:iCs/>
                <w:spacing w:val="-1"/>
                <w:kern w:val="0"/>
                <w:sz w:val="21"/>
                <w:szCs w:val="21"/>
              </w:rPr>
              <w:t xml:space="preserve"> </w:t>
            </w:r>
            <w:r>
              <w:rPr>
                <w:rFonts w:cs="Times New Roman"/>
                <w:i/>
                <w:iCs/>
                <w:kern w:val="0"/>
                <w:sz w:val="21"/>
                <w:szCs w:val="21"/>
              </w:rPr>
              <w:t>colchicius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69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斑翅山鹑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Perdix</w:t>
            </w:r>
            <w:r>
              <w:rPr>
                <w:rFonts w:cs="Times New Roman"/>
                <w:i/>
                <w:iCs/>
                <w:spacing w:val="-2"/>
                <w:kern w:val="0"/>
                <w:sz w:val="21"/>
                <w:szCs w:val="21"/>
              </w:rPr>
              <w:t xml:space="preserve"> </w:t>
            </w:r>
            <w:r>
              <w:rPr>
                <w:rFonts w:cs="Times New Roman"/>
                <w:i/>
                <w:iCs/>
                <w:kern w:val="0"/>
                <w:sz w:val="21"/>
                <w:szCs w:val="21"/>
              </w:rPr>
              <w:t>dauuricae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鹌鹑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Coturnix</w:t>
            </w:r>
            <w:r>
              <w:rPr>
                <w:rFonts w:cs="Times New Roman"/>
                <w:i/>
                <w:iCs/>
                <w:spacing w:val="-1"/>
                <w:kern w:val="0"/>
                <w:sz w:val="21"/>
                <w:szCs w:val="21"/>
              </w:rPr>
              <w:t xml:space="preserve"> </w:t>
            </w:r>
            <w:r>
              <w:rPr>
                <w:rFonts w:cs="Times New Roman"/>
                <w:i/>
                <w:iCs/>
                <w:kern w:val="0"/>
                <w:sz w:val="21"/>
                <w:szCs w:val="21"/>
              </w:rPr>
              <w:t>coturnit</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七</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鹤形目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Gruiformes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（十三）</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鹤科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Gruidae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71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灰鹤</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Gnus</w:t>
            </w:r>
            <w:r>
              <w:rPr>
                <w:rFonts w:cs="Times New Roman"/>
                <w:i/>
                <w:iCs/>
                <w:spacing w:val="-3"/>
                <w:kern w:val="0"/>
                <w:sz w:val="21"/>
                <w:szCs w:val="21"/>
              </w:rPr>
              <w:t xml:space="preserve"> </w:t>
            </w:r>
            <w:r>
              <w:rPr>
                <w:rFonts w:cs="Times New Roman"/>
                <w:i/>
                <w:iCs/>
                <w:kern w:val="0"/>
                <w:sz w:val="21"/>
                <w:szCs w:val="21"/>
              </w:rPr>
              <w:t>grus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蓑羽鹤</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Anthroprides</w:t>
            </w:r>
            <w:r>
              <w:rPr>
                <w:rFonts w:cs="Times New Roman"/>
                <w:i/>
                <w:iCs/>
                <w:spacing w:val="-6"/>
                <w:kern w:val="0"/>
                <w:sz w:val="21"/>
                <w:szCs w:val="21"/>
              </w:rPr>
              <w:t xml:space="preserve"> </w:t>
            </w:r>
            <w:r>
              <w:rPr>
                <w:rFonts w:cs="Times New Roman"/>
                <w:i/>
                <w:iCs/>
                <w:kern w:val="0"/>
                <w:sz w:val="21"/>
                <w:szCs w:val="21"/>
              </w:rPr>
              <w:t>virgo</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（十四）</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秧鸡科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Rallidae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73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普通秧鸡</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5" w:firstLine="0" w:firstLineChars="0"/>
              <w:jc w:val="center"/>
              <w:rPr>
                <w:rFonts w:cs="Times New Roman"/>
                <w:i/>
                <w:iCs/>
                <w:kern w:val="0"/>
                <w:sz w:val="21"/>
                <w:szCs w:val="21"/>
              </w:rPr>
            </w:pPr>
            <w:r>
              <w:rPr>
                <w:rFonts w:cs="Times New Roman"/>
                <w:i/>
                <w:iCs/>
                <w:kern w:val="0"/>
                <w:sz w:val="21"/>
                <w:szCs w:val="21"/>
              </w:rPr>
              <w:t>Rallus aquaticus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长脚秧鸡</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Crex</w:t>
            </w:r>
            <w:r>
              <w:rPr>
                <w:rFonts w:cs="Times New Roman"/>
                <w:i/>
                <w:iCs/>
                <w:spacing w:val="-3"/>
                <w:kern w:val="0"/>
                <w:sz w:val="21"/>
                <w:szCs w:val="21"/>
              </w:rPr>
              <w:t xml:space="preserve"> </w:t>
            </w:r>
            <w:r>
              <w:rPr>
                <w:rFonts w:cs="Times New Roman"/>
                <w:i/>
                <w:iCs/>
                <w:kern w:val="0"/>
                <w:sz w:val="21"/>
                <w:szCs w:val="21"/>
              </w:rPr>
              <w:t>crex</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ascii="宋体" w:hAnsi="宋体" w:eastAsia="宋体" w:cs="宋体"/>
                <w:kern w:val="0"/>
                <w:sz w:val="21"/>
                <w:szCs w:val="21"/>
              </w:rPr>
              <w:t>Ⅴ</w:t>
            </w: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黑水鸡</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Gallinula</w:t>
            </w:r>
            <w:r>
              <w:rPr>
                <w:rFonts w:cs="Times New Roman"/>
                <w:i/>
                <w:iCs/>
                <w:spacing w:val="-3"/>
                <w:kern w:val="0"/>
                <w:sz w:val="21"/>
                <w:szCs w:val="21"/>
              </w:rPr>
              <w:t xml:space="preserve"> </w:t>
            </w:r>
            <w:r>
              <w:rPr>
                <w:rFonts w:cs="Times New Roman"/>
                <w:i/>
                <w:iCs/>
                <w:kern w:val="0"/>
                <w:sz w:val="21"/>
                <w:szCs w:val="21"/>
              </w:rPr>
              <w:t>chloropus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76</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骨顶鸡</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Fulica</w:t>
            </w:r>
            <w:r>
              <w:rPr>
                <w:rFonts w:cs="Times New Roman"/>
                <w:i/>
                <w:iCs/>
                <w:spacing w:val="-1"/>
                <w:kern w:val="0"/>
                <w:sz w:val="21"/>
                <w:szCs w:val="21"/>
              </w:rPr>
              <w:t xml:space="preserve"> </w:t>
            </w:r>
            <w:r>
              <w:rPr>
                <w:rFonts w:cs="Times New Roman"/>
                <w:i/>
                <w:iCs/>
                <w:kern w:val="0"/>
                <w:sz w:val="21"/>
                <w:szCs w:val="21"/>
              </w:rPr>
              <w:t>atra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八</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鸻形目</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i/>
                <w:iCs/>
                <w:kern w:val="0"/>
                <w:sz w:val="21"/>
                <w:szCs w:val="21"/>
              </w:rPr>
            </w:pPr>
            <w:r>
              <w:rPr>
                <w:rFonts w:cs="Times New Roman"/>
                <w:i/>
                <w:iCs/>
                <w:kern w:val="0"/>
                <w:sz w:val="21"/>
                <w:szCs w:val="21"/>
              </w:rPr>
              <w:t>Charadriiformes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（十五）</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蛎鹬科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i/>
                <w:iCs/>
                <w:kern w:val="0"/>
                <w:sz w:val="21"/>
                <w:szCs w:val="21"/>
              </w:rPr>
            </w:pPr>
            <w:r>
              <w:rPr>
                <w:rFonts w:cs="Times New Roman"/>
                <w:i/>
                <w:iCs/>
                <w:kern w:val="0"/>
                <w:sz w:val="21"/>
                <w:szCs w:val="21"/>
              </w:rPr>
              <w:t>Haematopodidae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蛎鹬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726" w:firstLine="0" w:firstLineChars="0"/>
              <w:jc w:val="right"/>
              <w:rPr>
                <w:rFonts w:cs="Times New Roman"/>
                <w:i/>
                <w:iCs/>
                <w:kern w:val="0"/>
                <w:sz w:val="21"/>
                <w:szCs w:val="21"/>
              </w:rPr>
            </w:pPr>
            <w:r>
              <w:rPr>
                <w:rFonts w:cs="Times New Roman"/>
                <w:i/>
                <w:iCs/>
                <w:kern w:val="0"/>
                <w:sz w:val="21"/>
                <w:szCs w:val="21"/>
              </w:rPr>
              <w:t>Haematopus</w:t>
            </w:r>
            <w:r>
              <w:rPr>
                <w:rFonts w:cs="Times New Roman"/>
                <w:i/>
                <w:iCs/>
                <w:spacing w:val="-1"/>
                <w:kern w:val="0"/>
                <w:sz w:val="21"/>
                <w:szCs w:val="21"/>
              </w:rPr>
              <w:t xml:space="preserve"> </w:t>
            </w:r>
            <w:r>
              <w:rPr>
                <w:rFonts w:cs="Times New Roman"/>
                <w:i/>
                <w:iCs/>
                <w:kern w:val="0"/>
                <w:sz w:val="21"/>
                <w:szCs w:val="21"/>
              </w:rPr>
              <w:t>ostralegus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（十六）</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鸻科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Charadriidae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凤头麦鸡</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Vanellus</w:t>
            </w:r>
            <w:r>
              <w:rPr>
                <w:rFonts w:cs="Times New Roman"/>
                <w:i/>
                <w:iCs/>
                <w:spacing w:val="-5"/>
                <w:kern w:val="0"/>
                <w:sz w:val="21"/>
                <w:szCs w:val="21"/>
              </w:rPr>
              <w:t xml:space="preserve"> </w:t>
            </w:r>
            <w:r>
              <w:rPr>
                <w:rFonts w:cs="Times New Roman"/>
                <w:i/>
                <w:iCs/>
                <w:kern w:val="0"/>
                <w:sz w:val="21"/>
                <w:szCs w:val="21"/>
              </w:rPr>
              <w:t>vanellus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79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金鸻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Pluvialis</w:t>
            </w:r>
            <w:r>
              <w:rPr>
                <w:rFonts w:cs="Times New Roman"/>
                <w:i/>
                <w:iCs/>
                <w:spacing w:val="-1"/>
                <w:kern w:val="0"/>
                <w:sz w:val="21"/>
                <w:szCs w:val="21"/>
              </w:rPr>
              <w:t xml:space="preserve"> </w:t>
            </w:r>
            <w:r>
              <w:rPr>
                <w:rFonts w:cs="Times New Roman"/>
                <w:i/>
                <w:iCs/>
                <w:kern w:val="0"/>
                <w:sz w:val="21"/>
                <w:szCs w:val="21"/>
              </w:rPr>
              <w:t>dominica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80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剑鸻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Charadrius</w:t>
            </w:r>
            <w:r>
              <w:rPr>
                <w:rFonts w:cs="Times New Roman"/>
                <w:i/>
                <w:iCs/>
                <w:spacing w:val="-1"/>
                <w:kern w:val="0"/>
                <w:sz w:val="21"/>
                <w:szCs w:val="21"/>
              </w:rPr>
              <w:t xml:space="preserve"> </w:t>
            </w:r>
            <w:r>
              <w:rPr>
                <w:rFonts w:cs="Times New Roman"/>
                <w:i/>
                <w:iCs/>
                <w:kern w:val="0"/>
                <w:sz w:val="21"/>
                <w:szCs w:val="21"/>
              </w:rPr>
              <w:t>hiaticula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81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蒙古沙鸻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i/>
                <w:iCs/>
                <w:kern w:val="0"/>
                <w:sz w:val="21"/>
                <w:szCs w:val="21"/>
              </w:rPr>
            </w:pPr>
            <w:r>
              <w:rPr>
                <w:rFonts w:cs="Times New Roman"/>
                <w:i/>
                <w:iCs/>
                <w:kern w:val="0"/>
                <w:sz w:val="21"/>
                <w:szCs w:val="21"/>
              </w:rPr>
              <w:t>Charadrius mongolus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82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铁嘴沙鸻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707" w:firstLine="0" w:firstLineChars="0"/>
              <w:jc w:val="right"/>
              <w:rPr>
                <w:rFonts w:cs="Times New Roman"/>
                <w:i/>
                <w:iCs/>
                <w:kern w:val="0"/>
                <w:sz w:val="21"/>
                <w:szCs w:val="21"/>
              </w:rPr>
            </w:pPr>
            <w:r>
              <w:rPr>
                <w:rFonts w:cs="Times New Roman"/>
                <w:i/>
                <w:iCs/>
                <w:kern w:val="0"/>
                <w:sz w:val="21"/>
                <w:szCs w:val="21"/>
              </w:rPr>
              <w:t>Charadrius</w:t>
            </w:r>
            <w:r>
              <w:rPr>
                <w:rFonts w:cs="Times New Roman"/>
                <w:i/>
                <w:iCs/>
                <w:spacing w:val="-1"/>
                <w:kern w:val="0"/>
                <w:sz w:val="21"/>
                <w:szCs w:val="21"/>
              </w:rPr>
              <w:t xml:space="preserve"> </w:t>
            </w:r>
            <w:r>
              <w:rPr>
                <w:rFonts w:cs="Times New Roman"/>
                <w:i/>
                <w:iCs/>
                <w:kern w:val="0"/>
                <w:sz w:val="21"/>
                <w:szCs w:val="21"/>
              </w:rPr>
              <w:t>leschenaulti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83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红胸鸻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Charadrius</w:t>
            </w:r>
            <w:r>
              <w:rPr>
                <w:rFonts w:cs="Times New Roman"/>
                <w:i/>
                <w:iCs/>
                <w:spacing w:val="-1"/>
                <w:kern w:val="0"/>
                <w:sz w:val="21"/>
                <w:szCs w:val="21"/>
              </w:rPr>
              <w:t xml:space="preserve"> </w:t>
            </w:r>
            <w:r>
              <w:rPr>
                <w:rFonts w:cs="Times New Roman"/>
                <w:i/>
                <w:iCs/>
                <w:kern w:val="0"/>
                <w:sz w:val="21"/>
                <w:szCs w:val="21"/>
              </w:rPr>
              <w:t>asiaticus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84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环颈鸻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664" w:firstLine="0" w:firstLineChars="0"/>
              <w:jc w:val="right"/>
              <w:rPr>
                <w:rFonts w:cs="Times New Roman"/>
                <w:i/>
                <w:iCs/>
                <w:kern w:val="0"/>
                <w:sz w:val="21"/>
                <w:szCs w:val="21"/>
              </w:rPr>
            </w:pPr>
            <w:r>
              <w:rPr>
                <w:rFonts w:cs="Times New Roman"/>
                <w:i/>
                <w:iCs/>
                <w:kern w:val="0"/>
                <w:sz w:val="21"/>
                <w:szCs w:val="21"/>
              </w:rPr>
              <w:t>Charadrius</w:t>
            </w:r>
            <w:r>
              <w:rPr>
                <w:rFonts w:cs="Times New Roman"/>
                <w:i/>
                <w:iCs/>
                <w:spacing w:val="-1"/>
                <w:kern w:val="0"/>
                <w:sz w:val="21"/>
                <w:szCs w:val="21"/>
              </w:rPr>
              <w:t xml:space="preserve"> </w:t>
            </w:r>
            <w:r>
              <w:rPr>
                <w:rFonts w:cs="Times New Roman"/>
                <w:i/>
                <w:iCs/>
                <w:kern w:val="0"/>
                <w:sz w:val="21"/>
                <w:szCs w:val="21"/>
              </w:rPr>
              <w:t>alexandrinus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85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金眶鸻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Charadrius dubius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（十七）</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鹬科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Scolo</w:t>
            </w:r>
            <w:r>
              <w:rPr>
                <w:rFonts w:cs="Times New Roman"/>
                <w:i/>
                <w:iCs/>
                <w:spacing w:val="-1"/>
                <w:kern w:val="0"/>
                <w:sz w:val="21"/>
                <w:szCs w:val="21"/>
              </w:rPr>
              <w:t xml:space="preserve"> </w:t>
            </w:r>
            <w:r>
              <w:rPr>
                <w:rFonts w:cs="Times New Roman"/>
                <w:i/>
                <w:iCs/>
                <w:kern w:val="0"/>
                <w:sz w:val="21"/>
                <w:szCs w:val="21"/>
              </w:rPr>
              <w:t>pacidae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86</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丘鹬</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Scolopax</w:t>
            </w:r>
            <w:r>
              <w:rPr>
                <w:rFonts w:cs="Times New Roman"/>
                <w:i/>
                <w:iCs/>
                <w:spacing w:val="-1"/>
                <w:kern w:val="0"/>
                <w:sz w:val="21"/>
                <w:szCs w:val="21"/>
              </w:rPr>
              <w:t xml:space="preserve"> </w:t>
            </w:r>
            <w:r>
              <w:rPr>
                <w:rFonts w:cs="Times New Roman"/>
                <w:i/>
                <w:iCs/>
                <w:kern w:val="0"/>
                <w:sz w:val="21"/>
                <w:szCs w:val="21"/>
              </w:rPr>
              <w:t>rusticola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87</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中杓鹬</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3" w:firstLine="0" w:firstLineChars="0"/>
              <w:jc w:val="center"/>
              <w:rPr>
                <w:rFonts w:cs="Times New Roman"/>
                <w:i/>
                <w:iCs/>
                <w:kern w:val="0"/>
                <w:sz w:val="21"/>
                <w:szCs w:val="21"/>
              </w:rPr>
            </w:pPr>
            <w:r>
              <w:rPr>
                <w:rFonts w:cs="Times New Roman"/>
                <w:i/>
                <w:iCs/>
                <w:kern w:val="0"/>
                <w:sz w:val="21"/>
                <w:szCs w:val="21"/>
              </w:rPr>
              <w:t>Numenius</w:t>
            </w:r>
            <w:r>
              <w:rPr>
                <w:rFonts w:cs="Times New Roman"/>
                <w:i/>
                <w:iCs/>
                <w:spacing w:val="-1"/>
                <w:kern w:val="0"/>
                <w:sz w:val="21"/>
                <w:szCs w:val="21"/>
              </w:rPr>
              <w:t xml:space="preserve"> </w:t>
            </w:r>
            <w:r>
              <w:rPr>
                <w:rFonts w:cs="Times New Roman"/>
                <w:i/>
                <w:iCs/>
                <w:kern w:val="0"/>
                <w:sz w:val="21"/>
                <w:szCs w:val="21"/>
              </w:rPr>
              <w:t>phaeopus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88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白腰杓鹬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Numenius</w:t>
            </w:r>
            <w:r>
              <w:rPr>
                <w:rFonts w:cs="Times New Roman"/>
                <w:i/>
                <w:iCs/>
                <w:spacing w:val="-2"/>
                <w:kern w:val="0"/>
                <w:sz w:val="21"/>
                <w:szCs w:val="21"/>
              </w:rPr>
              <w:t xml:space="preserve"> </w:t>
            </w:r>
            <w:r>
              <w:rPr>
                <w:rFonts w:cs="Times New Roman"/>
                <w:i/>
                <w:iCs/>
                <w:kern w:val="0"/>
                <w:sz w:val="21"/>
                <w:szCs w:val="21"/>
              </w:rPr>
              <w:t>arquata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89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红脚鹬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Tringa</w:t>
            </w:r>
            <w:r>
              <w:rPr>
                <w:rFonts w:cs="Times New Roman"/>
                <w:i/>
                <w:iCs/>
                <w:spacing w:val="-3"/>
                <w:kern w:val="0"/>
                <w:sz w:val="21"/>
                <w:szCs w:val="21"/>
              </w:rPr>
              <w:t xml:space="preserve"> </w:t>
            </w:r>
            <w:r>
              <w:rPr>
                <w:rFonts w:cs="Times New Roman"/>
                <w:i/>
                <w:iCs/>
                <w:kern w:val="0"/>
                <w:sz w:val="21"/>
                <w:szCs w:val="21"/>
              </w:rPr>
              <w:t>totanus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鹤鹬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Tringa</w:t>
            </w:r>
            <w:r>
              <w:rPr>
                <w:rFonts w:cs="Times New Roman"/>
                <w:i/>
                <w:iCs/>
                <w:spacing w:val="-5"/>
                <w:kern w:val="0"/>
                <w:sz w:val="21"/>
                <w:szCs w:val="21"/>
              </w:rPr>
              <w:t xml:space="preserve"> </w:t>
            </w:r>
            <w:r>
              <w:rPr>
                <w:rFonts w:cs="Times New Roman"/>
                <w:i/>
                <w:iCs/>
                <w:kern w:val="0"/>
                <w:sz w:val="21"/>
                <w:szCs w:val="21"/>
              </w:rPr>
              <w:t>erythropus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泽鹬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Tringa</w:t>
            </w:r>
            <w:r>
              <w:rPr>
                <w:rFonts w:cs="Times New Roman"/>
                <w:i/>
                <w:iCs/>
                <w:spacing w:val="-4"/>
                <w:kern w:val="0"/>
                <w:sz w:val="21"/>
                <w:szCs w:val="21"/>
              </w:rPr>
              <w:t xml:space="preserve"> </w:t>
            </w:r>
            <w:r>
              <w:rPr>
                <w:rFonts w:cs="Times New Roman"/>
                <w:i/>
                <w:iCs/>
                <w:kern w:val="0"/>
                <w:sz w:val="21"/>
                <w:szCs w:val="21"/>
              </w:rPr>
              <w:t>stagnatilis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林鹬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Tringa</w:t>
            </w:r>
            <w:r>
              <w:rPr>
                <w:rFonts w:cs="Times New Roman"/>
                <w:i/>
                <w:iCs/>
                <w:spacing w:val="-4"/>
                <w:kern w:val="0"/>
                <w:sz w:val="21"/>
                <w:szCs w:val="21"/>
              </w:rPr>
              <w:t xml:space="preserve"> </w:t>
            </w:r>
            <w:r>
              <w:rPr>
                <w:rFonts w:cs="Times New Roman"/>
                <w:i/>
                <w:iCs/>
                <w:kern w:val="0"/>
                <w:sz w:val="21"/>
                <w:szCs w:val="21"/>
              </w:rPr>
              <w:t>glareola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青脚鹬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Tringa</w:t>
            </w:r>
            <w:r>
              <w:rPr>
                <w:rFonts w:cs="Times New Roman"/>
                <w:i/>
                <w:iCs/>
                <w:spacing w:val="-3"/>
                <w:kern w:val="0"/>
                <w:sz w:val="21"/>
                <w:szCs w:val="21"/>
              </w:rPr>
              <w:t xml:space="preserve"> </w:t>
            </w:r>
            <w:r>
              <w:rPr>
                <w:rFonts w:cs="Times New Roman"/>
                <w:i/>
                <w:iCs/>
                <w:kern w:val="0"/>
                <w:sz w:val="21"/>
                <w:szCs w:val="21"/>
              </w:rPr>
              <w:t>nebularia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94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白腰草鹬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Tringa</w:t>
            </w:r>
            <w:r>
              <w:rPr>
                <w:rFonts w:cs="Times New Roman"/>
                <w:i/>
                <w:iCs/>
                <w:spacing w:val="-4"/>
                <w:kern w:val="0"/>
                <w:sz w:val="21"/>
                <w:szCs w:val="21"/>
              </w:rPr>
              <w:t xml:space="preserve"> </w:t>
            </w:r>
            <w:r>
              <w:rPr>
                <w:rFonts w:cs="Times New Roman"/>
                <w:i/>
                <w:iCs/>
                <w:kern w:val="0"/>
                <w:sz w:val="21"/>
                <w:szCs w:val="21"/>
              </w:rPr>
              <w:t>ochropus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矶鹬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Actitis</w:t>
            </w:r>
            <w:r>
              <w:rPr>
                <w:rFonts w:cs="Times New Roman"/>
                <w:i/>
                <w:iCs/>
                <w:spacing w:val="-1"/>
                <w:kern w:val="0"/>
                <w:sz w:val="21"/>
                <w:szCs w:val="21"/>
              </w:rPr>
              <w:t xml:space="preserve"> </w:t>
            </w:r>
            <w:r>
              <w:rPr>
                <w:rFonts w:cs="Times New Roman"/>
                <w:i/>
                <w:iCs/>
                <w:kern w:val="0"/>
                <w:sz w:val="21"/>
                <w:szCs w:val="21"/>
              </w:rPr>
              <w:t>hypoleucos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翘嘴鹬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Xenus</w:t>
            </w:r>
            <w:r>
              <w:rPr>
                <w:rFonts w:cs="Times New Roman"/>
                <w:i/>
                <w:iCs/>
                <w:spacing w:val="-2"/>
                <w:kern w:val="0"/>
                <w:sz w:val="21"/>
                <w:szCs w:val="21"/>
              </w:rPr>
              <w:t xml:space="preserve"> </w:t>
            </w:r>
            <w:r>
              <w:rPr>
                <w:rFonts w:cs="Times New Roman"/>
                <w:i/>
                <w:iCs/>
                <w:kern w:val="0"/>
                <w:sz w:val="21"/>
                <w:szCs w:val="21"/>
              </w:rPr>
              <w:t>cinereus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97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翻石鹬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2" w:firstLine="0" w:firstLineChars="0"/>
              <w:jc w:val="center"/>
              <w:rPr>
                <w:rFonts w:cs="Times New Roman"/>
                <w:i/>
                <w:iCs/>
                <w:kern w:val="0"/>
                <w:sz w:val="21"/>
                <w:szCs w:val="21"/>
              </w:rPr>
            </w:pPr>
            <w:r>
              <w:rPr>
                <w:rFonts w:cs="Times New Roman"/>
                <w:i/>
                <w:iCs/>
                <w:kern w:val="0"/>
                <w:sz w:val="21"/>
                <w:szCs w:val="21"/>
              </w:rPr>
              <w:t>Arenaria</w:t>
            </w:r>
            <w:r>
              <w:rPr>
                <w:rFonts w:cs="Times New Roman"/>
                <w:i/>
                <w:iCs/>
                <w:spacing w:val="-4"/>
                <w:kern w:val="0"/>
                <w:sz w:val="21"/>
                <w:szCs w:val="21"/>
              </w:rPr>
              <w:t xml:space="preserve"> </w:t>
            </w:r>
            <w:r>
              <w:rPr>
                <w:rFonts w:cs="Times New Roman"/>
                <w:i/>
                <w:iCs/>
                <w:kern w:val="0"/>
                <w:sz w:val="21"/>
                <w:szCs w:val="21"/>
              </w:rPr>
              <w:t>interpres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扇尾沙锥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Gallinago</w:t>
            </w:r>
            <w:r>
              <w:rPr>
                <w:rFonts w:cs="Times New Roman"/>
                <w:i/>
                <w:iCs/>
                <w:spacing w:val="-2"/>
                <w:kern w:val="0"/>
                <w:sz w:val="21"/>
                <w:szCs w:val="21"/>
              </w:rPr>
              <w:t xml:space="preserve"> </w:t>
            </w:r>
            <w:r>
              <w:rPr>
                <w:rFonts w:cs="Times New Roman"/>
                <w:i/>
                <w:iCs/>
                <w:kern w:val="0"/>
                <w:sz w:val="21"/>
                <w:szCs w:val="21"/>
              </w:rPr>
              <w:t>gallinago</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99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针尾沙锥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Gallinago</w:t>
            </w:r>
            <w:r>
              <w:rPr>
                <w:rFonts w:cs="Times New Roman"/>
                <w:i/>
                <w:iCs/>
                <w:spacing w:val="-1"/>
                <w:kern w:val="0"/>
                <w:sz w:val="21"/>
                <w:szCs w:val="21"/>
              </w:rPr>
              <w:t xml:space="preserve"> </w:t>
            </w:r>
            <w:r>
              <w:rPr>
                <w:rFonts w:cs="Times New Roman"/>
                <w:i/>
                <w:iCs/>
                <w:kern w:val="0"/>
                <w:sz w:val="21"/>
                <w:szCs w:val="21"/>
              </w:rPr>
              <w:t>stemura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100</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小滨鹬</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Calidris</w:t>
            </w:r>
            <w:r>
              <w:rPr>
                <w:rFonts w:cs="Times New Roman"/>
                <w:i/>
                <w:iCs/>
                <w:spacing w:val="-1"/>
                <w:kern w:val="0"/>
                <w:sz w:val="21"/>
                <w:szCs w:val="21"/>
              </w:rPr>
              <w:t xml:space="preserve"> </w:t>
            </w:r>
            <w:r>
              <w:rPr>
                <w:rFonts w:cs="Times New Roman"/>
                <w:i/>
                <w:iCs/>
                <w:kern w:val="0"/>
                <w:sz w:val="21"/>
                <w:szCs w:val="21"/>
              </w:rPr>
              <w:t>minuta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101</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青脚滨鹬</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5" w:firstLine="0" w:firstLineChars="0"/>
              <w:jc w:val="center"/>
              <w:rPr>
                <w:rFonts w:cs="Times New Roman"/>
                <w:i/>
                <w:iCs/>
                <w:kern w:val="0"/>
                <w:sz w:val="21"/>
                <w:szCs w:val="21"/>
              </w:rPr>
            </w:pPr>
            <w:r>
              <w:rPr>
                <w:rFonts w:cs="Times New Roman"/>
                <w:i/>
                <w:iCs/>
                <w:kern w:val="0"/>
                <w:sz w:val="21"/>
                <w:szCs w:val="21"/>
              </w:rPr>
              <w:t>Calidris</w:t>
            </w:r>
            <w:r>
              <w:rPr>
                <w:rFonts w:cs="Times New Roman"/>
                <w:i/>
                <w:iCs/>
                <w:spacing w:val="-1"/>
                <w:kern w:val="0"/>
                <w:sz w:val="21"/>
                <w:szCs w:val="21"/>
              </w:rPr>
              <w:t xml:space="preserve"> </w:t>
            </w:r>
            <w:r>
              <w:rPr>
                <w:rFonts w:cs="Times New Roman"/>
                <w:i/>
                <w:iCs/>
                <w:kern w:val="0"/>
                <w:sz w:val="21"/>
                <w:szCs w:val="21"/>
              </w:rPr>
              <w:t>temminckii</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102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弯嘴滨鹬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Calidris</w:t>
            </w:r>
            <w:r>
              <w:rPr>
                <w:rFonts w:cs="Times New Roman"/>
                <w:i/>
                <w:iCs/>
                <w:spacing w:val="-1"/>
                <w:kern w:val="0"/>
                <w:sz w:val="21"/>
                <w:szCs w:val="21"/>
              </w:rPr>
              <w:t xml:space="preserve"> </w:t>
            </w:r>
            <w:r>
              <w:rPr>
                <w:rFonts w:cs="Times New Roman"/>
                <w:i/>
                <w:iCs/>
                <w:kern w:val="0"/>
                <w:sz w:val="21"/>
                <w:szCs w:val="21"/>
              </w:rPr>
              <w:t>ferruginea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103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黑腹滨鹬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Calidris</w:t>
            </w:r>
            <w:r>
              <w:rPr>
                <w:rFonts w:cs="Times New Roman"/>
                <w:i/>
                <w:iCs/>
                <w:spacing w:val="-1"/>
                <w:kern w:val="0"/>
                <w:sz w:val="21"/>
                <w:szCs w:val="21"/>
              </w:rPr>
              <w:t xml:space="preserve"> </w:t>
            </w:r>
            <w:r>
              <w:rPr>
                <w:rFonts w:cs="Times New Roman"/>
                <w:i/>
                <w:iCs/>
                <w:kern w:val="0"/>
                <w:sz w:val="21"/>
                <w:szCs w:val="21"/>
              </w:rPr>
              <w:t>alpina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104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流苏鹬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Philomachus</w:t>
            </w:r>
            <w:r>
              <w:rPr>
                <w:rFonts w:cs="Times New Roman"/>
                <w:i/>
                <w:iCs/>
                <w:spacing w:val="-2"/>
                <w:kern w:val="0"/>
                <w:sz w:val="21"/>
                <w:szCs w:val="21"/>
              </w:rPr>
              <w:t xml:space="preserve"> </w:t>
            </w:r>
            <w:r>
              <w:rPr>
                <w:rFonts w:cs="Times New Roman"/>
                <w:i/>
                <w:iCs/>
                <w:kern w:val="0"/>
                <w:sz w:val="21"/>
                <w:szCs w:val="21"/>
              </w:rPr>
              <w:t>pugnax</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（十八）</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反嘴鹬科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Recurvirostridae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105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黑翅长脚鹬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Himantopus</w:t>
            </w:r>
            <w:r>
              <w:rPr>
                <w:rFonts w:cs="Times New Roman"/>
                <w:i/>
                <w:iCs/>
                <w:spacing w:val="-4"/>
                <w:kern w:val="0"/>
                <w:sz w:val="21"/>
                <w:szCs w:val="21"/>
              </w:rPr>
              <w:t xml:space="preserve"> </w:t>
            </w:r>
            <w:r>
              <w:rPr>
                <w:rFonts w:cs="Times New Roman"/>
                <w:i/>
                <w:iCs/>
                <w:kern w:val="0"/>
                <w:sz w:val="21"/>
                <w:szCs w:val="21"/>
              </w:rPr>
              <w:t>himantopus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106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反嘴鹬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Recurvirostra</w:t>
            </w:r>
            <w:r>
              <w:rPr>
                <w:rFonts w:cs="Times New Roman"/>
                <w:i/>
                <w:iCs/>
                <w:spacing w:val="-5"/>
                <w:kern w:val="0"/>
                <w:sz w:val="21"/>
                <w:szCs w:val="21"/>
              </w:rPr>
              <w:t xml:space="preserve"> </w:t>
            </w:r>
            <w:r>
              <w:rPr>
                <w:rFonts w:cs="Times New Roman"/>
                <w:i/>
                <w:iCs/>
                <w:kern w:val="0"/>
                <w:sz w:val="21"/>
                <w:szCs w:val="21"/>
              </w:rPr>
              <w:t>avosetta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（十九）</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瓣蹼鹬科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Phalaropodidae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107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红颈瓣蹼鹬</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Phalaropus</w:t>
            </w:r>
            <w:r>
              <w:rPr>
                <w:rFonts w:cs="Times New Roman"/>
                <w:i/>
                <w:iCs/>
                <w:spacing w:val="-2"/>
                <w:kern w:val="0"/>
                <w:sz w:val="21"/>
                <w:szCs w:val="21"/>
              </w:rPr>
              <w:t xml:space="preserve"> </w:t>
            </w:r>
            <w:r>
              <w:rPr>
                <w:rFonts w:cs="Times New Roman"/>
                <w:i/>
                <w:iCs/>
                <w:kern w:val="0"/>
                <w:sz w:val="21"/>
                <w:szCs w:val="21"/>
              </w:rPr>
              <w:t>lobatus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石鸻科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Burhinidae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108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欧石鸻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6" w:firstLine="0" w:firstLineChars="0"/>
              <w:jc w:val="center"/>
              <w:rPr>
                <w:rFonts w:cs="Times New Roman"/>
                <w:i/>
                <w:iCs/>
                <w:kern w:val="0"/>
                <w:sz w:val="21"/>
                <w:szCs w:val="21"/>
              </w:rPr>
            </w:pPr>
            <w:r>
              <w:rPr>
                <w:rFonts w:cs="Times New Roman"/>
                <w:i/>
                <w:iCs/>
                <w:kern w:val="0"/>
                <w:sz w:val="21"/>
                <w:szCs w:val="21"/>
              </w:rPr>
              <w:t>Burhimus</w:t>
            </w:r>
            <w:r>
              <w:rPr>
                <w:rFonts w:cs="Times New Roman"/>
                <w:i/>
                <w:iCs/>
                <w:spacing w:val="-4"/>
                <w:kern w:val="0"/>
                <w:sz w:val="21"/>
                <w:szCs w:val="21"/>
              </w:rPr>
              <w:t xml:space="preserve"> </w:t>
            </w:r>
            <w:r>
              <w:rPr>
                <w:rFonts w:cs="Times New Roman"/>
                <w:i/>
                <w:iCs/>
                <w:kern w:val="0"/>
                <w:sz w:val="21"/>
                <w:szCs w:val="21"/>
              </w:rPr>
              <w:t>oedicnemius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（二十一）</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燕鸻科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Glareolidae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109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领燕鸻</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Glareola</w:t>
            </w:r>
            <w:r>
              <w:rPr>
                <w:rFonts w:cs="Times New Roman"/>
                <w:i/>
                <w:iCs/>
                <w:spacing w:val="-5"/>
                <w:kern w:val="0"/>
                <w:sz w:val="21"/>
                <w:szCs w:val="21"/>
              </w:rPr>
              <w:t xml:space="preserve"> </w:t>
            </w:r>
            <w:r>
              <w:rPr>
                <w:rFonts w:cs="Times New Roman"/>
                <w:i/>
                <w:iCs/>
                <w:kern w:val="0"/>
                <w:sz w:val="21"/>
                <w:szCs w:val="21"/>
              </w:rPr>
              <w:t>pratincola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九</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鸥形目</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Lariformes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（二十二）</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鸥科</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3" w:firstLine="0" w:firstLineChars="0"/>
              <w:jc w:val="center"/>
              <w:rPr>
                <w:rFonts w:cs="Times New Roman"/>
                <w:i/>
                <w:iCs/>
                <w:kern w:val="0"/>
                <w:sz w:val="21"/>
                <w:szCs w:val="21"/>
              </w:rPr>
            </w:pPr>
            <w:r>
              <w:rPr>
                <w:rFonts w:cs="Times New Roman"/>
                <w:i/>
                <w:iCs/>
                <w:kern w:val="0"/>
                <w:sz w:val="21"/>
                <w:szCs w:val="21"/>
              </w:rPr>
              <w:t>Laridae</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110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海鸥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Larus</w:t>
            </w:r>
            <w:r>
              <w:rPr>
                <w:rFonts w:cs="Times New Roman"/>
                <w:i/>
                <w:iCs/>
                <w:spacing w:val="-2"/>
                <w:kern w:val="0"/>
                <w:sz w:val="21"/>
                <w:szCs w:val="21"/>
              </w:rPr>
              <w:t xml:space="preserve"> </w:t>
            </w:r>
            <w:r>
              <w:rPr>
                <w:rFonts w:cs="Times New Roman"/>
                <w:i/>
                <w:iCs/>
                <w:kern w:val="0"/>
                <w:sz w:val="21"/>
                <w:szCs w:val="21"/>
              </w:rPr>
              <w:t>canus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111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灰林银鸥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Lanus</w:t>
            </w:r>
            <w:r>
              <w:rPr>
                <w:rFonts w:cs="Times New Roman"/>
                <w:i/>
                <w:iCs/>
                <w:spacing w:val="-1"/>
                <w:kern w:val="0"/>
                <w:sz w:val="21"/>
                <w:szCs w:val="21"/>
              </w:rPr>
              <w:t xml:space="preserve"> </w:t>
            </w:r>
            <w:r>
              <w:rPr>
                <w:rFonts w:cs="Times New Roman"/>
                <w:i/>
                <w:iCs/>
                <w:kern w:val="0"/>
                <w:sz w:val="21"/>
                <w:szCs w:val="21"/>
              </w:rPr>
              <w:t>heuglini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112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黄脚银鸥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Lanus</w:t>
            </w:r>
            <w:r>
              <w:rPr>
                <w:rFonts w:cs="Times New Roman"/>
                <w:i/>
                <w:iCs/>
                <w:spacing w:val="-1"/>
                <w:kern w:val="0"/>
                <w:sz w:val="21"/>
                <w:szCs w:val="21"/>
              </w:rPr>
              <w:t xml:space="preserve"> </w:t>
            </w:r>
            <w:r>
              <w:rPr>
                <w:rFonts w:cs="Times New Roman"/>
                <w:i/>
                <w:iCs/>
                <w:kern w:val="0"/>
                <w:sz w:val="21"/>
                <w:szCs w:val="21"/>
              </w:rPr>
              <w:t>cachinnans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113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遗鸥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Larus</w:t>
            </w:r>
            <w:r>
              <w:rPr>
                <w:rFonts w:cs="Times New Roman"/>
                <w:i/>
                <w:iCs/>
                <w:spacing w:val="-3"/>
                <w:kern w:val="0"/>
                <w:sz w:val="21"/>
                <w:szCs w:val="21"/>
              </w:rPr>
              <w:t xml:space="preserve"> </w:t>
            </w:r>
            <w:r>
              <w:rPr>
                <w:rFonts w:cs="Times New Roman"/>
                <w:i/>
                <w:iCs/>
                <w:kern w:val="0"/>
                <w:sz w:val="21"/>
                <w:szCs w:val="21"/>
              </w:rPr>
              <w:t>relicnus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Ⅰ</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NT</w:t>
            </w:r>
            <w:r>
              <w:rPr>
                <w:rFonts w:cs="Times New Roman"/>
                <w:spacing w:val="-4"/>
                <w:kern w:val="0"/>
                <w:sz w:val="21"/>
                <w:szCs w:val="21"/>
              </w:rPr>
              <w:t xml:space="preserve"> </w:t>
            </w:r>
            <w:r>
              <w:rPr>
                <w:rFonts w:ascii="宋体" w:hAnsi="宋体" w:eastAsia="宋体" w:cs="宋体"/>
                <w:kern w:val="0"/>
                <w:sz w:val="21"/>
                <w:szCs w:val="21"/>
              </w:rPr>
              <w:t>Ⅰ</w:t>
            </w: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114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渔鸥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Larus</w:t>
            </w:r>
            <w:r>
              <w:rPr>
                <w:rFonts w:cs="Times New Roman"/>
                <w:i/>
                <w:iCs/>
                <w:spacing w:val="-2"/>
                <w:kern w:val="0"/>
                <w:sz w:val="21"/>
                <w:szCs w:val="21"/>
              </w:rPr>
              <w:t xml:space="preserve"> </w:t>
            </w:r>
            <w:r>
              <w:rPr>
                <w:rFonts w:cs="Times New Roman"/>
                <w:i/>
                <w:iCs/>
                <w:kern w:val="0"/>
                <w:sz w:val="21"/>
                <w:szCs w:val="21"/>
              </w:rPr>
              <w:t>ichthyaetus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115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红嘴鸥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Larus</w:t>
            </w:r>
            <w:r>
              <w:rPr>
                <w:rFonts w:cs="Times New Roman"/>
                <w:i/>
                <w:iCs/>
                <w:spacing w:val="-2"/>
                <w:kern w:val="0"/>
                <w:sz w:val="21"/>
                <w:szCs w:val="21"/>
              </w:rPr>
              <w:t xml:space="preserve"> </w:t>
            </w:r>
            <w:r>
              <w:rPr>
                <w:rFonts w:cs="Times New Roman"/>
                <w:i/>
                <w:iCs/>
                <w:kern w:val="0"/>
                <w:sz w:val="21"/>
                <w:szCs w:val="21"/>
              </w:rPr>
              <w:t>ridibunclus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116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小鸥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Larus</w:t>
            </w:r>
            <w:r>
              <w:rPr>
                <w:rFonts w:cs="Times New Roman"/>
                <w:i/>
                <w:iCs/>
                <w:spacing w:val="-4"/>
                <w:kern w:val="0"/>
                <w:sz w:val="21"/>
                <w:szCs w:val="21"/>
              </w:rPr>
              <w:t xml:space="preserve"> </w:t>
            </w:r>
            <w:r>
              <w:rPr>
                <w:rFonts w:cs="Times New Roman"/>
                <w:i/>
                <w:iCs/>
                <w:kern w:val="0"/>
                <w:sz w:val="21"/>
                <w:szCs w:val="21"/>
              </w:rPr>
              <w:t>mimutus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（二十三）</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燕鸥科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Sternidae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117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须浮鸥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Chlidonias</w:t>
            </w:r>
            <w:r>
              <w:rPr>
                <w:rFonts w:cs="Times New Roman"/>
                <w:i/>
                <w:iCs/>
                <w:spacing w:val="-1"/>
                <w:kern w:val="0"/>
                <w:sz w:val="21"/>
                <w:szCs w:val="21"/>
              </w:rPr>
              <w:t xml:space="preserve"> </w:t>
            </w:r>
            <w:r>
              <w:rPr>
                <w:rFonts w:cs="Times New Roman"/>
                <w:i/>
                <w:iCs/>
                <w:kern w:val="0"/>
                <w:sz w:val="21"/>
                <w:szCs w:val="21"/>
              </w:rPr>
              <w:t>hybrida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118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白翅浮鸥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6" w:firstLine="0" w:firstLineChars="0"/>
              <w:jc w:val="center"/>
              <w:rPr>
                <w:rFonts w:cs="Times New Roman"/>
                <w:i/>
                <w:iCs/>
                <w:kern w:val="0"/>
                <w:sz w:val="21"/>
                <w:szCs w:val="21"/>
              </w:rPr>
            </w:pPr>
            <w:r>
              <w:rPr>
                <w:rFonts w:cs="Times New Roman"/>
                <w:i/>
                <w:iCs/>
                <w:kern w:val="0"/>
                <w:sz w:val="21"/>
                <w:szCs w:val="21"/>
              </w:rPr>
              <w:t>Childonias</w:t>
            </w:r>
            <w:r>
              <w:rPr>
                <w:rFonts w:cs="Times New Roman"/>
                <w:i/>
                <w:iCs/>
                <w:spacing w:val="-1"/>
                <w:kern w:val="0"/>
                <w:sz w:val="21"/>
                <w:szCs w:val="21"/>
              </w:rPr>
              <w:t xml:space="preserve"> </w:t>
            </w:r>
            <w:r>
              <w:rPr>
                <w:rFonts w:cs="Times New Roman"/>
                <w:i/>
                <w:iCs/>
                <w:kern w:val="0"/>
                <w:sz w:val="21"/>
                <w:szCs w:val="21"/>
              </w:rPr>
              <w:t>leucoptera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119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黑浮鸥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Chlidonias</w:t>
            </w:r>
            <w:r>
              <w:rPr>
                <w:rFonts w:cs="Times New Roman"/>
                <w:i/>
                <w:iCs/>
                <w:spacing w:val="-1"/>
                <w:kern w:val="0"/>
                <w:sz w:val="21"/>
                <w:szCs w:val="21"/>
              </w:rPr>
              <w:t xml:space="preserve"> </w:t>
            </w:r>
            <w:r>
              <w:rPr>
                <w:rFonts w:cs="Times New Roman"/>
                <w:i/>
                <w:iCs/>
                <w:kern w:val="0"/>
                <w:sz w:val="21"/>
                <w:szCs w:val="21"/>
              </w:rPr>
              <w:t>niger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120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鸥嘴噪鸥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Gelochelidon</w:t>
            </w:r>
            <w:r>
              <w:rPr>
                <w:rFonts w:cs="Times New Roman"/>
                <w:i/>
                <w:iCs/>
                <w:spacing w:val="-2"/>
                <w:kern w:val="0"/>
                <w:sz w:val="21"/>
                <w:szCs w:val="21"/>
              </w:rPr>
              <w:t xml:space="preserve"> </w:t>
            </w:r>
            <w:r>
              <w:rPr>
                <w:rFonts w:cs="Times New Roman"/>
                <w:i/>
                <w:iCs/>
                <w:kern w:val="0"/>
                <w:sz w:val="21"/>
                <w:szCs w:val="21"/>
              </w:rPr>
              <w:t>nilotica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121</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红嘴巨鸥</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Hydroprogne</w:t>
            </w:r>
            <w:r>
              <w:rPr>
                <w:rFonts w:cs="Times New Roman"/>
                <w:i/>
                <w:iCs/>
                <w:spacing w:val="-4"/>
                <w:kern w:val="0"/>
                <w:sz w:val="21"/>
                <w:szCs w:val="21"/>
              </w:rPr>
              <w:t xml:space="preserve"> </w:t>
            </w:r>
            <w:r>
              <w:rPr>
                <w:rFonts w:cs="Times New Roman"/>
                <w:i/>
                <w:iCs/>
                <w:kern w:val="0"/>
                <w:sz w:val="21"/>
                <w:szCs w:val="21"/>
              </w:rPr>
              <w:t>cuspic</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122</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普通燕鸥</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3" w:firstLine="0" w:firstLineChars="0"/>
              <w:jc w:val="center"/>
              <w:rPr>
                <w:rFonts w:cs="Times New Roman"/>
                <w:i/>
                <w:iCs/>
                <w:kern w:val="0"/>
                <w:sz w:val="21"/>
                <w:szCs w:val="21"/>
              </w:rPr>
            </w:pPr>
            <w:r>
              <w:rPr>
                <w:rFonts w:cs="Times New Roman"/>
                <w:i/>
                <w:iCs/>
                <w:kern w:val="0"/>
                <w:sz w:val="21"/>
                <w:szCs w:val="21"/>
              </w:rPr>
              <w:t>Sterna</w:t>
            </w:r>
            <w:r>
              <w:rPr>
                <w:rFonts w:cs="Times New Roman"/>
                <w:i/>
                <w:iCs/>
                <w:spacing w:val="-1"/>
                <w:kern w:val="0"/>
                <w:sz w:val="21"/>
                <w:szCs w:val="21"/>
              </w:rPr>
              <w:t xml:space="preserve"> </w:t>
            </w:r>
            <w:r>
              <w:rPr>
                <w:rFonts w:cs="Times New Roman"/>
                <w:i/>
                <w:iCs/>
                <w:kern w:val="0"/>
                <w:sz w:val="21"/>
                <w:szCs w:val="21"/>
              </w:rPr>
              <w:t>hirundo</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123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白额燕鸥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2" w:firstLine="0" w:firstLineChars="0"/>
              <w:jc w:val="center"/>
              <w:rPr>
                <w:rFonts w:cs="Times New Roman"/>
                <w:i/>
                <w:iCs/>
                <w:kern w:val="0"/>
                <w:sz w:val="21"/>
                <w:szCs w:val="21"/>
              </w:rPr>
            </w:pPr>
            <w:r>
              <w:rPr>
                <w:rFonts w:cs="Times New Roman"/>
                <w:i/>
                <w:iCs/>
                <w:kern w:val="0"/>
                <w:sz w:val="21"/>
                <w:szCs w:val="21"/>
              </w:rPr>
              <w:t>Sterna</w:t>
            </w:r>
            <w:r>
              <w:rPr>
                <w:rFonts w:cs="Times New Roman"/>
                <w:i/>
                <w:iCs/>
                <w:spacing w:val="-2"/>
                <w:kern w:val="0"/>
                <w:sz w:val="21"/>
                <w:szCs w:val="21"/>
              </w:rPr>
              <w:t xml:space="preserve"> </w:t>
            </w:r>
            <w:r>
              <w:rPr>
                <w:rFonts w:cs="Times New Roman"/>
                <w:i/>
                <w:iCs/>
                <w:kern w:val="0"/>
                <w:sz w:val="21"/>
                <w:szCs w:val="21"/>
              </w:rPr>
              <w:t>albifrons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沙鸡目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Pteroclidiformes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（二十四）</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沙鸡科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Pteroclididae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124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毛腿沙鸡</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Syrrhaptes</w:t>
            </w:r>
            <w:r>
              <w:rPr>
                <w:rFonts w:cs="Times New Roman"/>
                <w:i/>
                <w:iCs/>
                <w:spacing w:val="-2"/>
                <w:kern w:val="0"/>
                <w:sz w:val="21"/>
                <w:szCs w:val="21"/>
              </w:rPr>
              <w:t xml:space="preserve"> </w:t>
            </w:r>
            <w:r>
              <w:rPr>
                <w:rFonts w:cs="Times New Roman"/>
                <w:i/>
                <w:iCs/>
                <w:kern w:val="0"/>
                <w:sz w:val="21"/>
                <w:szCs w:val="21"/>
              </w:rPr>
              <w:t>paradoxus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十一</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鸽形目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Columbiformes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（二十五）</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鸠鸽科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Columbidae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125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原鸽</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Columba</w:t>
            </w:r>
            <w:r>
              <w:rPr>
                <w:rFonts w:cs="Times New Roman"/>
                <w:i/>
                <w:iCs/>
                <w:spacing w:val="-1"/>
                <w:kern w:val="0"/>
                <w:sz w:val="21"/>
                <w:szCs w:val="21"/>
              </w:rPr>
              <w:t xml:space="preserve"> </w:t>
            </w:r>
            <w:r>
              <w:rPr>
                <w:rFonts w:cs="Times New Roman"/>
                <w:i/>
                <w:iCs/>
                <w:kern w:val="0"/>
                <w:sz w:val="21"/>
                <w:szCs w:val="21"/>
              </w:rPr>
              <w:t>livia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126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欧鸽</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Columba</w:t>
            </w:r>
            <w:r>
              <w:rPr>
                <w:rFonts w:cs="Times New Roman"/>
                <w:i/>
                <w:iCs/>
                <w:spacing w:val="-1"/>
                <w:kern w:val="0"/>
                <w:sz w:val="21"/>
                <w:szCs w:val="21"/>
              </w:rPr>
              <w:t xml:space="preserve"> </w:t>
            </w:r>
            <w:r>
              <w:rPr>
                <w:rFonts w:cs="Times New Roman"/>
                <w:i/>
                <w:iCs/>
                <w:kern w:val="0"/>
                <w:sz w:val="21"/>
                <w:szCs w:val="21"/>
              </w:rPr>
              <w:t>oenas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127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中亚鸽</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Columba</w:t>
            </w:r>
            <w:r>
              <w:rPr>
                <w:rFonts w:cs="Times New Roman"/>
                <w:i/>
                <w:iCs/>
                <w:spacing w:val="-1"/>
                <w:kern w:val="0"/>
                <w:sz w:val="21"/>
                <w:szCs w:val="21"/>
              </w:rPr>
              <w:t xml:space="preserve"> </w:t>
            </w:r>
            <w:r>
              <w:rPr>
                <w:rFonts w:cs="Times New Roman"/>
                <w:i/>
                <w:iCs/>
                <w:kern w:val="0"/>
                <w:sz w:val="21"/>
                <w:szCs w:val="21"/>
              </w:rPr>
              <w:t>eversmanni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128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斑尾林鸽</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3" w:firstLine="0" w:firstLineChars="0"/>
              <w:jc w:val="center"/>
              <w:rPr>
                <w:rFonts w:cs="Times New Roman"/>
                <w:i/>
                <w:iCs/>
                <w:kern w:val="0"/>
                <w:sz w:val="21"/>
                <w:szCs w:val="21"/>
              </w:rPr>
            </w:pPr>
            <w:r>
              <w:rPr>
                <w:rFonts w:cs="Times New Roman"/>
                <w:i/>
                <w:iCs/>
                <w:kern w:val="0"/>
                <w:sz w:val="21"/>
                <w:szCs w:val="21"/>
              </w:rPr>
              <w:t>Columba</w:t>
            </w:r>
            <w:r>
              <w:rPr>
                <w:rFonts w:cs="Times New Roman"/>
                <w:i/>
                <w:iCs/>
                <w:spacing w:val="-1"/>
                <w:kern w:val="0"/>
                <w:sz w:val="21"/>
                <w:szCs w:val="21"/>
              </w:rPr>
              <w:t xml:space="preserve"> </w:t>
            </w:r>
            <w:r>
              <w:rPr>
                <w:rFonts w:cs="Times New Roman"/>
                <w:i/>
                <w:iCs/>
                <w:kern w:val="0"/>
                <w:sz w:val="21"/>
                <w:szCs w:val="21"/>
              </w:rPr>
              <w:t>pulumbus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129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山斑鸠</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Streptopelia</w:t>
            </w:r>
            <w:r>
              <w:rPr>
                <w:rFonts w:cs="Times New Roman"/>
                <w:i/>
                <w:iCs/>
                <w:spacing w:val="-3"/>
                <w:kern w:val="0"/>
                <w:sz w:val="21"/>
                <w:szCs w:val="21"/>
              </w:rPr>
              <w:t xml:space="preserve"> </w:t>
            </w:r>
            <w:r>
              <w:rPr>
                <w:rFonts w:cs="Times New Roman"/>
                <w:i/>
                <w:iCs/>
                <w:kern w:val="0"/>
                <w:sz w:val="21"/>
                <w:szCs w:val="21"/>
              </w:rPr>
              <w:t>orientals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130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灰斑鸠</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Streptopelia</w:t>
            </w:r>
            <w:r>
              <w:rPr>
                <w:rFonts w:cs="Times New Roman"/>
                <w:i/>
                <w:iCs/>
                <w:spacing w:val="-3"/>
                <w:kern w:val="0"/>
                <w:sz w:val="21"/>
                <w:szCs w:val="21"/>
              </w:rPr>
              <w:t xml:space="preserve"> </w:t>
            </w:r>
            <w:r>
              <w:rPr>
                <w:rFonts w:cs="Times New Roman"/>
                <w:i/>
                <w:iCs/>
                <w:kern w:val="0"/>
                <w:sz w:val="21"/>
                <w:szCs w:val="21"/>
              </w:rPr>
              <w:t>decaocto</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131</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欧斑鸠</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Streptopelia</w:t>
            </w:r>
            <w:r>
              <w:rPr>
                <w:rFonts w:cs="Times New Roman"/>
                <w:i/>
                <w:iCs/>
                <w:spacing w:val="-3"/>
                <w:kern w:val="0"/>
                <w:sz w:val="21"/>
                <w:szCs w:val="21"/>
              </w:rPr>
              <w:t xml:space="preserve"> </w:t>
            </w:r>
            <w:r>
              <w:rPr>
                <w:rFonts w:cs="Times New Roman"/>
                <w:i/>
                <w:iCs/>
                <w:kern w:val="0"/>
                <w:sz w:val="21"/>
                <w:szCs w:val="21"/>
              </w:rPr>
              <w:t>turtur</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132</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棕斑鸠</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5" w:firstLine="0" w:firstLineChars="0"/>
              <w:jc w:val="center"/>
              <w:rPr>
                <w:rFonts w:cs="Times New Roman"/>
                <w:i/>
                <w:iCs/>
                <w:kern w:val="0"/>
                <w:sz w:val="21"/>
                <w:szCs w:val="21"/>
              </w:rPr>
            </w:pPr>
            <w:r>
              <w:rPr>
                <w:rFonts w:cs="Times New Roman"/>
                <w:i/>
                <w:iCs/>
                <w:kern w:val="0"/>
                <w:sz w:val="21"/>
                <w:szCs w:val="21"/>
              </w:rPr>
              <w:t>Streptopelia</w:t>
            </w:r>
            <w:r>
              <w:rPr>
                <w:rFonts w:cs="Times New Roman"/>
                <w:i/>
                <w:iCs/>
                <w:spacing w:val="-3"/>
                <w:kern w:val="0"/>
                <w:sz w:val="21"/>
                <w:szCs w:val="21"/>
              </w:rPr>
              <w:t xml:space="preserve"> </w:t>
            </w:r>
            <w:r>
              <w:rPr>
                <w:rFonts w:cs="Times New Roman"/>
                <w:i/>
                <w:iCs/>
                <w:kern w:val="0"/>
                <w:sz w:val="21"/>
                <w:szCs w:val="21"/>
              </w:rPr>
              <w:t>senegalensis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十二</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鹃行目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Cuculiformes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（二十六）</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杜鹃科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Cuculidae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133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大杜鹃</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Cuculus canorus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十三</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鸮形目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Strigiformes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（二十七）</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鸱鸮科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Strigidae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134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红角鸮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Otus scops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135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雕鸮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Bubo</w:t>
            </w:r>
            <w:r>
              <w:rPr>
                <w:rFonts w:cs="Times New Roman"/>
                <w:i/>
                <w:iCs/>
                <w:spacing w:val="-2"/>
                <w:kern w:val="0"/>
                <w:sz w:val="21"/>
                <w:szCs w:val="21"/>
              </w:rPr>
              <w:t xml:space="preserve"> </w:t>
            </w:r>
            <w:r>
              <w:rPr>
                <w:rFonts w:cs="Times New Roman"/>
                <w:i/>
                <w:iCs/>
                <w:kern w:val="0"/>
                <w:sz w:val="21"/>
                <w:szCs w:val="21"/>
              </w:rPr>
              <w:t>bubo</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136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纵纹腹小鸮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Athene noctua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137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长耳鸮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Asio otus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138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短耳鸮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2" w:firstLine="0" w:firstLineChars="0"/>
              <w:jc w:val="center"/>
              <w:rPr>
                <w:rFonts w:cs="Times New Roman"/>
                <w:i/>
                <w:iCs/>
                <w:kern w:val="0"/>
                <w:sz w:val="21"/>
                <w:szCs w:val="21"/>
              </w:rPr>
            </w:pPr>
            <w:r>
              <w:rPr>
                <w:rFonts w:cs="Times New Roman"/>
                <w:i/>
                <w:iCs/>
                <w:kern w:val="0"/>
                <w:sz w:val="21"/>
                <w:szCs w:val="21"/>
              </w:rPr>
              <w:t>Asioflammeus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ascii="宋体" w:hAnsi="宋体" w:eastAsia="宋体" w:cs="宋体"/>
                <w:kern w:val="0"/>
                <w:sz w:val="22"/>
              </w:rPr>
              <w:t>Ⅱ</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十四</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夜鹰目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Caprimulgiformes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（二十八）</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夜鹰科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Caprimulgidae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139</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欧夜鹰</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Caprimulgus</w:t>
            </w:r>
            <w:r>
              <w:rPr>
                <w:rFonts w:cs="Times New Roman"/>
                <w:i/>
                <w:iCs/>
                <w:spacing w:val="-3"/>
                <w:kern w:val="0"/>
                <w:sz w:val="21"/>
                <w:szCs w:val="21"/>
              </w:rPr>
              <w:t xml:space="preserve"> </w:t>
            </w:r>
            <w:r>
              <w:rPr>
                <w:rFonts w:cs="Times New Roman"/>
                <w:i/>
                <w:iCs/>
                <w:kern w:val="0"/>
                <w:sz w:val="21"/>
                <w:szCs w:val="21"/>
              </w:rPr>
              <w:t>europaeus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十五</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雨燕目</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3" w:firstLine="0" w:firstLineChars="0"/>
              <w:jc w:val="center"/>
              <w:rPr>
                <w:rFonts w:cs="Times New Roman"/>
                <w:i/>
                <w:iCs/>
                <w:kern w:val="0"/>
                <w:sz w:val="21"/>
                <w:szCs w:val="21"/>
              </w:rPr>
            </w:pPr>
            <w:r>
              <w:rPr>
                <w:rFonts w:cs="Times New Roman"/>
                <w:i/>
                <w:iCs/>
                <w:kern w:val="0"/>
                <w:sz w:val="21"/>
                <w:szCs w:val="21"/>
              </w:rPr>
              <w:t>Apodiformes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（二十九）</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雨燕科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Apodidae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140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普通楼燕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Apus apus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十六</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佛法僧目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Coraciiformes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翠鸟科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Alcedinidae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141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普通翠鸟</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Alcedo</w:t>
            </w:r>
            <w:r>
              <w:rPr>
                <w:rFonts w:cs="Times New Roman"/>
                <w:i/>
                <w:iCs/>
                <w:spacing w:val="-1"/>
                <w:kern w:val="0"/>
                <w:sz w:val="21"/>
                <w:szCs w:val="21"/>
              </w:rPr>
              <w:t xml:space="preserve"> </w:t>
            </w:r>
            <w:r>
              <w:rPr>
                <w:rFonts w:cs="Times New Roman"/>
                <w:i/>
                <w:iCs/>
                <w:kern w:val="0"/>
                <w:sz w:val="21"/>
                <w:szCs w:val="21"/>
              </w:rPr>
              <w:t>atthis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（三十一）</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蜂虎科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Meropidae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142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黄喉蜂虎</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Merops</w:t>
            </w:r>
            <w:r>
              <w:rPr>
                <w:rFonts w:cs="Times New Roman"/>
                <w:i/>
                <w:iCs/>
                <w:spacing w:val="-2"/>
                <w:kern w:val="0"/>
                <w:sz w:val="21"/>
                <w:szCs w:val="21"/>
              </w:rPr>
              <w:t xml:space="preserve"> </w:t>
            </w:r>
            <w:r>
              <w:rPr>
                <w:rFonts w:cs="Times New Roman"/>
                <w:i/>
                <w:iCs/>
                <w:kern w:val="0"/>
                <w:sz w:val="21"/>
                <w:szCs w:val="21"/>
              </w:rPr>
              <w:t>apiaster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（三十二）</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佛法僧科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Coraciidae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143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蓝胸佛法僧</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Coracias</w:t>
            </w:r>
            <w:r>
              <w:rPr>
                <w:rFonts w:cs="Times New Roman"/>
                <w:i/>
                <w:iCs/>
                <w:spacing w:val="-1"/>
                <w:kern w:val="0"/>
                <w:sz w:val="21"/>
                <w:szCs w:val="21"/>
              </w:rPr>
              <w:t xml:space="preserve"> </w:t>
            </w:r>
            <w:r>
              <w:rPr>
                <w:rFonts w:cs="Times New Roman"/>
                <w:i/>
                <w:iCs/>
                <w:kern w:val="0"/>
                <w:sz w:val="21"/>
                <w:szCs w:val="21"/>
              </w:rPr>
              <w:t>garrulus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（三十三）</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戴胜科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3" w:firstLine="0" w:firstLineChars="0"/>
              <w:jc w:val="center"/>
              <w:rPr>
                <w:rFonts w:cs="Times New Roman"/>
                <w:i/>
                <w:iCs/>
                <w:kern w:val="0"/>
                <w:sz w:val="21"/>
                <w:szCs w:val="21"/>
              </w:rPr>
            </w:pPr>
            <w:r>
              <w:rPr>
                <w:rFonts w:cs="Times New Roman"/>
                <w:i/>
                <w:iCs/>
                <w:kern w:val="0"/>
                <w:sz w:val="21"/>
                <w:szCs w:val="21"/>
              </w:rPr>
              <w:t>Upupidae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144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戴胜</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Upupa epops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十七</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䴕形目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Piciformes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（三十四）</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啄木鸟科</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Picidae</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145</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白翅啄木鸟</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644" w:firstLine="0" w:firstLineChars="0"/>
              <w:jc w:val="right"/>
              <w:rPr>
                <w:rFonts w:cs="Times New Roman"/>
                <w:i/>
                <w:iCs/>
                <w:kern w:val="0"/>
                <w:sz w:val="21"/>
                <w:szCs w:val="21"/>
              </w:rPr>
            </w:pPr>
            <w:r>
              <w:rPr>
                <w:rFonts w:cs="Times New Roman"/>
                <w:i/>
                <w:iCs/>
                <w:kern w:val="0"/>
                <w:sz w:val="21"/>
                <w:szCs w:val="21"/>
              </w:rPr>
              <w:t>Dendrocopos</w:t>
            </w:r>
            <w:r>
              <w:rPr>
                <w:rFonts w:cs="Times New Roman"/>
                <w:i/>
                <w:iCs/>
                <w:spacing w:val="-3"/>
                <w:kern w:val="0"/>
                <w:sz w:val="21"/>
                <w:szCs w:val="21"/>
              </w:rPr>
              <w:t xml:space="preserve"> </w:t>
            </w:r>
            <w:r>
              <w:rPr>
                <w:rFonts w:cs="Times New Roman"/>
                <w:i/>
                <w:iCs/>
                <w:kern w:val="0"/>
                <w:sz w:val="21"/>
                <w:szCs w:val="21"/>
              </w:rPr>
              <w:t>leucopterus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ascii="宋体" w:hAnsi="宋体" w:eastAsia="宋体" w:cs="宋体"/>
                <w:kern w:val="0"/>
                <w:sz w:val="21"/>
                <w:szCs w:val="21"/>
              </w:rPr>
              <w:t>Ⅱ</w:t>
            </w: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146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蚁鴷</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i/>
                <w:iCs/>
                <w:kern w:val="0"/>
                <w:sz w:val="21"/>
                <w:szCs w:val="21"/>
              </w:rPr>
            </w:pPr>
            <w:r>
              <w:rPr>
                <w:rFonts w:cs="Times New Roman"/>
                <w:i/>
                <w:iCs/>
                <w:kern w:val="0"/>
                <w:sz w:val="21"/>
                <w:szCs w:val="21"/>
              </w:rPr>
              <w:t>Jynx</w:t>
            </w:r>
            <w:r>
              <w:rPr>
                <w:rFonts w:cs="Times New Roman"/>
                <w:i/>
                <w:iCs/>
                <w:spacing w:val="-2"/>
                <w:kern w:val="0"/>
                <w:sz w:val="21"/>
                <w:szCs w:val="21"/>
              </w:rPr>
              <w:t xml:space="preserve"> </w:t>
            </w:r>
            <w:r>
              <w:rPr>
                <w:rFonts w:cs="Times New Roman"/>
                <w:i/>
                <w:iCs/>
                <w:kern w:val="0"/>
                <w:sz w:val="21"/>
                <w:szCs w:val="21"/>
              </w:rPr>
              <w:t>torquilla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十八</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b/>
                <w:bCs/>
                <w:kern w:val="0"/>
                <w:sz w:val="21"/>
                <w:szCs w:val="21"/>
              </w:rPr>
            </w:pPr>
            <w:r>
              <w:rPr>
                <w:rFonts w:hint="eastAsia" w:ascii="仿宋" w:eastAsia="仿宋" w:cs="仿宋"/>
                <w:b/>
                <w:bCs/>
                <w:kern w:val="0"/>
                <w:sz w:val="21"/>
                <w:szCs w:val="21"/>
              </w:rPr>
              <w:t>雀形目</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Passeriformes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（三十五）</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百灵科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Alaudidae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147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短趾百灵</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593" w:firstLine="0" w:firstLineChars="0"/>
              <w:jc w:val="right"/>
              <w:rPr>
                <w:rFonts w:cs="Times New Roman"/>
                <w:i/>
                <w:iCs/>
                <w:kern w:val="0"/>
                <w:sz w:val="21"/>
                <w:szCs w:val="21"/>
              </w:rPr>
            </w:pPr>
            <w:r>
              <w:rPr>
                <w:rFonts w:cs="Times New Roman"/>
                <w:i/>
                <w:iCs/>
                <w:kern w:val="0"/>
                <w:sz w:val="21"/>
                <w:szCs w:val="21"/>
              </w:rPr>
              <w:t>Calandrella</w:t>
            </w:r>
            <w:r>
              <w:rPr>
                <w:rFonts w:cs="Times New Roman"/>
                <w:i/>
                <w:iCs/>
                <w:spacing w:val="-3"/>
                <w:kern w:val="0"/>
                <w:sz w:val="21"/>
                <w:szCs w:val="21"/>
              </w:rPr>
              <w:t xml:space="preserve"> </w:t>
            </w:r>
            <w:r>
              <w:rPr>
                <w:rFonts w:cs="Times New Roman"/>
                <w:i/>
                <w:iCs/>
                <w:kern w:val="0"/>
                <w:sz w:val="21"/>
                <w:szCs w:val="21"/>
              </w:rPr>
              <w:t>brachydactyla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148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二斑百灵</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611" w:firstLine="0" w:firstLineChars="0"/>
              <w:jc w:val="right"/>
              <w:rPr>
                <w:rFonts w:cs="Times New Roman"/>
                <w:i/>
                <w:iCs/>
                <w:kern w:val="0"/>
                <w:sz w:val="21"/>
                <w:szCs w:val="21"/>
              </w:rPr>
            </w:pPr>
            <w:r>
              <w:rPr>
                <w:rFonts w:cs="Times New Roman"/>
                <w:i/>
                <w:iCs/>
                <w:kern w:val="0"/>
                <w:sz w:val="21"/>
                <w:szCs w:val="21"/>
              </w:rPr>
              <w:t>Melanocorypha</w:t>
            </w:r>
            <w:r>
              <w:rPr>
                <w:rFonts w:cs="Times New Roman"/>
                <w:i/>
                <w:iCs/>
                <w:spacing w:val="-1"/>
                <w:kern w:val="0"/>
                <w:sz w:val="21"/>
                <w:szCs w:val="21"/>
              </w:rPr>
              <w:t xml:space="preserve"> </w:t>
            </w:r>
            <w:r>
              <w:rPr>
                <w:rFonts w:cs="Times New Roman"/>
                <w:i/>
                <w:iCs/>
                <w:kern w:val="0"/>
                <w:sz w:val="21"/>
                <w:szCs w:val="21"/>
              </w:rPr>
              <w:t>bimaculat</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149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亚洲短趾百灵</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Calandrella</w:t>
            </w:r>
            <w:r>
              <w:rPr>
                <w:rFonts w:cs="Times New Roman"/>
                <w:i/>
                <w:iCs/>
                <w:spacing w:val="-3"/>
                <w:kern w:val="0"/>
                <w:sz w:val="21"/>
                <w:szCs w:val="21"/>
              </w:rPr>
              <w:t xml:space="preserve"> </w:t>
            </w:r>
            <w:r>
              <w:rPr>
                <w:rFonts w:cs="Times New Roman"/>
                <w:i/>
                <w:iCs/>
                <w:kern w:val="0"/>
                <w:sz w:val="21"/>
                <w:szCs w:val="21"/>
              </w:rPr>
              <w:t>cheleensis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150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黑百灵</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603" w:firstLine="0" w:firstLineChars="0"/>
              <w:jc w:val="right"/>
              <w:rPr>
                <w:rFonts w:cs="Times New Roman"/>
                <w:i/>
                <w:iCs/>
                <w:kern w:val="0"/>
                <w:sz w:val="21"/>
                <w:szCs w:val="21"/>
              </w:rPr>
            </w:pPr>
            <w:r>
              <w:rPr>
                <w:rFonts w:cs="Times New Roman"/>
                <w:i/>
                <w:iCs/>
                <w:kern w:val="0"/>
                <w:sz w:val="21"/>
                <w:szCs w:val="21"/>
              </w:rPr>
              <w:t>Melanocorypha</w:t>
            </w:r>
            <w:r>
              <w:rPr>
                <w:rFonts w:cs="Times New Roman"/>
                <w:i/>
                <w:iCs/>
                <w:spacing w:val="-1"/>
                <w:kern w:val="0"/>
                <w:sz w:val="21"/>
                <w:szCs w:val="21"/>
              </w:rPr>
              <w:t xml:space="preserve"> </w:t>
            </w:r>
            <w:r>
              <w:rPr>
                <w:rFonts w:cs="Times New Roman"/>
                <w:i/>
                <w:iCs/>
                <w:kern w:val="0"/>
                <w:sz w:val="21"/>
                <w:szCs w:val="21"/>
              </w:rPr>
              <w:t>yeltoniens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151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风头百灵</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Galerida</w:t>
            </w:r>
            <w:r>
              <w:rPr>
                <w:rFonts w:cs="Times New Roman"/>
                <w:i/>
                <w:iCs/>
                <w:spacing w:val="-1"/>
                <w:kern w:val="0"/>
                <w:sz w:val="21"/>
                <w:szCs w:val="21"/>
              </w:rPr>
              <w:t xml:space="preserve"> </w:t>
            </w:r>
            <w:r>
              <w:rPr>
                <w:rFonts w:cs="Times New Roman"/>
                <w:i/>
                <w:iCs/>
                <w:kern w:val="0"/>
                <w:sz w:val="21"/>
                <w:szCs w:val="21"/>
              </w:rPr>
              <w:t>cristata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152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云雀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Alauda</w:t>
            </w:r>
            <w:r>
              <w:rPr>
                <w:rFonts w:cs="Times New Roman"/>
                <w:i/>
                <w:iCs/>
                <w:spacing w:val="-3"/>
                <w:kern w:val="0"/>
                <w:sz w:val="21"/>
                <w:szCs w:val="21"/>
              </w:rPr>
              <w:t xml:space="preserve"> </w:t>
            </w:r>
            <w:r>
              <w:rPr>
                <w:rFonts w:cs="Times New Roman"/>
                <w:i/>
                <w:iCs/>
                <w:kern w:val="0"/>
                <w:sz w:val="21"/>
                <w:szCs w:val="21"/>
              </w:rPr>
              <w:t>arvensis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153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角百灵</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i/>
                <w:iCs/>
                <w:kern w:val="0"/>
                <w:sz w:val="21"/>
                <w:szCs w:val="21"/>
              </w:rPr>
            </w:pPr>
            <w:r>
              <w:rPr>
                <w:rFonts w:cs="Times New Roman"/>
                <w:i/>
                <w:iCs/>
                <w:kern w:val="0"/>
                <w:sz w:val="21"/>
                <w:szCs w:val="21"/>
              </w:rPr>
              <w:t>Eremophila</w:t>
            </w:r>
            <w:r>
              <w:rPr>
                <w:rFonts w:cs="Times New Roman"/>
                <w:i/>
                <w:iCs/>
                <w:spacing w:val="-4"/>
                <w:kern w:val="0"/>
                <w:sz w:val="21"/>
                <w:szCs w:val="21"/>
              </w:rPr>
              <w:t xml:space="preserve"> </w:t>
            </w:r>
            <w:r>
              <w:rPr>
                <w:rFonts w:cs="Times New Roman"/>
                <w:i/>
                <w:iCs/>
                <w:kern w:val="0"/>
                <w:sz w:val="21"/>
                <w:szCs w:val="21"/>
              </w:rPr>
              <w:t>alpestris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（三十六）</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燕科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Hirundinidae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154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崖沙燕</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Riparia</w:t>
            </w:r>
            <w:r>
              <w:rPr>
                <w:rFonts w:cs="Times New Roman"/>
                <w:i/>
                <w:iCs/>
                <w:spacing w:val="-1"/>
                <w:kern w:val="0"/>
                <w:sz w:val="21"/>
                <w:szCs w:val="21"/>
              </w:rPr>
              <w:t xml:space="preserve"> </w:t>
            </w:r>
            <w:r>
              <w:rPr>
                <w:rFonts w:cs="Times New Roman"/>
                <w:i/>
                <w:iCs/>
                <w:kern w:val="0"/>
                <w:sz w:val="21"/>
                <w:szCs w:val="21"/>
              </w:rPr>
              <w:t>diluta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155</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家燕</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Hirundo</w:t>
            </w:r>
            <w:r>
              <w:rPr>
                <w:rFonts w:cs="Times New Roman"/>
                <w:i/>
                <w:iCs/>
                <w:spacing w:val="-5"/>
                <w:kern w:val="0"/>
                <w:sz w:val="21"/>
                <w:szCs w:val="21"/>
              </w:rPr>
              <w:t xml:space="preserve"> </w:t>
            </w:r>
            <w:r>
              <w:rPr>
                <w:rFonts w:cs="Times New Roman"/>
                <w:i/>
                <w:iCs/>
                <w:kern w:val="0"/>
                <w:sz w:val="21"/>
                <w:szCs w:val="21"/>
              </w:rPr>
              <w:t>rustica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156</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毛脚燕</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6" w:firstLine="0" w:firstLineChars="0"/>
              <w:jc w:val="center"/>
              <w:rPr>
                <w:rFonts w:cs="Times New Roman"/>
                <w:i/>
                <w:iCs/>
                <w:kern w:val="0"/>
                <w:sz w:val="21"/>
                <w:szCs w:val="21"/>
              </w:rPr>
            </w:pPr>
            <w:r>
              <w:rPr>
                <w:rFonts w:cs="Times New Roman"/>
                <w:i/>
                <w:iCs/>
                <w:kern w:val="0"/>
                <w:sz w:val="21"/>
                <w:szCs w:val="21"/>
              </w:rPr>
              <w:t>Delichon</w:t>
            </w:r>
            <w:r>
              <w:rPr>
                <w:rFonts w:cs="Times New Roman"/>
                <w:i/>
                <w:iCs/>
                <w:spacing w:val="-4"/>
                <w:kern w:val="0"/>
                <w:sz w:val="21"/>
                <w:szCs w:val="21"/>
              </w:rPr>
              <w:t xml:space="preserve"> </w:t>
            </w:r>
            <w:r>
              <w:rPr>
                <w:rFonts w:cs="Times New Roman"/>
                <w:i/>
                <w:iCs/>
                <w:kern w:val="0"/>
                <w:sz w:val="21"/>
                <w:szCs w:val="21"/>
              </w:rPr>
              <w:t>urbicum</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ST</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（三十七）</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鹡鸰科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Motacilldae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157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黄鹡鸰</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Motacilla</w:t>
            </w:r>
            <w:r>
              <w:rPr>
                <w:rFonts w:cs="Times New Roman"/>
                <w:i/>
                <w:iCs/>
                <w:spacing w:val="-2"/>
                <w:kern w:val="0"/>
                <w:sz w:val="21"/>
                <w:szCs w:val="21"/>
              </w:rPr>
              <w:t xml:space="preserve"> </w:t>
            </w:r>
            <w:r>
              <w:rPr>
                <w:rFonts w:cs="Times New Roman"/>
                <w:i/>
                <w:iCs/>
                <w:kern w:val="0"/>
                <w:sz w:val="21"/>
                <w:szCs w:val="21"/>
              </w:rPr>
              <w:t>flava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158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黄头鹡鸰</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Motacilla</w:t>
            </w:r>
            <w:r>
              <w:rPr>
                <w:rFonts w:cs="Times New Roman"/>
                <w:i/>
                <w:iCs/>
                <w:spacing w:val="-3"/>
                <w:kern w:val="0"/>
                <w:sz w:val="21"/>
                <w:szCs w:val="21"/>
              </w:rPr>
              <w:t xml:space="preserve"> </w:t>
            </w:r>
            <w:r>
              <w:rPr>
                <w:rFonts w:cs="Times New Roman"/>
                <w:i/>
                <w:iCs/>
                <w:kern w:val="0"/>
                <w:sz w:val="21"/>
                <w:szCs w:val="21"/>
              </w:rPr>
              <w:t>citreola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159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灰鹡鸰</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Motacilla</w:t>
            </w:r>
            <w:r>
              <w:rPr>
                <w:rFonts w:cs="Times New Roman"/>
                <w:i/>
                <w:iCs/>
                <w:spacing w:val="-3"/>
                <w:kern w:val="0"/>
                <w:sz w:val="21"/>
                <w:szCs w:val="21"/>
              </w:rPr>
              <w:t xml:space="preserve"> </w:t>
            </w:r>
            <w:r>
              <w:rPr>
                <w:rFonts w:cs="Times New Roman"/>
                <w:i/>
                <w:iCs/>
                <w:kern w:val="0"/>
                <w:sz w:val="21"/>
                <w:szCs w:val="21"/>
              </w:rPr>
              <w:t>cinerea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160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白鹡鸰</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Motacilla</w:t>
            </w:r>
            <w:r>
              <w:rPr>
                <w:rFonts w:cs="Times New Roman"/>
                <w:i/>
                <w:iCs/>
                <w:spacing w:val="-1"/>
                <w:kern w:val="0"/>
                <w:sz w:val="21"/>
                <w:szCs w:val="21"/>
              </w:rPr>
              <w:t xml:space="preserve"> </w:t>
            </w:r>
            <w:r>
              <w:rPr>
                <w:rFonts w:cs="Times New Roman"/>
                <w:i/>
                <w:iCs/>
                <w:kern w:val="0"/>
                <w:sz w:val="21"/>
                <w:szCs w:val="21"/>
              </w:rPr>
              <w:t>alba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161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平原鹨</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2"/>
                <w:kern w:val="0"/>
                <w:sz w:val="21"/>
                <w:szCs w:val="21"/>
              </w:rPr>
              <w:t xml:space="preserve"> </w:t>
            </w:r>
            <w:r>
              <w:rPr>
                <w:rFonts w:cs="Times New Roman"/>
                <w:i/>
                <w:iCs/>
                <w:kern w:val="0"/>
                <w:sz w:val="21"/>
                <w:szCs w:val="21"/>
              </w:rPr>
              <w:t>campestris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162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林鹨</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2"/>
                <w:kern w:val="0"/>
                <w:sz w:val="21"/>
                <w:szCs w:val="21"/>
              </w:rPr>
              <w:t xml:space="preserve"> </w:t>
            </w:r>
            <w:r>
              <w:rPr>
                <w:rFonts w:cs="Times New Roman"/>
                <w:i/>
                <w:iCs/>
                <w:kern w:val="0"/>
                <w:sz w:val="21"/>
                <w:szCs w:val="21"/>
              </w:rPr>
              <w:t>trivialis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163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树鹨</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1"/>
                <w:kern w:val="0"/>
                <w:sz w:val="21"/>
                <w:szCs w:val="21"/>
              </w:rPr>
              <w:t xml:space="preserve"> </w:t>
            </w:r>
            <w:r>
              <w:rPr>
                <w:rFonts w:cs="Times New Roman"/>
                <w:i/>
                <w:iCs/>
                <w:kern w:val="0"/>
                <w:sz w:val="21"/>
                <w:szCs w:val="21"/>
              </w:rPr>
              <w:t>hodlgson</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164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红喉鹨</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1"/>
                <w:kern w:val="0"/>
                <w:sz w:val="21"/>
                <w:szCs w:val="21"/>
              </w:rPr>
              <w:t xml:space="preserve"> </w:t>
            </w:r>
            <w:r>
              <w:rPr>
                <w:rFonts w:cs="Times New Roman"/>
                <w:i/>
                <w:iCs/>
                <w:kern w:val="0"/>
                <w:sz w:val="21"/>
                <w:szCs w:val="21"/>
              </w:rPr>
              <w:t>cervinus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165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粉红胸鹨</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5"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3"/>
                <w:kern w:val="0"/>
                <w:sz w:val="21"/>
                <w:szCs w:val="21"/>
              </w:rPr>
              <w:t xml:space="preserve"> </w:t>
            </w:r>
            <w:r>
              <w:rPr>
                <w:rFonts w:cs="Times New Roman"/>
                <w:i/>
                <w:iCs/>
                <w:kern w:val="0"/>
                <w:sz w:val="21"/>
                <w:szCs w:val="21"/>
              </w:rPr>
              <w:t>roseatus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P</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166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水鹨</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2"/>
                <w:kern w:val="0"/>
                <w:sz w:val="21"/>
                <w:szCs w:val="21"/>
              </w:rPr>
              <w:t xml:space="preserve"> </w:t>
            </w:r>
            <w:r>
              <w:rPr>
                <w:rFonts w:cs="Times New Roman"/>
                <w:i/>
                <w:iCs/>
                <w:kern w:val="0"/>
                <w:sz w:val="21"/>
                <w:szCs w:val="21"/>
              </w:rPr>
              <w:t>spinoletta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167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黄腹鹨</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1"/>
                <w:kern w:val="0"/>
                <w:sz w:val="21"/>
                <w:szCs w:val="21"/>
              </w:rPr>
              <w:t xml:space="preserve"> </w:t>
            </w:r>
            <w:r>
              <w:rPr>
                <w:rFonts w:cs="Times New Roman"/>
                <w:i/>
                <w:iCs/>
                <w:kern w:val="0"/>
                <w:sz w:val="21"/>
                <w:szCs w:val="21"/>
              </w:rPr>
              <w:t>rubescens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168</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理氏鹨</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4"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3"/>
                <w:kern w:val="0"/>
                <w:sz w:val="21"/>
                <w:szCs w:val="21"/>
              </w:rPr>
              <w:t xml:space="preserve"> </w:t>
            </w:r>
            <w:r>
              <w:rPr>
                <w:rFonts w:cs="Times New Roman"/>
                <w:i/>
                <w:iCs/>
                <w:kern w:val="0"/>
                <w:sz w:val="21"/>
                <w:szCs w:val="21"/>
              </w:rPr>
              <w:t>richardi</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169</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草地鹨</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6" w:firstLine="0" w:firstLineChars="0"/>
              <w:jc w:val="center"/>
              <w:rPr>
                <w:rFonts w:cs="Times New Roman"/>
                <w:i/>
                <w:iCs/>
                <w:kern w:val="0"/>
                <w:sz w:val="21"/>
                <w:szCs w:val="21"/>
              </w:rPr>
            </w:pPr>
            <w:r>
              <w:rPr>
                <w:rFonts w:cs="Times New Roman"/>
                <w:i/>
                <w:iCs/>
                <w:kern w:val="0"/>
                <w:sz w:val="21"/>
                <w:szCs w:val="21"/>
              </w:rPr>
              <w:t>Anthus</w:t>
            </w:r>
            <w:r>
              <w:rPr>
                <w:rFonts w:cs="Times New Roman"/>
                <w:i/>
                <w:iCs/>
                <w:spacing w:val="-1"/>
                <w:kern w:val="0"/>
                <w:sz w:val="21"/>
                <w:szCs w:val="21"/>
              </w:rPr>
              <w:t xml:space="preserve"> </w:t>
            </w:r>
            <w:r>
              <w:rPr>
                <w:rFonts w:cs="Times New Roman"/>
                <w:i/>
                <w:iCs/>
                <w:kern w:val="0"/>
                <w:sz w:val="21"/>
                <w:szCs w:val="21"/>
              </w:rPr>
              <w:t>pratensis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（三十八）</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太平鸟科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Bom bycillidae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太平鸟</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Bombycilla</w:t>
            </w:r>
            <w:r>
              <w:rPr>
                <w:rFonts w:cs="Times New Roman"/>
                <w:i/>
                <w:iCs/>
                <w:spacing w:val="-1"/>
                <w:kern w:val="0"/>
                <w:sz w:val="21"/>
                <w:szCs w:val="21"/>
              </w:rPr>
              <w:t xml:space="preserve"> </w:t>
            </w:r>
            <w:r>
              <w:rPr>
                <w:rFonts w:cs="Times New Roman"/>
                <w:i/>
                <w:iCs/>
                <w:kern w:val="0"/>
                <w:sz w:val="21"/>
                <w:szCs w:val="21"/>
              </w:rPr>
              <w:t>garrulus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（三十九）</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伯劳科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Laniidae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荒漠伯劳</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Lanius</w:t>
            </w:r>
            <w:r>
              <w:rPr>
                <w:rFonts w:cs="Times New Roman"/>
                <w:i/>
                <w:iCs/>
                <w:spacing w:val="-2"/>
                <w:kern w:val="0"/>
                <w:sz w:val="21"/>
                <w:szCs w:val="21"/>
              </w:rPr>
              <w:t xml:space="preserve"> </w:t>
            </w:r>
            <w:r>
              <w:rPr>
                <w:rFonts w:cs="Times New Roman"/>
                <w:i/>
                <w:iCs/>
                <w:kern w:val="0"/>
                <w:sz w:val="21"/>
                <w:szCs w:val="21"/>
              </w:rPr>
              <w:t>isabellinus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灰伯劳</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Lanius</w:t>
            </w:r>
            <w:r>
              <w:rPr>
                <w:rFonts w:cs="Times New Roman"/>
                <w:i/>
                <w:iCs/>
                <w:spacing w:val="-3"/>
                <w:kern w:val="0"/>
                <w:sz w:val="21"/>
                <w:szCs w:val="21"/>
              </w:rPr>
              <w:t xml:space="preserve"> </w:t>
            </w:r>
            <w:r>
              <w:rPr>
                <w:rFonts w:cs="Times New Roman"/>
                <w:i/>
                <w:iCs/>
                <w:kern w:val="0"/>
                <w:sz w:val="21"/>
                <w:szCs w:val="21"/>
              </w:rPr>
              <w:t>ercubitor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黑额伯劳</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Lanius</w:t>
            </w:r>
            <w:r>
              <w:rPr>
                <w:rFonts w:cs="Times New Roman"/>
                <w:i/>
                <w:iCs/>
                <w:spacing w:val="-3"/>
                <w:kern w:val="0"/>
                <w:sz w:val="21"/>
                <w:szCs w:val="21"/>
              </w:rPr>
              <w:t xml:space="preserve"> </w:t>
            </w:r>
            <w:r>
              <w:rPr>
                <w:rFonts w:cs="Times New Roman"/>
                <w:i/>
                <w:iCs/>
                <w:kern w:val="0"/>
                <w:sz w:val="21"/>
                <w:szCs w:val="21"/>
              </w:rPr>
              <w:t>minor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174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灰背伯劳</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Lanius</w:t>
            </w:r>
            <w:r>
              <w:rPr>
                <w:rFonts w:cs="Times New Roman"/>
                <w:i/>
                <w:iCs/>
                <w:spacing w:val="-2"/>
                <w:kern w:val="0"/>
                <w:sz w:val="21"/>
                <w:szCs w:val="21"/>
              </w:rPr>
              <w:t xml:space="preserve"> </w:t>
            </w:r>
            <w:r>
              <w:rPr>
                <w:rFonts w:cs="Times New Roman"/>
                <w:i/>
                <w:iCs/>
                <w:kern w:val="0"/>
                <w:sz w:val="21"/>
                <w:szCs w:val="21"/>
              </w:rPr>
              <w:t>tephronotus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SP</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棕尾伯劳</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Lanius</w:t>
            </w:r>
            <w:r>
              <w:rPr>
                <w:rFonts w:cs="Times New Roman"/>
                <w:i/>
                <w:iCs/>
                <w:spacing w:val="-2"/>
                <w:kern w:val="0"/>
                <w:sz w:val="21"/>
                <w:szCs w:val="21"/>
              </w:rPr>
              <w:t xml:space="preserve"> </w:t>
            </w:r>
            <w:r>
              <w:rPr>
                <w:rFonts w:cs="Times New Roman"/>
                <w:i/>
                <w:iCs/>
                <w:kern w:val="0"/>
                <w:sz w:val="21"/>
                <w:szCs w:val="21"/>
              </w:rPr>
              <w:t>isabellinus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棕背伯劳</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Lanius</w:t>
            </w:r>
            <w:r>
              <w:rPr>
                <w:rFonts w:cs="Times New Roman"/>
                <w:i/>
                <w:iCs/>
                <w:spacing w:val="-1"/>
                <w:kern w:val="0"/>
                <w:sz w:val="21"/>
                <w:szCs w:val="21"/>
              </w:rPr>
              <w:t xml:space="preserve"> </w:t>
            </w:r>
            <w:r>
              <w:rPr>
                <w:rFonts w:cs="Times New Roman"/>
                <w:i/>
                <w:iCs/>
                <w:kern w:val="0"/>
                <w:sz w:val="21"/>
                <w:szCs w:val="21"/>
              </w:rPr>
              <w:t>schach</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黄鹂科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6" w:firstLine="0" w:firstLineChars="0"/>
              <w:jc w:val="center"/>
              <w:rPr>
                <w:rFonts w:cs="Times New Roman"/>
                <w:i/>
                <w:iCs/>
                <w:kern w:val="0"/>
                <w:sz w:val="21"/>
                <w:szCs w:val="21"/>
              </w:rPr>
            </w:pPr>
            <w:r>
              <w:rPr>
                <w:rFonts w:cs="Times New Roman"/>
                <w:i/>
                <w:iCs/>
                <w:kern w:val="0"/>
                <w:sz w:val="21"/>
                <w:szCs w:val="21"/>
              </w:rPr>
              <w:t>Oriolidae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金黄鹂</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Oriolus</w:t>
            </w:r>
            <w:r>
              <w:rPr>
                <w:rFonts w:cs="Times New Roman"/>
                <w:i/>
                <w:iCs/>
                <w:spacing w:val="-1"/>
                <w:kern w:val="0"/>
                <w:sz w:val="21"/>
                <w:szCs w:val="21"/>
              </w:rPr>
              <w:t xml:space="preserve"> </w:t>
            </w:r>
            <w:r>
              <w:rPr>
                <w:rFonts w:cs="Times New Roman"/>
                <w:i/>
                <w:iCs/>
                <w:kern w:val="0"/>
                <w:sz w:val="21"/>
                <w:szCs w:val="21"/>
              </w:rPr>
              <w:t>oriolus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（四十一）</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椋鸟科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Sturnidae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178</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紫翅椋鸟</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Sturmus</w:t>
            </w:r>
            <w:r>
              <w:rPr>
                <w:rFonts w:cs="Times New Roman"/>
                <w:i/>
                <w:iCs/>
                <w:spacing w:val="-1"/>
                <w:kern w:val="0"/>
                <w:sz w:val="21"/>
                <w:szCs w:val="21"/>
              </w:rPr>
              <w:t xml:space="preserve"> </w:t>
            </w:r>
            <w:r>
              <w:rPr>
                <w:rFonts w:cs="Times New Roman"/>
                <w:i/>
                <w:iCs/>
                <w:kern w:val="0"/>
                <w:sz w:val="21"/>
                <w:szCs w:val="21"/>
              </w:rPr>
              <w:t>vulgaris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179</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粉红椋鸟</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5" w:firstLine="0" w:firstLineChars="0"/>
              <w:jc w:val="center"/>
              <w:rPr>
                <w:rFonts w:cs="Times New Roman"/>
                <w:i/>
                <w:iCs/>
                <w:kern w:val="0"/>
                <w:sz w:val="21"/>
                <w:szCs w:val="21"/>
              </w:rPr>
            </w:pPr>
            <w:r>
              <w:rPr>
                <w:rFonts w:cs="Times New Roman"/>
                <w:i/>
                <w:iCs/>
                <w:kern w:val="0"/>
                <w:sz w:val="21"/>
                <w:szCs w:val="21"/>
              </w:rPr>
              <w:t>Pastor</w:t>
            </w:r>
            <w:r>
              <w:rPr>
                <w:rFonts w:cs="Times New Roman"/>
                <w:i/>
                <w:iCs/>
                <w:spacing w:val="-2"/>
                <w:kern w:val="0"/>
                <w:sz w:val="21"/>
                <w:szCs w:val="21"/>
              </w:rPr>
              <w:t xml:space="preserve"> </w:t>
            </w:r>
            <w:r>
              <w:rPr>
                <w:rFonts w:cs="Times New Roman"/>
                <w:i/>
                <w:iCs/>
                <w:kern w:val="0"/>
                <w:sz w:val="21"/>
                <w:szCs w:val="21"/>
              </w:rPr>
              <w:t>roseus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180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家八哥</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Acridotheres</w:t>
            </w:r>
            <w:r>
              <w:rPr>
                <w:rFonts w:cs="Times New Roman"/>
                <w:i/>
                <w:iCs/>
                <w:spacing w:val="-4"/>
                <w:kern w:val="0"/>
                <w:sz w:val="21"/>
                <w:szCs w:val="21"/>
              </w:rPr>
              <w:t xml:space="preserve"> </w:t>
            </w:r>
            <w:r>
              <w:rPr>
                <w:rFonts w:cs="Times New Roman"/>
                <w:i/>
                <w:iCs/>
                <w:kern w:val="0"/>
                <w:sz w:val="21"/>
                <w:szCs w:val="21"/>
              </w:rPr>
              <w:t>tristis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W</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（四十二）</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鸦科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Corvidae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181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喜鹊</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Pica pica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LC</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182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小嘴乌鸦</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Corvus</w:t>
            </w:r>
            <w:r>
              <w:rPr>
                <w:rFonts w:cs="Times New Roman"/>
                <w:i/>
                <w:iCs/>
                <w:spacing w:val="-2"/>
                <w:kern w:val="0"/>
                <w:sz w:val="21"/>
                <w:szCs w:val="21"/>
              </w:rPr>
              <w:t xml:space="preserve"> </w:t>
            </w:r>
            <w:r>
              <w:rPr>
                <w:rFonts w:cs="Times New Roman"/>
                <w:i/>
                <w:iCs/>
                <w:kern w:val="0"/>
                <w:sz w:val="21"/>
                <w:szCs w:val="21"/>
              </w:rPr>
              <w:t>corone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183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秃鼻乌鸦</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Corvus</w:t>
            </w:r>
            <w:r>
              <w:rPr>
                <w:rFonts w:cs="Times New Roman"/>
                <w:i/>
                <w:iCs/>
                <w:spacing w:val="-1"/>
                <w:kern w:val="0"/>
                <w:sz w:val="21"/>
                <w:szCs w:val="21"/>
              </w:rPr>
              <w:t xml:space="preserve"> </w:t>
            </w:r>
            <w:r>
              <w:rPr>
                <w:rFonts w:cs="Times New Roman"/>
                <w:i/>
                <w:iCs/>
                <w:kern w:val="0"/>
                <w:sz w:val="21"/>
                <w:szCs w:val="21"/>
              </w:rPr>
              <w:t>frugilegus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184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渡鸦</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Corvus</w:t>
            </w:r>
            <w:r>
              <w:rPr>
                <w:rFonts w:cs="Times New Roman"/>
                <w:i/>
                <w:iCs/>
                <w:spacing w:val="-1"/>
                <w:kern w:val="0"/>
                <w:sz w:val="21"/>
                <w:szCs w:val="21"/>
              </w:rPr>
              <w:t xml:space="preserve"> </w:t>
            </w:r>
            <w:r>
              <w:rPr>
                <w:rFonts w:cs="Times New Roman"/>
                <w:i/>
                <w:iCs/>
                <w:kern w:val="0"/>
                <w:sz w:val="21"/>
                <w:szCs w:val="21"/>
              </w:rPr>
              <w:t>corax</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185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寒鸦</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Corvus</w:t>
            </w:r>
            <w:r>
              <w:rPr>
                <w:rFonts w:cs="Times New Roman"/>
                <w:i/>
                <w:iCs/>
                <w:spacing w:val="-3"/>
                <w:kern w:val="0"/>
                <w:sz w:val="21"/>
                <w:szCs w:val="21"/>
              </w:rPr>
              <w:t xml:space="preserve"> </w:t>
            </w:r>
            <w:r>
              <w:rPr>
                <w:rFonts w:cs="Times New Roman"/>
                <w:i/>
                <w:iCs/>
                <w:kern w:val="0"/>
                <w:sz w:val="21"/>
                <w:szCs w:val="21"/>
              </w:rPr>
              <w:t>monedula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（四十三）</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河乌科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Cinclidae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186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河乌</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Cinclus</w:t>
            </w:r>
            <w:r>
              <w:rPr>
                <w:rFonts w:cs="Times New Roman"/>
                <w:i/>
                <w:iCs/>
                <w:spacing w:val="-1"/>
                <w:kern w:val="0"/>
                <w:sz w:val="21"/>
                <w:szCs w:val="21"/>
              </w:rPr>
              <w:t xml:space="preserve"> </w:t>
            </w:r>
            <w:r>
              <w:rPr>
                <w:rFonts w:cs="Times New Roman"/>
                <w:i/>
                <w:iCs/>
                <w:kern w:val="0"/>
                <w:sz w:val="21"/>
                <w:szCs w:val="21"/>
              </w:rPr>
              <w:t>cinclus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（四十四）</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鹪鹩科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6" w:firstLine="0" w:firstLineChars="0"/>
              <w:jc w:val="center"/>
              <w:rPr>
                <w:rFonts w:cs="Times New Roman"/>
                <w:i/>
                <w:iCs/>
                <w:kern w:val="0"/>
                <w:sz w:val="21"/>
                <w:szCs w:val="21"/>
              </w:rPr>
            </w:pPr>
            <w:r>
              <w:rPr>
                <w:rFonts w:cs="Times New Roman"/>
                <w:i/>
                <w:iCs/>
                <w:kern w:val="0"/>
                <w:sz w:val="21"/>
                <w:szCs w:val="21"/>
              </w:rPr>
              <w:t>Troglodvtidae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187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鹪鹩</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Troglodytes</w:t>
            </w:r>
            <w:r>
              <w:rPr>
                <w:rFonts w:cs="Times New Roman"/>
                <w:i/>
                <w:iCs/>
                <w:spacing w:val="-7"/>
                <w:kern w:val="0"/>
                <w:sz w:val="21"/>
                <w:szCs w:val="21"/>
              </w:rPr>
              <w:t xml:space="preserve"> </w:t>
            </w:r>
            <w:r>
              <w:rPr>
                <w:rFonts w:cs="Times New Roman"/>
                <w:i/>
                <w:iCs/>
                <w:kern w:val="0"/>
                <w:sz w:val="21"/>
                <w:szCs w:val="21"/>
              </w:rPr>
              <w:t>troglodyte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（四十五）</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岩鹨科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Prunellidae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188</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黑喉岩鹨</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Prunella</w:t>
            </w:r>
            <w:r>
              <w:rPr>
                <w:rFonts w:cs="Times New Roman"/>
                <w:i/>
                <w:iCs/>
                <w:spacing w:val="-3"/>
                <w:kern w:val="0"/>
                <w:sz w:val="21"/>
                <w:szCs w:val="21"/>
              </w:rPr>
              <w:t xml:space="preserve"> </w:t>
            </w:r>
            <w:r>
              <w:rPr>
                <w:rFonts w:cs="Times New Roman"/>
                <w:i/>
                <w:iCs/>
                <w:kern w:val="0"/>
                <w:sz w:val="21"/>
                <w:szCs w:val="21"/>
              </w:rPr>
              <w:t>atrogularis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WR</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P</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189</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棕眉山岩鹨</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i/>
                <w:iCs/>
                <w:kern w:val="0"/>
                <w:sz w:val="21"/>
                <w:szCs w:val="21"/>
              </w:rPr>
            </w:pPr>
            <w:r>
              <w:rPr>
                <w:rFonts w:cs="Times New Roman"/>
                <w:i/>
                <w:iCs/>
                <w:kern w:val="0"/>
                <w:sz w:val="21"/>
                <w:szCs w:val="21"/>
              </w:rPr>
              <w:t>Prunella</w:t>
            </w:r>
            <w:r>
              <w:rPr>
                <w:rFonts w:cs="Times New Roman"/>
                <w:i/>
                <w:iCs/>
                <w:spacing w:val="-4"/>
                <w:kern w:val="0"/>
                <w:sz w:val="21"/>
                <w:szCs w:val="21"/>
              </w:rPr>
              <w:t xml:space="preserve"> </w:t>
            </w:r>
            <w:r>
              <w:rPr>
                <w:rFonts w:cs="Times New Roman"/>
                <w:i/>
                <w:iCs/>
                <w:kern w:val="0"/>
                <w:sz w:val="21"/>
                <w:szCs w:val="21"/>
              </w:rPr>
              <w:t>montanella</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MW</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（四十六）</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鸫科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Turdidae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欧亚鸲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Erithacus</w:t>
            </w:r>
            <w:r>
              <w:rPr>
                <w:rFonts w:cs="Times New Roman"/>
                <w:i/>
                <w:iCs/>
                <w:spacing w:val="-2"/>
                <w:kern w:val="0"/>
                <w:sz w:val="21"/>
                <w:szCs w:val="21"/>
              </w:rPr>
              <w:t xml:space="preserve"> </w:t>
            </w:r>
            <w:r>
              <w:rPr>
                <w:rFonts w:cs="Times New Roman"/>
                <w:i/>
                <w:iCs/>
                <w:kern w:val="0"/>
                <w:sz w:val="21"/>
                <w:szCs w:val="21"/>
              </w:rPr>
              <w:t>rubecula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新疆歌鸲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724" w:firstLine="0" w:firstLineChars="0"/>
              <w:jc w:val="right"/>
              <w:rPr>
                <w:rFonts w:cs="Times New Roman"/>
                <w:i/>
                <w:iCs/>
                <w:kern w:val="0"/>
                <w:sz w:val="21"/>
                <w:szCs w:val="21"/>
              </w:rPr>
            </w:pPr>
            <w:r>
              <w:rPr>
                <w:rFonts w:cs="Times New Roman"/>
                <w:i/>
                <w:iCs/>
                <w:kern w:val="0"/>
                <w:sz w:val="21"/>
                <w:szCs w:val="21"/>
              </w:rPr>
              <w:t>Luscinia</w:t>
            </w:r>
            <w:r>
              <w:rPr>
                <w:rFonts w:cs="Times New Roman"/>
                <w:i/>
                <w:iCs/>
                <w:spacing w:val="-2"/>
                <w:kern w:val="0"/>
                <w:sz w:val="21"/>
                <w:szCs w:val="21"/>
              </w:rPr>
              <w:t xml:space="preserve"> </w:t>
            </w:r>
            <w:r>
              <w:rPr>
                <w:rFonts w:cs="Times New Roman"/>
                <w:i/>
                <w:iCs/>
                <w:kern w:val="0"/>
                <w:sz w:val="21"/>
                <w:szCs w:val="21"/>
              </w:rPr>
              <w:t>megarhynchos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红喉歌鸲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Luscinia</w:t>
            </w:r>
            <w:r>
              <w:rPr>
                <w:rFonts w:cs="Times New Roman"/>
                <w:i/>
                <w:iCs/>
                <w:spacing w:val="-2"/>
                <w:kern w:val="0"/>
                <w:sz w:val="21"/>
                <w:szCs w:val="21"/>
              </w:rPr>
              <w:t xml:space="preserve"> </w:t>
            </w:r>
            <w:r>
              <w:rPr>
                <w:rFonts w:cs="Times New Roman"/>
                <w:i/>
                <w:iCs/>
                <w:kern w:val="0"/>
                <w:sz w:val="21"/>
                <w:szCs w:val="21"/>
              </w:rPr>
              <w:t>calliope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红肋蓝尾鸲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Tarsiger</w:t>
            </w:r>
            <w:r>
              <w:rPr>
                <w:rFonts w:cs="Times New Roman"/>
                <w:i/>
                <w:iCs/>
                <w:spacing w:val="-5"/>
                <w:kern w:val="0"/>
                <w:sz w:val="21"/>
                <w:szCs w:val="21"/>
              </w:rPr>
              <w:t xml:space="preserve"> </w:t>
            </w:r>
            <w:r>
              <w:rPr>
                <w:rFonts w:cs="Times New Roman"/>
                <w:i/>
                <w:iCs/>
                <w:kern w:val="0"/>
                <w:sz w:val="21"/>
                <w:szCs w:val="21"/>
              </w:rPr>
              <w:t>cyamurus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蓝头红尾鸲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656" w:firstLine="0" w:firstLineChars="0"/>
              <w:jc w:val="right"/>
              <w:rPr>
                <w:rFonts w:cs="Times New Roman"/>
                <w:i/>
                <w:iCs/>
                <w:kern w:val="0"/>
                <w:sz w:val="21"/>
                <w:szCs w:val="21"/>
              </w:rPr>
            </w:pPr>
            <w:r>
              <w:rPr>
                <w:rFonts w:cs="Times New Roman"/>
                <w:i/>
                <w:iCs/>
                <w:kern w:val="0"/>
                <w:sz w:val="21"/>
                <w:szCs w:val="21"/>
              </w:rPr>
              <w:t>Phoenicurus</w:t>
            </w:r>
            <w:r>
              <w:rPr>
                <w:rFonts w:cs="Times New Roman"/>
                <w:i/>
                <w:iCs/>
                <w:spacing w:val="-1"/>
                <w:kern w:val="0"/>
                <w:sz w:val="21"/>
                <w:szCs w:val="21"/>
              </w:rPr>
              <w:t xml:space="preserve"> </w:t>
            </w:r>
            <w:r>
              <w:rPr>
                <w:rFonts w:cs="Times New Roman"/>
                <w:i/>
                <w:iCs/>
                <w:kern w:val="0"/>
                <w:sz w:val="21"/>
                <w:szCs w:val="21"/>
              </w:rPr>
              <w:t>caeruleocey</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195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蓝喉歌鸲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i/>
                <w:iCs/>
                <w:kern w:val="0"/>
                <w:sz w:val="21"/>
                <w:szCs w:val="21"/>
              </w:rPr>
            </w:pPr>
            <w:r>
              <w:rPr>
                <w:rFonts w:cs="Times New Roman"/>
                <w:i/>
                <w:iCs/>
                <w:kern w:val="0"/>
                <w:sz w:val="21"/>
                <w:szCs w:val="21"/>
              </w:rPr>
              <w:t>Liscinia</w:t>
            </w:r>
            <w:r>
              <w:rPr>
                <w:rFonts w:cs="Times New Roman"/>
                <w:i/>
                <w:iCs/>
                <w:spacing w:val="-1"/>
                <w:kern w:val="0"/>
                <w:sz w:val="21"/>
                <w:szCs w:val="21"/>
              </w:rPr>
              <w:t xml:space="preserve"> </w:t>
            </w:r>
            <w:r>
              <w:rPr>
                <w:rFonts w:cs="Times New Roman"/>
                <w:i/>
                <w:iCs/>
                <w:kern w:val="0"/>
                <w:sz w:val="21"/>
                <w:szCs w:val="21"/>
              </w:rPr>
              <w:t>svecica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红背红尾鸲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725" w:firstLine="0" w:firstLineChars="0"/>
              <w:jc w:val="right"/>
              <w:rPr>
                <w:rFonts w:cs="Times New Roman"/>
                <w:i/>
                <w:iCs/>
                <w:kern w:val="0"/>
                <w:sz w:val="21"/>
                <w:szCs w:val="21"/>
              </w:rPr>
            </w:pPr>
            <w:r>
              <w:rPr>
                <w:rFonts w:cs="Times New Roman"/>
                <w:i/>
                <w:iCs/>
                <w:kern w:val="0"/>
                <w:sz w:val="21"/>
                <w:szCs w:val="21"/>
              </w:rPr>
              <w:t>Phoenicurus</w:t>
            </w:r>
            <w:r>
              <w:rPr>
                <w:rFonts w:cs="Times New Roman"/>
                <w:i/>
                <w:iCs/>
                <w:spacing w:val="-3"/>
                <w:kern w:val="0"/>
                <w:sz w:val="21"/>
                <w:szCs w:val="21"/>
              </w:rPr>
              <w:t xml:space="preserve"> </w:t>
            </w:r>
            <w:r>
              <w:rPr>
                <w:rFonts w:cs="Times New Roman"/>
                <w:i/>
                <w:iCs/>
                <w:kern w:val="0"/>
                <w:sz w:val="21"/>
                <w:szCs w:val="21"/>
              </w:rPr>
              <w:t>erythronot</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赭红尾鸲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Phoenicurus</w:t>
            </w:r>
            <w:r>
              <w:rPr>
                <w:rFonts w:cs="Times New Roman"/>
                <w:i/>
                <w:iCs/>
                <w:spacing w:val="-3"/>
                <w:kern w:val="0"/>
                <w:sz w:val="21"/>
                <w:szCs w:val="21"/>
              </w:rPr>
              <w:t xml:space="preserve"> </w:t>
            </w:r>
            <w:r>
              <w:rPr>
                <w:rFonts w:cs="Times New Roman"/>
                <w:i/>
                <w:iCs/>
                <w:kern w:val="0"/>
                <w:sz w:val="21"/>
                <w:szCs w:val="21"/>
              </w:rPr>
              <w:t>ochruros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198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欧亚红尾鸲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686" w:firstLine="0" w:firstLineChars="0"/>
              <w:jc w:val="right"/>
              <w:rPr>
                <w:rFonts w:cs="Times New Roman"/>
                <w:i/>
                <w:iCs/>
                <w:kern w:val="0"/>
                <w:sz w:val="21"/>
                <w:szCs w:val="21"/>
              </w:rPr>
            </w:pPr>
            <w:r>
              <w:rPr>
                <w:rFonts w:cs="Times New Roman"/>
                <w:i/>
                <w:iCs/>
                <w:kern w:val="0"/>
                <w:sz w:val="21"/>
                <w:szCs w:val="21"/>
              </w:rPr>
              <w:t>Phoenicurus</w:t>
            </w:r>
            <w:r>
              <w:rPr>
                <w:rFonts w:cs="Times New Roman"/>
                <w:i/>
                <w:iCs/>
                <w:spacing w:val="-1"/>
                <w:kern w:val="0"/>
                <w:sz w:val="21"/>
                <w:szCs w:val="21"/>
              </w:rPr>
              <w:t xml:space="preserve"> </w:t>
            </w:r>
            <w:r>
              <w:rPr>
                <w:rFonts w:cs="Times New Roman"/>
                <w:i/>
                <w:iCs/>
                <w:kern w:val="0"/>
                <w:sz w:val="21"/>
                <w:szCs w:val="21"/>
              </w:rPr>
              <w:t>phoenicuru</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199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红腹红尾鸲</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684" w:firstLine="0" w:firstLineChars="0"/>
              <w:jc w:val="right"/>
              <w:rPr>
                <w:rFonts w:cs="Times New Roman"/>
                <w:i/>
                <w:iCs/>
                <w:kern w:val="0"/>
                <w:sz w:val="21"/>
                <w:szCs w:val="21"/>
              </w:rPr>
            </w:pPr>
            <w:r>
              <w:rPr>
                <w:rFonts w:cs="Times New Roman"/>
                <w:i/>
                <w:iCs/>
                <w:kern w:val="0"/>
                <w:sz w:val="21"/>
                <w:szCs w:val="21"/>
              </w:rPr>
              <w:t>Phoenicurus</w:t>
            </w:r>
            <w:r>
              <w:rPr>
                <w:rFonts w:cs="Times New Roman"/>
                <w:i/>
                <w:iCs/>
                <w:spacing w:val="-4"/>
                <w:kern w:val="0"/>
                <w:sz w:val="21"/>
                <w:szCs w:val="21"/>
              </w:rPr>
              <w:t xml:space="preserve"> </w:t>
            </w:r>
            <w:r>
              <w:rPr>
                <w:rFonts w:cs="Times New Roman"/>
                <w:i/>
                <w:iCs/>
                <w:kern w:val="0"/>
                <w:sz w:val="21"/>
                <w:szCs w:val="21"/>
              </w:rPr>
              <w:t>ervthrogast</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P</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200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黑喉石鵖</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Saxicola</w:t>
            </w:r>
            <w:r>
              <w:rPr>
                <w:rFonts w:cs="Times New Roman"/>
                <w:i/>
                <w:iCs/>
                <w:spacing w:val="-3"/>
                <w:kern w:val="0"/>
                <w:sz w:val="21"/>
                <w:szCs w:val="21"/>
              </w:rPr>
              <w:t xml:space="preserve"> </w:t>
            </w:r>
            <w:r>
              <w:rPr>
                <w:rFonts w:cs="Times New Roman"/>
                <w:i/>
                <w:iCs/>
                <w:kern w:val="0"/>
                <w:sz w:val="21"/>
                <w:szCs w:val="21"/>
              </w:rPr>
              <w:t>torguatus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201</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沙鵖</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873" w:firstLine="0" w:firstLineChars="0"/>
              <w:jc w:val="right"/>
              <w:rPr>
                <w:rFonts w:cs="Times New Roman"/>
                <w:i/>
                <w:iCs/>
                <w:kern w:val="0"/>
                <w:sz w:val="21"/>
                <w:szCs w:val="21"/>
              </w:rPr>
            </w:pPr>
            <w:r>
              <w:rPr>
                <w:rFonts w:cs="Times New Roman"/>
                <w:i/>
                <w:iCs/>
                <w:kern w:val="0"/>
                <w:sz w:val="21"/>
                <w:szCs w:val="21"/>
              </w:rPr>
              <w:t>Oenanthe</w:t>
            </w:r>
            <w:r>
              <w:rPr>
                <w:rFonts w:cs="Times New Roman"/>
                <w:i/>
                <w:iCs/>
                <w:spacing w:val="-2"/>
                <w:kern w:val="0"/>
                <w:sz w:val="21"/>
                <w:szCs w:val="21"/>
              </w:rPr>
              <w:t xml:space="preserve"> </w:t>
            </w:r>
            <w:r>
              <w:rPr>
                <w:rFonts w:cs="Times New Roman"/>
                <w:i/>
                <w:iCs/>
                <w:kern w:val="0"/>
                <w:sz w:val="21"/>
                <w:szCs w:val="21"/>
              </w:rPr>
              <w:t>isabellina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202</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穗鵖</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i/>
                <w:iCs/>
                <w:kern w:val="0"/>
                <w:sz w:val="21"/>
                <w:szCs w:val="21"/>
              </w:rPr>
            </w:pPr>
            <w:r>
              <w:rPr>
                <w:rFonts w:cs="Times New Roman"/>
                <w:i/>
                <w:iCs/>
                <w:kern w:val="0"/>
                <w:sz w:val="21"/>
                <w:szCs w:val="21"/>
              </w:rPr>
              <w:t>Oenanthe</w:t>
            </w:r>
            <w:r>
              <w:rPr>
                <w:rFonts w:cs="Times New Roman"/>
                <w:i/>
                <w:iCs/>
                <w:spacing w:val="-1"/>
                <w:kern w:val="0"/>
                <w:sz w:val="21"/>
                <w:szCs w:val="21"/>
              </w:rPr>
              <w:t xml:space="preserve"> </w:t>
            </w:r>
            <w:r>
              <w:rPr>
                <w:rFonts w:cs="Times New Roman"/>
                <w:i/>
                <w:iCs/>
                <w:kern w:val="0"/>
                <w:sz w:val="21"/>
                <w:szCs w:val="21"/>
              </w:rPr>
              <w:t>oenanthe</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203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漠鵖</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i/>
                <w:iCs/>
                <w:kern w:val="0"/>
                <w:sz w:val="21"/>
                <w:szCs w:val="21"/>
              </w:rPr>
            </w:pPr>
            <w:r>
              <w:rPr>
                <w:rFonts w:cs="Times New Roman"/>
                <w:i/>
                <w:iCs/>
                <w:kern w:val="0"/>
                <w:sz w:val="21"/>
                <w:szCs w:val="21"/>
              </w:rPr>
              <w:t>Oenanthe desert</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204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白顶鵖</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816" w:firstLine="0" w:firstLineChars="0"/>
              <w:jc w:val="right"/>
              <w:rPr>
                <w:rFonts w:cs="Times New Roman"/>
                <w:i/>
                <w:iCs/>
                <w:kern w:val="0"/>
                <w:sz w:val="21"/>
                <w:szCs w:val="21"/>
              </w:rPr>
            </w:pPr>
            <w:r>
              <w:rPr>
                <w:rFonts w:cs="Times New Roman"/>
                <w:i/>
                <w:iCs/>
                <w:kern w:val="0"/>
                <w:sz w:val="21"/>
                <w:szCs w:val="21"/>
              </w:rPr>
              <w:t>Oenanthe</w:t>
            </w:r>
            <w:r>
              <w:rPr>
                <w:rFonts w:cs="Times New Roman"/>
                <w:i/>
                <w:iCs/>
                <w:spacing w:val="-1"/>
                <w:kern w:val="0"/>
                <w:sz w:val="21"/>
                <w:szCs w:val="21"/>
              </w:rPr>
              <w:t xml:space="preserve"> </w:t>
            </w:r>
            <w:r>
              <w:rPr>
                <w:rFonts w:cs="Times New Roman"/>
                <w:i/>
                <w:iCs/>
                <w:kern w:val="0"/>
                <w:sz w:val="21"/>
                <w:szCs w:val="21"/>
              </w:rPr>
              <w:t>pleschanka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205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白背矶鸫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Monticola</w:t>
            </w:r>
            <w:r>
              <w:rPr>
                <w:rFonts w:cs="Times New Roman"/>
                <w:i/>
                <w:iCs/>
                <w:spacing w:val="-2"/>
                <w:kern w:val="0"/>
                <w:sz w:val="21"/>
                <w:szCs w:val="21"/>
              </w:rPr>
              <w:t xml:space="preserve"> </w:t>
            </w:r>
            <w:r>
              <w:rPr>
                <w:rFonts w:cs="Times New Roman"/>
                <w:i/>
                <w:iCs/>
                <w:kern w:val="0"/>
                <w:sz w:val="21"/>
                <w:szCs w:val="21"/>
              </w:rPr>
              <w:t>saxatilis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206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乌鸫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Turdus</w:t>
            </w:r>
            <w:r>
              <w:rPr>
                <w:rFonts w:cs="Times New Roman"/>
                <w:i/>
                <w:iCs/>
                <w:spacing w:val="-7"/>
                <w:kern w:val="0"/>
                <w:sz w:val="21"/>
                <w:szCs w:val="21"/>
              </w:rPr>
              <w:t xml:space="preserve"> </w:t>
            </w:r>
            <w:r>
              <w:rPr>
                <w:rFonts w:cs="Times New Roman"/>
                <w:i/>
                <w:iCs/>
                <w:kern w:val="0"/>
                <w:sz w:val="21"/>
                <w:szCs w:val="21"/>
              </w:rPr>
              <w:t>merula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207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黑喉鸫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Turdus</w:t>
            </w:r>
            <w:r>
              <w:rPr>
                <w:rFonts w:cs="Times New Roman"/>
                <w:i/>
                <w:iCs/>
                <w:spacing w:val="-6"/>
                <w:kern w:val="0"/>
                <w:sz w:val="21"/>
                <w:szCs w:val="21"/>
              </w:rPr>
              <w:t xml:space="preserve"> </w:t>
            </w:r>
            <w:r>
              <w:rPr>
                <w:rFonts w:cs="Times New Roman"/>
                <w:i/>
                <w:iCs/>
                <w:kern w:val="0"/>
                <w:sz w:val="21"/>
                <w:szCs w:val="21"/>
              </w:rPr>
              <w:t>atrogularis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208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赤颈鸫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Tiurdhu</w:t>
            </w:r>
            <w:r>
              <w:rPr>
                <w:rFonts w:cs="Times New Roman"/>
                <w:i/>
                <w:iCs/>
                <w:spacing w:val="-6"/>
                <w:kern w:val="0"/>
                <w:sz w:val="21"/>
                <w:szCs w:val="21"/>
              </w:rPr>
              <w:t xml:space="preserve"> </w:t>
            </w:r>
            <w:r>
              <w:rPr>
                <w:rFonts w:cs="Times New Roman"/>
                <w:i/>
                <w:iCs/>
                <w:kern w:val="0"/>
                <w:sz w:val="21"/>
                <w:szCs w:val="21"/>
              </w:rPr>
              <w:t>ruficollis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209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红尾鸫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i/>
                <w:iCs/>
                <w:kern w:val="0"/>
                <w:sz w:val="21"/>
                <w:szCs w:val="21"/>
              </w:rPr>
            </w:pPr>
            <w:r>
              <w:rPr>
                <w:rFonts w:cs="Times New Roman"/>
                <w:i/>
                <w:iCs/>
                <w:kern w:val="0"/>
                <w:sz w:val="21"/>
                <w:szCs w:val="21"/>
              </w:rPr>
              <w:t>Turdus</w:t>
            </w:r>
            <w:r>
              <w:rPr>
                <w:rFonts w:cs="Times New Roman"/>
                <w:i/>
                <w:iCs/>
                <w:spacing w:val="-4"/>
                <w:kern w:val="0"/>
                <w:sz w:val="21"/>
                <w:szCs w:val="21"/>
              </w:rPr>
              <w:t xml:space="preserve"> </w:t>
            </w:r>
            <w:r>
              <w:rPr>
                <w:rFonts w:cs="Times New Roman"/>
                <w:i/>
                <w:iCs/>
                <w:kern w:val="0"/>
                <w:sz w:val="21"/>
                <w:szCs w:val="21"/>
              </w:rPr>
              <w:t>naumanni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田鸫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Turdus</w:t>
            </w:r>
            <w:r>
              <w:rPr>
                <w:rFonts w:cs="Times New Roman"/>
                <w:i/>
                <w:iCs/>
                <w:spacing w:val="-4"/>
                <w:kern w:val="0"/>
                <w:sz w:val="21"/>
                <w:szCs w:val="21"/>
              </w:rPr>
              <w:t xml:space="preserve"> </w:t>
            </w:r>
            <w:r>
              <w:rPr>
                <w:rFonts w:cs="Times New Roman"/>
                <w:i/>
                <w:iCs/>
                <w:kern w:val="0"/>
                <w:sz w:val="21"/>
                <w:szCs w:val="21"/>
              </w:rPr>
              <w:t>pilaris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白眉歌鸫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Turdius</w:t>
            </w:r>
            <w:r>
              <w:rPr>
                <w:rFonts w:cs="Times New Roman"/>
                <w:i/>
                <w:iCs/>
                <w:spacing w:val="-5"/>
                <w:kern w:val="0"/>
                <w:sz w:val="21"/>
                <w:szCs w:val="21"/>
              </w:rPr>
              <w:t xml:space="preserve"> </w:t>
            </w:r>
            <w:r>
              <w:rPr>
                <w:rFonts w:cs="Times New Roman"/>
                <w:i/>
                <w:iCs/>
                <w:kern w:val="0"/>
                <w:sz w:val="21"/>
                <w:szCs w:val="21"/>
              </w:rPr>
              <w:t>iliacrs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212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槲鸫</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i/>
                <w:iCs/>
                <w:kern w:val="0"/>
                <w:sz w:val="21"/>
                <w:szCs w:val="21"/>
              </w:rPr>
            </w:pPr>
            <w:r>
              <w:rPr>
                <w:rFonts w:cs="Times New Roman"/>
                <w:i/>
                <w:iCs/>
                <w:kern w:val="0"/>
                <w:sz w:val="21"/>
                <w:szCs w:val="21"/>
              </w:rPr>
              <w:t>Turdhus</w:t>
            </w:r>
            <w:r>
              <w:rPr>
                <w:rFonts w:cs="Times New Roman"/>
                <w:i/>
                <w:iCs/>
                <w:spacing w:val="-7"/>
                <w:kern w:val="0"/>
                <w:sz w:val="21"/>
                <w:szCs w:val="21"/>
              </w:rPr>
              <w:t xml:space="preserve"> </w:t>
            </w:r>
            <w:r>
              <w:rPr>
                <w:rFonts w:cs="Times New Roman"/>
                <w:i/>
                <w:iCs/>
                <w:kern w:val="0"/>
                <w:sz w:val="21"/>
                <w:szCs w:val="21"/>
              </w:rPr>
              <w:t>viscivorus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（四十七）</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鹟科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Muscicapidae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斑鹟</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Muscicapa</w:t>
            </w:r>
            <w:r>
              <w:rPr>
                <w:rFonts w:cs="Times New Roman"/>
                <w:i/>
                <w:iCs/>
                <w:spacing w:val="-1"/>
                <w:kern w:val="0"/>
                <w:sz w:val="21"/>
                <w:szCs w:val="21"/>
              </w:rPr>
              <w:t xml:space="preserve"> </w:t>
            </w:r>
            <w:r>
              <w:rPr>
                <w:rFonts w:cs="Times New Roman"/>
                <w:i/>
                <w:iCs/>
                <w:kern w:val="0"/>
                <w:sz w:val="21"/>
                <w:szCs w:val="21"/>
              </w:rPr>
              <w:t>striata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214</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黄点颏</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Ficechula</w:t>
            </w:r>
            <w:r>
              <w:rPr>
                <w:rFonts w:cs="Times New Roman"/>
                <w:i/>
                <w:iCs/>
                <w:spacing w:val="-4"/>
                <w:kern w:val="0"/>
                <w:sz w:val="21"/>
                <w:szCs w:val="21"/>
              </w:rPr>
              <w:t xml:space="preserve"> </w:t>
            </w:r>
            <w:r>
              <w:rPr>
                <w:rFonts w:cs="Times New Roman"/>
                <w:i/>
                <w:iCs/>
                <w:kern w:val="0"/>
                <w:sz w:val="21"/>
                <w:szCs w:val="21"/>
              </w:rPr>
              <w:t>albicilla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（四十八）</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莺科</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6" w:firstLine="0" w:firstLineChars="0"/>
              <w:jc w:val="center"/>
              <w:rPr>
                <w:rFonts w:cs="Times New Roman"/>
                <w:i/>
                <w:iCs/>
                <w:kern w:val="0"/>
                <w:sz w:val="21"/>
                <w:szCs w:val="21"/>
              </w:rPr>
            </w:pPr>
            <w:r>
              <w:rPr>
                <w:rFonts w:cs="Times New Roman"/>
                <w:i/>
                <w:iCs/>
                <w:kern w:val="0"/>
                <w:sz w:val="21"/>
                <w:szCs w:val="21"/>
              </w:rPr>
              <w:t>Sylvidae</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215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宽尾树莺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Cettia</w:t>
            </w:r>
            <w:r>
              <w:rPr>
                <w:rFonts w:cs="Times New Roman"/>
                <w:i/>
                <w:iCs/>
                <w:spacing w:val="-1"/>
                <w:kern w:val="0"/>
                <w:sz w:val="21"/>
                <w:szCs w:val="21"/>
              </w:rPr>
              <w:t xml:space="preserve"> </w:t>
            </w:r>
            <w:r>
              <w:rPr>
                <w:rFonts w:cs="Times New Roman"/>
                <w:i/>
                <w:iCs/>
                <w:kern w:val="0"/>
                <w:sz w:val="21"/>
                <w:szCs w:val="21"/>
              </w:rPr>
              <w:t>cett</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鸲蝗莺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Locustella</w:t>
            </w:r>
            <w:r>
              <w:rPr>
                <w:rFonts w:cs="Times New Roman"/>
                <w:i/>
                <w:iCs/>
                <w:spacing w:val="-2"/>
                <w:kern w:val="0"/>
                <w:sz w:val="21"/>
                <w:szCs w:val="21"/>
              </w:rPr>
              <w:t xml:space="preserve"> </w:t>
            </w:r>
            <w:r>
              <w:rPr>
                <w:rFonts w:cs="Times New Roman"/>
                <w:i/>
                <w:iCs/>
                <w:kern w:val="0"/>
                <w:sz w:val="21"/>
                <w:szCs w:val="21"/>
              </w:rPr>
              <w:t>luscinioides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水蒲苇莺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Acrocephalus</w:t>
            </w:r>
            <w:r>
              <w:rPr>
                <w:rFonts w:cs="Times New Roman"/>
                <w:i/>
                <w:iCs/>
                <w:spacing w:val="-3"/>
                <w:kern w:val="0"/>
                <w:sz w:val="21"/>
                <w:szCs w:val="21"/>
              </w:rPr>
              <w:t xml:space="preserve"> </w:t>
            </w:r>
            <w:r>
              <w:rPr>
                <w:rFonts w:cs="Times New Roman"/>
                <w:i/>
                <w:iCs/>
                <w:kern w:val="0"/>
                <w:sz w:val="21"/>
                <w:szCs w:val="21"/>
              </w:rPr>
              <w:t>schoenobuemus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稻田苇莺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Acrocephalus</w:t>
            </w:r>
            <w:r>
              <w:rPr>
                <w:rFonts w:cs="Times New Roman"/>
                <w:i/>
                <w:iCs/>
                <w:spacing w:val="-2"/>
                <w:kern w:val="0"/>
                <w:sz w:val="21"/>
                <w:szCs w:val="21"/>
              </w:rPr>
              <w:t xml:space="preserve"> </w:t>
            </w:r>
            <w:r>
              <w:rPr>
                <w:rFonts w:cs="Times New Roman"/>
                <w:i/>
                <w:iCs/>
                <w:kern w:val="0"/>
                <w:sz w:val="21"/>
                <w:szCs w:val="21"/>
              </w:rPr>
              <w:t>agricola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219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芦苇莺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Acrocephalus</w:t>
            </w:r>
            <w:r>
              <w:rPr>
                <w:rFonts w:cs="Times New Roman"/>
                <w:i/>
                <w:iCs/>
                <w:spacing w:val="-3"/>
                <w:kern w:val="0"/>
                <w:sz w:val="21"/>
                <w:szCs w:val="21"/>
              </w:rPr>
              <w:t xml:space="preserve"> </w:t>
            </w:r>
            <w:r>
              <w:rPr>
                <w:rFonts w:cs="Times New Roman"/>
                <w:i/>
                <w:iCs/>
                <w:kern w:val="0"/>
                <w:sz w:val="21"/>
                <w:szCs w:val="21"/>
              </w:rPr>
              <w:t>scirpaceus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220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布氏苇莺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Acrocephalus</w:t>
            </w:r>
            <w:r>
              <w:rPr>
                <w:rFonts w:cs="Times New Roman"/>
                <w:i/>
                <w:iCs/>
                <w:spacing w:val="-3"/>
                <w:kern w:val="0"/>
                <w:sz w:val="21"/>
                <w:szCs w:val="21"/>
              </w:rPr>
              <w:t xml:space="preserve"> </w:t>
            </w:r>
            <w:r>
              <w:rPr>
                <w:rFonts w:cs="Times New Roman"/>
                <w:i/>
                <w:iCs/>
                <w:kern w:val="0"/>
                <w:sz w:val="21"/>
                <w:szCs w:val="21"/>
              </w:rPr>
              <w:t>dumetorum</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221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大苇莺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Acrocephalus</w:t>
            </w:r>
            <w:r>
              <w:rPr>
                <w:rFonts w:cs="Times New Roman"/>
                <w:i/>
                <w:iCs/>
                <w:spacing w:val="-3"/>
                <w:kern w:val="0"/>
                <w:sz w:val="21"/>
                <w:szCs w:val="21"/>
              </w:rPr>
              <w:t xml:space="preserve"> </w:t>
            </w:r>
            <w:r>
              <w:rPr>
                <w:rFonts w:cs="Times New Roman"/>
                <w:i/>
                <w:iCs/>
                <w:kern w:val="0"/>
                <w:sz w:val="21"/>
                <w:szCs w:val="21"/>
              </w:rPr>
              <w:t>arundinacetus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222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靴篱莺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Hippolais</w:t>
            </w:r>
            <w:r>
              <w:rPr>
                <w:rFonts w:cs="Times New Roman"/>
                <w:i/>
                <w:iCs/>
                <w:spacing w:val="-2"/>
                <w:kern w:val="0"/>
                <w:sz w:val="21"/>
                <w:szCs w:val="21"/>
              </w:rPr>
              <w:t xml:space="preserve"> </w:t>
            </w:r>
            <w:r>
              <w:rPr>
                <w:rFonts w:cs="Times New Roman"/>
                <w:i/>
                <w:iCs/>
                <w:kern w:val="0"/>
                <w:sz w:val="21"/>
                <w:szCs w:val="21"/>
              </w:rPr>
              <w:t>caligata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223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叽咋树莺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Phylloscopus</w:t>
            </w:r>
            <w:r>
              <w:rPr>
                <w:rFonts w:cs="Times New Roman"/>
                <w:i/>
                <w:iCs/>
                <w:spacing w:val="-4"/>
                <w:kern w:val="0"/>
                <w:sz w:val="21"/>
                <w:szCs w:val="21"/>
              </w:rPr>
              <w:t xml:space="preserve"> </w:t>
            </w:r>
            <w:r>
              <w:rPr>
                <w:rFonts w:cs="Times New Roman"/>
                <w:i/>
                <w:iCs/>
                <w:kern w:val="0"/>
                <w:sz w:val="21"/>
                <w:szCs w:val="21"/>
              </w:rPr>
              <w:t>collybita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224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灰柳莺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2" w:firstLine="0" w:firstLineChars="0"/>
              <w:jc w:val="center"/>
              <w:rPr>
                <w:rFonts w:cs="Times New Roman"/>
                <w:i/>
                <w:iCs/>
                <w:kern w:val="0"/>
                <w:sz w:val="21"/>
                <w:szCs w:val="21"/>
              </w:rPr>
            </w:pPr>
            <w:r>
              <w:rPr>
                <w:rFonts w:cs="Times New Roman"/>
                <w:i/>
                <w:iCs/>
                <w:kern w:val="0"/>
                <w:sz w:val="21"/>
                <w:szCs w:val="21"/>
              </w:rPr>
              <w:t>Phylloscopus</w:t>
            </w:r>
            <w:r>
              <w:rPr>
                <w:rFonts w:cs="Times New Roman"/>
                <w:i/>
                <w:iCs/>
                <w:spacing w:val="-3"/>
                <w:kern w:val="0"/>
                <w:sz w:val="21"/>
                <w:szCs w:val="21"/>
              </w:rPr>
              <w:t xml:space="preserve"> </w:t>
            </w:r>
            <w:r>
              <w:rPr>
                <w:rFonts w:cs="Times New Roman"/>
                <w:i/>
                <w:iCs/>
                <w:kern w:val="0"/>
                <w:sz w:val="21"/>
                <w:szCs w:val="21"/>
              </w:rPr>
              <w:t>griseolus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P</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225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褐柳莺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Phylloscopus</w:t>
            </w:r>
            <w:r>
              <w:rPr>
                <w:rFonts w:cs="Times New Roman"/>
                <w:i/>
                <w:iCs/>
                <w:spacing w:val="-1"/>
                <w:kern w:val="0"/>
                <w:sz w:val="21"/>
                <w:szCs w:val="21"/>
              </w:rPr>
              <w:t xml:space="preserve"> </w:t>
            </w:r>
            <w:r>
              <w:rPr>
                <w:rFonts w:cs="Times New Roman"/>
                <w:i/>
                <w:iCs/>
                <w:kern w:val="0"/>
                <w:sz w:val="21"/>
                <w:szCs w:val="21"/>
              </w:rPr>
              <w:t>fuscatus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226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淡眉柳莺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4" w:firstLine="0" w:firstLineChars="0"/>
              <w:jc w:val="center"/>
              <w:rPr>
                <w:rFonts w:cs="Times New Roman"/>
                <w:i/>
                <w:iCs/>
                <w:kern w:val="0"/>
                <w:sz w:val="21"/>
                <w:szCs w:val="21"/>
              </w:rPr>
            </w:pPr>
            <w:r>
              <w:rPr>
                <w:rFonts w:cs="Times New Roman"/>
                <w:i/>
                <w:iCs/>
                <w:kern w:val="0"/>
                <w:sz w:val="21"/>
                <w:szCs w:val="21"/>
              </w:rPr>
              <w:t>Phylloscopus</w:t>
            </w:r>
            <w:r>
              <w:rPr>
                <w:rFonts w:cs="Times New Roman"/>
                <w:i/>
                <w:iCs/>
                <w:spacing w:val="-3"/>
                <w:kern w:val="0"/>
                <w:sz w:val="21"/>
                <w:szCs w:val="21"/>
              </w:rPr>
              <w:t xml:space="preserve"> </w:t>
            </w:r>
            <w:r>
              <w:rPr>
                <w:rFonts w:cs="Times New Roman"/>
                <w:i/>
                <w:iCs/>
                <w:kern w:val="0"/>
                <w:sz w:val="21"/>
                <w:szCs w:val="21"/>
              </w:rPr>
              <w:t>humei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227</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暗绿柳莺</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Phylloscopus</w:t>
            </w:r>
            <w:r>
              <w:rPr>
                <w:rFonts w:cs="Times New Roman"/>
                <w:i/>
                <w:iCs/>
                <w:spacing w:val="-3"/>
                <w:kern w:val="0"/>
                <w:sz w:val="21"/>
                <w:szCs w:val="21"/>
              </w:rPr>
              <w:t xml:space="preserve"> </w:t>
            </w:r>
            <w:r>
              <w:rPr>
                <w:rFonts w:cs="Times New Roman"/>
                <w:i/>
                <w:iCs/>
                <w:kern w:val="0"/>
                <w:sz w:val="21"/>
                <w:szCs w:val="21"/>
              </w:rPr>
              <w:t>trochiloides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228</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横斑林莺</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6" w:firstLine="0" w:firstLineChars="0"/>
              <w:jc w:val="center"/>
              <w:rPr>
                <w:rFonts w:cs="Times New Roman"/>
                <w:i/>
                <w:iCs/>
                <w:kern w:val="0"/>
                <w:sz w:val="21"/>
                <w:szCs w:val="21"/>
              </w:rPr>
            </w:pPr>
            <w:r>
              <w:rPr>
                <w:rFonts w:cs="Times New Roman"/>
                <w:i/>
                <w:iCs/>
                <w:kern w:val="0"/>
                <w:sz w:val="21"/>
                <w:szCs w:val="21"/>
              </w:rPr>
              <w:t>Sylvia</w:t>
            </w:r>
            <w:r>
              <w:rPr>
                <w:rFonts w:cs="Times New Roman"/>
                <w:i/>
                <w:iCs/>
                <w:spacing w:val="-2"/>
                <w:kern w:val="0"/>
                <w:sz w:val="21"/>
                <w:szCs w:val="21"/>
              </w:rPr>
              <w:t xml:space="preserve"> </w:t>
            </w:r>
            <w:r>
              <w:rPr>
                <w:rFonts w:cs="Times New Roman"/>
                <w:i/>
                <w:iCs/>
                <w:kern w:val="0"/>
                <w:sz w:val="21"/>
                <w:szCs w:val="21"/>
              </w:rPr>
              <w:t>nisoria</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229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沙白喉林莺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4" w:firstLine="0" w:firstLineChars="0"/>
              <w:jc w:val="center"/>
              <w:rPr>
                <w:rFonts w:cs="Times New Roman"/>
                <w:i/>
                <w:iCs/>
                <w:kern w:val="0"/>
                <w:sz w:val="21"/>
                <w:szCs w:val="21"/>
              </w:rPr>
            </w:pPr>
            <w:r>
              <w:rPr>
                <w:rFonts w:cs="Times New Roman"/>
                <w:i/>
                <w:iCs/>
                <w:kern w:val="0"/>
                <w:sz w:val="21"/>
                <w:szCs w:val="21"/>
              </w:rPr>
              <w:t>Sylvia</w:t>
            </w:r>
            <w:r>
              <w:rPr>
                <w:rFonts w:cs="Times New Roman"/>
                <w:i/>
                <w:iCs/>
                <w:spacing w:val="-1"/>
                <w:kern w:val="0"/>
                <w:sz w:val="21"/>
                <w:szCs w:val="21"/>
              </w:rPr>
              <w:t xml:space="preserve"> </w:t>
            </w:r>
            <w:r>
              <w:rPr>
                <w:rFonts w:cs="Times New Roman"/>
                <w:i/>
                <w:iCs/>
                <w:kern w:val="0"/>
                <w:sz w:val="21"/>
                <w:szCs w:val="21"/>
              </w:rPr>
              <w:t>minula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spacing w:val="-63"/>
                <w:kern w:val="0"/>
                <w:sz w:val="21"/>
                <w:szCs w:val="21"/>
              </w:rPr>
              <w:t>灰</w:t>
            </w:r>
            <w:r>
              <w:rPr>
                <w:rFonts w:hint="eastAsia" w:ascii="仿宋" w:eastAsia="仿宋" w:cs="仿宋"/>
                <w:kern w:val="0"/>
                <w:sz w:val="21"/>
                <w:szCs w:val="21"/>
              </w:rPr>
              <w:t>（白喉</w:t>
            </w:r>
            <w:r>
              <w:rPr>
                <w:rFonts w:hint="eastAsia" w:ascii="仿宋" w:eastAsia="仿宋" w:cs="仿宋"/>
                <w:spacing w:val="-65"/>
                <w:kern w:val="0"/>
                <w:sz w:val="21"/>
                <w:szCs w:val="21"/>
              </w:rPr>
              <w:t>）</w:t>
            </w:r>
            <w:r>
              <w:rPr>
                <w:rFonts w:hint="eastAsia" w:ascii="仿宋" w:eastAsia="仿宋" w:cs="仿宋"/>
                <w:kern w:val="0"/>
                <w:sz w:val="21"/>
                <w:szCs w:val="21"/>
              </w:rPr>
              <w:t>林莺</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Sylvia</w:t>
            </w:r>
            <w:r>
              <w:rPr>
                <w:rFonts w:cs="Times New Roman"/>
                <w:i/>
                <w:iCs/>
                <w:spacing w:val="-1"/>
                <w:kern w:val="0"/>
                <w:sz w:val="21"/>
                <w:szCs w:val="21"/>
              </w:rPr>
              <w:t xml:space="preserve"> </w:t>
            </w:r>
            <w:r>
              <w:rPr>
                <w:rFonts w:cs="Times New Roman"/>
                <w:i/>
                <w:iCs/>
                <w:kern w:val="0"/>
                <w:sz w:val="21"/>
                <w:szCs w:val="21"/>
              </w:rPr>
              <w:t>communis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（四十九）</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鸦雀科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Paradoxornithidae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文须雀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Panuris</w:t>
            </w:r>
            <w:r>
              <w:rPr>
                <w:rFonts w:cs="Times New Roman"/>
                <w:i/>
                <w:iCs/>
                <w:spacing w:val="-1"/>
                <w:kern w:val="0"/>
                <w:sz w:val="21"/>
                <w:szCs w:val="21"/>
              </w:rPr>
              <w:t xml:space="preserve"> </w:t>
            </w:r>
            <w:r>
              <w:rPr>
                <w:rFonts w:cs="Times New Roman"/>
                <w:i/>
                <w:iCs/>
                <w:kern w:val="0"/>
                <w:sz w:val="21"/>
                <w:szCs w:val="21"/>
              </w:rPr>
              <w:t>biarmicus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RE</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戴菊科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Regulidae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戴菊</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Regulus</w:t>
            </w:r>
            <w:r>
              <w:rPr>
                <w:rFonts w:cs="Times New Roman"/>
                <w:i/>
                <w:iCs/>
                <w:spacing w:val="-2"/>
                <w:kern w:val="0"/>
                <w:sz w:val="21"/>
                <w:szCs w:val="21"/>
              </w:rPr>
              <w:t xml:space="preserve"> </w:t>
            </w:r>
            <w:r>
              <w:rPr>
                <w:rFonts w:cs="Times New Roman"/>
                <w:i/>
                <w:iCs/>
                <w:kern w:val="0"/>
                <w:sz w:val="21"/>
                <w:szCs w:val="21"/>
              </w:rPr>
              <w:t>regulus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（五十一）</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山雀科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Paridae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大山雀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Parus</w:t>
            </w:r>
            <w:r>
              <w:rPr>
                <w:rFonts w:cs="Times New Roman"/>
                <w:i/>
                <w:iCs/>
                <w:spacing w:val="-3"/>
                <w:kern w:val="0"/>
                <w:sz w:val="21"/>
                <w:szCs w:val="21"/>
              </w:rPr>
              <w:t xml:space="preserve"> </w:t>
            </w:r>
            <w:r>
              <w:rPr>
                <w:rFonts w:cs="Times New Roman"/>
                <w:i/>
                <w:iCs/>
                <w:kern w:val="0"/>
                <w:sz w:val="21"/>
                <w:szCs w:val="21"/>
              </w:rPr>
              <w:t>major</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西域山雀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Parus</w:t>
            </w:r>
            <w:r>
              <w:rPr>
                <w:rFonts w:cs="Times New Roman"/>
                <w:i/>
                <w:iCs/>
                <w:spacing w:val="-2"/>
                <w:kern w:val="0"/>
                <w:sz w:val="21"/>
                <w:szCs w:val="21"/>
              </w:rPr>
              <w:t xml:space="preserve"> </w:t>
            </w:r>
            <w:r>
              <w:rPr>
                <w:rFonts w:cs="Times New Roman"/>
                <w:i/>
                <w:iCs/>
                <w:kern w:val="0"/>
                <w:sz w:val="21"/>
                <w:szCs w:val="21"/>
              </w:rPr>
              <w:t>bokharensis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235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灰蓝山雀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5" w:firstLine="0" w:firstLineChars="0"/>
              <w:jc w:val="center"/>
              <w:rPr>
                <w:rFonts w:cs="Times New Roman"/>
                <w:i/>
                <w:iCs/>
                <w:kern w:val="0"/>
                <w:sz w:val="21"/>
                <w:szCs w:val="21"/>
              </w:rPr>
            </w:pPr>
            <w:r>
              <w:rPr>
                <w:rFonts w:cs="Times New Roman"/>
                <w:i/>
                <w:iCs/>
                <w:kern w:val="0"/>
                <w:sz w:val="21"/>
                <w:szCs w:val="21"/>
              </w:rPr>
              <w:t>Parus cvanus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（五十二）</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攀雀科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Remizidea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白冠攀雀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Remiz</w:t>
            </w:r>
            <w:r>
              <w:rPr>
                <w:rFonts w:cs="Times New Roman"/>
                <w:i/>
                <w:iCs/>
                <w:spacing w:val="-3"/>
                <w:kern w:val="0"/>
                <w:sz w:val="21"/>
                <w:szCs w:val="21"/>
              </w:rPr>
              <w:t xml:space="preserve"> </w:t>
            </w:r>
            <w:r>
              <w:rPr>
                <w:rFonts w:cs="Times New Roman"/>
                <w:i/>
                <w:iCs/>
                <w:kern w:val="0"/>
                <w:sz w:val="21"/>
                <w:szCs w:val="21"/>
              </w:rPr>
              <w:t>coronatus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（五十三）</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长尾山雀科</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Aegithalidae</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237</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银喉长尾山雀</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867" w:firstLine="0" w:firstLineChars="0"/>
              <w:jc w:val="right"/>
              <w:rPr>
                <w:rFonts w:cs="Times New Roman"/>
                <w:i/>
                <w:iCs/>
                <w:kern w:val="0"/>
                <w:sz w:val="21"/>
                <w:szCs w:val="21"/>
              </w:rPr>
            </w:pPr>
            <w:r>
              <w:rPr>
                <w:rFonts w:cs="Times New Roman"/>
                <w:i/>
                <w:iCs/>
                <w:kern w:val="0"/>
                <w:sz w:val="21"/>
                <w:szCs w:val="21"/>
              </w:rPr>
              <w:t>Aegithalos</w:t>
            </w:r>
            <w:r>
              <w:rPr>
                <w:rFonts w:cs="Times New Roman"/>
                <w:i/>
                <w:iCs/>
                <w:spacing w:val="-1"/>
                <w:kern w:val="0"/>
                <w:sz w:val="21"/>
                <w:szCs w:val="21"/>
              </w:rPr>
              <w:t xml:space="preserve"> </w:t>
            </w:r>
            <w:r>
              <w:rPr>
                <w:rFonts w:cs="Times New Roman"/>
                <w:i/>
                <w:iCs/>
                <w:kern w:val="0"/>
                <w:sz w:val="21"/>
                <w:szCs w:val="21"/>
              </w:rPr>
              <w:t>caudatus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（五十四）</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旋壁雀科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i/>
                <w:iCs/>
                <w:kern w:val="0"/>
                <w:sz w:val="21"/>
                <w:szCs w:val="21"/>
              </w:rPr>
            </w:pPr>
            <w:r>
              <w:rPr>
                <w:rFonts w:cs="Times New Roman"/>
                <w:i/>
                <w:iCs/>
                <w:kern w:val="0"/>
                <w:sz w:val="21"/>
                <w:szCs w:val="21"/>
              </w:rPr>
              <w:t>Tichodromadidae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红翅旋壁雀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850" w:firstLine="0" w:firstLineChars="0"/>
              <w:jc w:val="right"/>
              <w:rPr>
                <w:rFonts w:cs="Times New Roman"/>
                <w:i/>
                <w:iCs/>
                <w:kern w:val="0"/>
                <w:sz w:val="21"/>
                <w:szCs w:val="21"/>
              </w:rPr>
            </w:pPr>
            <w:r>
              <w:rPr>
                <w:rFonts w:cs="Times New Roman"/>
                <w:i/>
                <w:iCs/>
                <w:kern w:val="0"/>
                <w:sz w:val="21"/>
                <w:szCs w:val="21"/>
              </w:rPr>
              <w:t>Tichodroma</w:t>
            </w:r>
            <w:r>
              <w:rPr>
                <w:rFonts w:cs="Times New Roman"/>
                <w:i/>
                <w:iCs/>
                <w:spacing w:val="-7"/>
                <w:kern w:val="0"/>
                <w:sz w:val="21"/>
                <w:szCs w:val="21"/>
              </w:rPr>
              <w:t xml:space="preserve"> </w:t>
            </w:r>
            <w:r>
              <w:rPr>
                <w:rFonts w:cs="Times New Roman"/>
                <w:i/>
                <w:iCs/>
                <w:kern w:val="0"/>
                <w:sz w:val="21"/>
                <w:szCs w:val="21"/>
              </w:rPr>
              <w:t>muraria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（五十五）</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旋木雀科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Certhiidae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239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旋木雀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Certhia</w:t>
            </w:r>
            <w:r>
              <w:rPr>
                <w:rFonts w:cs="Times New Roman"/>
                <w:i/>
                <w:iCs/>
                <w:spacing w:val="-2"/>
                <w:kern w:val="0"/>
                <w:sz w:val="21"/>
                <w:szCs w:val="21"/>
              </w:rPr>
              <w:t xml:space="preserve"> </w:t>
            </w:r>
            <w:r>
              <w:rPr>
                <w:rFonts w:cs="Times New Roman"/>
                <w:i/>
                <w:iCs/>
                <w:kern w:val="0"/>
                <w:sz w:val="21"/>
                <w:szCs w:val="21"/>
              </w:rPr>
              <w:t>familiaris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（五十六）</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雀科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Passeridae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240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黑顶麻雀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879" w:firstLine="0" w:firstLineChars="0"/>
              <w:jc w:val="right"/>
              <w:rPr>
                <w:rFonts w:cs="Times New Roman"/>
                <w:i/>
                <w:iCs/>
                <w:kern w:val="0"/>
                <w:sz w:val="21"/>
                <w:szCs w:val="21"/>
              </w:rPr>
            </w:pPr>
            <w:r>
              <w:rPr>
                <w:rFonts w:cs="Times New Roman"/>
                <w:i/>
                <w:iCs/>
                <w:kern w:val="0"/>
                <w:sz w:val="21"/>
                <w:szCs w:val="21"/>
              </w:rPr>
              <w:t>Passer ammodendri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241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家麻雀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913" w:firstLine="0" w:firstLineChars="0"/>
              <w:jc w:val="right"/>
              <w:rPr>
                <w:rFonts w:cs="Times New Roman"/>
                <w:i/>
                <w:iCs/>
                <w:kern w:val="0"/>
                <w:sz w:val="21"/>
                <w:szCs w:val="21"/>
              </w:rPr>
            </w:pPr>
            <w:r>
              <w:rPr>
                <w:rFonts w:cs="Times New Roman"/>
                <w:i/>
                <w:iCs/>
                <w:kern w:val="0"/>
                <w:sz w:val="21"/>
                <w:szCs w:val="21"/>
              </w:rPr>
              <w:t>Passer</w:t>
            </w:r>
            <w:r>
              <w:rPr>
                <w:rFonts w:cs="Times New Roman"/>
                <w:i/>
                <w:iCs/>
                <w:spacing w:val="-1"/>
                <w:kern w:val="0"/>
                <w:sz w:val="21"/>
                <w:szCs w:val="21"/>
              </w:rPr>
              <w:t xml:space="preserve"> </w:t>
            </w:r>
            <w:r>
              <w:rPr>
                <w:rFonts w:cs="Times New Roman"/>
                <w:i/>
                <w:iCs/>
                <w:kern w:val="0"/>
                <w:sz w:val="21"/>
                <w:szCs w:val="21"/>
              </w:rPr>
              <w:t>domestictus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242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麻雀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Passer</w:t>
            </w:r>
            <w:r>
              <w:rPr>
                <w:rFonts w:cs="Times New Roman"/>
                <w:i/>
                <w:iCs/>
                <w:spacing w:val="-3"/>
                <w:kern w:val="0"/>
                <w:sz w:val="21"/>
                <w:szCs w:val="21"/>
              </w:rPr>
              <w:t xml:space="preserve"> </w:t>
            </w:r>
            <w:r>
              <w:rPr>
                <w:rFonts w:cs="Times New Roman"/>
                <w:i/>
                <w:iCs/>
                <w:kern w:val="0"/>
                <w:sz w:val="21"/>
                <w:szCs w:val="21"/>
              </w:rPr>
              <w:t>montamus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LC</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243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黑胸麻雀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810" w:firstLine="0" w:firstLineChars="0"/>
              <w:jc w:val="right"/>
              <w:rPr>
                <w:rFonts w:cs="Times New Roman"/>
                <w:i/>
                <w:iCs/>
                <w:kern w:val="0"/>
                <w:sz w:val="21"/>
                <w:szCs w:val="21"/>
              </w:rPr>
            </w:pPr>
            <w:r>
              <w:rPr>
                <w:rFonts w:cs="Times New Roman"/>
                <w:i/>
                <w:iCs/>
                <w:kern w:val="0"/>
                <w:sz w:val="21"/>
                <w:szCs w:val="21"/>
              </w:rPr>
              <w:t>Passer</w:t>
            </w:r>
            <w:r>
              <w:rPr>
                <w:rFonts w:cs="Times New Roman"/>
                <w:i/>
                <w:iCs/>
                <w:spacing w:val="-1"/>
                <w:kern w:val="0"/>
                <w:sz w:val="21"/>
                <w:szCs w:val="21"/>
              </w:rPr>
              <w:t xml:space="preserve"> </w:t>
            </w:r>
            <w:r>
              <w:rPr>
                <w:rFonts w:cs="Times New Roman"/>
                <w:i/>
                <w:iCs/>
                <w:kern w:val="0"/>
                <w:sz w:val="21"/>
                <w:szCs w:val="21"/>
              </w:rPr>
              <w:t>hispaniolensis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244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石雀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i/>
                <w:iCs/>
                <w:kern w:val="0"/>
                <w:sz w:val="21"/>
                <w:szCs w:val="21"/>
              </w:rPr>
            </w:pPr>
            <w:r>
              <w:rPr>
                <w:rFonts w:cs="Times New Roman"/>
                <w:i/>
                <w:iCs/>
                <w:kern w:val="0"/>
                <w:sz w:val="21"/>
                <w:szCs w:val="21"/>
              </w:rPr>
              <w:t>Petronia</w:t>
            </w:r>
            <w:r>
              <w:rPr>
                <w:rFonts w:cs="Times New Roman"/>
                <w:i/>
                <w:iCs/>
                <w:spacing w:val="-4"/>
                <w:kern w:val="0"/>
                <w:sz w:val="21"/>
                <w:szCs w:val="21"/>
              </w:rPr>
              <w:t xml:space="preserve"> </w:t>
            </w:r>
            <w:r>
              <w:rPr>
                <w:rFonts w:cs="Times New Roman"/>
                <w:i/>
                <w:iCs/>
                <w:kern w:val="0"/>
                <w:sz w:val="21"/>
                <w:szCs w:val="21"/>
              </w:rPr>
              <w:t>petronia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（五十七）</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燕雀科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Fringillidae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245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苍头燕雀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i/>
                <w:iCs/>
                <w:kern w:val="0"/>
                <w:sz w:val="21"/>
                <w:szCs w:val="21"/>
              </w:rPr>
            </w:pPr>
            <w:r>
              <w:rPr>
                <w:rFonts w:cs="Times New Roman"/>
                <w:i/>
                <w:iCs/>
                <w:kern w:val="0"/>
                <w:sz w:val="21"/>
                <w:szCs w:val="21"/>
              </w:rPr>
              <w:t>Fringilla</w:t>
            </w:r>
            <w:r>
              <w:rPr>
                <w:rFonts w:cs="Times New Roman"/>
                <w:i/>
                <w:iCs/>
                <w:spacing w:val="-1"/>
                <w:kern w:val="0"/>
                <w:sz w:val="21"/>
                <w:szCs w:val="21"/>
              </w:rPr>
              <w:t xml:space="preserve"> </w:t>
            </w:r>
            <w:r>
              <w:rPr>
                <w:rFonts w:cs="Times New Roman"/>
                <w:i/>
                <w:iCs/>
                <w:kern w:val="0"/>
                <w:sz w:val="21"/>
                <w:szCs w:val="21"/>
              </w:rPr>
              <w:t>coelebs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246</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燕雀</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Fringilla</w:t>
            </w:r>
            <w:r>
              <w:rPr>
                <w:rFonts w:cs="Times New Roman"/>
                <w:i/>
                <w:iCs/>
                <w:spacing w:val="-3"/>
                <w:kern w:val="0"/>
                <w:sz w:val="21"/>
                <w:szCs w:val="21"/>
              </w:rPr>
              <w:t xml:space="preserve"> </w:t>
            </w:r>
            <w:r>
              <w:rPr>
                <w:rFonts w:cs="Times New Roman"/>
                <w:i/>
                <w:iCs/>
                <w:kern w:val="0"/>
                <w:sz w:val="21"/>
                <w:szCs w:val="21"/>
              </w:rPr>
              <w:t>montifringilla</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247</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金额丝雀</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5" w:firstLine="0" w:firstLineChars="0"/>
              <w:jc w:val="center"/>
              <w:rPr>
                <w:rFonts w:cs="Times New Roman"/>
                <w:i/>
                <w:iCs/>
                <w:kern w:val="0"/>
                <w:sz w:val="21"/>
                <w:szCs w:val="21"/>
              </w:rPr>
            </w:pPr>
            <w:r>
              <w:rPr>
                <w:rFonts w:cs="Times New Roman"/>
                <w:i/>
                <w:iCs/>
                <w:kern w:val="0"/>
                <w:sz w:val="21"/>
                <w:szCs w:val="21"/>
              </w:rPr>
              <w:t>Serinus</w:t>
            </w:r>
            <w:r>
              <w:rPr>
                <w:rFonts w:cs="Times New Roman"/>
                <w:i/>
                <w:iCs/>
                <w:spacing w:val="-1"/>
                <w:kern w:val="0"/>
                <w:sz w:val="21"/>
                <w:szCs w:val="21"/>
              </w:rPr>
              <w:t xml:space="preserve"> </w:t>
            </w:r>
            <w:r>
              <w:rPr>
                <w:rFonts w:cs="Times New Roman"/>
                <w:i/>
                <w:iCs/>
                <w:kern w:val="0"/>
                <w:sz w:val="21"/>
                <w:szCs w:val="21"/>
              </w:rPr>
              <w:t>pusillus</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6"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248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欧金翅雀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Cardhuelis</w:t>
            </w:r>
            <w:r>
              <w:rPr>
                <w:rFonts w:cs="Times New Roman"/>
                <w:i/>
                <w:iCs/>
                <w:spacing w:val="-3"/>
                <w:kern w:val="0"/>
                <w:sz w:val="21"/>
                <w:szCs w:val="21"/>
              </w:rPr>
              <w:t xml:space="preserve"> </w:t>
            </w:r>
            <w:r>
              <w:rPr>
                <w:rFonts w:cs="Times New Roman"/>
                <w:i/>
                <w:iCs/>
                <w:kern w:val="0"/>
                <w:sz w:val="21"/>
                <w:szCs w:val="21"/>
              </w:rPr>
              <w:t>chloris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249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红额金翅雀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Carduelis</w:t>
            </w:r>
            <w:r>
              <w:rPr>
                <w:rFonts w:cs="Times New Roman"/>
                <w:i/>
                <w:iCs/>
                <w:spacing w:val="-4"/>
                <w:kern w:val="0"/>
                <w:sz w:val="21"/>
                <w:szCs w:val="21"/>
              </w:rPr>
              <w:t xml:space="preserve"> </w:t>
            </w:r>
            <w:r>
              <w:rPr>
                <w:rFonts w:cs="Times New Roman"/>
                <w:i/>
                <w:iCs/>
                <w:kern w:val="0"/>
                <w:sz w:val="21"/>
                <w:szCs w:val="21"/>
              </w:rPr>
              <w:t>carduelis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Carduelis</w:t>
            </w:r>
            <w:r>
              <w:rPr>
                <w:rFonts w:cs="Times New Roman"/>
                <w:i/>
                <w:iCs/>
                <w:spacing w:val="-3"/>
                <w:kern w:val="0"/>
                <w:sz w:val="21"/>
                <w:szCs w:val="21"/>
              </w:rPr>
              <w:t xml:space="preserve"> </w:t>
            </w:r>
            <w:r>
              <w:rPr>
                <w:rFonts w:cs="Times New Roman"/>
                <w:i/>
                <w:iCs/>
                <w:kern w:val="0"/>
                <w:sz w:val="21"/>
                <w:szCs w:val="21"/>
              </w:rPr>
              <w:t>spinus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白腰朱顶雀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4" w:firstLine="0" w:firstLineChars="0"/>
              <w:jc w:val="center"/>
              <w:rPr>
                <w:rFonts w:cs="Times New Roman"/>
                <w:i/>
                <w:iCs/>
                <w:kern w:val="0"/>
                <w:sz w:val="21"/>
                <w:szCs w:val="21"/>
              </w:rPr>
            </w:pPr>
            <w:r>
              <w:rPr>
                <w:rFonts w:cs="Times New Roman"/>
                <w:i/>
                <w:iCs/>
                <w:kern w:val="0"/>
                <w:sz w:val="21"/>
                <w:szCs w:val="21"/>
              </w:rPr>
              <w:t>Carduelis</w:t>
            </w:r>
            <w:r>
              <w:rPr>
                <w:rFonts w:cs="Times New Roman"/>
                <w:i/>
                <w:iCs/>
                <w:spacing w:val="-3"/>
                <w:kern w:val="0"/>
                <w:sz w:val="21"/>
                <w:szCs w:val="21"/>
              </w:rPr>
              <w:t xml:space="preserve"> </w:t>
            </w:r>
            <w:r>
              <w:rPr>
                <w:rFonts w:cs="Times New Roman"/>
                <w:i/>
                <w:iCs/>
                <w:kern w:val="0"/>
                <w:sz w:val="21"/>
                <w:szCs w:val="21"/>
              </w:rPr>
              <w:t>flammea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赤胸朱顶雀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Carduelis</w:t>
            </w:r>
            <w:r>
              <w:rPr>
                <w:rFonts w:cs="Times New Roman"/>
                <w:i/>
                <w:iCs/>
                <w:spacing w:val="-3"/>
                <w:kern w:val="0"/>
                <w:sz w:val="21"/>
                <w:szCs w:val="21"/>
              </w:rPr>
              <w:t xml:space="preserve"> </w:t>
            </w:r>
            <w:r>
              <w:rPr>
                <w:rFonts w:cs="Times New Roman"/>
                <w:i/>
                <w:iCs/>
                <w:kern w:val="0"/>
                <w:sz w:val="21"/>
                <w:szCs w:val="21"/>
              </w:rPr>
              <w:t>cannabina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黄嘴朱顶雀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Carduelis</w:t>
            </w:r>
            <w:r>
              <w:rPr>
                <w:rFonts w:cs="Times New Roman"/>
                <w:i/>
                <w:iCs/>
                <w:spacing w:val="-5"/>
                <w:kern w:val="0"/>
                <w:sz w:val="21"/>
                <w:szCs w:val="21"/>
              </w:rPr>
              <w:t xml:space="preserve"> </w:t>
            </w:r>
            <w:r>
              <w:rPr>
                <w:rFonts w:cs="Times New Roman"/>
                <w:i/>
                <w:iCs/>
                <w:kern w:val="0"/>
                <w:sz w:val="21"/>
                <w:szCs w:val="21"/>
              </w:rPr>
              <w:t>flavirostris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254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巨嘴沙雀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3" w:firstLine="0" w:firstLineChars="0"/>
              <w:jc w:val="center"/>
              <w:rPr>
                <w:rFonts w:cs="Times New Roman"/>
                <w:i/>
                <w:iCs/>
                <w:kern w:val="0"/>
                <w:sz w:val="21"/>
                <w:szCs w:val="21"/>
              </w:rPr>
            </w:pPr>
            <w:r>
              <w:rPr>
                <w:rFonts w:cs="Times New Roman"/>
                <w:i/>
                <w:iCs/>
                <w:kern w:val="0"/>
                <w:sz w:val="21"/>
                <w:szCs w:val="21"/>
              </w:rPr>
              <w:t>Rhodospisa</w:t>
            </w:r>
            <w:r>
              <w:rPr>
                <w:rFonts w:cs="Times New Roman"/>
                <w:i/>
                <w:iCs/>
                <w:spacing w:val="-1"/>
                <w:kern w:val="0"/>
                <w:sz w:val="21"/>
                <w:szCs w:val="21"/>
              </w:rPr>
              <w:t xml:space="preserve"> </w:t>
            </w:r>
            <w:r>
              <w:rPr>
                <w:rFonts w:cs="Times New Roman"/>
                <w:i/>
                <w:iCs/>
                <w:kern w:val="0"/>
                <w:sz w:val="21"/>
                <w:szCs w:val="21"/>
              </w:rPr>
              <w:t>obsoleta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蒙古沙雀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Rhodopechys</w:t>
            </w:r>
            <w:r>
              <w:rPr>
                <w:rFonts w:cs="Times New Roman"/>
                <w:i/>
                <w:iCs/>
                <w:spacing w:val="-1"/>
                <w:kern w:val="0"/>
                <w:sz w:val="21"/>
                <w:szCs w:val="21"/>
              </w:rPr>
              <w:t xml:space="preserve"> </w:t>
            </w:r>
            <w:r>
              <w:rPr>
                <w:rFonts w:cs="Times New Roman"/>
                <w:i/>
                <w:iCs/>
                <w:kern w:val="0"/>
                <w:sz w:val="21"/>
                <w:szCs w:val="21"/>
              </w:rPr>
              <w:t>mongolica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红腰朱雀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Carpodacus</w:t>
            </w:r>
            <w:r>
              <w:rPr>
                <w:rFonts w:cs="Times New Roman"/>
                <w:i/>
                <w:iCs/>
                <w:spacing w:val="-4"/>
                <w:kern w:val="0"/>
                <w:sz w:val="21"/>
                <w:szCs w:val="21"/>
              </w:rPr>
              <w:t xml:space="preserve"> </w:t>
            </w:r>
            <w:r>
              <w:rPr>
                <w:rFonts w:cs="Times New Roman"/>
                <w:i/>
                <w:iCs/>
                <w:kern w:val="0"/>
                <w:sz w:val="21"/>
                <w:szCs w:val="21"/>
              </w:rPr>
              <w:t>rhodochlamys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P</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257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普通朱雀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3" w:firstLine="0" w:firstLineChars="0"/>
              <w:jc w:val="center"/>
              <w:rPr>
                <w:rFonts w:cs="Times New Roman"/>
                <w:i/>
                <w:iCs/>
                <w:kern w:val="0"/>
                <w:sz w:val="21"/>
                <w:szCs w:val="21"/>
              </w:rPr>
            </w:pPr>
            <w:r>
              <w:rPr>
                <w:rFonts w:cs="Times New Roman"/>
                <w:i/>
                <w:iCs/>
                <w:kern w:val="0"/>
                <w:sz w:val="21"/>
                <w:szCs w:val="21"/>
              </w:rPr>
              <w:t>Carpodacus</w:t>
            </w:r>
            <w:r>
              <w:rPr>
                <w:rFonts w:cs="Times New Roman"/>
                <w:i/>
                <w:iCs/>
                <w:spacing w:val="-2"/>
                <w:kern w:val="0"/>
                <w:sz w:val="21"/>
                <w:szCs w:val="21"/>
              </w:rPr>
              <w:t xml:space="preserve"> </w:t>
            </w:r>
            <w:r>
              <w:rPr>
                <w:rFonts w:cs="Times New Roman"/>
                <w:i/>
                <w:iCs/>
                <w:kern w:val="0"/>
                <w:sz w:val="21"/>
                <w:szCs w:val="21"/>
              </w:rPr>
              <w:t>erythrinus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红交嘴雀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3" w:firstLine="0" w:firstLineChars="0"/>
              <w:jc w:val="center"/>
              <w:rPr>
                <w:rFonts w:cs="Times New Roman"/>
                <w:i/>
                <w:iCs/>
                <w:kern w:val="0"/>
                <w:sz w:val="21"/>
                <w:szCs w:val="21"/>
              </w:rPr>
            </w:pPr>
            <w:r>
              <w:rPr>
                <w:rFonts w:cs="Times New Roman"/>
                <w:i/>
                <w:iCs/>
                <w:kern w:val="0"/>
                <w:sz w:val="21"/>
                <w:szCs w:val="21"/>
              </w:rPr>
              <w:t>Loria</w:t>
            </w:r>
            <w:r>
              <w:rPr>
                <w:rFonts w:cs="Times New Roman"/>
                <w:i/>
                <w:iCs/>
                <w:spacing w:val="-3"/>
                <w:kern w:val="0"/>
                <w:sz w:val="21"/>
                <w:szCs w:val="21"/>
              </w:rPr>
              <w:t xml:space="preserve"> </w:t>
            </w:r>
            <w:r>
              <w:rPr>
                <w:rFonts w:cs="Times New Roman"/>
                <w:i/>
                <w:iCs/>
                <w:kern w:val="0"/>
                <w:sz w:val="21"/>
                <w:szCs w:val="21"/>
              </w:rPr>
              <w:t>curvirostra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9"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259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长尾雀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Uragus</w:t>
            </w:r>
            <w:r>
              <w:rPr>
                <w:rFonts w:cs="Times New Roman"/>
                <w:i/>
                <w:iCs/>
                <w:spacing w:val="-5"/>
                <w:kern w:val="0"/>
                <w:sz w:val="21"/>
                <w:szCs w:val="21"/>
              </w:rPr>
              <w:t xml:space="preserve"> </w:t>
            </w:r>
            <w:r>
              <w:rPr>
                <w:rFonts w:cs="Times New Roman"/>
                <w:i/>
                <w:iCs/>
                <w:kern w:val="0"/>
                <w:sz w:val="21"/>
                <w:szCs w:val="21"/>
              </w:rPr>
              <w:t>sibiricus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260</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灰腹灰雀</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Pvrrhula</w:t>
            </w:r>
            <w:r>
              <w:rPr>
                <w:rFonts w:cs="Times New Roman"/>
                <w:i/>
                <w:iCs/>
                <w:spacing w:val="-2"/>
                <w:kern w:val="0"/>
                <w:sz w:val="21"/>
                <w:szCs w:val="21"/>
              </w:rPr>
              <w:t xml:space="preserve"> </w:t>
            </w:r>
            <w:r>
              <w:rPr>
                <w:rFonts w:cs="Times New Roman"/>
                <w:i/>
                <w:iCs/>
                <w:kern w:val="0"/>
                <w:sz w:val="21"/>
                <w:szCs w:val="21"/>
              </w:rPr>
              <w:t>griseiventris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261</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红腹灰雀</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3" w:firstLine="0" w:firstLineChars="0"/>
              <w:jc w:val="center"/>
              <w:rPr>
                <w:rFonts w:cs="Times New Roman"/>
                <w:i/>
                <w:iCs/>
                <w:kern w:val="0"/>
                <w:sz w:val="21"/>
                <w:szCs w:val="21"/>
              </w:rPr>
            </w:pPr>
            <w:r>
              <w:rPr>
                <w:rFonts w:cs="Times New Roman"/>
                <w:i/>
                <w:iCs/>
                <w:kern w:val="0"/>
                <w:sz w:val="21"/>
                <w:szCs w:val="21"/>
              </w:rPr>
              <w:t>Pyrrhula</w:t>
            </w:r>
            <w:r>
              <w:rPr>
                <w:rFonts w:cs="Times New Roman"/>
                <w:i/>
                <w:iCs/>
                <w:spacing w:val="-2"/>
                <w:kern w:val="0"/>
                <w:sz w:val="21"/>
                <w:szCs w:val="21"/>
              </w:rPr>
              <w:t xml:space="preserve"> </w:t>
            </w:r>
            <w:r>
              <w:rPr>
                <w:rFonts w:cs="Times New Roman"/>
                <w:i/>
                <w:iCs/>
                <w:kern w:val="0"/>
                <w:sz w:val="21"/>
                <w:szCs w:val="21"/>
              </w:rPr>
              <w:t>pyrrhula</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MW</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262</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锡嘴雀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Coccothrauustes</w:t>
            </w:r>
            <w:r>
              <w:rPr>
                <w:rFonts w:cs="Times New Roman"/>
                <w:i/>
                <w:iCs/>
                <w:spacing w:val="-2"/>
                <w:kern w:val="0"/>
                <w:sz w:val="21"/>
                <w:szCs w:val="21"/>
              </w:rPr>
              <w:t xml:space="preserve"> </w:t>
            </w:r>
            <w:r>
              <w:rPr>
                <w:rFonts w:cs="Times New Roman"/>
                <w:i/>
                <w:iCs/>
                <w:kern w:val="0"/>
                <w:sz w:val="21"/>
                <w:szCs w:val="21"/>
              </w:rPr>
              <w:t>coccothratustes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MW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935"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7"/>
                <w:szCs w:val="27"/>
              </w:rPr>
            </w:pPr>
          </w:p>
          <w:p>
            <w:pPr>
              <w:kinsoku w:val="0"/>
              <w:overflowPunct w:val="0"/>
              <w:autoSpaceDE w:val="0"/>
              <w:autoSpaceDN w:val="0"/>
              <w:adjustRightInd w:val="0"/>
              <w:spacing w:line="240" w:lineRule="auto"/>
              <w:ind w:firstLine="0" w:firstLineChars="0"/>
              <w:jc w:val="left"/>
              <w:rPr>
                <w:rFonts w:cs="Times New Roman"/>
                <w:kern w:val="0"/>
                <w:sz w:val="21"/>
                <w:szCs w:val="21"/>
              </w:rPr>
            </w:pPr>
            <w:r>
              <w:rPr>
                <w:rFonts w:cs="Times New Roman"/>
                <w:kern w:val="0"/>
                <w:sz w:val="21"/>
                <w:szCs w:val="21"/>
              </w:rPr>
              <w:t>263</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spacing w:val="11"/>
                <w:kern w:val="0"/>
                <w:sz w:val="21"/>
                <w:szCs w:val="21"/>
              </w:rPr>
            </w:pPr>
            <w:r>
              <w:rPr>
                <w:rFonts w:hint="eastAsia" w:ascii="仿宋" w:eastAsia="仿宋" w:cs="仿宋"/>
                <w:spacing w:val="11"/>
                <w:kern w:val="0"/>
                <w:sz w:val="21"/>
                <w:szCs w:val="21"/>
              </w:rPr>
              <w:t>白斑翅拟蜡嘴</w:t>
            </w:r>
          </w:p>
          <w:p>
            <w:pPr>
              <w:kinsoku w:val="0"/>
              <w:overflowPunct w:val="0"/>
              <w:autoSpaceDE w:val="0"/>
              <w:autoSpaceDN w:val="0"/>
              <w:adjustRightInd w:val="0"/>
              <w:spacing w:before="7" w:line="240" w:lineRule="auto"/>
              <w:ind w:firstLine="0" w:firstLineChars="0"/>
              <w:jc w:val="left"/>
              <w:rPr>
                <w:rFonts w:ascii="宋体" w:eastAsia="宋体" w:cs="宋体"/>
                <w:b/>
                <w:bCs/>
                <w:kern w:val="0"/>
                <w:sz w:val="15"/>
                <w:szCs w:val="15"/>
              </w:rPr>
            </w:pPr>
          </w:p>
          <w:p>
            <w:pPr>
              <w:kinsoku w:val="0"/>
              <w:overflowPunct w:val="0"/>
              <w:autoSpaceDE w:val="0"/>
              <w:autoSpaceDN w:val="0"/>
              <w:adjustRightInd w:val="0"/>
              <w:spacing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7"/>
                <w:szCs w:val="27"/>
              </w:rPr>
            </w:pPr>
          </w:p>
          <w:p>
            <w:pPr>
              <w:kinsoku w:val="0"/>
              <w:overflowPunct w:val="0"/>
              <w:autoSpaceDE w:val="0"/>
              <w:autoSpaceDN w:val="0"/>
              <w:adjustRightInd w:val="0"/>
              <w:spacing w:line="240" w:lineRule="auto"/>
              <w:ind w:right="312" w:firstLine="0" w:firstLineChars="0"/>
              <w:jc w:val="center"/>
              <w:rPr>
                <w:rFonts w:cs="Times New Roman"/>
                <w:i/>
                <w:iCs/>
                <w:kern w:val="0"/>
                <w:sz w:val="21"/>
                <w:szCs w:val="21"/>
              </w:rPr>
            </w:pPr>
            <w:r>
              <w:rPr>
                <w:rFonts w:cs="Times New Roman"/>
                <w:i/>
                <w:iCs/>
                <w:kern w:val="0"/>
                <w:sz w:val="21"/>
                <w:szCs w:val="21"/>
              </w:rPr>
              <w:t>Mycerobas</w:t>
            </w:r>
            <w:r>
              <w:rPr>
                <w:rFonts w:cs="Times New Roman"/>
                <w:i/>
                <w:iCs/>
                <w:spacing w:val="-2"/>
                <w:kern w:val="0"/>
                <w:sz w:val="21"/>
                <w:szCs w:val="21"/>
              </w:rPr>
              <w:t xml:space="preserve"> </w:t>
            </w:r>
            <w:r>
              <w:rPr>
                <w:rFonts w:cs="Times New Roman"/>
                <w:i/>
                <w:iCs/>
                <w:kern w:val="0"/>
                <w:sz w:val="21"/>
                <w:szCs w:val="21"/>
              </w:rPr>
              <w:t>carnipes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7"/>
                <w:szCs w:val="27"/>
              </w:rPr>
            </w:pPr>
          </w:p>
          <w:p>
            <w:pPr>
              <w:kinsoku w:val="0"/>
              <w:overflowPunct w:val="0"/>
              <w:autoSpaceDE w:val="0"/>
              <w:autoSpaceDN w:val="0"/>
              <w:adjustRightInd w:val="0"/>
              <w:spacing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7"/>
                <w:szCs w:val="27"/>
              </w:rPr>
            </w:pPr>
          </w:p>
          <w:p>
            <w:pPr>
              <w:kinsoku w:val="0"/>
              <w:overflowPunct w:val="0"/>
              <w:autoSpaceDE w:val="0"/>
              <w:autoSpaceDN w:val="0"/>
              <w:adjustRightInd w:val="0"/>
              <w:spacing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（五十八）</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黑体" w:eastAsia="黑体" w:cs="黑体"/>
                <w:kern w:val="0"/>
                <w:sz w:val="21"/>
                <w:szCs w:val="21"/>
              </w:rPr>
            </w:pPr>
            <w:r>
              <w:rPr>
                <w:rFonts w:hint="eastAsia" w:ascii="黑体" w:eastAsia="黑体" w:cs="黑体"/>
                <w:kern w:val="0"/>
                <w:sz w:val="21"/>
                <w:szCs w:val="21"/>
              </w:rPr>
              <w:t>鹀科</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Emberizidae</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264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2"/>
                <w:kern w:val="0"/>
                <w:sz w:val="21"/>
                <w:szCs w:val="21"/>
              </w:rPr>
              <w:t xml:space="preserve"> </w:t>
            </w:r>
            <w:r>
              <w:rPr>
                <w:rFonts w:cs="Times New Roman"/>
                <w:i/>
                <w:iCs/>
                <w:kern w:val="0"/>
                <w:sz w:val="21"/>
                <w:szCs w:val="21"/>
              </w:rPr>
              <w:t>citrinella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265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黍鹀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calandra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266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白头鹀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leucocephalos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267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1"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褐头鹀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5"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bruniceps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S</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268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黄胸鹀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2"/>
                <w:kern w:val="0"/>
                <w:sz w:val="21"/>
                <w:szCs w:val="21"/>
              </w:rPr>
              <w:t xml:space="preserve"> </w:t>
            </w:r>
            <w:r>
              <w:rPr>
                <w:rFonts w:cs="Times New Roman"/>
                <w:i/>
                <w:iCs/>
                <w:kern w:val="0"/>
                <w:sz w:val="21"/>
                <w:szCs w:val="21"/>
              </w:rPr>
              <w:t>aureola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269</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灰颈鹀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right="315"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buchanan</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4" w:line="240" w:lineRule="auto"/>
              <w:ind w:firstLine="0" w:firstLineChars="0"/>
              <w:jc w:val="left"/>
              <w:rPr>
                <w:rFonts w:cs="Times New Roman"/>
                <w:kern w:val="0"/>
                <w:sz w:val="21"/>
                <w:szCs w:val="21"/>
              </w:rPr>
            </w:pPr>
            <w:r>
              <w:rPr>
                <w:rFonts w:cs="Times New Roman"/>
                <w:kern w:val="0"/>
                <w:sz w:val="21"/>
                <w:szCs w:val="21"/>
              </w:rPr>
              <w:t>D</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270</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灰眉岩鹀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cia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271</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戈氏岩鹀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godlewskii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O</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9" w:line="240" w:lineRule="auto"/>
              <w:ind w:firstLine="0" w:firstLineChars="0"/>
              <w:jc w:val="left"/>
              <w:rPr>
                <w:rFonts w:cs="Times New Roman"/>
                <w:kern w:val="0"/>
                <w:sz w:val="22"/>
              </w:rPr>
            </w:pPr>
            <w:r>
              <w:rPr>
                <w:rFonts w:cs="Times New Roman"/>
                <w:kern w:val="0"/>
                <w:sz w:val="22"/>
              </w:rPr>
              <w:t>++</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bl>
    <w:p>
      <w:pPr>
        <w:autoSpaceDE w:val="0"/>
        <w:autoSpaceDN w:val="0"/>
        <w:adjustRightInd w:val="0"/>
        <w:spacing w:line="240" w:lineRule="auto"/>
        <w:ind w:firstLine="0" w:firstLineChars="0"/>
        <w:jc w:val="left"/>
        <w:rPr>
          <w:rFonts w:ascii="宋体" w:eastAsia="宋体" w:cs="宋体"/>
          <w:b/>
          <w:bCs/>
          <w:kern w:val="0"/>
          <w:sz w:val="14"/>
          <w:szCs w:val="14"/>
        </w:rPr>
        <w:sectPr>
          <w:pgSz w:w="16840" w:h="11910" w:orient="landscape"/>
          <w:pgMar w:top="1100" w:right="1480" w:bottom="280" w:left="1480" w:header="720" w:footer="720" w:gutter="0"/>
          <w:cols w:space="720" w:num="1"/>
        </w:sect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2" w:line="240" w:lineRule="auto"/>
        <w:ind w:firstLine="0" w:firstLineChars="0"/>
        <w:jc w:val="left"/>
        <w:rPr>
          <w:rFonts w:ascii="宋体" w:eastAsia="宋体" w:cs="宋体"/>
          <w:b/>
          <w:bCs/>
          <w:kern w:val="0"/>
          <w:sz w:val="14"/>
          <w:szCs w:val="14"/>
        </w:rPr>
      </w:pPr>
    </w:p>
    <w:tbl>
      <w:tblPr>
        <w:tblStyle w:val="25"/>
        <w:tblW w:w="13657" w:type="dxa"/>
        <w:tblInd w:w="116" w:type="dxa"/>
        <w:tblLayout w:type="fixed"/>
        <w:tblCellMar>
          <w:top w:w="0" w:type="dxa"/>
          <w:left w:w="0" w:type="dxa"/>
          <w:bottom w:w="0" w:type="dxa"/>
          <w:right w:w="0" w:type="dxa"/>
        </w:tblCellMar>
      </w:tblPr>
      <w:tblGrid>
        <w:gridCol w:w="1556"/>
        <w:gridCol w:w="1560"/>
        <w:gridCol w:w="3473"/>
        <w:gridCol w:w="874"/>
        <w:gridCol w:w="1061"/>
        <w:gridCol w:w="725"/>
        <w:gridCol w:w="727"/>
        <w:gridCol w:w="725"/>
        <w:gridCol w:w="728"/>
        <w:gridCol w:w="1073"/>
        <w:gridCol w:w="1155"/>
      </w:tblGrid>
      <w:tr>
        <w:tblPrEx>
          <w:tblCellMar>
            <w:top w:w="0" w:type="dxa"/>
            <w:left w:w="0" w:type="dxa"/>
            <w:bottom w:w="0" w:type="dxa"/>
            <w:right w:w="0" w:type="dxa"/>
          </w:tblCellMar>
        </w:tblPrEx>
        <w:trPr>
          <w:trHeight w:val="1403"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37" w:firstLine="0" w:firstLineChars="0"/>
              <w:jc w:val="center"/>
              <w:rPr>
                <w:rFonts w:ascii="宋体" w:eastAsia="宋体" w:cs="宋体"/>
                <w:b/>
                <w:bCs/>
                <w:kern w:val="0"/>
                <w:sz w:val="21"/>
                <w:szCs w:val="21"/>
              </w:rPr>
            </w:pPr>
            <w:r>
              <w:rPr>
                <w:rFonts w:hint="eastAsia" w:ascii="宋体" w:eastAsia="宋体" w:cs="宋体"/>
                <w:b/>
                <w:bCs/>
                <w:kern w:val="0"/>
                <w:sz w:val="21"/>
                <w:szCs w:val="21"/>
              </w:rPr>
              <w:t>序号</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540" w:firstLine="0" w:firstLineChars="0"/>
              <w:jc w:val="center"/>
              <w:rPr>
                <w:rFonts w:ascii="宋体" w:eastAsia="宋体" w:cs="宋体"/>
                <w:b/>
                <w:bCs/>
                <w:kern w:val="0"/>
                <w:sz w:val="21"/>
                <w:szCs w:val="21"/>
              </w:rPr>
            </w:pPr>
            <w:r>
              <w:rPr>
                <w:rFonts w:hint="eastAsia" w:ascii="宋体" w:eastAsia="宋体" w:cs="宋体"/>
                <w:b/>
                <w:bCs/>
                <w:kern w:val="0"/>
                <w:sz w:val="21"/>
                <w:szCs w:val="21"/>
              </w:rPr>
              <w:t>种名</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right="316" w:firstLine="0" w:firstLineChars="0"/>
              <w:jc w:val="center"/>
              <w:rPr>
                <w:rFonts w:ascii="宋体" w:eastAsia="宋体" w:cs="宋体"/>
                <w:b/>
                <w:bCs/>
                <w:kern w:val="0"/>
                <w:sz w:val="21"/>
                <w:szCs w:val="21"/>
              </w:rPr>
            </w:pPr>
            <w:r>
              <w:rPr>
                <w:rFonts w:hint="eastAsia" w:ascii="宋体" w:eastAsia="宋体" w:cs="宋体"/>
                <w:b/>
                <w:bCs/>
                <w:kern w:val="0"/>
                <w:sz w:val="21"/>
                <w:szCs w:val="21"/>
              </w:rPr>
              <w:t>拉丁名</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214"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居留性质</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0"/>
                <w:szCs w:val="20"/>
              </w:rPr>
            </w:pPr>
          </w:p>
          <w:p>
            <w:pPr>
              <w:kinsoku w:val="0"/>
              <w:overflowPunct w:val="0"/>
              <w:autoSpaceDE w:val="0"/>
              <w:autoSpaceDN w:val="0"/>
              <w:adjustRightInd w:val="0"/>
              <w:spacing w:before="3" w:line="240" w:lineRule="auto"/>
              <w:ind w:firstLine="0" w:firstLineChars="0"/>
              <w:jc w:val="left"/>
              <w:rPr>
                <w:rFonts w:ascii="宋体" w:eastAsia="宋体" w:cs="宋体"/>
                <w:b/>
                <w:bCs/>
                <w:kern w:val="0"/>
                <w:szCs w:val="24"/>
              </w:rPr>
            </w:pPr>
          </w:p>
          <w:p>
            <w:pPr>
              <w:kinsoku w:val="0"/>
              <w:overflowPunct w:val="0"/>
              <w:autoSpaceDE w:val="0"/>
              <w:autoSpaceDN w:val="0"/>
              <w:adjustRightInd w:val="0"/>
              <w:spacing w:line="240" w:lineRule="auto"/>
              <w:ind w:firstLine="0" w:firstLineChars="0"/>
              <w:jc w:val="left"/>
              <w:rPr>
                <w:rFonts w:ascii="宋体" w:eastAsia="宋体" w:cs="宋体"/>
                <w:b/>
                <w:bCs/>
                <w:kern w:val="0"/>
                <w:sz w:val="21"/>
                <w:szCs w:val="21"/>
              </w:rPr>
            </w:pPr>
            <w:r>
              <w:rPr>
                <w:rFonts w:hint="eastAsia" w:ascii="宋体" w:eastAsia="宋体" w:cs="宋体"/>
                <w:b/>
                <w:bCs/>
                <w:kern w:val="0"/>
                <w:sz w:val="21"/>
                <w:szCs w:val="21"/>
              </w:rPr>
              <w:t>分布型</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 w:line="240" w:lineRule="auto"/>
              <w:ind w:firstLine="0" w:firstLineChars="0"/>
              <w:jc w:val="left"/>
              <w:rPr>
                <w:rFonts w:ascii="宋体" w:eastAsia="宋体" w:cs="宋体"/>
                <w:b/>
                <w:bCs/>
                <w:kern w:val="0"/>
                <w:sz w:val="26"/>
                <w:szCs w:val="26"/>
              </w:rPr>
            </w:pPr>
          </w:p>
          <w:p>
            <w:pPr>
              <w:kinsoku w:val="0"/>
              <w:overflowPunct w:val="0"/>
              <w:autoSpaceDE w:val="0"/>
              <w:autoSpaceDN w:val="0"/>
              <w:adjustRightInd w:val="0"/>
              <w:spacing w:line="417" w:lineRule="auto"/>
              <w:ind w:right="139" w:firstLine="0" w:firstLineChars="0"/>
              <w:jc w:val="left"/>
              <w:rPr>
                <w:rFonts w:ascii="宋体" w:eastAsia="宋体" w:cs="宋体"/>
                <w:b/>
                <w:bCs/>
                <w:spacing w:val="-2"/>
                <w:kern w:val="0"/>
                <w:sz w:val="21"/>
                <w:szCs w:val="21"/>
              </w:rPr>
            </w:pPr>
            <w:r>
              <w:rPr>
                <w:rFonts w:hint="eastAsia" w:ascii="宋体" w:eastAsia="宋体" w:cs="宋体"/>
                <w:b/>
                <w:bCs/>
                <w:spacing w:val="-2"/>
                <w:kern w:val="0"/>
                <w:sz w:val="21"/>
                <w:szCs w:val="21"/>
              </w:rPr>
              <w:t>数量等级</w:t>
            </w: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3" w:firstLine="0" w:firstLineChars="0"/>
              <w:jc w:val="left"/>
              <w:rPr>
                <w:rFonts w:ascii="宋体" w:eastAsia="宋体" w:cs="宋体"/>
                <w:b/>
                <w:bCs/>
                <w:spacing w:val="-9"/>
                <w:kern w:val="0"/>
                <w:sz w:val="21"/>
                <w:szCs w:val="21"/>
              </w:rPr>
            </w:pPr>
            <w:r>
              <w:rPr>
                <w:rFonts w:hint="eastAsia" w:ascii="宋体" w:eastAsia="宋体" w:cs="宋体"/>
                <w:b/>
                <w:bCs/>
                <w:spacing w:val="-3"/>
                <w:kern w:val="0"/>
                <w:sz w:val="21"/>
                <w:szCs w:val="21"/>
              </w:rPr>
              <w:t>中国</w:t>
            </w:r>
            <w:r>
              <w:rPr>
                <w:rFonts w:hint="eastAsia" w:ascii="宋体" w:eastAsia="宋体" w:cs="宋体"/>
                <w:b/>
                <w:bCs/>
                <w:spacing w:val="-9"/>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39" w:firstLine="0" w:firstLineChars="0"/>
              <w:jc w:val="left"/>
              <w:rPr>
                <w:rFonts w:ascii="宋体" w:eastAsia="宋体" w:cs="宋体"/>
                <w:b/>
                <w:bCs/>
                <w:spacing w:val="-8"/>
                <w:kern w:val="0"/>
                <w:sz w:val="21"/>
                <w:szCs w:val="21"/>
              </w:rPr>
            </w:pPr>
            <w:r>
              <w:rPr>
                <w:rFonts w:hint="eastAsia" w:ascii="宋体" w:eastAsia="宋体" w:cs="宋体"/>
                <w:b/>
                <w:bCs/>
                <w:spacing w:val="-2"/>
                <w:kern w:val="0"/>
                <w:sz w:val="21"/>
                <w:szCs w:val="21"/>
              </w:rPr>
              <w:t>新疆</w:t>
            </w:r>
            <w:r>
              <w:rPr>
                <w:rFonts w:hint="eastAsia" w:ascii="宋体" w:eastAsia="宋体" w:cs="宋体"/>
                <w:b/>
                <w:bCs/>
                <w:spacing w:val="-8"/>
                <w:kern w:val="0"/>
                <w:sz w:val="21"/>
                <w:szCs w:val="21"/>
              </w:rPr>
              <w:t>保护</w:t>
            </w:r>
          </w:p>
          <w:p>
            <w:pPr>
              <w:kinsoku w:val="0"/>
              <w:overflowPunct w:val="0"/>
              <w:autoSpaceDE w:val="0"/>
              <w:autoSpaceDN w:val="0"/>
              <w:adjustRightInd w:val="0"/>
              <w:spacing w:line="269" w:lineRule="exact"/>
              <w:ind w:firstLine="0" w:firstLineChars="0"/>
              <w:jc w:val="left"/>
              <w:rPr>
                <w:rFonts w:ascii="宋体" w:eastAsia="宋体" w:cs="宋体"/>
                <w:b/>
                <w:bCs/>
                <w:kern w:val="0"/>
                <w:sz w:val="21"/>
                <w:szCs w:val="21"/>
              </w:rPr>
            </w:pPr>
            <w:r>
              <w:rPr>
                <w:rFonts w:hint="eastAsia" w:ascii="宋体" w:eastAsia="宋体" w:cs="宋体"/>
                <w:b/>
                <w:bCs/>
                <w:kern w:val="0"/>
                <w:sz w:val="21"/>
                <w:szCs w:val="21"/>
              </w:rPr>
              <w:t>级别</w:t>
            </w: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417" w:lineRule="auto"/>
              <w:ind w:right="142" w:firstLine="0" w:firstLineChars="0"/>
              <w:jc w:val="center"/>
              <w:rPr>
                <w:rFonts w:ascii="宋体" w:eastAsia="宋体" w:cs="宋体"/>
                <w:b/>
                <w:bCs/>
                <w:spacing w:val="-2"/>
                <w:kern w:val="0"/>
                <w:sz w:val="21"/>
                <w:szCs w:val="21"/>
              </w:rPr>
            </w:pPr>
            <w:r>
              <w:rPr>
                <w:rFonts w:hint="eastAsia" w:ascii="宋体" w:eastAsia="宋体" w:cs="宋体"/>
                <w:b/>
                <w:bCs/>
                <w:spacing w:val="-2"/>
                <w:kern w:val="0"/>
                <w:sz w:val="21"/>
                <w:szCs w:val="21"/>
              </w:rPr>
              <w:t>中国红皮</w:t>
            </w:r>
          </w:p>
          <w:p>
            <w:pPr>
              <w:kinsoku w:val="0"/>
              <w:overflowPunct w:val="0"/>
              <w:autoSpaceDE w:val="0"/>
              <w:autoSpaceDN w:val="0"/>
              <w:adjustRightInd w:val="0"/>
              <w:spacing w:line="269" w:lineRule="exact"/>
              <w:ind w:firstLine="0" w:firstLineChars="0"/>
              <w:jc w:val="center"/>
              <w:rPr>
                <w:rFonts w:ascii="宋体" w:eastAsia="宋体" w:cs="宋体"/>
                <w:b/>
                <w:bCs/>
                <w:kern w:val="0"/>
                <w:sz w:val="21"/>
                <w:szCs w:val="21"/>
              </w:rPr>
            </w:pPr>
            <w:r>
              <w:rPr>
                <w:rFonts w:hint="eastAsia" w:ascii="宋体" w:eastAsia="宋体" w:cs="宋体"/>
                <w:b/>
                <w:bCs/>
                <w:kern w:val="0"/>
                <w:sz w:val="21"/>
                <w:szCs w:val="21"/>
              </w:rPr>
              <w:t>书</w:t>
            </w: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IUCN</w:t>
            </w: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22"/>
              </w:rPr>
            </w:pPr>
          </w:p>
          <w:p>
            <w:pPr>
              <w:kinsoku w:val="0"/>
              <w:overflowPunct w:val="0"/>
              <w:autoSpaceDE w:val="0"/>
              <w:autoSpaceDN w:val="0"/>
              <w:adjustRightInd w:val="0"/>
              <w:spacing w:before="4" w:line="240" w:lineRule="auto"/>
              <w:ind w:firstLine="0" w:firstLineChars="0"/>
              <w:jc w:val="left"/>
              <w:rPr>
                <w:rFonts w:ascii="宋体" w:eastAsia="宋体" w:cs="宋体"/>
                <w:b/>
                <w:bCs/>
                <w:kern w:val="0"/>
                <w:sz w:val="23"/>
                <w:szCs w:val="23"/>
              </w:rPr>
            </w:pPr>
          </w:p>
          <w:p>
            <w:pPr>
              <w:kinsoku w:val="0"/>
              <w:overflowPunct w:val="0"/>
              <w:autoSpaceDE w:val="0"/>
              <w:autoSpaceDN w:val="0"/>
              <w:adjustRightInd w:val="0"/>
              <w:spacing w:line="240" w:lineRule="auto"/>
              <w:ind w:firstLine="0" w:firstLineChars="0"/>
              <w:jc w:val="left"/>
              <w:rPr>
                <w:rFonts w:cs="Times New Roman"/>
                <w:b/>
                <w:bCs/>
                <w:kern w:val="0"/>
                <w:sz w:val="21"/>
                <w:szCs w:val="21"/>
              </w:rPr>
            </w:pPr>
            <w:r>
              <w:rPr>
                <w:rFonts w:cs="Times New Roman"/>
                <w:b/>
                <w:bCs/>
                <w:kern w:val="0"/>
                <w:sz w:val="21"/>
                <w:szCs w:val="21"/>
              </w:rPr>
              <w:t>CITES</w:t>
            </w:r>
          </w:p>
        </w:tc>
      </w:tr>
      <w:tr>
        <w:tblPrEx>
          <w:tblCellMar>
            <w:top w:w="0" w:type="dxa"/>
            <w:left w:w="0" w:type="dxa"/>
            <w:bottom w:w="0" w:type="dxa"/>
            <w:right w:w="0" w:type="dxa"/>
          </w:tblCellMar>
        </w:tblPrEx>
        <w:trPr>
          <w:trHeight w:val="465" w:hRule="atLeast"/>
        </w:trPr>
        <w:tc>
          <w:tcPr>
            <w:tcW w:w="1556"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272</w:t>
            </w:r>
          </w:p>
        </w:tc>
        <w:tc>
          <w:tcPr>
            <w:tcW w:w="1560"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三道眉草鹀</w:t>
            </w:r>
          </w:p>
        </w:tc>
        <w:tc>
          <w:tcPr>
            <w:tcW w:w="34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cioides</w:t>
            </w:r>
          </w:p>
        </w:tc>
        <w:tc>
          <w:tcPr>
            <w:tcW w:w="874"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R</w:t>
            </w:r>
          </w:p>
        </w:tc>
        <w:tc>
          <w:tcPr>
            <w:tcW w:w="1061"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6"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5" w:hRule="atLeast"/>
        </w:trPr>
        <w:tc>
          <w:tcPr>
            <w:tcW w:w="1556"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273</w:t>
            </w:r>
          </w:p>
        </w:tc>
        <w:tc>
          <w:tcPr>
            <w:tcW w:w="1560"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97"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田鹀</w:t>
            </w:r>
          </w:p>
        </w:tc>
        <w:tc>
          <w:tcPr>
            <w:tcW w:w="34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right="315"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rustica</w:t>
            </w:r>
          </w:p>
        </w:tc>
        <w:tc>
          <w:tcPr>
            <w:tcW w:w="874"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TW</w:t>
            </w:r>
          </w:p>
        </w:tc>
        <w:tc>
          <w:tcPr>
            <w:tcW w:w="1061"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1"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6"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70"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274</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2"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苇鹀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right="316"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pallasi</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5" w:line="240" w:lineRule="auto"/>
              <w:ind w:firstLine="0" w:firstLineChars="0"/>
              <w:jc w:val="left"/>
              <w:rPr>
                <w:rFonts w:cs="Times New Roman"/>
                <w:kern w:val="0"/>
                <w:sz w:val="21"/>
                <w:szCs w:val="21"/>
              </w:rPr>
            </w:pPr>
            <w:r>
              <w:rPr>
                <w:rFonts w:cs="Times New Roman"/>
                <w:kern w:val="0"/>
                <w:sz w:val="21"/>
                <w:szCs w:val="21"/>
              </w:rPr>
              <w:t>K</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275</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芦鹀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1"/>
                <w:kern w:val="0"/>
                <w:sz w:val="21"/>
                <w:szCs w:val="21"/>
              </w:rPr>
              <w:t xml:space="preserve"> </w:t>
            </w:r>
            <w:r>
              <w:rPr>
                <w:rFonts w:cs="Times New Roman"/>
                <w:i/>
                <w:iCs/>
                <w:kern w:val="0"/>
                <w:sz w:val="21"/>
                <w:szCs w:val="21"/>
              </w:rPr>
              <w:t>schoenichus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276</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小鹀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6" w:firstLine="0" w:firstLineChars="0"/>
              <w:jc w:val="center"/>
              <w:rPr>
                <w:rFonts w:cs="Times New Roman"/>
                <w:i/>
                <w:iCs/>
                <w:kern w:val="0"/>
                <w:sz w:val="21"/>
                <w:szCs w:val="21"/>
              </w:rPr>
            </w:pPr>
            <w:r>
              <w:rPr>
                <w:rFonts w:cs="Times New Roman"/>
                <w:i/>
                <w:iCs/>
                <w:kern w:val="0"/>
                <w:sz w:val="21"/>
                <w:szCs w:val="21"/>
              </w:rPr>
              <w:t>Emberiza</w:t>
            </w:r>
            <w:r>
              <w:rPr>
                <w:rFonts w:cs="Times New Roman"/>
                <w:i/>
                <w:iCs/>
                <w:spacing w:val="-2"/>
                <w:kern w:val="0"/>
                <w:sz w:val="21"/>
                <w:szCs w:val="21"/>
              </w:rPr>
              <w:t xml:space="preserve"> </w:t>
            </w:r>
            <w:r>
              <w:rPr>
                <w:rFonts w:cs="Times New Roman"/>
                <w:i/>
                <w:iCs/>
                <w:kern w:val="0"/>
                <w:sz w:val="21"/>
                <w:szCs w:val="21"/>
              </w:rPr>
              <w:t>pusilla</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WT</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U</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7"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277</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9"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铁爪鹀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2" w:firstLine="0" w:firstLineChars="0"/>
              <w:jc w:val="center"/>
              <w:rPr>
                <w:rFonts w:cs="Times New Roman"/>
                <w:i/>
                <w:iCs/>
                <w:kern w:val="0"/>
                <w:sz w:val="21"/>
                <w:szCs w:val="21"/>
              </w:rPr>
            </w:pPr>
            <w:r>
              <w:rPr>
                <w:rFonts w:cs="Times New Roman"/>
                <w:i/>
                <w:iCs/>
                <w:kern w:val="0"/>
                <w:sz w:val="21"/>
                <w:szCs w:val="21"/>
              </w:rPr>
              <w:t>Calcarius</w:t>
            </w:r>
            <w:r>
              <w:rPr>
                <w:rFonts w:cs="Times New Roman"/>
                <w:i/>
                <w:iCs/>
                <w:spacing w:val="-2"/>
                <w:kern w:val="0"/>
                <w:sz w:val="21"/>
                <w:szCs w:val="21"/>
              </w:rPr>
              <w:t xml:space="preserve"> </w:t>
            </w:r>
            <w:r>
              <w:rPr>
                <w:rFonts w:cs="Times New Roman"/>
                <w:i/>
                <w:iCs/>
                <w:kern w:val="0"/>
                <w:sz w:val="21"/>
                <w:szCs w:val="21"/>
              </w:rPr>
              <w:t>lapponicus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468" w:hRule="atLeast"/>
        </w:trPr>
        <w:tc>
          <w:tcPr>
            <w:tcW w:w="1556"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278</w:t>
            </w:r>
          </w:p>
        </w:tc>
        <w:tc>
          <w:tcPr>
            <w:tcW w:w="1560"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0" w:line="240" w:lineRule="auto"/>
              <w:ind w:firstLine="0" w:firstLineChars="0"/>
              <w:jc w:val="left"/>
              <w:rPr>
                <w:rFonts w:ascii="仿宋" w:eastAsia="仿宋" w:cs="仿宋"/>
                <w:kern w:val="0"/>
                <w:sz w:val="21"/>
                <w:szCs w:val="21"/>
              </w:rPr>
            </w:pPr>
            <w:r>
              <w:rPr>
                <w:rFonts w:hint="eastAsia" w:ascii="仿宋" w:eastAsia="仿宋" w:cs="仿宋"/>
                <w:kern w:val="0"/>
                <w:sz w:val="21"/>
                <w:szCs w:val="21"/>
              </w:rPr>
              <w:t>雪鹀</w:t>
            </w:r>
          </w:p>
        </w:tc>
        <w:tc>
          <w:tcPr>
            <w:tcW w:w="34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right="315" w:firstLine="0" w:firstLineChars="0"/>
              <w:jc w:val="center"/>
              <w:rPr>
                <w:rFonts w:cs="Times New Roman"/>
                <w:i/>
                <w:iCs/>
                <w:kern w:val="0"/>
                <w:sz w:val="21"/>
                <w:szCs w:val="21"/>
              </w:rPr>
            </w:pPr>
            <w:r>
              <w:rPr>
                <w:rFonts w:cs="Times New Roman"/>
                <w:i/>
                <w:iCs/>
                <w:kern w:val="0"/>
                <w:sz w:val="21"/>
                <w:szCs w:val="21"/>
              </w:rPr>
              <w:t>Plectrophenax</w:t>
            </w:r>
            <w:r>
              <w:rPr>
                <w:rFonts w:cs="Times New Roman"/>
                <w:i/>
                <w:iCs/>
                <w:spacing w:val="-2"/>
                <w:kern w:val="0"/>
                <w:sz w:val="21"/>
                <w:szCs w:val="21"/>
              </w:rPr>
              <w:t xml:space="preserve"> </w:t>
            </w:r>
            <w:r>
              <w:rPr>
                <w:rFonts w:cs="Times New Roman"/>
                <w:i/>
                <w:iCs/>
                <w:kern w:val="0"/>
                <w:sz w:val="21"/>
                <w:szCs w:val="21"/>
              </w:rPr>
              <w:t>nivalis</w:t>
            </w:r>
          </w:p>
        </w:tc>
        <w:tc>
          <w:tcPr>
            <w:tcW w:w="87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M</w:t>
            </w:r>
          </w:p>
        </w:tc>
        <w:tc>
          <w:tcPr>
            <w:tcW w:w="1061"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3" w:line="240" w:lineRule="auto"/>
              <w:ind w:firstLine="0" w:firstLineChars="0"/>
              <w:jc w:val="left"/>
              <w:rPr>
                <w:rFonts w:cs="Times New Roman"/>
                <w:kern w:val="0"/>
                <w:sz w:val="21"/>
                <w:szCs w:val="21"/>
              </w:rPr>
            </w:pPr>
            <w:r>
              <w:rPr>
                <w:rFonts w:cs="Times New Roman"/>
                <w:kern w:val="0"/>
                <w:sz w:val="21"/>
                <w:szCs w:val="21"/>
              </w:rPr>
              <w:t>C</w:t>
            </w: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7"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72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07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c>
          <w:tcPr>
            <w:tcW w:w="1155"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20"/>
                <w:szCs w:val="20"/>
              </w:rPr>
            </w:pPr>
          </w:p>
        </w:tc>
      </w:tr>
      <w:tr>
        <w:tblPrEx>
          <w:tblCellMar>
            <w:top w:w="0" w:type="dxa"/>
            <w:left w:w="0" w:type="dxa"/>
            <w:bottom w:w="0" w:type="dxa"/>
            <w:right w:w="0" w:type="dxa"/>
          </w:tblCellMar>
        </w:tblPrEx>
        <w:trPr>
          <w:trHeight w:val="937" w:hRule="atLeast"/>
        </w:trPr>
        <w:tc>
          <w:tcPr>
            <w:tcW w:w="13657" w:type="dxa"/>
            <w:gridSpan w:val="11"/>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76" w:line="240" w:lineRule="auto"/>
              <w:ind w:firstLine="0" w:firstLineChars="0"/>
              <w:jc w:val="left"/>
              <w:rPr>
                <w:rFonts w:ascii="等线" w:eastAsia="等线" w:cs="等线"/>
                <w:kern w:val="0"/>
                <w:sz w:val="21"/>
                <w:szCs w:val="21"/>
              </w:rPr>
            </w:pPr>
            <w:r>
              <w:rPr>
                <w:rFonts w:hint="eastAsia" w:ascii="等线" w:eastAsia="等线" w:cs="等线"/>
                <w:kern w:val="0"/>
                <w:sz w:val="21"/>
                <w:szCs w:val="21"/>
              </w:rPr>
              <w:t>注</w:t>
            </w:r>
            <w:r>
              <w:rPr>
                <w:rFonts w:eastAsia="等线" w:cs="Times New Roman"/>
                <w:kern w:val="0"/>
                <w:sz w:val="21"/>
                <w:szCs w:val="21"/>
              </w:rPr>
              <w:t>:</w:t>
            </w:r>
            <w:r>
              <w:rPr>
                <w:rFonts w:hint="eastAsia" w:ascii="等线" w:eastAsia="等线" w:cs="等线"/>
                <w:spacing w:val="5"/>
                <w:kern w:val="0"/>
                <w:sz w:val="21"/>
                <w:szCs w:val="21"/>
              </w:rPr>
              <w:t>：</w:t>
            </w:r>
            <w:r>
              <w:rPr>
                <w:rFonts w:ascii="等线" w:eastAsia="等线" w:cs="等线"/>
                <w:spacing w:val="5"/>
                <w:kern w:val="0"/>
                <w:sz w:val="21"/>
                <w:szCs w:val="21"/>
              </w:rPr>
              <w:t xml:space="preserve"> </w:t>
            </w:r>
            <w:r>
              <w:rPr>
                <w:rFonts w:hint="eastAsia" w:ascii="等线" w:eastAsia="等线" w:cs="等线"/>
                <w:spacing w:val="5"/>
                <w:kern w:val="0"/>
                <w:sz w:val="21"/>
                <w:szCs w:val="21"/>
              </w:rPr>
              <w:t>数量等级：</w:t>
            </w:r>
            <w:r>
              <w:rPr>
                <w:rFonts w:eastAsia="等线" w:cs="Times New Roman"/>
                <w:kern w:val="0"/>
                <w:sz w:val="21"/>
                <w:szCs w:val="21"/>
              </w:rPr>
              <w:t>+</w:t>
            </w:r>
            <w:r>
              <w:rPr>
                <w:rFonts w:hint="eastAsia" w:ascii="等线" w:eastAsia="等线" w:cs="等线"/>
                <w:kern w:val="0"/>
                <w:sz w:val="21"/>
                <w:szCs w:val="21"/>
              </w:rPr>
              <w:t>（常见种）、</w:t>
            </w:r>
            <w:r>
              <w:rPr>
                <w:rFonts w:eastAsia="等线" w:cs="Times New Roman"/>
                <w:kern w:val="0"/>
                <w:sz w:val="21"/>
                <w:szCs w:val="21"/>
              </w:rPr>
              <w:t>-</w:t>
            </w:r>
            <w:r>
              <w:rPr>
                <w:rFonts w:hint="eastAsia" w:ascii="等线" w:eastAsia="等线" w:cs="等线"/>
                <w:kern w:val="0"/>
                <w:sz w:val="21"/>
                <w:szCs w:val="21"/>
              </w:rPr>
              <w:t>（少见种）；</w:t>
            </w:r>
          </w:p>
          <w:p>
            <w:pPr>
              <w:kinsoku w:val="0"/>
              <w:overflowPunct w:val="0"/>
              <w:autoSpaceDE w:val="0"/>
              <w:autoSpaceDN w:val="0"/>
              <w:adjustRightInd w:val="0"/>
              <w:spacing w:before="152" w:line="240" w:lineRule="auto"/>
              <w:ind w:firstLine="0" w:firstLineChars="0"/>
              <w:jc w:val="left"/>
              <w:rPr>
                <w:rFonts w:ascii="等线" w:eastAsia="等线" w:cs="等线"/>
                <w:kern w:val="0"/>
                <w:sz w:val="21"/>
                <w:szCs w:val="21"/>
              </w:rPr>
            </w:pPr>
            <w:r>
              <w:rPr>
                <w:rFonts w:hint="eastAsia" w:ascii="等线" w:eastAsia="等线" w:cs="等线"/>
                <w:spacing w:val="-1"/>
                <w:kern w:val="0"/>
                <w:sz w:val="21"/>
                <w:szCs w:val="21"/>
              </w:rPr>
              <w:t>分布型：广（广布种</w:t>
            </w:r>
            <w:r>
              <w:rPr>
                <w:rFonts w:hint="eastAsia" w:ascii="等线" w:eastAsia="等线" w:cs="等线"/>
                <w:kern w:val="0"/>
                <w:sz w:val="21"/>
                <w:szCs w:val="21"/>
              </w:rPr>
              <w:t>）、东（东洋界种）、北广（古北界或全北界广布种）、北（北方型）、中（中亚型）、高（高地型）、东北（东北型）</w:t>
            </w:r>
          </w:p>
        </w:tc>
      </w:tr>
    </w:tbl>
    <w:p>
      <w:pPr>
        <w:widowControl/>
        <w:spacing w:line="240" w:lineRule="auto"/>
        <w:ind w:firstLine="0" w:firstLineChars="0"/>
        <w:jc w:val="left"/>
        <w:rPr>
          <w:rFonts w:eastAsia="宋体" w:cs="Times New Roman"/>
          <w:b/>
          <w:sz w:val="28"/>
          <w:szCs w:val="28"/>
        </w:rPr>
        <w:sectPr>
          <w:pgSz w:w="16838" w:h="11906" w:orient="landscape"/>
          <w:pgMar w:top="1800" w:right="1440" w:bottom="1800" w:left="1440" w:header="851" w:footer="992" w:gutter="0"/>
          <w:cols w:space="425" w:num="1"/>
          <w:docGrid w:type="lines" w:linePitch="326" w:charSpace="0"/>
        </w:sectPr>
      </w:pPr>
    </w:p>
    <w:p>
      <w:pPr>
        <w:pStyle w:val="3"/>
        <w:spacing w:before="120" w:beforeLines="50" w:after="120" w:afterLines="50" w:line="360" w:lineRule="auto"/>
        <w:ind w:firstLine="643"/>
        <w:jc w:val="left"/>
        <w:rPr>
          <w:rFonts w:ascii="Times New Roman" w:hAnsi="Times New Roman"/>
        </w:rPr>
      </w:pPr>
      <w:bookmarkStart w:id="179" w:name="_Toc130121705"/>
      <w:r>
        <w:rPr>
          <w:rFonts w:hint="eastAsia" w:ascii="Times New Roman" w:hAnsi="Times New Roman"/>
        </w:rPr>
        <w:t>附录3玛纳斯国家湿地公园哺乳动物分布名录</w:t>
      </w:r>
      <w:bookmarkEnd w:id="179"/>
    </w:p>
    <w:tbl>
      <w:tblPr>
        <w:tblStyle w:val="25"/>
        <w:tblW w:w="9003" w:type="dxa"/>
        <w:tblInd w:w="130" w:type="dxa"/>
        <w:tblLayout w:type="fixed"/>
        <w:tblCellMar>
          <w:top w:w="0" w:type="dxa"/>
          <w:left w:w="0" w:type="dxa"/>
          <w:bottom w:w="0" w:type="dxa"/>
          <w:right w:w="0" w:type="dxa"/>
        </w:tblCellMar>
      </w:tblPr>
      <w:tblGrid>
        <w:gridCol w:w="643"/>
        <w:gridCol w:w="1368"/>
        <w:gridCol w:w="2400"/>
        <w:gridCol w:w="696"/>
        <w:gridCol w:w="799"/>
        <w:gridCol w:w="593"/>
        <w:gridCol w:w="572"/>
        <w:gridCol w:w="564"/>
        <w:gridCol w:w="679"/>
        <w:gridCol w:w="689"/>
      </w:tblGrid>
      <w:tr>
        <w:tblPrEx>
          <w:tblCellMar>
            <w:top w:w="0" w:type="dxa"/>
            <w:left w:w="0" w:type="dxa"/>
            <w:bottom w:w="0" w:type="dxa"/>
            <w:right w:w="0" w:type="dxa"/>
          </w:tblCellMar>
        </w:tblPrEx>
        <w:trPr>
          <w:trHeight w:val="1403"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104" w:right="95" w:firstLine="0" w:firstLineChars="0"/>
              <w:jc w:val="center"/>
              <w:rPr>
                <w:rFonts w:ascii="等线" w:eastAsia="等线" w:cs="等线"/>
                <w:b/>
                <w:bCs/>
                <w:kern w:val="0"/>
                <w:sz w:val="15"/>
                <w:szCs w:val="15"/>
              </w:rPr>
            </w:pPr>
            <w:r>
              <w:rPr>
                <w:rFonts w:hint="eastAsia" w:ascii="等线" w:eastAsia="等线" w:cs="等线"/>
                <w:b/>
                <w:bCs/>
                <w:kern w:val="0"/>
                <w:sz w:val="15"/>
                <w:szCs w:val="15"/>
              </w:rPr>
              <w:t>序号</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443" w:right="434" w:firstLine="0" w:firstLineChars="0"/>
              <w:jc w:val="center"/>
              <w:rPr>
                <w:rFonts w:ascii="等线" w:eastAsia="等线" w:cs="等线"/>
                <w:b/>
                <w:bCs/>
                <w:kern w:val="0"/>
                <w:sz w:val="15"/>
                <w:szCs w:val="15"/>
              </w:rPr>
            </w:pPr>
            <w:r>
              <w:rPr>
                <w:rFonts w:hint="eastAsia" w:ascii="等线" w:eastAsia="等线" w:cs="等线"/>
                <w:b/>
                <w:bCs/>
                <w:kern w:val="0"/>
                <w:sz w:val="15"/>
                <w:szCs w:val="15"/>
              </w:rPr>
              <w:t>种名</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121" w:right="110" w:firstLine="0" w:firstLineChars="0"/>
              <w:jc w:val="center"/>
              <w:rPr>
                <w:rFonts w:ascii="等线" w:eastAsia="等线" w:cs="等线"/>
                <w:b/>
                <w:bCs/>
                <w:kern w:val="0"/>
                <w:sz w:val="15"/>
                <w:szCs w:val="15"/>
              </w:rPr>
            </w:pPr>
            <w:r>
              <w:rPr>
                <w:rFonts w:hint="eastAsia" w:ascii="等线" w:eastAsia="等线" w:cs="等线"/>
                <w:b/>
                <w:bCs/>
                <w:kern w:val="0"/>
                <w:sz w:val="15"/>
                <w:szCs w:val="15"/>
              </w:rPr>
              <w:t>拉丁名</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87" w:right="76" w:firstLine="0" w:firstLineChars="0"/>
              <w:jc w:val="center"/>
              <w:rPr>
                <w:rFonts w:ascii="等线" w:eastAsia="等线" w:cs="等线"/>
                <w:b/>
                <w:bCs/>
                <w:kern w:val="0"/>
                <w:sz w:val="15"/>
                <w:szCs w:val="15"/>
              </w:rPr>
            </w:pPr>
            <w:r>
              <w:rPr>
                <w:rFonts w:hint="eastAsia" w:ascii="等线" w:eastAsia="等线" w:cs="等线"/>
                <w:b/>
                <w:bCs/>
                <w:kern w:val="0"/>
                <w:sz w:val="15"/>
                <w:szCs w:val="15"/>
              </w:rPr>
              <w:t>分布型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before="11"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496" w:lineRule="auto"/>
              <w:ind w:left="250" w:right="234" w:firstLine="0" w:firstLineChars="0"/>
              <w:jc w:val="left"/>
              <w:rPr>
                <w:rFonts w:ascii="等线" w:eastAsia="等线" w:cs="等线"/>
                <w:b/>
                <w:bCs/>
                <w:spacing w:val="-1"/>
                <w:kern w:val="0"/>
                <w:sz w:val="15"/>
                <w:szCs w:val="15"/>
              </w:rPr>
            </w:pPr>
            <w:r>
              <w:rPr>
                <w:rFonts w:hint="eastAsia" w:ascii="等线" w:eastAsia="等线" w:cs="等线"/>
                <w:b/>
                <w:bCs/>
                <w:spacing w:val="-1"/>
                <w:kern w:val="0"/>
                <w:sz w:val="15"/>
                <w:szCs w:val="15"/>
              </w:rPr>
              <w:t>数量等级</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47" w:right="131" w:firstLine="0" w:firstLineChars="0"/>
              <w:jc w:val="left"/>
              <w:rPr>
                <w:rFonts w:ascii="等线" w:eastAsia="等线" w:cs="等线"/>
                <w:b/>
                <w:bCs/>
                <w:spacing w:val="-8"/>
                <w:kern w:val="0"/>
                <w:sz w:val="15"/>
                <w:szCs w:val="15"/>
              </w:rPr>
            </w:pPr>
            <w:r>
              <w:rPr>
                <w:rFonts w:hint="eastAsia" w:ascii="等线" w:eastAsia="等线" w:cs="等线"/>
                <w:b/>
                <w:bCs/>
                <w:spacing w:val="-1"/>
                <w:kern w:val="0"/>
                <w:sz w:val="15"/>
                <w:szCs w:val="15"/>
              </w:rPr>
              <w:t>中国</w:t>
            </w:r>
            <w:r>
              <w:rPr>
                <w:rFonts w:hint="eastAsia" w:ascii="等线" w:eastAsia="等线" w:cs="等线"/>
                <w:b/>
                <w:bCs/>
                <w:spacing w:val="-8"/>
                <w:kern w:val="0"/>
                <w:sz w:val="15"/>
                <w:szCs w:val="15"/>
              </w:rPr>
              <w:t>保护</w:t>
            </w:r>
          </w:p>
          <w:p>
            <w:pPr>
              <w:kinsoku w:val="0"/>
              <w:overflowPunct w:val="0"/>
              <w:autoSpaceDE w:val="0"/>
              <w:autoSpaceDN w:val="0"/>
              <w:adjustRightInd w:val="0"/>
              <w:spacing w:line="240" w:lineRule="auto"/>
              <w:ind w:left="147" w:firstLine="0" w:firstLineChars="0"/>
              <w:jc w:val="left"/>
              <w:rPr>
                <w:rFonts w:ascii="等线" w:eastAsia="等线" w:cs="等线"/>
                <w:b/>
                <w:bCs/>
                <w:kern w:val="0"/>
                <w:sz w:val="15"/>
                <w:szCs w:val="15"/>
              </w:rPr>
            </w:pPr>
            <w:r>
              <w:rPr>
                <w:rFonts w:hint="eastAsia" w:ascii="等线" w:eastAsia="等线" w:cs="等线"/>
                <w:b/>
                <w:bCs/>
                <w:kern w:val="0"/>
                <w:sz w:val="15"/>
                <w:szCs w:val="15"/>
              </w:rPr>
              <w:t>级别</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35" w:right="122" w:firstLine="0" w:firstLineChars="0"/>
              <w:jc w:val="left"/>
              <w:rPr>
                <w:rFonts w:ascii="等线" w:eastAsia="等线" w:cs="等线"/>
                <w:b/>
                <w:bCs/>
                <w:spacing w:val="-8"/>
                <w:kern w:val="0"/>
                <w:sz w:val="15"/>
                <w:szCs w:val="15"/>
              </w:rPr>
            </w:pPr>
            <w:r>
              <w:rPr>
                <w:rFonts w:hint="eastAsia" w:ascii="等线" w:eastAsia="等线" w:cs="等线"/>
                <w:b/>
                <w:bCs/>
                <w:spacing w:val="-1"/>
                <w:kern w:val="0"/>
                <w:sz w:val="15"/>
                <w:szCs w:val="15"/>
              </w:rPr>
              <w:t>新疆</w:t>
            </w:r>
            <w:r>
              <w:rPr>
                <w:rFonts w:hint="eastAsia" w:ascii="等线" w:eastAsia="等线" w:cs="等线"/>
                <w:b/>
                <w:bCs/>
                <w:spacing w:val="-8"/>
                <w:kern w:val="0"/>
                <w:sz w:val="15"/>
                <w:szCs w:val="15"/>
              </w:rPr>
              <w:t>保护</w:t>
            </w:r>
          </w:p>
          <w:p>
            <w:pPr>
              <w:kinsoku w:val="0"/>
              <w:overflowPunct w:val="0"/>
              <w:autoSpaceDE w:val="0"/>
              <w:autoSpaceDN w:val="0"/>
              <w:adjustRightInd w:val="0"/>
              <w:spacing w:line="240" w:lineRule="auto"/>
              <w:ind w:left="135" w:firstLine="0" w:firstLineChars="0"/>
              <w:jc w:val="left"/>
              <w:rPr>
                <w:rFonts w:ascii="等线" w:eastAsia="等线" w:cs="等线"/>
                <w:b/>
                <w:bCs/>
                <w:kern w:val="0"/>
                <w:sz w:val="15"/>
                <w:szCs w:val="15"/>
              </w:rPr>
            </w:pPr>
            <w:r>
              <w:rPr>
                <w:rFonts w:hint="eastAsia" w:ascii="等线" w:eastAsia="等线" w:cs="等线"/>
                <w:b/>
                <w:bCs/>
                <w:kern w:val="0"/>
                <w:sz w:val="15"/>
                <w:szCs w:val="15"/>
              </w:rPr>
              <w:t>级别</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30" w:right="119" w:firstLine="0" w:firstLineChars="0"/>
              <w:jc w:val="center"/>
              <w:rPr>
                <w:rFonts w:ascii="等线" w:eastAsia="等线" w:cs="等线"/>
                <w:b/>
                <w:bCs/>
                <w:spacing w:val="-1"/>
                <w:kern w:val="0"/>
                <w:sz w:val="15"/>
                <w:szCs w:val="15"/>
              </w:rPr>
            </w:pPr>
            <w:r>
              <w:rPr>
                <w:rFonts w:hint="eastAsia" w:ascii="等线" w:eastAsia="等线" w:cs="等线"/>
                <w:b/>
                <w:bCs/>
                <w:spacing w:val="-1"/>
                <w:kern w:val="0"/>
                <w:sz w:val="15"/>
                <w:szCs w:val="15"/>
              </w:rPr>
              <w:t>中国红皮</w:t>
            </w:r>
          </w:p>
          <w:p>
            <w:pPr>
              <w:kinsoku w:val="0"/>
              <w:overflowPunct w:val="0"/>
              <w:autoSpaceDE w:val="0"/>
              <w:autoSpaceDN w:val="0"/>
              <w:adjustRightInd w:val="0"/>
              <w:spacing w:line="240" w:lineRule="auto"/>
              <w:ind w:left="6" w:firstLine="0" w:firstLineChars="0"/>
              <w:jc w:val="center"/>
              <w:rPr>
                <w:rFonts w:ascii="等线" w:eastAsia="等线" w:cs="等线"/>
                <w:b/>
                <w:bCs/>
                <w:kern w:val="0"/>
                <w:sz w:val="15"/>
                <w:szCs w:val="15"/>
              </w:rPr>
            </w:pPr>
            <w:r>
              <w:rPr>
                <w:rFonts w:hint="eastAsia" w:ascii="等线" w:eastAsia="等线" w:cs="等线"/>
                <w:b/>
                <w:bCs/>
                <w:kern w:val="0"/>
                <w:sz w:val="15"/>
                <w:szCs w:val="15"/>
              </w:rPr>
              <w:t>书</w:t>
            </w: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left="147" w:firstLine="0" w:firstLineChars="0"/>
              <w:jc w:val="left"/>
              <w:rPr>
                <w:rFonts w:cs="Times New Roman"/>
                <w:b/>
                <w:bCs/>
                <w:kern w:val="0"/>
                <w:sz w:val="15"/>
                <w:szCs w:val="15"/>
              </w:rPr>
            </w:pPr>
            <w:r>
              <w:rPr>
                <w:rFonts w:cs="Times New Roman"/>
                <w:b/>
                <w:bCs/>
                <w:kern w:val="0"/>
                <w:sz w:val="15"/>
                <w:szCs w:val="15"/>
              </w:rPr>
              <w:t>IUCN</w:t>
            </w: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left="118" w:firstLine="0" w:firstLineChars="0"/>
              <w:jc w:val="left"/>
              <w:rPr>
                <w:rFonts w:cs="Times New Roman"/>
                <w:b/>
                <w:bCs/>
                <w:kern w:val="0"/>
                <w:sz w:val="15"/>
                <w:szCs w:val="15"/>
              </w:rPr>
            </w:pPr>
            <w:r>
              <w:rPr>
                <w:rFonts w:cs="Times New Roman"/>
                <w:b/>
                <w:bCs/>
                <w:kern w:val="0"/>
                <w:sz w:val="15"/>
                <w:szCs w:val="15"/>
              </w:rPr>
              <w:t>CITES</w:t>
            </w: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7" w:firstLine="0" w:firstLineChars="0"/>
              <w:jc w:val="center"/>
              <w:rPr>
                <w:rFonts w:ascii="仿宋" w:eastAsia="仿宋" w:cs="仿宋"/>
                <w:kern w:val="0"/>
                <w:sz w:val="16"/>
                <w:szCs w:val="16"/>
              </w:rPr>
            </w:pPr>
            <w:r>
              <w:rPr>
                <w:rFonts w:hint="eastAsia" w:ascii="仿宋" w:eastAsia="仿宋" w:cs="仿宋"/>
                <w:kern w:val="0"/>
                <w:sz w:val="16"/>
                <w:szCs w:val="16"/>
              </w:rPr>
              <w:t>一</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107" w:firstLine="0" w:firstLineChars="0"/>
              <w:jc w:val="left"/>
              <w:rPr>
                <w:rFonts w:ascii="仿宋" w:eastAsia="仿宋" w:cs="仿宋"/>
                <w:kern w:val="0"/>
                <w:sz w:val="16"/>
                <w:szCs w:val="16"/>
              </w:rPr>
            </w:pPr>
            <w:r>
              <w:rPr>
                <w:rFonts w:hint="eastAsia" w:ascii="仿宋" w:eastAsia="仿宋" w:cs="仿宋"/>
                <w:kern w:val="0"/>
                <w:sz w:val="16"/>
                <w:szCs w:val="16"/>
              </w:rPr>
              <w:t>食虫目</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Insectivora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仿宋" w:eastAsia="仿宋" w:cs="仿宋"/>
                <w:kern w:val="0"/>
                <w:sz w:val="13"/>
                <w:szCs w:val="13"/>
              </w:rPr>
            </w:pPr>
            <w:r>
              <w:rPr>
                <w:rFonts w:hint="eastAsia" w:ascii="仿宋" w:eastAsia="仿宋" w:cs="仿宋"/>
                <w:kern w:val="0"/>
                <w:sz w:val="13"/>
                <w:szCs w:val="13"/>
              </w:rPr>
              <w:t>（一）</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right="434" w:firstLine="0" w:firstLineChars="0"/>
              <w:jc w:val="center"/>
              <w:rPr>
                <w:rFonts w:ascii="仿宋" w:eastAsia="仿宋" w:cs="仿宋"/>
                <w:kern w:val="0"/>
                <w:sz w:val="16"/>
                <w:szCs w:val="16"/>
              </w:rPr>
            </w:pPr>
            <w:r>
              <w:rPr>
                <w:rFonts w:hint="eastAsia" w:ascii="仿宋" w:eastAsia="仿宋" w:cs="仿宋"/>
                <w:kern w:val="0"/>
                <w:sz w:val="16"/>
                <w:szCs w:val="16"/>
              </w:rPr>
              <w:t>猬科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Erinaceidae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8" w:firstLine="0" w:firstLineChars="0"/>
              <w:jc w:val="center"/>
              <w:rPr>
                <w:rFonts w:cs="Times New Roman"/>
                <w:kern w:val="0"/>
                <w:sz w:val="16"/>
                <w:szCs w:val="16"/>
              </w:rPr>
            </w:pPr>
            <w:r>
              <w:rPr>
                <w:rFonts w:cs="Times New Roman"/>
                <w:kern w:val="0"/>
                <w:sz w:val="16"/>
                <w:szCs w:val="16"/>
              </w:rPr>
              <w:t>1</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大耳猬</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right="526" w:firstLine="0" w:firstLineChars="0"/>
              <w:jc w:val="right"/>
              <w:rPr>
                <w:rFonts w:cs="Times New Roman"/>
                <w:i/>
                <w:iCs/>
                <w:kern w:val="0"/>
                <w:sz w:val="16"/>
                <w:szCs w:val="16"/>
              </w:rPr>
            </w:pPr>
            <w:r>
              <w:rPr>
                <w:rFonts w:cs="Times New Roman"/>
                <w:i/>
                <w:iCs/>
                <w:kern w:val="0"/>
                <w:sz w:val="16"/>
                <w:szCs w:val="16"/>
              </w:rPr>
              <w:t>Hemiechines</w:t>
            </w:r>
            <w:r>
              <w:rPr>
                <w:rFonts w:cs="Times New Roman"/>
                <w:i/>
                <w:iCs/>
                <w:spacing w:val="-4"/>
                <w:kern w:val="0"/>
                <w:sz w:val="16"/>
                <w:szCs w:val="16"/>
              </w:rPr>
              <w:t xml:space="preserve"> </w:t>
            </w:r>
            <w:r>
              <w:rPr>
                <w:rFonts w:cs="Times New Roman"/>
                <w:i/>
                <w:iCs/>
                <w:kern w:val="0"/>
                <w:sz w:val="16"/>
                <w:szCs w:val="16"/>
              </w:rPr>
              <w:t>auritus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5"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仿宋" w:eastAsia="仿宋" w:cs="仿宋"/>
                <w:kern w:val="0"/>
                <w:sz w:val="13"/>
                <w:szCs w:val="13"/>
              </w:rPr>
            </w:pPr>
            <w:r>
              <w:rPr>
                <w:rFonts w:hint="eastAsia" w:ascii="仿宋" w:eastAsia="仿宋" w:cs="仿宋"/>
                <w:kern w:val="0"/>
                <w:sz w:val="13"/>
                <w:szCs w:val="13"/>
              </w:rPr>
              <w:t>（二）</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仿宋" w:eastAsia="仿宋" w:cs="仿宋"/>
                <w:kern w:val="0"/>
                <w:sz w:val="16"/>
                <w:szCs w:val="16"/>
              </w:rPr>
            </w:pPr>
            <w:r>
              <w:rPr>
                <w:rFonts w:hint="eastAsia" w:ascii="仿宋" w:eastAsia="仿宋" w:cs="仿宋"/>
                <w:kern w:val="0"/>
                <w:sz w:val="16"/>
                <w:szCs w:val="16"/>
              </w:rPr>
              <w:t>鼩鼱科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Soricidae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8"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4" w:line="240" w:lineRule="auto"/>
              <w:ind w:left="8" w:firstLine="0" w:firstLineChars="0"/>
              <w:jc w:val="center"/>
              <w:rPr>
                <w:rFonts w:cs="Times New Roman"/>
                <w:kern w:val="0"/>
                <w:sz w:val="16"/>
                <w:szCs w:val="16"/>
              </w:rPr>
            </w:pPr>
            <w:r>
              <w:rPr>
                <w:rFonts w:cs="Times New Roman"/>
                <w:kern w:val="0"/>
                <w:sz w:val="16"/>
                <w:szCs w:val="16"/>
              </w:rPr>
              <w:t>2</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3"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天山鼩鼱</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4" w:line="240" w:lineRule="auto"/>
              <w:ind w:left="121" w:right="111" w:firstLine="0" w:firstLineChars="0"/>
              <w:jc w:val="center"/>
              <w:rPr>
                <w:rFonts w:cs="Times New Roman"/>
                <w:i/>
                <w:iCs/>
                <w:kern w:val="0"/>
                <w:sz w:val="16"/>
                <w:szCs w:val="16"/>
              </w:rPr>
            </w:pPr>
            <w:r>
              <w:rPr>
                <w:rFonts w:cs="Times New Roman"/>
                <w:i/>
                <w:iCs/>
                <w:kern w:val="0"/>
                <w:sz w:val="16"/>
                <w:szCs w:val="16"/>
              </w:rPr>
              <w:t>Sorex</w:t>
            </w:r>
            <w:r>
              <w:rPr>
                <w:rFonts w:cs="Times New Roman"/>
                <w:i/>
                <w:iCs/>
                <w:spacing w:val="-4"/>
                <w:kern w:val="0"/>
                <w:sz w:val="16"/>
                <w:szCs w:val="16"/>
              </w:rPr>
              <w:t xml:space="preserve"> </w:t>
            </w:r>
            <w:r>
              <w:rPr>
                <w:rFonts w:cs="Times New Roman"/>
                <w:i/>
                <w:iCs/>
                <w:kern w:val="0"/>
                <w:sz w:val="16"/>
                <w:szCs w:val="16"/>
              </w:rPr>
              <w:t>asper</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3"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古北型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4"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7" w:firstLine="0" w:firstLineChars="0"/>
              <w:jc w:val="center"/>
              <w:rPr>
                <w:rFonts w:ascii="仿宋" w:eastAsia="仿宋" w:cs="仿宋"/>
                <w:kern w:val="0"/>
                <w:sz w:val="16"/>
                <w:szCs w:val="16"/>
              </w:rPr>
            </w:pPr>
            <w:r>
              <w:rPr>
                <w:rFonts w:hint="eastAsia" w:ascii="仿宋" w:eastAsia="仿宋" w:cs="仿宋"/>
                <w:kern w:val="0"/>
                <w:sz w:val="16"/>
                <w:szCs w:val="16"/>
              </w:rPr>
              <w:t>二</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107" w:firstLine="0" w:firstLineChars="0"/>
              <w:jc w:val="left"/>
              <w:rPr>
                <w:rFonts w:ascii="仿宋" w:eastAsia="仿宋" w:cs="仿宋"/>
                <w:kern w:val="0"/>
                <w:sz w:val="16"/>
                <w:szCs w:val="16"/>
              </w:rPr>
            </w:pPr>
            <w:r>
              <w:rPr>
                <w:rFonts w:hint="eastAsia" w:ascii="仿宋" w:eastAsia="仿宋" w:cs="仿宋"/>
                <w:kern w:val="0"/>
                <w:sz w:val="16"/>
                <w:szCs w:val="16"/>
              </w:rPr>
              <w:t>食肉目</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Carnivora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仿宋" w:eastAsia="仿宋" w:cs="仿宋"/>
                <w:kern w:val="0"/>
                <w:sz w:val="13"/>
                <w:szCs w:val="13"/>
              </w:rPr>
            </w:pPr>
            <w:r>
              <w:rPr>
                <w:rFonts w:hint="eastAsia" w:ascii="仿宋" w:eastAsia="仿宋" w:cs="仿宋"/>
                <w:kern w:val="0"/>
                <w:sz w:val="13"/>
                <w:szCs w:val="13"/>
              </w:rPr>
              <w:t>（三）</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right="434" w:firstLine="0" w:firstLineChars="0"/>
              <w:jc w:val="center"/>
              <w:rPr>
                <w:rFonts w:ascii="仿宋" w:eastAsia="仿宋" w:cs="仿宋"/>
                <w:kern w:val="0"/>
                <w:sz w:val="16"/>
                <w:szCs w:val="16"/>
              </w:rPr>
            </w:pPr>
            <w:r>
              <w:rPr>
                <w:rFonts w:hint="eastAsia" w:ascii="仿宋" w:eastAsia="仿宋" w:cs="仿宋"/>
                <w:kern w:val="0"/>
                <w:sz w:val="16"/>
                <w:szCs w:val="16"/>
              </w:rPr>
              <w:t>犬科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Canidae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3</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赤狐</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vulpes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全北型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9" w:firstLine="0" w:firstLineChars="0"/>
              <w:jc w:val="center"/>
              <w:rPr>
                <w:rFonts w:cs="Times New Roman"/>
                <w:kern w:val="0"/>
                <w:sz w:val="16"/>
                <w:szCs w:val="16"/>
              </w:rPr>
            </w:pPr>
            <w:r>
              <w:rPr>
                <w:rFonts w:ascii="宋体" w:hAnsi="宋体" w:eastAsia="宋体" w:cs="宋体"/>
                <w:kern w:val="0"/>
                <w:sz w:val="16"/>
                <w:szCs w:val="16"/>
              </w:rPr>
              <w:t>Ⅱ</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仿宋" w:eastAsia="仿宋" w:cs="仿宋"/>
                <w:kern w:val="0"/>
                <w:sz w:val="13"/>
                <w:szCs w:val="13"/>
              </w:rPr>
            </w:pPr>
            <w:r>
              <w:rPr>
                <w:rFonts w:hint="eastAsia" w:ascii="仿宋" w:eastAsia="仿宋" w:cs="仿宋"/>
                <w:kern w:val="0"/>
                <w:sz w:val="13"/>
                <w:szCs w:val="13"/>
              </w:rPr>
              <w:t>（四）</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left="443" w:right="434" w:firstLine="0" w:firstLineChars="0"/>
              <w:jc w:val="center"/>
              <w:rPr>
                <w:rFonts w:ascii="仿宋" w:eastAsia="仿宋" w:cs="仿宋"/>
                <w:kern w:val="0"/>
                <w:sz w:val="16"/>
                <w:szCs w:val="16"/>
              </w:rPr>
            </w:pPr>
            <w:r>
              <w:rPr>
                <w:rFonts w:hint="eastAsia" w:ascii="仿宋" w:eastAsia="仿宋" w:cs="仿宋"/>
                <w:kern w:val="0"/>
                <w:sz w:val="16"/>
                <w:szCs w:val="16"/>
              </w:rPr>
              <w:t>猫科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09" w:firstLine="0" w:firstLineChars="0"/>
              <w:jc w:val="center"/>
              <w:rPr>
                <w:rFonts w:cs="Times New Roman"/>
                <w:i/>
                <w:iCs/>
                <w:kern w:val="0"/>
                <w:sz w:val="16"/>
                <w:szCs w:val="16"/>
              </w:rPr>
            </w:pPr>
            <w:r>
              <w:rPr>
                <w:rFonts w:cs="Times New Roman"/>
                <w:i/>
                <w:iCs/>
                <w:kern w:val="0"/>
                <w:sz w:val="16"/>
                <w:szCs w:val="16"/>
              </w:rPr>
              <w:t>felidae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4</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猞猁</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Lynx</w:t>
            </w:r>
            <w:r>
              <w:rPr>
                <w:rFonts w:cs="Times New Roman"/>
                <w:i/>
                <w:iCs/>
                <w:spacing w:val="-4"/>
                <w:kern w:val="0"/>
                <w:sz w:val="16"/>
                <w:szCs w:val="16"/>
              </w:rPr>
              <w:t xml:space="preserve"> </w:t>
            </w:r>
            <w:r>
              <w:rPr>
                <w:rFonts w:cs="Times New Roman"/>
                <w:i/>
                <w:iCs/>
                <w:kern w:val="0"/>
                <w:sz w:val="16"/>
                <w:szCs w:val="16"/>
              </w:rPr>
              <w:t>lynx</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全北型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2" w:firstLine="0" w:firstLineChars="0"/>
              <w:jc w:val="center"/>
              <w:rPr>
                <w:rFonts w:cs="Times New Roman"/>
                <w:kern w:val="0"/>
                <w:sz w:val="16"/>
                <w:szCs w:val="16"/>
              </w:rPr>
            </w:pPr>
            <w:r>
              <w:rPr>
                <w:rFonts w:ascii="宋体" w:hAnsi="宋体" w:eastAsia="宋体" w:cs="宋体"/>
                <w:kern w:val="0"/>
                <w:sz w:val="16"/>
                <w:szCs w:val="16"/>
              </w:rPr>
              <w:t>Ⅱ</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9" w:firstLine="0" w:firstLineChars="0"/>
              <w:jc w:val="center"/>
              <w:rPr>
                <w:rFonts w:cs="Times New Roman"/>
                <w:kern w:val="0"/>
                <w:sz w:val="16"/>
                <w:szCs w:val="16"/>
              </w:rPr>
            </w:pPr>
            <w:r>
              <w:rPr>
                <w:rFonts w:ascii="宋体" w:hAnsi="宋体" w:eastAsia="宋体" w:cs="宋体"/>
                <w:kern w:val="0"/>
                <w:sz w:val="16"/>
                <w:szCs w:val="16"/>
              </w:rPr>
              <w:t>Ⅱ</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5</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兔狲</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802" w:firstLine="0" w:firstLineChars="0"/>
              <w:jc w:val="left"/>
              <w:rPr>
                <w:rFonts w:cs="Times New Roman"/>
                <w:i/>
                <w:iCs/>
                <w:kern w:val="0"/>
                <w:sz w:val="16"/>
                <w:szCs w:val="16"/>
              </w:rPr>
            </w:pPr>
            <w:r>
              <w:rPr>
                <w:rFonts w:cs="Times New Roman"/>
                <w:i/>
                <w:iCs/>
                <w:kern w:val="0"/>
                <w:sz w:val="16"/>
                <w:szCs w:val="16"/>
              </w:rPr>
              <w:t>Felis</w:t>
            </w:r>
            <w:r>
              <w:rPr>
                <w:rFonts w:cs="Times New Roman"/>
                <w:i/>
                <w:iCs/>
                <w:spacing w:val="-1"/>
                <w:kern w:val="0"/>
                <w:sz w:val="16"/>
                <w:szCs w:val="16"/>
              </w:rPr>
              <w:t xml:space="preserve"> </w:t>
            </w:r>
            <w:r>
              <w:rPr>
                <w:rFonts w:cs="Times New Roman"/>
                <w:i/>
                <w:iCs/>
                <w:kern w:val="0"/>
                <w:sz w:val="16"/>
                <w:szCs w:val="16"/>
              </w:rPr>
              <w:t>mamul</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2" w:firstLine="0" w:firstLineChars="0"/>
              <w:jc w:val="center"/>
              <w:rPr>
                <w:rFonts w:cs="Times New Roman"/>
                <w:kern w:val="0"/>
                <w:sz w:val="16"/>
                <w:szCs w:val="16"/>
              </w:rPr>
            </w:pPr>
            <w:r>
              <w:rPr>
                <w:rFonts w:ascii="宋体" w:hAnsi="宋体" w:eastAsia="宋体" w:cs="宋体"/>
                <w:kern w:val="0"/>
                <w:sz w:val="16"/>
                <w:szCs w:val="16"/>
              </w:rPr>
              <w:t>Ⅱ</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9" w:firstLine="0" w:firstLineChars="0"/>
              <w:jc w:val="center"/>
              <w:rPr>
                <w:rFonts w:cs="Times New Roman"/>
                <w:kern w:val="0"/>
                <w:sz w:val="16"/>
                <w:szCs w:val="16"/>
              </w:rPr>
            </w:pPr>
            <w:r>
              <w:rPr>
                <w:rFonts w:ascii="宋体" w:hAnsi="宋体" w:eastAsia="宋体" w:cs="宋体"/>
                <w:kern w:val="0"/>
                <w:sz w:val="16"/>
                <w:szCs w:val="16"/>
              </w:rPr>
              <w:t>Ⅱ</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仿宋" w:eastAsia="仿宋" w:cs="仿宋"/>
                <w:kern w:val="0"/>
                <w:sz w:val="13"/>
                <w:szCs w:val="13"/>
              </w:rPr>
            </w:pPr>
            <w:r>
              <w:rPr>
                <w:rFonts w:hint="eastAsia" w:ascii="仿宋" w:eastAsia="仿宋" w:cs="仿宋"/>
                <w:kern w:val="0"/>
                <w:sz w:val="13"/>
                <w:szCs w:val="13"/>
              </w:rPr>
              <w:t>（五）</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right="434" w:firstLine="0" w:firstLineChars="0"/>
              <w:jc w:val="center"/>
              <w:rPr>
                <w:rFonts w:ascii="仿宋" w:eastAsia="仿宋" w:cs="仿宋"/>
                <w:kern w:val="0"/>
                <w:sz w:val="16"/>
                <w:szCs w:val="16"/>
              </w:rPr>
            </w:pPr>
            <w:r>
              <w:rPr>
                <w:rFonts w:hint="eastAsia" w:ascii="仿宋" w:eastAsia="仿宋" w:cs="仿宋"/>
                <w:kern w:val="0"/>
                <w:sz w:val="16"/>
                <w:szCs w:val="16"/>
              </w:rPr>
              <w:t>鼬科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Mustelidae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1202"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before="150" w:line="240" w:lineRule="auto"/>
              <w:ind w:left="8" w:firstLine="0" w:firstLineChars="0"/>
              <w:jc w:val="center"/>
              <w:rPr>
                <w:rFonts w:cs="Times New Roman"/>
                <w:kern w:val="0"/>
                <w:sz w:val="16"/>
                <w:szCs w:val="16"/>
              </w:rPr>
            </w:pPr>
            <w:r>
              <w:rPr>
                <w:rFonts w:cs="Times New Roman"/>
                <w:kern w:val="0"/>
                <w:sz w:val="16"/>
                <w:szCs w:val="16"/>
              </w:rPr>
              <w:t>6</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before="11"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石貂</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before="150" w:line="240" w:lineRule="auto"/>
              <w:ind w:left="787" w:firstLine="0" w:firstLineChars="0"/>
              <w:jc w:val="left"/>
              <w:rPr>
                <w:rFonts w:cs="Times New Roman"/>
                <w:i/>
                <w:iCs/>
                <w:kern w:val="0"/>
                <w:sz w:val="16"/>
                <w:szCs w:val="16"/>
              </w:rPr>
            </w:pPr>
            <w:r>
              <w:rPr>
                <w:rFonts w:cs="Times New Roman"/>
                <w:i/>
                <w:iCs/>
                <w:kern w:val="0"/>
                <w:sz w:val="16"/>
                <w:szCs w:val="16"/>
              </w:rPr>
              <w:t>Martes</w:t>
            </w:r>
            <w:r>
              <w:rPr>
                <w:rFonts w:cs="Times New Roman"/>
                <w:i/>
                <w:iCs/>
                <w:spacing w:val="-3"/>
                <w:kern w:val="0"/>
                <w:sz w:val="16"/>
                <w:szCs w:val="16"/>
              </w:rPr>
              <w:t xml:space="preserve"> </w:t>
            </w:r>
            <w:r>
              <w:rPr>
                <w:rFonts w:cs="Times New Roman"/>
                <w:i/>
                <w:iCs/>
                <w:kern w:val="0"/>
                <w:sz w:val="16"/>
                <w:szCs w:val="16"/>
              </w:rPr>
              <w:t>foina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地中海</w:t>
            </w:r>
          </w:p>
          <w:p>
            <w:pPr>
              <w:kinsoku w:val="0"/>
              <w:overflowPunct w:val="0"/>
              <w:autoSpaceDE w:val="0"/>
              <w:autoSpaceDN w:val="0"/>
              <w:adjustRightInd w:val="0"/>
              <w:spacing w:before="8" w:line="460" w:lineRule="atLeast"/>
              <w:ind w:left="159" w:right="147" w:firstLine="0" w:firstLineChars="0"/>
              <w:jc w:val="center"/>
              <w:rPr>
                <w:rFonts w:ascii="仿宋" w:eastAsia="仿宋" w:cs="仿宋"/>
                <w:kern w:val="0"/>
                <w:sz w:val="16"/>
                <w:szCs w:val="16"/>
              </w:rPr>
            </w:pPr>
            <w:r>
              <w:rPr>
                <w:rFonts w:cs="Times New Roman"/>
                <w:spacing w:val="-1"/>
                <w:kern w:val="0"/>
                <w:sz w:val="16"/>
                <w:szCs w:val="16"/>
              </w:rPr>
              <w:t>-</w:t>
            </w:r>
            <w:r>
              <w:rPr>
                <w:rFonts w:hint="eastAsia" w:ascii="仿宋" w:eastAsia="仿宋" w:cs="仿宋"/>
                <w:spacing w:val="-1"/>
                <w:kern w:val="0"/>
                <w:sz w:val="16"/>
                <w:szCs w:val="16"/>
              </w:rPr>
              <w:t>中亚</w:t>
            </w:r>
            <w:r>
              <w:rPr>
                <w:rFonts w:hint="eastAsia" w:ascii="仿宋" w:eastAsia="仿宋" w:cs="仿宋"/>
                <w:kern w:val="0"/>
                <w:sz w:val="16"/>
                <w:szCs w:val="16"/>
              </w:rPr>
              <w:t>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before="150"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before="150" w:line="240" w:lineRule="auto"/>
              <w:ind w:left="12" w:firstLine="0" w:firstLineChars="0"/>
              <w:jc w:val="center"/>
              <w:rPr>
                <w:rFonts w:cs="Times New Roman"/>
                <w:kern w:val="0"/>
                <w:sz w:val="16"/>
                <w:szCs w:val="16"/>
              </w:rPr>
            </w:pPr>
            <w:r>
              <w:rPr>
                <w:rFonts w:ascii="宋体" w:hAnsi="宋体" w:eastAsia="宋体" w:cs="宋体"/>
                <w:kern w:val="0"/>
                <w:sz w:val="16"/>
                <w:szCs w:val="16"/>
              </w:rPr>
              <w:t>Ⅱ</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before="150" w:line="240" w:lineRule="auto"/>
              <w:ind w:left="9" w:firstLine="0" w:firstLineChars="0"/>
              <w:jc w:val="center"/>
              <w:rPr>
                <w:rFonts w:cs="Times New Roman"/>
                <w:kern w:val="0"/>
                <w:sz w:val="16"/>
                <w:szCs w:val="16"/>
              </w:rPr>
            </w:pPr>
            <w:r>
              <w:rPr>
                <w:rFonts w:ascii="宋体" w:hAnsi="宋体" w:eastAsia="宋体" w:cs="宋体"/>
                <w:kern w:val="0"/>
                <w:sz w:val="16"/>
                <w:szCs w:val="16"/>
              </w:rPr>
              <w:t>Ⅱ</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7</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香鼬</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698" w:firstLine="0" w:firstLineChars="0"/>
              <w:jc w:val="left"/>
              <w:rPr>
                <w:rFonts w:cs="Times New Roman"/>
                <w:i/>
                <w:iCs/>
                <w:kern w:val="0"/>
                <w:sz w:val="16"/>
                <w:szCs w:val="16"/>
              </w:rPr>
            </w:pPr>
            <w:r>
              <w:rPr>
                <w:rFonts w:cs="Times New Roman"/>
                <w:i/>
                <w:iCs/>
                <w:kern w:val="0"/>
                <w:sz w:val="16"/>
                <w:szCs w:val="16"/>
              </w:rPr>
              <w:t>Mustela</w:t>
            </w:r>
            <w:r>
              <w:rPr>
                <w:rFonts w:cs="Times New Roman"/>
                <w:i/>
                <w:iCs/>
                <w:spacing w:val="-3"/>
                <w:kern w:val="0"/>
                <w:sz w:val="16"/>
                <w:szCs w:val="16"/>
              </w:rPr>
              <w:t xml:space="preserve"> </w:t>
            </w:r>
            <w:r>
              <w:rPr>
                <w:rFonts w:cs="Times New Roman"/>
                <w:i/>
                <w:iCs/>
                <w:kern w:val="0"/>
                <w:sz w:val="16"/>
                <w:szCs w:val="16"/>
              </w:rPr>
              <w:t>altaica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特殊型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8" w:firstLine="0" w:firstLineChars="0"/>
              <w:jc w:val="center"/>
              <w:rPr>
                <w:rFonts w:cs="Times New Roman"/>
                <w:kern w:val="0"/>
                <w:sz w:val="16"/>
                <w:szCs w:val="16"/>
              </w:rPr>
            </w:pPr>
            <w:r>
              <w:rPr>
                <w:rFonts w:cs="Times New Roman"/>
                <w:kern w:val="0"/>
                <w:sz w:val="16"/>
                <w:szCs w:val="16"/>
              </w:rPr>
              <w:t>8</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虎鼬</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right="570" w:firstLine="0" w:firstLineChars="0"/>
              <w:jc w:val="right"/>
              <w:rPr>
                <w:rFonts w:cs="Times New Roman"/>
                <w:i/>
                <w:iCs/>
                <w:kern w:val="0"/>
                <w:sz w:val="16"/>
                <w:szCs w:val="16"/>
              </w:rPr>
            </w:pPr>
            <w:r>
              <w:rPr>
                <w:rFonts w:cs="Times New Roman"/>
                <w:i/>
                <w:iCs/>
                <w:kern w:val="0"/>
                <w:sz w:val="16"/>
                <w:szCs w:val="16"/>
              </w:rPr>
              <w:t>Vormela</w:t>
            </w:r>
            <w:r>
              <w:rPr>
                <w:rFonts w:cs="Times New Roman"/>
                <w:i/>
                <w:iCs/>
                <w:spacing w:val="-8"/>
                <w:kern w:val="0"/>
                <w:sz w:val="16"/>
                <w:szCs w:val="16"/>
              </w:rPr>
              <w:t xml:space="preserve"> </w:t>
            </w:r>
            <w:r>
              <w:rPr>
                <w:rFonts w:cs="Times New Roman"/>
                <w:i/>
                <w:iCs/>
                <w:kern w:val="0"/>
                <w:sz w:val="16"/>
                <w:szCs w:val="16"/>
              </w:rPr>
              <w:t>peregusna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5"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9</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6" w:firstLine="0" w:firstLineChars="0"/>
              <w:jc w:val="right"/>
              <w:rPr>
                <w:rFonts w:ascii="仿宋" w:eastAsia="仿宋" w:cs="仿宋"/>
                <w:kern w:val="0"/>
                <w:sz w:val="16"/>
                <w:szCs w:val="16"/>
              </w:rPr>
            </w:pPr>
            <w:r>
              <w:rPr>
                <w:rFonts w:hint="eastAsia" w:ascii="仿宋" w:eastAsia="仿宋" w:cs="仿宋"/>
                <w:kern w:val="0"/>
                <w:sz w:val="16"/>
                <w:szCs w:val="16"/>
              </w:rPr>
              <w:t>獾</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804" w:firstLine="0" w:firstLineChars="0"/>
              <w:jc w:val="left"/>
              <w:rPr>
                <w:rFonts w:cs="Times New Roman"/>
                <w:i/>
                <w:iCs/>
                <w:kern w:val="0"/>
                <w:sz w:val="16"/>
                <w:szCs w:val="16"/>
              </w:rPr>
            </w:pPr>
            <w:r>
              <w:rPr>
                <w:rFonts w:cs="Times New Roman"/>
                <w:i/>
                <w:iCs/>
                <w:kern w:val="0"/>
                <w:sz w:val="16"/>
                <w:szCs w:val="16"/>
              </w:rPr>
              <w:t>Meles</w:t>
            </w:r>
            <w:r>
              <w:rPr>
                <w:rFonts w:cs="Times New Roman"/>
                <w:i/>
                <w:iCs/>
                <w:spacing w:val="-1"/>
                <w:kern w:val="0"/>
                <w:sz w:val="16"/>
                <w:szCs w:val="16"/>
              </w:rPr>
              <w:t xml:space="preserve"> </w:t>
            </w:r>
            <w:r>
              <w:rPr>
                <w:rFonts w:cs="Times New Roman"/>
                <w:i/>
                <w:iCs/>
                <w:kern w:val="0"/>
                <w:sz w:val="16"/>
                <w:szCs w:val="16"/>
              </w:rPr>
              <w:t>meles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古北型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7" w:firstLine="0" w:firstLineChars="0"/>
              <w:jc w:val="center"/>
              <w:rPr>
                <w:rFonts w:ascii="仿宋" w:eastAsia="仿宋" w:cs="仿宋"/>
                <w:kern w:val="0"/>
                <w:sz w:val="16"/>
                <w:szCs w:val="16"/>
              </w:rPr>
            </w:pPr>
            <w:r>
              <w:rPr>
                <w:rFonts w:hint="eastAsia" w:ascii="仿宋" w:eastAsia="仿宋" w:cs="仿宋"/>
                <w:kern w:val="0"/>
                <w:sz w:val="16"/>
                <w:szCs w:val="16"/>
              </w:rPr>
              <w:t>三</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仿宋" w:eastAsia="仿宋" w:cs="仿宋"/>
                <w:kern w:val="0"/>
                <w:sz w:val="16"/>
                <w:szCs w:val="16"/>
              </w:rPr>
            </w:pPr>
            <w:r>
              <w:rPr>
                <w:rFonts w:hint="eastAsia" w:ascii="仿宋" w:eastAsia="仿宋" w:cs="仿宋"/>
                <w:kern w:val="0"/>
                <w:sz w:val="16"/>
                <w:szCs w:val="16"/>
              </w:rPr>
              <w:t>啮齿目</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Rodentia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8"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0"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仿宋" w:eastAsia="仿宋" w:cs="仿宋"/>
                <w:kern w:val="0"/>
                <w:sz w:val="13"/>
                <w:szCs w:val="13"/>
              </w:rPr>
            </w:pPr>
            <w:r>
              <w:rPr>
                <w:rFonts w:hint="eastAsia" w:ascii="仿宋" w:eastAsia="仿宋" w:cs="仿宋"/>
                <w:kern w:val="0"/>
                <w:sz w:val="13"/>
                <w:szCs w:val="13"/>
              </w:rPr>
              <w:t>（六）</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3" w:line="240" w:lineRule="auto"/>
              <w:ind w:left="443" w:right="434" w:firstLine="0" w:firstLineChars="0"/>
              <w:jc w:val="center"/>
              <w:rPr>
                <w:rFonts w:ascii="仿宋" w:eastAsia="仿宋" w:cs="仿宋"/>
                <w:kern w:val="0"/>
                <w:sz w:val="16"/>
                <w:szCs w:val="16"/>
              </w:rPr>
            </w:pPr>
            <w:r>
              <w:rPr>
                <w:rFonts w:hint="eastAsia" w:ascii="仿宋" w:eastAsia="仿宋" w:cs="仿宋"/>
                <w:kern w:val="0"/>
                <w:sz w:val="16"/>
                <w:szCs w:val="16"/>
              </w:rPr>
              <w:t>鼠科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4" w:line="240" w:lineRule="auto"/>
              <w:ind w:left="121" w:right="111" w:firstLine="0" w:firstLineChars="0"/>
              <w:jc w:val="center"/>
              <w:rPr>
                <w:rFonts w:cs="Times New Roman"/>
                <w:i/>
                <w:iCs/>
                <w:kern w:val="0"/>
                <w:sz w:val="16"/>
                <w:szCs w:val="16"/>
              </w:rPr>
            </w:pPr>
            <w:r>
              <w:rPr>
                <w:rFonts w:cs="Times New Roman"/>
                <w:i/>
                <w:iCs/>
                <w:kern w:val="0"/>
                <w:sz w:val="16"/>
                <w:szCs w:val="16"/>
              </w:rPr>
              <w:t>Muridae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10</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小家鼠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742" w:firstLine="0" w:firstLineChars="0"/>
              <w:jc w:val="left"/>
              <w:rPr>
                <w:rFonts w:cs="Times New Roman"/>
                <w:i/>
                <w:iCs/>
                <w:kern w:val="0"/>
                <w:sz w:val="16"/>
                <w:szCs w:val="16"/>
              </w:rPr>
            </w:pPr>
            <w:r>
              <w:rPr>
                <w:rFonts w:cs="Times New Roman"/>
                <w:i/>
                <w:iCs/>
                <w:kern w:val="0"/>
                <w:sz w:val="16"/>
                <w:szCs w:val="16"/>
              </w:rPr>
              <w:t>Mus</w:t>
            </w:r>
            <w:r>
              <w:rPr>
                <w:rFonts w:cs="Times New Roman"/>
                <w:i/>
                <w:iCs/>
                <w:spacing w:val="-3"/>
                <w:kern w:val="0"/>
                <w:sz w:val="16"/>
                <w:szCs w:val="16"/>
              </w:rPr>
              <w:t xml:space="preserve"> </w:t>
            </w:r>
            <w:r>
              <w:rPr>
                <w:rFonts w:cs="Times New Roman"/>
                <w:i/>
                <w:iCs/>
                <w:kern w:val="0"/>
                <w:sz w:val="16"/>
                <w:szCs w:val="16"/>
              </w:rPr>
              <w:t>musculus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广布种</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1403"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before="150" w:line="240" w:lineRule="auto"/>
              <w:ind w:left="103" w:right="99" w:firstLine="0" w:firstLineChars="0"/>
              <w:jc w:val="center"/>
              <w:rPr>
                <w:rFonts w:cs="Times New Roman"/>
                <w:kern w:val="0"/>
                <w:sz w:val="16"/>
                <w:szCs w:val="16"/>
              </w:rPr>
            </w:pPr>
            <w:r>
              <w:rPr>
                <w:rFonts w:cs="Times New Roman"/>
                <w:kern w:val="0"/>
                <w:sz w:val="16"/>
                <w:szCs w:val="16"/>
              </w:rPr>
              <w:t>11</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before="11"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褐家鼠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before="150" w:line="240" w:lineRule="auto"/>
              <w:ind w:right="611" w:firstLine="0" w:firstLineChars="0"/>
              <w:jc w:val="right"/>
              <w:rPr>
                <w:rFonts w:cs="Times New Roman"/>
                <w:i/>
                <w:iCs/>
                <w:kern w:val="0"/>
                <w:sz w:val="16"/>
                <w:szCs w:val="16"/>
              </w:rPr>
            </w:pPr>
            <w:r>
              <w:rPr>
                <w:rFonts w:cs="Times New Roman"/>
                <w:i/>
                <w:iCs/>
                <w:kern w:val="0"/>
                <w:sz w:val="16"/>
                <w:szCs w:val="16"/>
              </w:rPr>
              <w:t>Rattus</w:t>
            </w:r>
            <w:r>
              <w:rPr>
                <w:rFonts w:cs="Times New Roman"/>
                <w:i/>
                <w:iCs/>
                <w:spacing w:val="-4"/>
                <w:kern w:val="0"/>
                <w:sz w:val="16"/>
                <w:szCs w:val="16"/>
              </w:rPr>
              <w:t xml:space="preserve"> </w:t>
            </w:r>
            <w:r>
              <w:rPr>
                <w:rFonts w:cs="Times New Roman"/>
                <w:i/>
                <w:iCs/>
                <w:kern w:val="0"/>
                <w:sz w:val="16"/>
                <w:szCs w:val="16"/>
              </w:rPr>
              <w:t>norvegicru</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547" w:lineRule="auto"/>
              <w:ind w:left="106" w:right="92" w:firstLine="0" w:firstLineChars="0"/>
              <w:jc w:val="left"/>
              <w:rPr>
                <w:rFonts w:ascii="仿宋" w:eastAsia="仿宋" w:cs="仿宋"/>
                <w:spacing w:val="-5"/>
                <w:kern w:val="0"/>
                <w:sz w:val="16"/>
                <w:szCs w:val="16"/>
              </w:rPr>
            </w:pPr>
            <w:r>
              <w:rPr>
                <w:rFonts w:hint="eastAsia" w:ascii="仿宋" w:eastAsia="仿宋" w:cs="仿宋"/>
                <w:spacing w:val="-1"/>
                <w:kern w:val="0"/>
                <w:sz w:val="16"/>
                <w:szCs w:val="16"/>
              </w:rPr>
              <w:t>起源于</w:t>
            </w:r>
            <w:r>
              <w:rPr>
                <w:rFonts w:hint="eastAsia" w:ascii="仿宋" w:eastAsia="仿宋" w:cs="仿宋"/>
                <w:spacing w:val="-5"/>
                <w:kern w:val="0"/>
                <w:sz w:val="16"/>
                <w:szCs w:val="16"/>
              </w:rPr>
              <w:t>亚洲寒</w:t>
            </w:r>
          </w:p>
          <w:p>
            <w:pPr>
              <w:kinsoku w:val="0"/>
              <w:overflowPunct w:val="0"/>
              <w:autoSpaceDE w:val="0"/>
              <w:autoSpaceDN w:val="0"/>
              <w:adjustRightInd w:val="0"/>
              <w:spacing w:before="2" w:line="240" w:lineRule="auto"/>
              <w:ind w:left="185" w:firstLine="0" w:firstLineChars="0"/>
              <w:jc w:val="left"/>
              <w:rPr>
                <w:rFonts w:ascii="仿宋" w:eastAsia="仿宋" w:cs="仿宋"/>
                <w:kern w:val="0"/>
                <w:sz w:val="16"/>
                <w:szCs w:val="16"/>
              </w:rPr>
            </w:pPr>
            <w:r>
              <w:rPr>
                <w:rFonts w:hint="eastAsia" w:ascii="仿宋" w:eastAsia="仿宋" w:cs="仿宋"/>
                <w:kern w:val="0"/>
                <w:sz w:val="16"/>
                <w:szCs w:val="16"/>
              </w:rPr>
              <w:t>温带</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line="240" w:lineRule="auto"/>
              <w:ind w:firstLine="0" w:firstLineChars="0"/>
              <w:jc w:val="left"/>
              <w:rPr>
                <w:rFonts w:ascii="宋体" w:eastAsia="宋体" w:cs="宋体"/>
                <w:b/>
                <w:bCs/>
                <w:kern w:val="0"/>
                <w:sz w:val="18"/>
                <w:szCs w:val="18"/>
              </w:rPr>
            </w:pPr>
          </w:p>
          <w:p>
            <w:pPr>
              <w:kinsoku w:val="0"/>
              <w:overflowPunct w:val="0"/>
              <w:autoSpaceDE w:val="0"/>
              <w:autoSpaceDN w:val="0"/>
              <w:adjustRightInd w:val="0"/>
              <w:spacing w:before="150"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9"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1"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before="1" w:line="240" w:lineRule="auto"/>
              <w:ind w:left="104" w:right="99" w:firstLine="0" w:firstLineChars="0"/>
              <w:jc w:val="center"/>
              <w:rPr>
                <w:rFonts w:ascii="仿宋" w:eastAsia="仿宋" w:cs="仿宋"/>
                <w:kern w:val="0"/>
                <w:sz w:val="13"/>
                <w:szCs w:val="13"/>
              </w:rPr>
            </w:pPr>
            <w:r>
              <w:rPr>
                <w:rFonts w:hint="eastAsia" w:ascii="仿宋" w:eastAsia="仿宋" w:cs="仿宋"/>
                <w:kern w:val="0"/>
                <w:sz w:val="13"/>
                <w:szCs w:val="13"/>
              </w:rPr>
              <w:t>（七）</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left="443" w:firstLine="0" w:firstLineChars="0"/>
              <w:jc w:val="left"/>
              <w:rPr>
                <w:rFonts w:ascii="仿宋" w:eastAsia="仿宋" w:cs="仿宋"/>
                <w:kern w:val="0"/>
                <w:sz w:val="16"/>
                <w:szCs w:val="16"/>
              </w:rPr>
            </w:pPr>
            <w:r>
              <w:rPr>
                <w:rFonts w:hint="eastAsia" w:ascii="仿宋" w:eastAsia="仿宋" w:cs="仿宋"/>
                <w:kern w:val="0"/>
                <w:sz w:val="16"/>
                <w:szCs w:val="16"/>
              </w:rPr>
              <w:t>仓鼠科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09" w:firstLine="0" w:firstLineChars="0"/>
              <w:jc w:val="center"/>
              <w:rPr>
                <w:rFonts w:cs="Times New Roman"/>
                <w:i/>
                <w:iCs/>
                <w:kern w:val="0"/>
                <w:sz w:val="16"/>
                <w:szCs w:val="16"/>
              </w:rPr>
            </w:pPr>
            <w:r>
              <w:rPr>
                <w:rFonts w:cs="Times New Roman"/>
                <w:i/>
                <w:iCs/>
                <w:kern w:val="0"/>
                <w:sz w:val="16"/>
                <w:szCs w:val="16"/>
              </w:rPr>
              <w:t>Cricetidae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bl>
    <w:p>
      <w:pPr>
        <w:autoSpaceDE w:val="0"/>
        <w:autoSpaceDN w:val="0"/>
        <w:adjustRightInd w:val="0"/>
        <w:spacing w:line="240" w:lineRule="auto"/>
        <w:ind w:firstLine="0" w:firstLineChars="0"/>
        <w:jc w:val="left"/>
        <w:rPr>
          <w:rFonts w:ascii="宋体" w:eastAsia="宋体" w:cs="宋体"/>
          <w:b/>
          <w:bCs/>
          <w:kern w:val="0"/>
          <w:szCs w:val="24"/>
        </w:rPr>
        <w:sectPr>
          <w:pgSz w:w="11910" w:h="16840"/>
          <w:pgMar w:top="1380" w:right="980" w:bottom="280" w:left="1680" w:header="720" w:footer="720" w:gutter="0"/>
          <w:cols w:space="720" w:num="1"/>
        </w:sectPr>
      </w:pPr>
    </w:p>
    <w:tbl>
      <w:tblPr>
        <w:tblStyle w:val="25"/>
        <w:tblW w:w="9003" w:type="dxa"/>
        <w:tblInd w:w="130" w:type="dxa"/>
        <w:tblLayout w:type="fixed"/>
        <w:tblCellMar>
          <w:top w:w="0" w:type="dxa"/>
          <w:left w:w="0" w:type="dxa"/>
          <w:bottom w:w="0" w:type="dxa"/>
          <w:right w:w="0" w:type="dxa"/>
        </w:tblCellMar>
      </w:tblPr>
      <w:tblGrid>
        <w:gridCol w:w="643"/>
        <w:gridCol w:w="1368"/>
        <w:gridCol w:w="2400"/>
        <w:gridCol w:w="696"/>
        <w:gridCol w:w="799"/>
        <w:gridCol w:w="593"/>
        <w:gridCol w:w="572"/>
        <w:gridCol w:w="564"/>
        <w:gridCol w:w="679"/>
        <w:gridCol w:w="689"/>
      </w:tblGrid>
      <w:tr>
        <w:tblPrEx>
          <w:tblCellMar>
            <w:top w:w="0" w:type="dxa"/>
            <w:left w:w="0" w:type="dxa"/>
            <w:bottom w:w="0" w:type="dxa"/>
            <w:right w:w="0" w:type="dxa"/>
          </w:tblCellMar>
        </w:tblPrEx>
        <w:trPr>
          <w:trHeight w:val="1403"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before="1" w:line="240" w:lineRule="auto"/>
              <w:ind w:left="170" w:firstLine="0" w:firstLineChars="0"/>
              <w:jc w:val="left"/>
              <w:rPr>
                <w:rFonts w:ascii="等线" w:eastAsia="等线" w:cs="等线"/>
                <w:b/>
                <w:bCs/>
                <w:kern w:val="0"/>
                <w:sz w:val="15"/>
                <w:szCs w:val="15"/>
              </w:rPr>
            </w:pPr>
            <w:r>
              <w:rPr>
                <w:rFonts w:hint="eastAsia" w:ascii="等线" w:eastAsia="等线" w:cs="等线"/>
                <w:b/>
                <w:bCs/>
                <w:kern w:val="0"/>
                <w:sz w:val="15"/>
                <w:szCs w:val="15"/>
              </w:rPr>
              <w:t>序号</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before="1" w:line="240" w:lineRule="auto"/>
              <w:ind w:left="443" w:right="434" w:firstLine="0" w:firstLineChars="0"/>
              <w:jc w:val="center"/>
              <w:rPr>
                <w:rFonts w:ascii="等线" w:eastAsia="等线" w:cs="等线"/>
                <w:b/>
                <w:bCs/>
                <w:kern w:val="0"/>
                <w:sz w:val="15"/>
                <w:szCs w:val="15"/>
              </w:rPr>
            </w:pPr>
            <w:r>
              <w:rPr>
                <w:rFonts w:hint="eastAsia" w:ascii="等线" w:eastAsia="等线" w:cs="等线"/>
                <w:b/>
                <w:bCs/>
                <w:kern w:val="0"/>
                <w:sz w:val="15"/>
                <w:szCs w:val="15"/>
              </w:rPr>
              <w:t>种名</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before="1" w:line="240" w:lineRule="auto"/>
              <w:ind w:left="121" w:right="110" w:firstLine="0" w:firstLineChars="0"/>
              <w:jc w:val="center"/>
              <w:rPr>
                <w:rFonts w:ascii="等线" w:eastAsia="等线" w:cs="等线"/>
                <w:b/>
                <w:bCs/>
                <w:kern w:val="0"/>
                <w:sz w:val="15"/>
                <w:szCs w:val="15"/>
              </w:rPr>
            </w:pPr>
            <w:r>
              <w:rPr>
                <w:rFonts w:hint="eastAsia" w:ascii="等线" w:eastAsia="等线" w:cs="等线"/>
                <w:b/>
                <w:bCs/>
                <w:kern w:val="0"/>
                <w:sz w:val="15"/>
                <w:szCs w:val="15"/>
              </w:rPr>
              <w:t>拉丁名</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before="1" w:line="240" w:lineRule="auto"/>
              <w:ind w:left="87" w:right="76" w:firstLine="0" w:firstLineChars="0"/>
              <w:jc w:val="center"/>
              <w:rPr>
                <w:rFonts w:ascii="等线" w:eastAsia="等线" w:cs="等线"/>
                <w:b/>
                <w:bCs/>
                <w:kern w:val="0"/>
                <w:sz w:val="15"/>
                <w:szCs w:val="15"/>
              </w:rPr>
            </w:pPr>
            <w:r>
              <w:rPr>
                <w:rFonts w:hint="eastAsia" w:ascii="等线" w:eastAsia="等线" w:cs="等线"/>
                <w:b/>
                <w:bCs/>
                <w:kern w:val="0"/>
                <w:sz w:val="15"/>
                <w:szCs w:val="15"/>
              </w:rPr>
              <w:t>分布型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before="11"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496" w:lineRule="auto"/>
              <w:ind w:left="250" w:right="234" w:firstLine="0" w:firstLineChars="0"/>
              <w:jc w:val="left"/>
              <w:rPr>
                <w:rFonts w:ascii="等线" w:eastAsia="等线" w:cs="等线"/>
                <w:b/>
                <w:bCs/>
                <w:spacing w:val="-1"/>
                <w:kern w:val="0"/>
                <w:sz w:val="15"/>
                <w:szCs w:val="15"/>
              </w:rPr>
            </w:pPr>
            <w:r>
              <w:rPr>
                <w:rFonts w:hint="eastAsia" w:ascii="等线" w:eastAsia="等线" w:cs="等线"/>
                <w:b/>
                <w:bCs/>
                <w:spacing w:val="-1"/>
                <w:kern w:val="0"/>
                <w:sz w:val="15"/>
                <w:szCs w:val="15"/>
              </w:rPr>
              <w:t>数量等级</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240" w:lineRule="auto"/>
              <w:ind w:left="147" w:firstLine="0" w:firstLineChars="0"/>
              <w:jc w:val="left"/>
              <w:rPr>
                <w:rFonts w:ascii="等线" w:eastAsia="等线" w:cs="等线"/>
                <w:b/>
                <w:bCs/>
                <w:kern w:val="0"/>
                <w:sz w:val="15"/>
                <w:szCs w:val="15"/>
              </w:rPr>
            </w:pPr>
            <w:r>
              <w:rPr>
                <w:rFonts w:hint="eastAsia" w:ascii="等线" w:eastAsia="等线" w:cs="等线"/>
                <w:b/>
                <w:bCs/>
                <w:kern w:val="0"/>
                <w:sz w:val="15"/>
                <w:szCs w:val="15"/>
              </w:rPr>
              <w:t>中国</w:t>
            </w:r>
          </w:p>
          <w:p>
            <w:pPr>
              <w:kinsoku w:val="0"/>
              <w:overflowPunct w:val="0"/>
              <w:autoSpaceDE w:val="0"/>
              <w:autoSpaceDN w:val="0"/>
              <w:adjustRightInd w:val="0"/>
              <w:spacing w:before="8" w:line="460" w:lineRule="atLeast"/>
              <w:ind w:left="147" w:right="131" w:firstLine="0" w:firstLineChars="0"/>
              <w:jc w:val="left"/>
              <w:rPr>
                <w:rFonts w:ascii="等线" w:eastAsia="等线" w:cs="等线"/>
                <w:b/>
                <w:bCs/>
                <w:spacing w:val="-8"/>
                <w:kern w:val="0"/>
                <w:sz w:val="15"/>
                <w:szCs w:val="15"/>
              </w:rPr>
            </w:pPr>
            <w:r>
              <w:rPr>
                <w:rFonts w:hint="eastAsia" w:ascii="等线" w:eastAsia="等线" w:cs="等线"/>
                <w:b/>
                <w:bCs/>
                <w:spacing w:val="-1"/>
                <w:kern w:val="0"/>
                <w:sz w:val="15"/>
                <w:szCs w:val="15"/>
              </w:rPr>
              <w:t>保护</w:t>
            </w:r>
            <w:r>
              <w:rPr>
                <w:rFonts w:hint="eastAsia" w:ascii="等线" w:eastAsia="等线" w:cs="等线"/>
                <w:b/>
                <w:bCs/>
                <w:spacing w:val="-8"/>
                <w:kern w:val="0"/>
                <w:sz w:val="15"/>
                <w:szCs w:val="15"/>
              </w:rPr>
              <w:t>级别</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240" w:lineRule="auto"/>
              <w:ind w:left="135" w:firstLine="0" w:firstLineChars="0"/>
              <w:jc w:val="left"/>
              <w:rPr>
                <w:rFonts w:ascii="等线" w:eastAsia="等线" w:cs="等线"/>
                <w:b/>
                <w:bCs/>
                <w:kern w:val="0"/>
                <w:sz w:val="15"/>
                <w:szCs w:val="15"/>
              </w:rPr>
            </w:pPr>
            <w:r>
              <w:rPr>
                <w:rFonts w:hint="eastAsia" w:ascii="等线" w:eastAsia="等线" w:cs="等线"/>
                <w:b/>
                <w:bCs/>
                <w:kern w:val="0"/>
                <w:sz w:val="15"/>
                <w:szCs w:val="15"/>
              </w:rPr>
              <w:t>新疆</w:t>
            </w:r>
          </w:p>
          <w:p>
            <w:pPr>
              <w:kinsoku w:val="0"/>
              <w:overflowPunct w:val="0"/>
              <w:autoSpaceDE w:val="0"/>
              <w:autoSpaceDN w:val="0"/>
              <w:adjustRightInd w:val="0"/>
              <w:spacing w:before="8" w:line="460" w:lineRule="atLeast"/>
              <w:ind w:left="135" w:right="122" w:firstLine="0" w:firstLineChars="0"/>
              <w:jc w:val="left"/>
              <w:rPr>
                <w:rFonts w:ascii="等线" w:eastAsia="等线" w:cs="等线"/>
                <w:b/>
                <w:bCs/>
                <w:spacing w:val="-8"/>
                <w:kern w:val="0"/>
                <w:sz w:val="15"/>
                <w:szCs w:val="15"/>
              </w:rPr>
            </w:pPr>
            <w:r>
              <w:rPr>
                <w:rFonts w:hint="eastAsia" w:ascii="等线" w:eastAsia="等线" w:cs="等线"/>
                <w:b/>
                <w:bCs/>
                <w:spacing w:val="-1"/>
                <w:kern w:val="0"/>
                <w:sz w:val="15"/>
                <w:szCs w:val="15"/>
              </w:rPr>
              <w:t>保护</w:t>
            </w:r>
            <w:r>
              <w:rPr>
                <w:rFonts w:hint="eastAsia" w:ascii="等线" w:eastAsia="等线" w:cs="等线"/>
                <w:b/>
                <w:bCs/>
                <w:spacing w:val="-8"/>
                <w:kern w:val="0"/>
                <w:sz w:val="15"/>
                <w:szCs w:val="15"/>
              </w:rPr>
              <w:t>级别</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240" w:lineRule="auto"/>
              <w:ind w:left="130" w:firstLine="0" w:firstLineChars="0"/>
              <w:jc w:val="left"/>
              <w:rPr>
                <w:rFonts w:ascii="等线" w:eastAsia="等线" w:cs="等线"/>
                <w:b/>
                <w:bCs/>
                <w:kern w:val="0"/>
                <w:sz w:val="15"/>
                <w:szCs w:val="15"/>
              </w:rPr>
            </w:pPr>
            <w:r>
              <w:rPr>
                <w:rFonts w:hint="eastAsia" w:ascii="等线" w:eastAsia="等线" w:cs="等线"/>
                <w:b/>
                <w:bCs/>
                <w:kern w:val="0"/>
                <w:sz w:val="15"/>
                <w:szCs w:val="15"/>
              </w:rPr>
              <w:t>中国</w:t>
            </w:r>
          </w:p>
          <w:p>
            <w:pPr>
              <w:kinsoku w:val="0"/>
              <w:overflowPunct w:val="0"/>
              <w:autoSpaceDE w:val="0"/>
              <w:autoSpaceDN w:val="0"/>
              <w:adjustRightInd w:val="0"/>
              <w:spacing w:before="8" w:line="460" w:lineRule="atLeast"/>
              <w:ind w:left="204" w:right="119" w:hanging="75" w:firstLineChars="0"/>
              <w:jc w:val="left"/>
              <w:rPr>
                <w:rFonts w:ascii="等线" w:eastAsia="等线" w:cs="等线"/>
                <w:b/>
                <w:bCs/>
                <w:kern w:val="0"/>
                <w:sz w:val="15"/>
                <w:szCs w:val="15"/>
              </w:rPr>
            </w:pPr>
            <w:r>
              <w:rPr>
                <w:rFonts w:hint="eastAsia" w:ascii="等线" w:eastAsia="等线" w:cs="等线"/>
                <w:b/>
                <w:bCs/>
                <w:spacing w:val="-1"/>
                <w:kern w:val="0"/>
                <w:sz w:val="15"/>
                <w:szCs w:val="15"/>
              </w:rPr>
              <w:t>红皮</w:t>
            </w:r>
            <w:r>
              <w:rPr>
                <w:rFonts w:hint="eastAsia" w:ascii="等线" w:eastAsia="等线" w:cs="等线"/>
                <w:b/>
                <w:bCs/>
                <w:kern w:val="0"/>
                <w:sz w:val="15"/>
                <w:szCs w:val="15"/>
              </w:rPr>
              <w:t>书</w:t>
            </w: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before="1"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left="147" w:firstLine="0" w:firstLineChars="0"/>
              <w:jc w:val="left"/>
              <w:rPr>
                <w:rFonts w:cs="Times New Roman"/>
                <w:b/>
                <w:bCs/>
                <w:kern w:val="0"/>
                <w:sz w:val="15"/>
                <w:szCs w:val="15"/>
              </w:rPr>
            </w:pPr>
            <w:r>
              <w:rPr>
                <w:rFonts w:cs="Times New Roman"/>
                <w:b/>
                <w:bCs/>
                <w:kern w:val="0"/>
                <w:sz w:val="15"/>
                <w:szCs w:val="15"/>
              </w:rPr>
              <w:t>IUCN</w:t>
            </w: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before="1"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left="118" w:firstLine="0" w:firstLineChars="0"/>
              <w:jc w:val="left"/>
              <w:rPr>
                <w:rFonts w:cs="Times New Roman"/>
                <w:b/>
                <w:bCs/>
                <w:kern w:val="0"/>
                <w:sz w:val="15"/>
                <w:szCs w:val="15"/>
              </w:rPr>
            </w:pPr>
            <w:r>
              <w:rPr>
                <w:rFonts w:cs="Times New Roman"/>
                <w:b/>
                <w:bCs/>
                <w:kern w:val="0"/>
                <w:sz w:val="15"/>
                <w:szCs w:val="15"/>
              </w:rPr>
              <w:t>CITES</w:t>
            </w: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12</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灰仓鼠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Cricetulus</w:t>
            </w:r>
            <w:r>
              <w:rPr>
                <w:rFonts w:cs="Times New Roman"/>
                <w:i/>
                <w:iCs/>
                <w:spacing w:val="-5"/>
                <w:kern w:val="0"/>
                <w:sz w:val="16"/>
                <w:szCs w:val="16"/>
              </w:rPr>
              <w:t xml:space="preserve"> </w:t>
            </w:r>
            <w:r>
              <w:rPr>
                <w:rFonts w:cs="Times New Roman"/>
                <w:i/>
                <w:iCs/>
                <w:kern w:val="0"/>
                <w:sz w:val="16"/>
                <w:szCs w:val="16"/>
              </w:rPr>
              <w:t>migratorizs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北方型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13</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麝鼠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Ondatra</w:t>
            </w:r>
            <w:r>
              <w:rPr>
                <w:rFonts w:cs="Times New Roman"/>
                <w:i/>
                <w:iCs/>
                <w:spacing w:val="-2"/>
                <w:kern w:val="0"/>
                <w:sz w:val="16"/>
                <w:szCs w:val="16"/>
              </w:rPr>
              <w:t xml:space="preserve"> </w:t>
            </w:r>
            <w:r>
              <w:rPr>
                <w:rFonts w:cs="Times New Roman"/>
                <w:i/>
                <w:iCs/>
                <w:kern w:val="0"/>
                <w:sz w:val="16"/>
                <w:szCs w:val="16"/>
              </w:rPr>
              <w:t>zibethicus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广布种</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104" w:right="95" w:firstLine="0" w:firstLineChars="0"/>
              <w:jc w:val="center"/>
              <w:rPr>
                <w:rFonts w:cs="Times New Roman"/>
                <w:kern w:val="0"/>
                <w:sz w:val="16"/>
                <w:szCs w:val="16"/>
              </w:rPr>
            </w:pPr>
            <w:r>
              <w:rPr>
                <w:rFonts w:cs="Times New Roman"/>
                <w:kern w:val="0"/>
                <w:sz w:val="16"/>
                <w:szCs w:val="16"/>
              </w:rPr>
              <w:t>14</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红尾沙鼠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09" w:firstLine="0" w:firstLineChars="0"/>
              <w:jc w:val="center"/>
              <w:rPr>
                <w:rFonts w:cs="Times New Roman"/>
                <w:i/>
                <w:iCs/>
                <w:kern w:val="0"/>
                <w:sz w:val="16"/>
                <w:szCs w:val="16"/>
              </w:rPr>
            </w:pPr>
            <w:r>
              <w:rPr>
                <w:rFonts w:cs="Times New Roman"/>
                <w:i/>
                <w:iCs/>
                <w:kern w:val="0"/>
                <w:sz w:val="16"/>
                <w:szCs w:val="16"/>
              </w:rPr>
              <w:t>Meriones</w:t>
            </w:r>
            <w:r>
              <w:rPr>
                <w:rFonts w:cs="Times New Roman"/>
                <w:i/>
                <w:iCs/>
                <w:spacing w:val="-4"/>
                <w:kern w:val="0"/>
                <w:sz w:val="16"/>
                <w:szCs w:val="16"/>
              </w:rPr>
              <w:t xml:space="preserve"> </w:t>
            </w:r>
            <w:r>
              <w:rPr>
                <w:rFonts w:cs="Times New Roman"/>
                <w:i/>
                <w:iCs/>
                <w:kern w:val="0"/>
                <w:sz w:val="16"/>
                <w:szCs w:val="16"/>
              </w:rPr>
              <w:t>libycus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5"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北方型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15</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子午沙鼠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Meriones</w:t>
            </w:r>
            <w:r>
              <w:rPr>
                <w:rFonts w:cs="Times New Roman"/>
                <w:i/>
                <w:iCs/>
                <w:spacing w:val="-4"/>
                <w:kern w:val="0"/>
                <w:sz w:val="16"/>
                <w:szCs w:val="16"/>
              </w:rPr>
              <w:t xml:space="preserve"> </w:t>
            </w:r>
            <w:r>
              <w:rPr>
                <w:rFonts w:cs="Times New Roman"/>
                <w:i/>
                <w:iCs/>
                <w:kern w:val="0"/>
                <w:sz w:val="16"/>
                <w:szCs w:val="16"/>
              </w:rPr>
              <w:t>meridianus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北方型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8"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16</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长尾仓鼠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Cricetulus</w:t>
            </w:r>
            <w:r>
              <w:rPr>
                <w:rFonts w:cs="Times New Roman"/>
                <w:i/>
                <w:iCs/>
                <w:spacing w:val="-5"/>
                <w:kern w:val="0"/>
                <w:sz w:val="16"/>
                <w:szCs w:val="16"/>
              </w:rPr>
              <w:t xml:space="preserve"> </w:t>
            </w:r>
            <w:r>
              <w:rPr>
                <w:rFonts w:cs="Times New Roman"/>
                <w:i/>
                <w:iCs/>
                <w:kern w:val="0"/>
                <w:sz w:val="16"/>
                <w:szCs w:val="16"/>
              </w:rPr>
              <w:t>longicaudatus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17</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柽柳沙鼠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Meriones</w:t>
            </w:r>
            <w:r>
              <w:rPr>
                <w:rFonts w:cs="Times New Roman"/>
                <w:i/>
                <w:iCs/>
                <w:spacing w:val="-4"/>
                <w:kern w:val="0"/>
                <w:sz w:val="16"/>
                <w:szCs w:val="16"/>
              </w:rPr>
              <w:t xml:space="preserve"> </w:t>
            </w:r>
            <w:r>
              <w:rPr>
                <w:rFonts w:cs="Times New Roman"/>
                <w:i/>
                <w:iCs/>
                <w:kern w:val="0"/>
                <w:sz w:val="16"/>
                <w:szCs w:val="16"/>
              </w:rPr>
              <w:t>tamariscinus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24" w:firstLine="0" w:firstLineChars="0"/>
              <w:jc w:val="left"/>
              <w:rPr>
                <w:rFonts w:ascii="仿宋" w:eastAsia="仿宋" w:cs="仿宋"/>
                <w:kern w:val="0"/>
                <w:sz w:val="13"/>
                <w:szCs w:val="13"/>
              </w:rPr>
            </w:pPr>
            <w:r>
              <w:rPr>
                <w:rFonts w:hint="eastAsia" w:ascii="仿宋" w:eastAsia="仿宋" w:cs="仿宋"/>
                <w:kern w:val="0"/>
                <w:sz w:val="13"/>
                <w:szCs w:val="13"/>
              </w:rPr>
              <w:t>（八）</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仿宋" w:eastAsia="仿宋" w:cs="仿宋"/>
                <w:kern w:val="0"/>
                <w:sz w:val="16"/>
                <w:szCs w:val="16"/>
              </w:rPr>
            </w:pPr>
            <w:r>
              <w:rPr>
                <w:rFonts w:hint="eastAsia" w:ascii="仿宋" w:eastAsia="仿宋" w:cs="仿宋"/>
                <w:kern w:val="0"/>
                <w:sz w:val="16"/>
                <w:szCs w:val="16"/>
              </w:rPr>
              <w:t>跳鼠科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Dipodidae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18</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小地兔</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Alactagulus</w:t>
            </w:r>
            <w:r>
              <w:rPr>
                <w:rFonts w:cs="Times New Roman"/>
                <w:i/>
                <w:iCs/>
                <w:spacing w:val="-4"/>
                <w:kern w:val="0"/>
                <w:sz w:val="16"/>
                <w:szCs w:val="16"/>
              </w:rPr>
              <w:t xml:space="preserve"> </w:t>
            </w:r>
            <w:r>
              <w:rPr>
                <w:rFonts w:cs="Times New Roman"/>
                <w:i/>
                <w:iCs/>
                <w:kern w:val="0"/>
                <w:sz w:val="16"/>
                <w:szCs w:val="16"/>
              </w:rPr>
              <w:t>pygmceus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北方型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104" w:right="95" w:firstLine="0" w:firstLineChars="0"/>
              <w:jc w:val="center"/>
              <w:rPr>
                <w:rFonts w:cs="Times New Roman"/>
                <w:kern w:val="0"/>
                <w:sz w:val="16"/>
                <w:szCs w:val="16"/>
              </w:rPr>
            </w:pPr>
            <w:r>
              <w:rPr>
                <w:rFonts w:cs="Times New Roman"/>
                <w:kern w:val="0"/>
                <w:sz w:val="16"/>
                <w:szCs w:val="16"/>
              </w:rPr>
              <w:t>19</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小五趾跳鼠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09" w:firstLine="0" w:firstLineChars="0"/>
              <w:jc w:val="center"/>
              <w:rPr>
                <w:rFonts w:cs="Times New Roman"/>
                <w:i/>
                <w:iCs/>
                <w:kern w:val="0"/>
                <w:sz w:val="16"/>
                <w:szCs w:val="16"/>
              </w:rPr>
            </w:pPr>
            <w:r>
              <w:rPr>
                <w:rFonts w:cs="Times New Roman"/>
                <w:i/>
                <w:iCs/>
                <w:kern w:val="0"/>
                <w:sz w:val="16"/>
                <w:szCs w:val="16"/>
              </w:rPr>
              <w:t>Allactaga</w:t>
            </w:r>
            <w:r>
              <w:rPr>
                <w:rFonts w:cs="Times New Roman"/>
                <w:i/>
                <w:iCs/>
                <w:spacing w:val="-3"/>
                <w:kern w:val="0"/>
                <w:sz w:val="16"/>
                <w:szCs w:val="16"/>
              </w:rPr>
              <w:t xml:space="preserve"> </w:t>
            </w:r>
            <w:r>
              <w:rPr>
                <w:rFonts w:cs="Times New Roman"/>
                <w:i/>
                <w:iCs/>
                <w:kern w:val="0"/>
                <w:sz w:val="16"/>
                <w:szCs w:val="16"/>
              </w:rPr>
              <w:t>elater</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5"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北方型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20</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三趾跳鼠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Dipus</w:t>
            </w:r>
            <w:r>
              <w:rPr>
                <w:rFonts w:cs="Times New Roman"/>
                <w:i/>
                <w:iCs/>
                <w:spacing w:val="-2"/>
                <w:kern w:val="0"/>
                <w:sz w:val="16"/>
                <w:szCs w:val="16"/>
              </w:rPr>
              <w:t xml:space="preserve"> </w:t>
            </w:r>
            <w:r>
              <w:rPr>
                <w:rFonts w:cs="Times New Roman"/>
                <w:i/>
                <w:iCs/>
                <w:kern w:val="0"/>
                <w:sz w:val="16"/>
                <w:szCs w:val="16"/>
              </w:rPr>
              <w:t>sowerbyi</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24" w:firstLine="0" w:firstLineChars="0"/>
              <w:jc w:val="left"/>
              <w:rPr>
                <w:rFonts w:ascii="仿宋" w:eastAsia="仿宋" w:cs="仿宋"/>
                <w:kern w:val="0"/>
                <w:sz w:val="13"/>
                <w:szCs w:val="13"/>
              </w:rPr>
            </w:pPr>
            <w:r>
              <w:rPr>
                <w:rFonts w:hint="eastAsia" w:ascii="仿宋" w:eastAsia="仿宋" w:cs="仿宋"/>
                <w:kern w:val="0"/>
                <w:sz w:val="13"/>
                <w:szCs w:val="13"/>
              </w:rPr>
              <w:t>（九）</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仿宋" w:eastAsia="仿宋" w:cs="仿宋"/>
                <w:kern w:val="0"/>
                <w:sz w:val="16"/>
                <w:szCs w:val="16"/>
              </w:rPr>
            </w:pPr>
            <w:r>
              <w:rPr>
                <w:rFonts w:hint="eastAsia" w:ascii="仿宋" w:eastAsia="仿宋" w:cs="仿宋"/>
                <w:kern w:val="0"/>
                <w:sz w:val="16"/>
                <w:szCs w:val="16"/>
              </w:rPr>
              <w:t>松鼠科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Sciuridae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21</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长尾黄鼠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Citellus</w:t>
            </w:r>
            <w:r>
              <w:rPr>
                <w:rFonts w:cs="Times New Roman"/>
                <w:i/>
                <w:iCs/>
                <w:spacing w:val="-4"/>
                <w:kern w:val="0"/>
                <w:sz w:val="16"/>
                <w:szCs w:val="16"/>
              </w:rPr>
              <w:t xml:space="preserve"> </w:t>
            </w:r>
            <w:r>
              <w:rPr>
                <w:rFonts w:cs="Times New Roman"/>
                <w:i/>
                <w:iCs/>
                <w:kern w:val="0"/>
                <w:sz w:val="16"/>
                <w:szCs w:val="16"/>
              </w:rPr>
              <w:t>undulates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北方型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22</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3"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花鼠</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Tamias</w:t>
            </w:r>
            <w:r>
              <w:rPr>
                <w:rFonts w:cs="Times New Roman"/>
                <w:i/>
                <w:iCs/>
                <w:spacing w:val="-5"/>
                <w:kern w:val="0"/>
                <w:sz w:val="16"/>
                <w:szCs w:val="16"/>
              </w:rPr>
              <w:t xml:space="preserve"> </w:t>
            </w:r>
            <w:r>
              <w:rPr>
                <w:rFonts w:cs="Times New Roman"/>
                <w:i/>
                <w:iCs/>
                <w:kern w:val="0"/>
                <w:sz w:val="16"/>
                <w:szCs w:val="16"/>
              </w:rPr>
              <w:t>sibiricus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7" w:firstLine="0" w:firstLineChars="0"/>
              <w:jc w:val="center"/>
              <w:rPr>
                <w:rFonts w:ascii="仿宋" w:eastAsia="仿宋" w:cs="仿宋"/>
                <w:kern w:val="0"/>
                <w:sz w:val="16"/>
                <w:szCs w:val="16"/>
              </w:rPr>
            </w:pPr>
            <w:r>
              <w:rPr>
                <w:rFonts w:hint="eastAsia" w:ascii="仿宋" w:eastAsia="仿宋" w:cs="仿宋"/>
                <w:kern w:val="0"/>
                <w:sz w:val="16"/>
                <w:szCs w:val="16"/>
              </w:rPr>
              <w:t>四</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仿宋" w:eastAsia="仿宋" w:cs="仿宋"/>
                <w:kern w:val="0"/>
                <w:sz w:val="16"/>
                <w:szCs w:val="16"/>
              </w:rPr>
            </w:pPr>
            <w:r>
              <w:rPr>
                <w:rFonts w:hint="eastAsia" w:ascii="仿宋" w:eastAsia="仿宋" w:cs="仿宋"/>
                <w:kern w:val="0"/>
                <w:sz w:val="16"/>
                <w:szCs w:val="16"/>
              </w:rPr>
              <w:t>兔形目</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Lagomorpha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24" w:firstLine="0" w:firstLineChars="0"/>
              <w:jc w:val="left"/>
              <w:rPr>
                <w:rFonts w:ascii="仿宋" w:eastAsia="仿宋" w:cs="仿宋"/>
                <w:kern w:val="0"/>
                <w:sz w:val="13"/>
                <w:szCs w:val="13"/>
              </w:rPr>
            </w:pPr>
            <w:r>
              <w:rPr>
                <w:rFonts w:hint="eastAsia" w:ascii="仿宋" w:eastAsia="仿宋" w:cs="仿宋"/>
                <w:kern w:val="0"/>
                <w:sz w:val="13"/>
                <w:szCs w:val="13"/>
              </w:rPr>
              <w:t>（十）</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left="443" w:right="434" w:firstLine="0" w:firstLineChars="0"/>
              <w:jc w:val="center"/>
              <w:rPr>
                <w:rFonts w:ascii="仿宋" w:eastAsia="仿宋" w:cs="仿宋"/>
                <w:kern w:val="0"/>
                <w:sz w:val="16"/>
                <w:szCs w:val="16"/>
              </w:rPr>
            </w:pPr>
            <w:r>
              <w:rPr>
                <w:rFonts w:hint="eastAsia" w:ascii="仿宋" w:eastAsia="仿宋" w:cs="仿宋"/>
                <w:kern w:val="0"/>
                <w:sz w:val="16"/>
                <w:szCs w:val="16"/>
              </w:rPr>
              <w:t>兔科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11" w:firstLine="0" w:firstLineChars="0"/>
              <w:jc w:val="center"/>
              <w:rPr>
                <w:rFonts w:cs="Times New Roman"/>
                <w:i/>
                <w:iCs/>
                <w:kern w:val="0"/>
                <w:sz w:val="16"/>
                <w:szCs w:val="16"/>
              </w:rPr>
            </w:pPr>
            <w:r>
              <w:rPr>
                <w:rFonts w:cs="Times New Roman"/>
                <w:i/>
                <w:iCs/>
                <w:kern w:val="0"/>
                <w:sz w:val="16"/>
                <w:szCs w:val="16"/>
              </w:rPr>
              <w:t>Leporidae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23</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草兔</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Lepus</w:t>
            </w:r>
            <w:r>
              <w:rPr>
                <w:rFonts w:cs="Times New Roman"/>
                <w:i/>
                <w:iCs/>
                <w:spacing w:val="-2"/>
                <w:kern w:val="0"/>
                <w:sz w:val="16"/>
                <w:szCs w:val="16"/>
              </w:rPr>
              <w:t xml:space="preserve"> </w:t>
            </w:r>
            <w:r>
              <w:rPr>
                <w:rFonts w:cs="Times New Roman"/>
                <w:i/>
                <w:iCs/>
                <w:kern w:val="0"/>
                <w:sz w:val="16"/>
                <w:szCs w:val="16"/>
              </w:rPr>
              <w:t>capensis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北方型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7" w:firstLine="0" w:firstLineChars="0"/>
              <w:jc w:val="center"/>
              <w:rPr>
                <w:rFonts w:ascii="仿宋" w:eastAsia="仿宋" w:cs="仿宋"/>
                <w:kern w:val="0"/>
                <w:sz w:val="16"/>
                <w:szCs w:val="16"/>
              </w:rPr>
            </w:pPr>
            <w:r>
              <w:rPr>
                <w:rFonts w:hint="eastAsia" w:ascii="仿宋" w:eastAsia="仿宋" w:cs="仿宋"/>
                <w:kern w:val="0"/>
                <w:sz w:val="16"/>
                <w:szCs w:val="16"/>
              </w:rPr>
              <w:t>五</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仿宋" w:eastAsia="仿宋" w:cs="仿宋"/>
                <w:kern w:val="0"/>
                <w:sz w:val="16"/>
                <w:szCs w:val="16"/>
              </w:rPr>
            </w:pPr>
            <w:r>
              <w:rPr>
                <w:rFonts w:hint="eastAsia" w:ascii="仿宋" w:eastAsia="仿宋" w:cs="仿宋"/>
                <w:kern w:val="0"/>
                <w:sz w:val="16"/>
                <w:szCs w:val="16"/>
              </w:rPr>
              <w:t>偶蹄目</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Artiodactyla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4" w:line="240" w:lineRule="auto"/>
              <w:ind w:firstLine="0" w:firstLineChars="0"/>
              <w:jc w:val="left"/>
              <w:rPr>
                <w:rFonts w:ascii="宋体" w:eastAsia="宋体" w:cs="宋体"/>
                <w:b/>
                <w:bCs/>
                <w:kern w:val="0"/>
                <w:sz w:val="13"/>
                <w:szCs w:val="13"/>
              </w:rPr>
            </w:pPr>
          </w:p>
          <w:p>
            <w:pPr>
              <w:kinsoku w:val="0"/>
              <w:overflowPunct w:val="0"/>
              <w:autoSpaceDE w:val="0"/>
              <w:autoSpaceDN w:val="0"/>
              <w:adjustRightInd w:val="0"/>
              <w:spacing w:line="240" w:lineRule="auto"/>
              <w:ind w:left="119" w:firstLine="0" w:firstLineChars="0"/>
              <w:jc w:val="left"/>
              <w:rPr>
                <w:rFonts w:ascii="仿宋" w:eastAsia="仿宋" w:cs="仿宋"/>
                <w:kern w:val="0"/>
                <w:sz w:val="10"/>
                <w:szCs w:val="10"/>
              </w:rPr>
            </w:pPr>
            <w:r>
              <w:rPr>
                <w:rFonts w:hint="eastAsia" w:ascii="仿宋" w:eastAsia="仿宋" w:cs="仿宋"/>
                <w:kern w:val="0"/>
                <w:sz w:val="10"/>
                <w:szCs w:val="10"/>
              </w:rPr>
              <w:t>（十一）</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right="434" w:firstLine="0" w:firstLineChars="0"/>
              <w:jc w:val="center"/>
              <w:rPr>
                <w:rFonts w:ascii="仿宋" w:eastAsia="仿宋" w:cs="仿宋"/>
                <w:kern w:val="0"/>
                <w:sz w:val="16"/>
                <w:szCs w:val="16"/>
              </w:rPr>
            </w:pPr>
            <w:r>
              <w:rPr>
                <w:rFonts w:hint="eastAsia" w:ascii="仿宋" w:eastAsia="仿宋" w:cs="仿宋"/>
                <w:kern w:val="0"/>
                <w:sz w:val="16"/>
                <w:szCs w:val="16"/>
              </w:rPr>
              <w:t>猪科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Suidae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4" w:right="95" w:firstLine="0" w:firstLineChars="0"/>
              <w:jc w:val="center"/>
              <w:rPr>
                <w:rFonts w:cs="Times New Roman"/>
                <w:kern w:val="0"/>
                <w:sz w:val="16"/>
                <w:szCs w:val="16"/>
              </w:rPr>
            </w:pPr>
            <w:r>
              <w:rPr>
                <w:rFonts w:cs="Times New Roman"/>
                <w:kern w:val="0"/>
                <w:sz w:val="16"/>
                <w:szCs w:val="16"/>
              </w:rPr>
              <w:t>24</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仿宋" w:eastAsia="仿宋" w:cs="仿宋"/>
                <w:kern w:val="0"/>
                <w:sz w:val="16"/>
                <w:szCs w:val="16"/>
              </w:rPr>
            </w:pPr>
            <w:r>
              <w:rPr>
                <w:rFonts w:hint="eastAsia" w:ascii="仿宋" w:eastAsia="仿宋" w:cs="仿宋"/>
                <w:kern w:val="0"/>
                <w:sz w:val="16"/>
                <w:szCs w:val="16"/>
              </w:rPr>
              <w:t>野猪</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Sus</w:t>
            </w:r>
            <w:r>
              <w:rPr>
                <w:rFonts w:cs="Times New Roman"/>
                <w:i/>
                <w:iCs/>
                <w:spacing w:val="-4"/>
                <w:kern w:val="0"/>
                <w:sz w:val="16"/>
                <w:szCs w:val="16"/>
              </w:rPr>
              <w:t xml:space="preserve"> </w:t>
            </w:r>
            <w:r>
              <w:rPr>
                <w:rFonts w:cs="Times New Roman"/>
                <w:i/>
                <w:iCs/>
                <w:kern w:val="0"/>
                <w:sz w:val="16"/>
                <w:szCs w:val="16"/>
              </w:rPr>
              <w:t>scrofa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仿宋" w:eastAsia="仿宋" w:cs="仿宋"/>
                <w:kern w:val="0"/>
                <w:sz w:val="16"/>
                <w:szCs w:val="16"/>
              </w:rPr>
            </w:pPr>
            <w:r>
              <w:rPr>
                <w:rFonts w:hint="eastAsia" w:ascii="仿宋" w:eastAsia="仿宋" w:cs="仿宋"/>
                <w:kern w:val="0"/>
                <w:sz w:val="16"/>
                <w:szCs w:val="16"/>
              </w:rPr>
              <w:t>古北型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4"/>
                <w:szCs w:val="14"/>
              </w:rPr>
            </w:pPr>
          </w:p>
        </w:tc>
      </w:tr>
      <w:tr>
        <w:tblPrEx>
          <w:tblCellMar>
            <w:top w:w="0" w:type="dxa"/>
            <w:left w:w="0" w:type="dxa"/>
            <w:bottom w:w="0" w:type="dxa"/>
            <w:right w:w="0" w:type="dxa"/>
          </w:tblCellMar>
        </w:tblPrEx>
        <w:trPr>
          <w:trHeight w:val="470" w:hRule="atLeast"/>
        </w:trPr>
        <w:tc>
          <w:tcPr>
            <w:tcW w:w="9003" w:type="dxa"/>
            <w:gridSpan w:val="10"/>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7" w:line="240" w:lineRule="auto"/>
              <w:ind w:firstLine="0" w:firstLineChars="0"/>
              <w:jc w:val="left"/>
              <w:rPr>
                <w:rFonts w:ascii="宋体" w:eastAsia="宋体" w:cs="宋体"/>
                <w:b/>
                <w:bCs/>
                <w:kern w:val="0"/>
                <w:sz w:val="10"/>
                <w:szCs w:val="10"/>
              </w:rPr>
            </w:pPr>
          </w:p>
          <w:p>
            <w:pPr>
              <w:kinsoku w:val="0"/>
              <w:overflowPunct w:val="0"/>
              <w:autoSpaceDE w:val="0"/>
              <w:autoSpaceDN w:val="0"/>
              <w:adjustRightInd w:val="0"/>
              <w:spacing w:line="240" w:lineRule="auto"/>
              <w:ind w:left="3252" w:right="3113" w:firstLine="0" w:firstLineChars="0"/>
              <w:jc w:val="center"/>
              <w:rPr>
                <w:rFonts w:ascii="等线" w:eastAsia="等线" w:cs="等线"/>
                <w:w w:val="95"/>
                <w:kern w:val="0"/>
                <w:sz w:val="13"/>
                <w:szCs w:val="13"/>
              </w:rPr>
            </w:pPr>
            <w:r>
              <w:rPr>
                <w:rFonts w:hint="eastAsia" w:ascii="等线" w:eastAsia="等线" w:cs="等线"/>
                <w:w w:val="95"/>
                <w:kern w:val="0"/>
                <w:sz w:val="13"/>
                <w:szCs w:val="13"/>
              </w:rPr>
              <w:t>注：数量等级：</w:t>
            </w:r>
            <w:r>
              <w:rPr>
                <w:rFonts w:eastAsia="等线" w:cs="Times New Roman"/>
                <w:w w:val="95"/>
                <w:kern w:val="0"/>
                <w:sz w:val="13"/>
                <w:szCs w:val="13"/>
              </w:rPr>
              <w:t>+</w:t>
            </w:r>
            <w:r>
              <w:rPr>
                <w:rFonts w:hint="eastAsia" w:ascii="等线" w:eastAsia="等线" w:cs="等线"/>
                <w:w w:val="95"/>
                <w:kern w:val="0"/>
                <w:sz w:val="13"/>
                <w:szCs w:val="13"/>
              </w:rPr>
              <w:t>（常见种），</w:t>
            </w:r>
            <w:r>
              <w:rPr>
                <w:rFonts w:eastAsia="等线" w:cs="Times New Roman"/>
                <w:w w:val="95"/>
                <w:kern w:val="0"/>
                <w:sz w:val="13"/>
                <w:szCs w:val="13"/>
              </w:rPr>
              <w:t>-</w:t>
            </w:r>
            <w:r>
              <w:rPr>
                <w:rFonts w:hint="eastAsia" w:ascii="等线" w:eastAsia="等线" w:cs="等线"/>
                <w:w w:val="95"/>
                <w:kern w:val="0"/>
                <w:sz w:val="13"/>
                <w:szCs w:val="13"/>
              </w:rPr>
              <w:t>（少见种）。</w:t>
            </w:r>
          </w:p>
        </w:tc>
      </w:tr>
    </w:tbl>
    <w:p>
      <w:pPr>
        <w:autoSpaceDE w:val="0"/>
        <w:autoSpaceDN w:val="0"/>
        <w:adjustRightInd w:val="0"/>
        <w:spacing w:line="240" w:lineRule="auto"/>
        <w:ind w:firstLine="0" w:firstLineChars="0"/>
        <w:jc w:val="left"/>
        <w:rPr>
          <w:rFonts w:ascii="宋体" w:eastAsia="宋体" w:cs="宋体"/>
          <w:b/>
          <w:bCs/>
          <w:kern w:val="0"/>
          <w:szCs w:val="24"/>
        </w:rPr>
        <w:sectPr>
          <w:pgSz w:w="11910" w:h="16840"/>
          <w:pgMar w:top="1420" w:right="980" w:bottom="280" w:left="1680" w:header="720" w:footer="720" w:gutter="0"/>
          <w:cols w:space="720" w:num="1"/>
        </w:sectPr>
      </w:pPr>
    </w:p>
    <w:p>
      <w:pPr>
        <w:pStyle w:val="3"/>
        <w:spacing w:before="120" w:beforeLines="50" w:after="120" w:afterLines="50" w:line="360" w:lineRule="auto"/>
        <w:ind w:firstLine="643"/>
        <w:jc w:val="left"/>
        <w:rPr>
          <w:rFonts w:ascii="Times New Roman" w:hAnsi="Times New Roman"/>
        </w:rPr>
      </w:pPr>
      <w:bookmarkStart w:id="180" w:name="_Toc130121706"/>
      <w:r>
        <w:rPr>
          <w:rFonts w:hint="eastAsia" w:ascii="Times New Roman" w:hAnsi="Times New Roman"/>
        </w:rPr>
        <w:t>附录4 玛纳斯国家湿地公园爬行动物分布名录</w:t>
      </w:r>
      <w:bookmarkEnd w:id="180"/>
    </w:p>
    <w:tbl>
      <w:tblPr>
        <w:tblStyle w:val="25"/>
        <w:tblW w:w="9003" w:type="dxa"/>
        <w:tblInd w:w="130" w:type="dxa"/>
        <w:tblLayout w:type="fixed"/>
        <w:tblCellMar>
          <w:top w:w="0" w:type="dxa"/>
          <w:left w:w="0" w:type="dxa"/>
          <w:bottom w:w="0" w:type="dxa"/>
          <w:right w:w="0" w:type="dxa"/>
        </w:tblCellMar>
      </w:tblPr>
      <w:tblGrid>
        <w:gridCol w:w="643"/>
        <w:gridCol w:w="1368"/>
        <w:gridCol w:w="2400"/>
        <w:gridCol w:w="696"/>
        <w:gridCol w:w="799"/>
        <w:gridCol w:w="593"/>
        <w:gridCol w:w="572"/>
        <w:gridCol w:w="564"/>
        <w:gridCol w:w="679"/>
        <w:gridCol w:w="689"/>
      </w:tblGrid>
      <w:tr>
        <w:tblPrEx>
          <w:tblCellMar>
            <w:top w:w="0" w:type="dxa"/>
            <w:left w:w="0" w:type="dxa"/>
            <w:bottom w:w="0" w:type="dxa"/>
            <w:right w:w="0" w:type="dxa"/>
          </w:tblCellMar>
        </w:tblPrEx>
        <w:trPr>
          <w:trHeight w:val="1403"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104" w:right="95" w:firstLine="0" w:firstLineChars="0"/>
              <w:jc w:val="center"/>
              <w:rPr>
                <w:rFonts w:ascii="等线" w:eastAsia="等线" w:cs="等线"/>
                <w:b/>
                <w:bCs/>
                <w:kern w:val="0"/>
                <w:sz w:val="15"/>
                <w:szCs w:val="15"/>
              </w:rPr>
            </w:pPr>
            <w:r>
              <w:rPr>
                <w:rFonts w:hint="eastAsia" w:ascii="等线" w:eastAsia="等线" w:cs="等线"/>
                <w:b/>
                <w:bCs/>
                <w:kern w:val="0"/>
                <w:sz w:val="15"/>
                <w:szCs w:val="15"/>
              </w:rPr>
              <w:t>序号</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443" w:right="434" w:firstLine="0" w:firstLineChars="0"/>
              <w:jc w:val="center"/>
              <w:rPr>
                <w:rFonts w:ascii="等线" w:eastAsia="等线" w:cs="等线"/>
                <w:b/>
                <w:bCs/>
                <w:kern w:val="0"/>
                <w:sz w:val="15"/>
                <w:szCs w:val="15"/>
              </w:rPr>
            </w:pPr>
            <w:r>
              <w:rPr>
                <w:rFonts w:hint="eastAsia" w:ascii="等线" w:eastAsia="等线" w:cs="等线"/>
                <w:b/>
                <w:bCs/>
                <w:kern w:val="0"/>
                <w:sz w:val="15"/>
                <w:szCs w:val="15"/>
              </w:rPr>
              <w:t>种名</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121" w:right="110" w:firstLine="0" w:firstLineChars="0"/>
              <w:jc w:val="center"/>
              <w:rPr>
                <w:rFonts w:ascii="等线" w:eastAsia="等线" w:cs="等线"/>
                <w:b/>
                <w:bCs/>
                <w:kern w:val="0"/>
                <w:sz w:val="15"/>
                <w:szCs w:val="15"/>
              </w:rPr>
            </w:pPr>
            <w:r>
              <w:rPr>
                <w:rFonts w:hint="eastAsia" w:ascii="等线" w:eastAsia="等线" w:cs="等线"/>
                <w:b/>
                <w:bCs/>
                <w:kern w:val="0"/>
                <w:sz w:val="15"/>
                <w:szCs w:val="15"/>
              </w:rPr>
              <w:t>拉丁名</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87" w:right="76" w:firstLine="0" w:firstLineChars="0"/>
              <w:jc w:val="center"/>
              <w:rPr>
                <w:rFonts w:ascii="等线" w:eastAsia="等线" w:cs="等线"/>
                <w:b/>
                <w:bCs/>
                <w:kern w:val="0"/>
                <w:sz w:val="15"/>
                <w:szCs w:val="15"/>
              </w:rPr>
            </w:pPr>
            <w:r>
              <w:rPr>
                <w:rFonts w:hint="eastAsia" w:ascii="等线" w:eastAsia="等线" w:cs="等线"/>
                <w:b/>
                <w:bCs/>
                <w:kern w:val="0"/>
                <w:sz w:val="15"/>
                <w:szCs w:val="15"/>
              </w:rPr>
              <w:t>分布型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before="11"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496" w:lineRule="auto"/>
              <w:ind w:left="250" w:right="234" w:firstLine="0" w:firstLineChars="0"/>
              <w:jc w:val="left"/>
              <w:rPr>
                <w:rFonts w:ascii="等线" w:eastAsia="等线" w:cs="等线"/>
                <w:b/>
                <w:bCs/>
                <w:spacing w:val="-1"/>
                <w:kern w:val="0"/>
                <w:sz w:val="15"/>
                <w:szCs w:val="15"/>
              </w:rPr>
            </w:pPr>
            <w:r>
              <w:rPr>
                <w:rFonts w:hint="eastAsia" w:ascii="等线" w:eastAsia="等线" w:cs="等线"/>
                <w:b/>
                <w:bCs/>
                <w:spacing w:val="-1"/>
                <w:kern w:val="0"/>
                <w:sz w:val="15"/>
                <w:szCs w:val="15"/>
              </w:rPr>
              <w:t>数量等级</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47" w:right="131" w:firstLine="0" w:firstLineChars="0"/>
              <w:jc w:val="left"/>
              <w:rPr>
                <w:rFonts w:ascii="等线" w:eastAsia="等线" w:cs="等线"/>
                <w:b/>
                <w:bCs/>
                <w:spacing w:val="-8"/>
                <w:kern w:val="0"/>
                <w:sz w:val="15"/>
                <w:szCs w:val="15"/>
              </w:rPr>
            </w:pPr>
            <w:r>
              <w:rPr>
                <w:rFonts w:hint="eastAsia" w:ascii="等线" w:eastAsia="等线" w:cs="等线"/>
                <w:b/>
                <w:bCs/>
                <w:spacing w:val="-1"/>
                <w:kern w:val="0"/>
                <w:sz w:val="15"/>
                <w:szCs w:val="15"/>
              </w:rPr>
              <w:t>中国</w:t>
            </w:r>
            <w:r>
              <w:rPr>
                <w:rFonts w:hint="eastAsia" w:ascii="等线" w:eastAsia="等线" w:cs="等线"/>
                <w:b/>
                <w:bCs/>
                <w:spacing w:val="-8"/>
                <w:kern w:val="0"/>
                <w:sz w:val="15"/>
                <w:szCs w:val="15"/>
              </w:rPr>
              <w:t>保护</w:t>
            </w:r>
          </w:p>
          <w:p>
            <w:pPr>
              <w:kinsoku w:val="0"/>
              <w:overflowPunct w:val="0"/>
              <w:autoSpaceDE w:val="0"/>
              <w:autoSpaceDN w:val="0"/>
              <w:adjustRightInd w:val="0"/>
              <w:spacing w:line="240" w:lineRule="auto"/>
              <w:ind w:left="147" w:firstLine="0" w:firstLineChars="0"/>
              <w:jc w:val="left"/>
              <w:rPr>
                <w:rFonts w:ascii="等线" w:eastAsia="等线" w:cs="等线"/>
                <w:b/>
                <w:bCs/>
                <w:kern w:val="0"/>
                <w:sz w:val="15"/>
                <w:szCs w:val="15"/>
              </w:rPr>
            </w:pPr>
            <w:r>
              <w:rPr>
                <w:rFonts w:hint="eastAsia" w:ascii="等线" w:eastAsia="等线" w:cs="等线"/>
                <w:b/>
                <w:bCs/>
                <w:kern w:val="0"/>
                <w:sz w:val="15"/>
                <w:szCs w:val="15"/>
              </w:rPr>
              <w:t>级别</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35" w:right="122" w:firstLine="0" w:firstLineChars="0"/>
              <w:jc w:val="left"/>
              <w:rPr>
                <w:rFonts w:ascii="等线" w:eastAsia="等线" w:cs="等线"/>
                <w:b/>
                <w:bCs/>
                <w:spacing w:val="-8"/>
                <w:kern w:val="0"/>
                <w:sz w:val="15"/>
                <w:szCs w:val="15"/>
              </w:rPr>
            </w:pPr>
            <w:r>
              <w:rPr>
                <w:rFonts w:hint="eastAsia" w:ascii="等线" w:eastAsia="等线" w:cs="等线"/>
                <w:b/>
                <w:bCs/>
                <w:spacing w:val="-1"/>
                <w:kern w:val="0"/>
                <w:sz w:val="15"/>
                <w:szCs w:val="15"/>
              </w:rPr>
              <w:t>新疆</w:t>
            </w:r>
            <w:r>
              <w:rPr>
                <w:rFonts w:hint="eastAsia" w:ascii="等线" w:eastAsia="等线" w:cs="等线"/>
                <w:b/>
                <w:bCs/>
                <w:spacing w:val="-8"/>
                <w:kern w:val="0"/>
                <w:sz w:val="15"/>
                <w:szCs w:val="15"/>
              </w:rPr>
              <w:t>保护</w:t>
            </w:r>
          </w:p>
          <w:p>
            <w:pPr>
              <w:kinsoku w:val="0"/>
              <w:overflowPunct w:val="0"/>
              <w:autoSpaceDE w:val="0"/>
              <w:autoSpaceDN w:val="0"/>
              <w:adjustRightInd w:val="0"/>
              <w:spacing w:line="240" w:lineRule="auto"/>
              <w:ind w:left="135" w:firstLine="0" w:firstLineChars="0"/>
              <w:jc w:val="left"/>
              <w:rPr>
                <w:rFonts w:ascii="等线" w:eastAsia="等线" w:cs="等线"/>
                <w:b/>
                <w:bCs/>
                <w:kern w:val="0"/>
                <w:sz w:val="15"/>
                <w:szCs w:val="15"/>
              </w:rPr>
            </w:pPr>
            <w:r>
              <w:rPr>
                <w:rFonts w:hint="eastAsia" w:ascii="等线" w:eastAsia="等线" w:cs="等线"/>
                <w:b/>
                <w:bCs/>
                <w:kern w:val="0"/>
                <w:sz w:val="15"/>
                <w:szCs w:val="15"/>
              </w:rPr>
              <w:t>级别</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30" w:right="119" w:firstLine="0" w:firstLineChars="0"/>
              <w:jc w:val="center"/>
              <w:rPr>
                <w:rFonts w:ascii="等线" w:eastAsia="等线" w:cs="等线"/>
                <w:b/>
                <w:bCs/>
                <w:spacing w:val="-1"/>
                <w:kern w:val="0"/>
                <w:sz w:val="15"/>
                <w:szCs w:val="15"/>
              </w:rPr>
            </w:pPr>
            <w:r>
              <w:rPr>
                <w:rFonts w:hint="eastAsia" w:ascii="等线" w:eastAsia="等线" w:cs="等线"/>
                <w:b/>
                <w:bCs/>
                <w:spacing w:val="-1"/>
                <w:kern w:val="0"/>
                <w:sz w:val="15"/>
                <w:szCs w:val="15"/>
              </w:rPr>
              <w:t>中国红皮</w:t>
            </w:r>
          </w:p>
          <w:p>
            <w:pPr>
              <w:kinsoku w:val="0"/>
              <w:overflowPunct w:val="0"/>
              <w:autoSpaceDE w:val="0"/>
              <w:autoSpaceDN w:val="0"/>
              <w:adjustRightInd w:val="0"/>
              <w:spacing w:line="240" w:lineRule="auto"/>
              <w:ind w:left="6" w:firstLine="0" w:firstLineChars="0"/>
              <w:jc w:val="center"/>
              <w:rPr>
                <w:rFonts w:ascii="等线" w:eastAsia="等线" w:cs="等线"/>
                <w:b/>
                <w:bCs/>
                <w:kern w:val="0"/>
                <w:sz w:val="15"/>
                <w:szCs w:val="15"/>
              </w:rPr>
            </w:pPr>
            <w:r>
              <w:rPr>
                <w:rFonts w:hint="eastAsia" w:ascii="等线" w:eastAsia="等线" w:cs="等线"/>
                <w:b/>
                <w:bCs/>
                <w:kern w:val="0"/>
                <w:sz w:val="15"/>
                <w:szCs w:val="15"/>
              </w:rPr>
              <w:t>书</w:t>
            </w: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left="147" w:firstLine="0" w:firstLineChars="0"/>
              <w:jc w:val="left"/>
              <w:rPr>
                <w:rFonts w:cs="Times New Roman"/>
                <w:b/>
                <w:bCs/>
                <w:kern w:val="0"/>
                <w:sz w:val="15"/>
                <w:szCs w:val="15"/>
              </w:rPr>
            </w:pPr>
            <w:r>
              <w:rPr>
                <w:rFonts w:cs="Times New Roman"/>
                <w:b/>
                <w:bCs/>
                <w:kern w:val="0"/>
                <w:sz w:val="15"/>
                <w:szCs w:val="15"/>
              </w:rPr>
              <w:t>IUCN</w:t>
            </w: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left="118" w:firstLine="0" w:firstLineChars="0"/>
              <w:jc w:val="left"/>
              <w:rPr>
                <w:rFonts w:cs="Times New Roman"/>
                <w:b/>
                <w:bCs/>
                <w:kern w:val="0"/>
                <w:sz w:val="15"/>
                <w:szCs w:val="15"/>
              </w:rPr>
            </w:pPr>
            <w:r>
              <w:rPr>
                <w:rFonts w:cs="Times New Roman"/>
                <w:b/>
                <w:bCs/>
                <w:kern w:val="0"/>
                <w:sz w:val="15"/>
                <w:szCs w:val="15"/>
              </w:rPr>
              <w:t>CITES</w:t>
            </w: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7" w:firstLine="0" w:firstLineChars="0"/>
              <w:jc w:val="center"/>
              <w:rPr>
                <w:rFonts w:ascii="宋体" w:eastAsia="宋体" w:cs="宋体"/>
                <w:kern w:val="0"/>
                <w:sz w:val="16"/>
                <w:szCs w:val="16"/>
              </w:rPr>
            </w:pPr>
            <w:r>
              <w:rPr>
                <w:rFonts w:hint="eastAsia" w:ascii="宋体" w:eastAsia="宋体" w:cs="宋体"/>
                <w:kern w:val="0"/>
                <w:sz w:val="16"/>
                <w:szCs w:val="16"/>
              </w:rPr>
              <w:t>一</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107" w:firstLine="0" w:firstLineChars="0"/>
              <w:jc w:val="left"/>
              <w:rPr>
                <w:rFonts w:ascii="宋体" w:eastAsia="宋体" w:cs="宋体"/>
                <w:kern w:val="0"/>
                <w:sz w:val="16"/>
                <w:szCs w:val="16"/>
              </w:rPr>
            </w:pPr>
            <w:r>
              <w:rPr>
                <w:rFonts w:hint="eastAsia" w:ascii="宋体" w:eastAsia="宋体" w:cs="宋体"/>
                <w:kern w:val="0"/>
                <w:sz w:val="16"/>
                <w:szCs w:val="16"/>
              </w:rPr>
              <w:t>有鳞目</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Squamata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宋体" w:eastAsia="宋体" w:cs="宋体"/>
                <w:kern w:val="0"/>
                <w:sz w:val="13"/>
                <w:szCs w:val="13"/>
              </w:rPr>
            </w:pPr>
            <w:r>
              <w:rPr>
                <w:rFonts w:hint="eastAsia" w:ascii="宋体" w:eastAsia="宋体" w:cs="宋体"/>
                <w:kern w:val="0"/>
                <w:sz w:val="13"/>
                <w:szCs w:val="13"/>
              </w:rPr>
              <w:t>（一）</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宋体" w:eastAsia="宋体" w:cs="宋体"/>
                <w:kern w:val="0"/>
                <w:sz w:val="16"/>
                <w:szCs w:val="16"/>
              </w:rPr>
            </w:pPr>
            <w:r>
              <w:rPr>
                <w:rFonts w:hint="eastAsia" w:ascii="宋体" w:eastAsia="宋体" w:cs="宋体"/>
                <w:kern w:val="0"/>
                <w:sz w:val="16"/>
                <w:szCs w:val="16"/>
              </w:rPr>
              <w:t>蜥蜴科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Lacertidae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8" w:firstLine="0" w:firstLineChars="0"/>
              <w:jc w:val="center"/>
              <w:rPr>
                <w:rFonts w:cs="Times New Roman"/>
                <w:kern w:val="0"/>
                <w:sz w:val="16"/>
                <w:szCs w:val="16"/>
              </w:rPr>
            </w:pPr>
            <w:r>
              <w:rPr>
                <w:rFonts w:cs="Times New Roman"/>
                <w:kern w:val="0"/>
                <w:sz w:val="16"/>
                <w:szCs w:val="16"/>
              </w:rPr>
              <w:t>1</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right="93" w:firstLine="0" w:firstLineChars="0"/>
              <w:jc w:val="right"/>
              <w:rPr>
                <w:rFonts w:ascii="宋体" w:eastAsia="宋体" w:cs="宋体"/>
                <w:kern w:val="0"/>
                <w:sz w:val="16"/>
                <w:szCs w:val="16"/>
              </w:rPr>
            </w:pPr>
            <w:r>
              <w:rPr>
                <w:rFonts w:hint="eastAsia" w:ascii="宋体" w:eastAsia="宋体" w:cs="宋体"/>
                <w:kern w:val="0"/>
                <w:sz w:val="16"/>
                <w:szCs w:val="16"/>
              </w:rPr>
              <w:t>快步麻蜥</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09" w:firstLine="0" w:firstLineChars="0"/>
              <w:jc w:val="center"/>
              <w:rPr>
                <w:rFonts w:cs="Times New Roman"/>
                <w:i/>
                <w:iCs/>
                <w:kern w:val="0"/>
                <w:sz w:val="16"/>
                <w:szCs w:val="16"/>
              </w:rPr>
            </w:pPr>
            <w:r>
              <w:rPr>
                <w:rFonts w:cs="Times New Roman"/>
                <w:i/>
                <w:iCs/>
                <w:kern w:val="0"/>
                <w:sz w:val="16"/>
                <w:szCs w:val="16"/>
              </w:rPr>
              <w:t>Eremicas</w:t>
            </w:r>
            <w:r>
              <w:rPr>
                <w:rFonts w:cs="Times New Roman"/>
                <w:i/>
                <w:iCs/>
                <w:spacing w:val="-3"/>
                <w:kern w:val="0"/>
                <w:sz w:val="16"/>
                <w:szCs w:val="16"/>
              </w:rPr>
              <w:t xml:space="preserve"> </w:t>
            </w:r>
            <w:r>
              <w:rPr>
                <w:rFonts w:cs="Times New Roman"/>
                <w:i/>
                <w:iCs/>
                <w:kern w:val="0"/>
                <w:sz w:val="16"/>
                <w:szCs w:val="16"/>
              </w:rPr>
              <w:t>velox</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5"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宋体" w:eastAsia="宋体" w:cs="宋体"/>
                <w:kern w:val="0"/>
                <w:sz w:val="13"/>
                <w:szCs w:val="13"/>
              </w:rPr>
            </w:pPr>
            <w:r>
              <w:rPr>
                <w:rFonts w:hint="eastAsia" w:ascii="宋体" w:eastAsia="宋体" w:cs="宋体"/>
                <w:kern w:val="0"/>
                <w:sz w:val="13"/>
                <w:szCs w:val="13"/>
              </w:rPr>
              <w:t>（二）</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宋体" w:eastAsia="宋体" w:cs="宋体"/>
                <w:kern w:val="0"/>
                <w:sz w:val="16"/>
                <w:szCs w:val="16"/>
              </w:rPr>
            </w:pPr>
            <w:r>
              <w:rPr>
                <w:rFonts w:hint="eastAsia" w:ascii="宋体" w:eastAsia="宋体" w:cs="宋体"/>
                <w:kern w:val="0"/>
                <w:sz w:val="16"/>
                <w:szCs w:val="16"/>
              </w:rPr>
              <w:t>壁虎科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Gekkonidae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8"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4" w:line="240" w:lineRule="auto"/>
              <w:ind w:left="8" w:firstLine="0" w:firstLineChars="0"/>
              <w:jc w:val="center"/>
              <w:rPr>
                <w:rFonts w:cs="Times New Roman"/>
                <w:kern w:val="0"/>
                <w:sz w:val="16"/>
                <w:szCs w:val="16"/>
              </w:rPr>
            </w:pPr>
            <w:r>
              <w:rPr>
                <w:rFonts w:cs="Times New Roman"/>
                <w:kern w:val="0"/>
                <w:sz w:val="16"/>
                <w:szCs w:val="16"/>
              </w:rPr>
              <w:t>2</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3" w:line="240" w:lineRule="auto"/>
              <w:ind w:right="93" w:firstLine="0" w:firstLineChars="0"/>
              <w:jc w:val="right"/>
              <w:rPr>
                <w:rFonts w:ascii="宋体" w:eastAsia="宋体" w:cs="宋体"/>
                <w:kern w:val="0"/>
                <w:sz w:val="16"/>
                <w:szCs w:val="16"/>
              </w:rPr>
            </w:pPr>
            <w:r>
              <w:rPr>
                <w:rFonts w:hint="eastAsia" w:ascii="宋体" w:eastAsia="宋体" w:cs="宋体"/>
                <w:kern w:val="0"/>
                <w:sz w:val="16"/>
                <w:szCs w:val="16"/>
              </w:rPr>
              <w:t>隐耳漠虎</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4" w:line="240" w:lineRule="auto"/>
              <w:ind w:left="121" w:right="111" w:firstLine="0" w:firstLineChars="0"/>
              <w:jc w:val="center"/>
              <w:rPr>
                <w:rFonts w:cs="Times New Roman"/>
                <w:i/>
                <w:iCs/>
                <w:kern w:val="0"/>
                <w:sz w:val="16"/>
                <w:szCs w:val="16"/>
              </w:rPr>
            </w:pPr>
            <w:r>
              <w:rPr>
                <w:rFonts w:cs="Times New Roman"/>
                <w:i/>
                <w:iCs/>
                <w:kern w:val="0"/>
                <w:sz w:val="16"/>
                <w:szCs w:val="16"/>
              </w:rPr>
              <w:t>Alsophylax</w:t>
            </w:r>
            <w:r>
              <w:rPr>
                <w:rFonts w:cs="Times New Roman"/>
                <w:i/>
                <w:iCs/>
                <w:spacing w:val="-4"/>
                <w:kern w:val="0"/>
                <w:sz w:val="16"/>
                <w:szCs w:val="16"/>
              </w:rPr>
              <w:t xml:space="preserve"> </w:t>
            </w:r>
            <w:r>
              <w:rPr>
                <w:rFonts w:cs="Times New Roman"/>
                <w:i/>
                <w:iCs/>
                <w:kern w:val="0"/>
                <w:sz w:val="16"/>
                <w:szCs w:val="16"/>
              </w:rPr>
              <w:t>pipiens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3"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4"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4"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3</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107" w:firstLine="0" w:firstLineChars="0"/>
              <w:jc w:val="left"/>
              <w:rPr>
                <w:rFonts w:ascii="宋体" w:eastAsia="宋体" w:cs="宋体"/>
                <w:kern w:val="0"/>
                <w:sz w:val="16"/>
                <w:szCs w:val="16"/>
              </w:rPr>
            </w:pPr>
            <w:r>
              <w:rPr>
                <w:rFonts w:hint="eastAsia" w:ascii="宋体" w:eastAsia="宋体" w:cs="宋体"/>
                <w:kern w:val="0"/>
                <w:sz w:val="16"/>
                <w:szCs w:val="16"/>
              </w:rPr>
              <w:t>灰弯脚虎</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Cyrtodactylus</w:t>
            </w:r>
            <w:r>
              <w:rPr>
                <w:rFonts w:cs="Times New Roman"/>
                <w:i/>
                <w:iCs/>
                <w:spacing w:val="-3"/>
                <w:kern w:val="0"/>
                <w:sz w:val="16"/>
                <w:szCs w:val="16"/>
              </w:rPr>
              <w:t xml:space="preserve"> </w:t>
            </w:r>
            <w:r>
              <w:rPr>
                <w:rFonts w:cs="Times New Roman"/>
                <w:i/>
                <w:iCs/>
                <w:kern w:val="0"/>
                <w:sz w:val="16"/>
                <w:szCs w:val="16"/>
              </w:rPr>
              <w:t>russowi</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4</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362" w:firstLine="0" w:firstLineChars="0"/>
              <w:jc w:val="left"/>
              <w:rPr>
                <w:rFonts w:ascii="宋体" w:eastAsia="宋体" w:cs="宋体"/>
                <w:kern w:val="0"/>
                <w:sz w:val="16"/>
                <w:szCs w:val="16"/>
              </w:rPr>
            </w:pPr>
            <w:r>
              <w:rPr>
                <w:rFonts w:hint="eastAsia" w:ascii="宋体" w:eastAsia="宋体" w:cs="宋体"/>
                <w:kern w:val="0"/>
                <w:sz w:val="16"/>
                <w:szCs w:val="16"/>
              </w:rPr>
              <w:t>新疆漠虎</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Alsophylax</w:t>
            </w:r>
            <w:r>
              <w:rPr>
                <w:rFonts w:cs="Times New Roman"/>
                <w:i/>
                <w:iCs/>
                <w:spacing w:val="-5"/>
                <w:kern w:val="0"/>
                <w:sz w:val="16"/>
                <w:szCs w:val="16"/>
              </w:rPr>
              <w:t xml:space="preserve"> </w:t>
            </w:r>
            <w:r>
              <w:rPr>
                <w:rFonts w:cs="Times New Roman"/>
                <w:i/>
                <w:iCs/>
                <w:kern w:val="0"/>
                <w:sz w:val="16"/>
                <w:szCs w:val="16"/>
              </w:rPr>
              <w:t>przewalskii</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宋体" w:eastAsia="宋体" w:cs="宋体"/>
                <w:kern w:val="0"/>
                <w:sz w:val="13"/>
                <w:szCs w:val="13"/>
              </w:rPr>
            </w:pPr>
            <w:r>
              <w:rPr>
                <w:rFonts w:hint="eastAsia" w:ascii="宋体" w:eastAsia="宋体" w:cs="宋体"/>
                <w:kern w:val="0"/>
                <w:sz w:val="13"/>
                <w:szCs w:val="13"/>
              </w:rPr>
              <w:t>（三）</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right="434" w:firstLine="0" w:firstLineChars="0"/>
              <w:jc w:val="center"/>
              <w:rPr>
                <w:rFonts w:ascii="宋体" w:eastAsia="宋体" w:cs="宋体"/>
                <w:kern w:val="0"/>
                <w:sz w:val="16"/>
                <w:szCs w:val="16"/>
              </w:rPr>
            </w:pPr>
            <w:r>
              <w:rPr>
                <w:rFonts w:hint="eastAsia" w:ascii="宋体" w:eastAsia="宋体" w:cs="宋体"/>
                <w:kern w:val="0"/>
                <w:sz w:val="16"/>
                <w:szCs w:val="16"/>
              </w:rPr>
              <w:t>蟒科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Boidae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8" w:firstLine="0" w:firstLineChars="0"/>
              <w:jc w:val="center"/>
              <w:rPr>
                <w:rFonts w:cs="Times New Roman"/>
                <w:kern w:val="0"/>
                <w:sz w:val="16"/>
                <w:szCs w:val="16"/>
              </w:rPr>
            </w:pPr>
            <w:r>
              <w:rPr>
                <w:rFonts w:cs="Times New Roman"/>
                <w:kern w:val="0"/>
                <w:sz w:val="16"/>
                <w:szCs w:val="16"/>
              </w:rPr>
              <w:t>5</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left="362" w:firstLine="0" w:firstLineChars="0"/>
              <w:jc w:val="left"/>
              <w:rPr>
                <w:rFonts w:ascii="宋体" w:eastAsia="宋体" w:cs="宋体"/>
                <w:kern w:val="0"/>
                <w:sz w:val="16"/>
                <w:szCs w:val="16"/>
              </w:rPr>
            </w:pPr>
            <w:r>
              <w:rPr>
                <w:rFonts w:hint="eastAsia" w:ascii="宋体" w:eastAsia="宋体" w:cs="宋体"/>
                <w:kern w:val="0"/>
                <w:sz w:val="16"/>
                <w:szCs w:val="16"/>
              </w:rPr>
              <w:t>东方沙蟒</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11" w:firstLine="0" w:firstLineChars="0"/>
              <w:jc w:val="center"/>
              <w:rPr>
                <w:rFonts w:cs="Times New Roman"/>
                <w:i/>
                <w:iCs/>
                <w:kern w:val="0"/>
                <w:sz w:val="16"/>
                <w:szCs w:val="16"/>
              </w:rPr>
            </w:pPr>
            <w:r>
              <w:rPr>
                <w:rFonts w:cs="Times New Roman"/>
                <w:i/>
                <w:iCs/>
                <w:kern w:val="0"/>
                <w:sz w:val="16"/>
                <w:szCs w:val="16"/>
              </w:rPr>
              <w:t>Eryx</w:t>
            </w:r>
            <w:r>
              <w:rPr>
                <w:rFonts w:cs="Times New Roman"/>
                <w:i/>
                <w:iCs/>
                <w:spacing w:val="-3"/>
                <w:kern w:val="0"/>
                <w:sz w:val="16"/>
                <w:szCs w:val="16"/>
              </w:rPr>
              <w:t xml:space="preserve"> </w:t>
            </w:r>
            <w:r>
              <w:rPr>
                <w:rFonts w:cs="Times New Roman"/>
                <w:i/>
                <w:iCs/>
                <w:kern w:val="0"/>
                <w:sz w:val="16"/>
                <w:szCs w:val="16"/>
              </w:rPr>
              <w:t>tataricus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5"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宋体" w:eastAsia="宋体" w:cs="宋体"/>
                <w:kern w:val="0"/>
                <w:sz w:val="13"/>
                <w:szCs w:val="13"/>
              </w:rPr>
            </w:pPr>
            <w:r>
              <w:rPr>
                <w:rFonts w:hint="eastAsia" w:ascii="宋体" w:eastAsia="宋体" w:cs="宋体"/>
                <w:kern w:val="0"/>
                <w:sz w:val="13"/>
                <w:szCs w:val="13"/>
              </w:rPr>
              <w:t>（四）</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宋体" w:eastAsia="宋体" w:cs="宋体"/>
                <w:kern w:val="0"/>
                <w:sz w:val="16"/>
                <w:szCs w:val="16"/>
              </w:rPr>
            </w:pPr>
            <w:r>
              <w:rPr>
                <w:rFonts w:hint="eastAsia" w:ascii="宋体" w:eastAsia="宋体" w:cs="宋体"/>
                <w:kern w:val="0"/>
                <w:sz w:val="16"/>
                <w:szCs w:val="16"/>
              </w:rPr>
              <w:t>鬣蜥科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Agamidae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6</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宋体" w:eastAsia="宋体" w:cs="宋体"/>
                <w:kern w:val="0"/>
                <w:sz w:val="16"/>
                <w:szCs w:val="16"/>
              </w:rPr>
            </w:pPr>
            <w:r>
              <w:rPr>
                <w:rFonts w:hint="eastAsia" w:ascii="宋体" w:eastAsia="宋体" w:cs="宋体"/>
                <w:kern w:val="0"/>
                <w:sz w:val="16"/>
                <w:szCs w:val="16"/>
              </w:rPr>
              <w:t>奇台沙蜥</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Phrynocephalus</w:t>
            </w:r>
            <w:r>
              <w:rPr>
                <w:rFonts w:cs="Times New Roman"/>
                <w:i/>
                <w:iCs/>
                <w:spacing w:val="-6"/>
                <w:kern w:val="0"/>
                <w:sz w:val="16"/>
                <w:szCs w:val="16"/>
              </w:rPr>
              <w:t xml:space="preserve"> </w:t>
            </w:r>
            <w:r>
              <w:rPr>
                <w:rFonts w:cs="Times New Roman"/>
                <w:i/>
                <w:iCs/>
                <w:kern w:val="0"/>
                <w:sz w:val="16"/>
                <w:szCs w:val="16"/>
              </w:rPr>
              <w:t>grumgrizimailoi</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7</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362" w:firstLine="0" w:firstLineChars="0"/>
              <w:jc w:val="left"/>
              <w:rPr>
                <w:rFonts w:ascii="宋体" w:eastAsia="宋体" w:cs="宋体"/>
                <w:kern w:val="0"/>
                <w:sz w:val="16"/>
                <w:szCs w:val="16"/>
              </w:rPr>
            </w:pPr>
            <w:r>
              <w:rPr>
                <w:rFonts w:hint="eastAsia" w:ascii="宋体" w:eastAsia="宋体" w:cs="宋体"/>
                <w:kern w:val="0"/>
                <w:sz w:val="16"/>
                <w:szCs w:val="16"/>
              </w:rPr>
              <w:t>新疆岩蜥</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Laudakia</w:t>
            </w:r>
            <w:r>
              <w:rPr>
                <w:rFonts w:cs="Times New Roman"/>
                <w:i/>
                <w:iCs/>
                <w:spacing w:val="-4"/>
                <w:kern w:val="0"/>
                <w:sz w:val="16"/>
                <w:szCs w:val="16"/>
              </w:rPr>
              <w:t xml:space="preserve"> </w:t>
            </w:r>
            <w:r>
              <w:rPr>
                <w:rFonts w:cs="Times New Roman"/>
                <w:i/>
                <w:iCs/>
                <w:kern w:val="0"/>
                <w:sz w:val="16"/>
                <w:szCs w:val="16"/>
              </w:rPr>
              <w:t>stoliczkana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42"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9" w:firstLine="0" w:firstLineChars="0"/>
              <w:jc w:val="center"/>
              <w:rPr>
                <w:rFonts w:cs="Times New Roman"/>
                <w:kern w:val="0"/>
                <w:sz w:val="16"/>
                <w:szCs w:val="16"/>
              </w:rPr>
            </w:pPr>
            <w:r>
              <w:rPr>
                <w:rFonts w:ascii="宋体" w:hAnsi="宋体" w:eastAsia="宋体" w:cs="宋体"/>
                <w:kern w:val="0"/>
                <w:sz w:val="16"/>
                <w:szCs w:val="16"/>
              </w:rPr>
              <w:t>Ⅱ</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宋体" w:eastAsia="宋体" w:cs="宋体"/>
                <w:kern w:val="0"/>
                <w:sz w:val="13"/>
                <w:szCs w:val="13"/>
              </w:rPr>
            </w:pPr>
            <w:r>
              <w:rPr>
                <w:rFonts w:hint="eastAsia" w:ascii="宋体" w:eastAsia="宋体" w:cs="宋体"/>
                <w:kern w:val="0"/>
                <w:sz w:val="13"/>
                <w:szCs w:val="13"/>
              </w:rPr>
              <w:t>（五）</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宋体" w:eastAsia="宋体" w:cs="宋体"/>
                <w:kern w:val="0"/>
                <w:sz w:val="16"/>
                <w:szCs w:val="16"/>
              </w:rPr>
            </w:pPr>
            <w:r>
              <w:rPr>
                <w:rFonts w:hint="eastAsia" w:ascii="宋体" w:eastAsia="宋体" w:cs="宋体"/>
                <w:kern w:val="0"/>
                <w:sz w:val="16"/>
                <w:szCs w:val="16"/>
              </w:rPr>
              <w:t>游蛇科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0" w:right="111" w:firstLine="0" w:firstLineChars="0"/>
              <w:jc w:val="center"/>
              <w:rPr>
                <w:rFonts w:cs="Times New Roman"/>
                <w:i/>
                <w:iCs/>
                <w:kern w:val="0"/>
                <w:sz w:val="16"/>
                <w:szCs w:val="16"/>
              </w:rPr>
            </w:pPr>
            <w:r>
              <w:rPr>
                <w:rFonts w:cs="Times New Roman"/>
                <w:i/>
                <w:iCs/>
                <w:kern w:val="0"/>
                <w:sz w:val="16"/>
                <w:szCs w:val="16"/>
              </w:rPr>
              <w:t>Colubridae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8</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宋体" w:eastAsia="宋体" w:cs="宋体"/>
                <w:kern w:val="0"/>
                <w:sz w:val="16"/>
                <w:szCs w:val="16"/>
              </w:rPr>
            </w:pPr>
            <w:r>
              <w:rPr>
                <w:rFonts w:hint="eastAsia" w:ascii="宋体" w:eastAsia="宋体" w:cs="宋体"/>
                <w:kern w:val="0"/>
                <w:sz w:val="16"/>
                <w:szCs w:val="16"/>
              </w:rPr>
              <w:t>花脊游蛇</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Coluber</w:t>
            </w:r>
            <w:r>
              <w:rPr>
                <w:rFonts w:cs="Times New Roman"/>
                <w:i/>
                <w:iCs/>
                <w:spacing w:val="-5"/>
                <w:kern w:val="0"/>
                <w:sz w:val="16"/>
                <w:szCs w:val="16"/>
              </w:rPr>
              <w:t xml:space="preserve"> </w:t>
            </w:r>
            <w:r>
              <w:rPr>
                <w:rFonts w:cs="Times New Roman"/>
                <w:i/>
                <w:iCs/>
                <w:kern w:val="0"/>
                <w:sz w:val="16"/>
                <w:szCs w:val="16"/>
              </w:rPr>
              <w:t>ravergieri</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360"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9"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8" w:firstLine="0" w:firstLineChars="0"/>
              <w:jc w:val="center"/>
              <w:rPr>
                <w:rFonts w:cs="Times New Roman"/>
                <w:kern w:val="0"/>
                <w:sz w:val="16"/>
                <w:szCs w:val="16"/>
              </w:rPr>
            </w:pPr>
            <w:r>
              <w:rPr>
                <w:rFonts w:cs="Times New Roman"/>
                <w:kern w:val="0"/>
                <w:sz w:val="16"/>
                <w:szCs w:val="16"/>
              </w:rPr>
              <w:t>9</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right="93" w:firstLine="0" w:firstLineChars="0"/>
              <w:jc w:val="right"/>
              <w:rPr>
                <w:rFonts w:ascii="宋体" w:eastAsia="宋体" w:cs="宋体"/>
                <w:kern w:val="0"/>
                <w:sz w:val="16"/>
                <w:szCs w:val="16"/>
              </w:rPr>
            </w:pPr>
            <w:r>
              <w:rPr>
                <w:rFonts w:hint="eastAsia" w:ascii="宋体" w:eastAsia="宋体" w:cs="宋体"/>
                <w:kern w:val="0"/>
                <w:sz w:val="16"/>
                <w:szCs w:val="16"/>
              </w:rPr>
              <w:t>黄脊游蛇</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09" w:firstLine="0" w:firstLineChars="0"/>
              <w:jc w:val="center"/>
              <w:rPr>
                <w:rFonts w:cs="Times New Roman"/>
                <w:i/>
                <w:iCs/>
                <w:kern w:val="0"/>
                <w:sz w:val="16"/>
                <w:szCs w:val="16"/>
              </w:rPr>
            </w:pPr>
            <w:r>
              <w:rPr>
                <w:rFonts w:cs="Times New Roman"/>
                <w:i/>
                <w:iCs/>
                <w:kern w:val="0"/>
                <w:sz w:val="16"/>
                <w:szCs w:val="16"/>
              </w:rPr>
              <w:t>Coluber</w:t>
            </w:r>
            <w:r>
              <w:rPr>
                <w:rFonts w:cs="Times New Roman"/>
                <w:i/>
                <w:iCs/>
                <w:spacing w:val="-4"/>
                <w:kern w:val="0"/>
                <w:sz w:val="16"/>
                <w:szCs w:val="16"/>
              </w:rPr>
              <w:t xml:space="preserve"> </w:t>
            </w:r>
            <w:r>
              <w:rPr>
                <w:rFonts w:cs="Times New Roman"/>
                <w:i/>
                <w:iCs/>
                <w:kern w:val="0"/>
                <w:sz w:val="16"/>
                <w:szCs w:val="16"/>
              </w:rPr>
              <w:t>spinalis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5"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古北型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right="360"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9003" w:type="dxa"/>
            <w:gridSpan w:val="10"/>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7" w:line="240" w:lineRule="auto"/>
              <w:ind w:firstLine="0" w:firstLineChars="0"/>
              <w:jc w:val="left"/>
              <w:rPr>
                <w:rFonts w:ascii="宋体" w:eastAsia="宋体" w:cs="宋体"/>
                <w:b/>
                <w:bCs/>
                <w:kern w:val="0"/>
                <w:sz w:val="10"/>
                <w:szCs w:val="10"/>
              </w:rPr>
            </w:pPr>
          </w:p>
          <w:p>
            <w:pPr>
              <w:kinsoku w:val="0"/>
              <w:overflowPunct w:val="0"/>
              <w:autoSpaceDE w:val="0"/>
              <w:autoSpaceDN w:val="0"/>
              <w:adjustRightInd w:val="0"/>
              <w:spacing w:line="240" w:lineRule="auto"/>
              <w:ind w:left="3188" w:right="3178" w:firstLine="0" w:firstLineChars="0"/>
              <w:jc w:val="center"/>
              <w:rPr>
                <w:rFonts w:ascii="等线" w:eastAsia="等线" w:cs="等线"/>
                <w:w w:val="95"/>
                <w:kern w:val="0"/>
                <w:sz w:val="13"/>
                <w:szCs w:val="13"/>
              </w:rPr>
            </w:pPr>
            <w:r>
              <w:rPr>
                <w:rFonts w:hint="eastAsia" w:ascii="等线" w:eastAsia="等线" w:cs="等线"/>
                <w:w w:val="95"/>
                <w:kern w:val="0"/>
                <w:sz w:val="13"/>
                <w:szCs w:val="13"/>
              </w:rPr>
              <w:t>注：数量等级：</w:t>
            </w:r>
            <w:r>
              <w:rPr>
                <w:rFonts w:eastAsia="等线" w:cs="Times New Roman"/>
                <w:w w:val="95"/>
                <w:kern w:val="0"/>
                <w:sz w:val="13"/>
                <w:szCs w:val="13"/>
              </w:rPr>
              <w:t>+</w:t>
            </w:r>
            <w:r>
              <w:rPr>
                <w:rFonts w:hint="eastAsia" w:ascii="等线" w:eastAsia="等线" w:cs="等线"/>
                <w:w w:val="95"/>
                <w:kern w:val="0"/>
                <w:sz w:val="13"/>
                <w:szCs w:val="13"/>
              </w:rPr>
              <w:t>（常见种），</w:t>
            </w:r>
            <w:r>
              <w:rPr>
                <w:rFonts w:eastAsia="等线" w:cs="Times New Roman"/>
                <w:w w:val="95"/>
                <w:kern w:val="0"/>
                <w:sz w:val="13"/>
                <w:szCs w:val="13"/>
              </w:rPr>
              <w:t>-</w:t>
            </w:r>
            <w:r>
              <w:rPr>
                <w:rFonts w:hint="eastAsia" w:ascii="等线" w:eastAsia="等线" w:cs="等线"/>
                <w:w w:val="95"/>
                <w:kern w:val="0"/>
                <w:sz w:val="13"/>
                <w:szCs w:val="13"/>
              </w:rPr>
              <w:t>（少见种）。</w:t>
            </w:r>
          </w:p>
        </w:tc>
      </w:tr>
    </w:tbl>
    <w:p>
      <w:pPr>
        <w:autoSpaceDE w:val="0"/>
        <w:autoSpaceDN w:val="0"/>
        <w:adjustRightInd w:val="0"/>
        <w:spacing w:line="240" w:lineRule="auto"/>
        <w:ind w:firstLine="0" w:firstLineChars="0"/>
        <w:jc w:val="left"/>
        <w:rPr>
          <w:rFonts w:ascii="宋体" w:eastAsia="宋体" w:cs="宋体"/>
          <w:b/>
          <w:bCs/>
          <w:kern w:val="0"/>
          <w:szCs w:val="24"/>
        </w:rPr>
        <w:sectPr>
          <w:pgSz w:w="11910" w:h="16840"/>
          <w:pgMar w:top="1380" w:right="980" w:bottom="280" w:left="1680" w:header="720" w:footer="720" w:gutter="0"/>
          <w:cols w:space="720" w:num="1"/>
        </w:sectPr>
      </w:pPr>
    </w:p>
    <w:p>
      <w:pPr>
        <w:pStyle w:val="3"/>
        <w:spacing w:before="163" w:beforeLines="50" w:after="163" w:afterLines="50" w:line="360" w:lineRule="auto"/>
        <w:ind w:firstLine="643"/>
        <w:jc w:val="left"/>
        <w:rPr>
          <w:rFonts w:ascii="Times New Roman" w:hAnsi="Times New Roman"/>
        </w:rPr>
      </w:pPr>
      <w:bookmarkStart w:id="181" w:name="_Toc130121707"/>
      <w:r>
        <w:rPr>
          <w:rFonts w:hint="eastAsia" w:ascii="Times New Roman" w:hAnsi="Times New Roman"/>
        </w:rPr>
        <w:t>附录5 玛纳斯国家湿地公园两栖动物分布名录</w:t>
      </w:r>
      <w:bookmarkEnd w:id="181"/>
    </w:p>
    <w:p>
      <w:pPr>
        <w:kinsoku w:val="0"/>
        <w:overflowPunct w:val="0"/>
        <w:autoSpaceDE w:val="0"/>
        <w:autoSpaceDN w:val="0"/>
        <w:adjustRightInd w:val="0"/>
        <w:spacing w:before="2" w:line="240" w:lineRule="auto"/>
        <w:ind w:firstLine="0" w:firstLineChars="0"/>
        <w:jc w:val="left"/>
        <w:rPr>
          <w:rFonts w:ascii="宋体" w:eastAsia="宋体" w:cs="宋体"/>
          <w:b/>
          <w:bCs/>
          <w:kern w:val="0"/>
          <w:sz w:val="6"/>
          <w:szCs w:val="6"/>
        </w:rPr>
      </w:pPr>
    </w:p>
    <w:tbl>
      <w:tblPr>
        <w:tblStyle w:val="25"/>
        <w:tblW w:w="9003" w:type="dxa"/>
        <w:tblInd w:w="130" w:type="dxa"/>
        <w:tblLayout w:type="fixed"/>
        <w:tblCellMar>
          <w:top w:w="0" w:type="dxa"/>
          <w:left w:w="0" w:type="dxa"/>
          <w:bottom w:w="0" w:type="dxa"/>
          <w:right w:w="0" w:type="dxa"/>
        </w:tblCellMar>
      </w:tblPr>
      <w:tblGrid>
        <w:gridCol w:w="643"/>
        <w:gridCol w:w="1368"/>
        <w:gridCol w:w="2400"/>
        <w:gridCol w:w="696"/>
        <w:gridCol w:w="799"/>
        <w:gridCol w:w="593"/>
        <w:gridCol w:w="572"/>
        <w:gridCol w:w="564"/>
        <w:gridCol w:w="679"/>
        <w:gridCol w:w="689"/>
      </w:tblGrid>
      <w:tr>
        <w:tblPrEx>
          <w:tblCellMar>
            <w:top w:w="0" w:type="dxa"/>
            <w:left w:w="0" w:type="dxa"/>
            <w:bottom w:w="0" w:type="dxa"/>
            <w:right w:w="0" w:type="dxa"/>
          </w:tblCellMar>
        </w:tblPrEx>
        <w:trPr>
          <w:trHeight w:val="1403"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104" w:right="95" w:firstLine="0" w:firstLineChars="0"/>
              <w:jc w:val="center"/>
              <w:rPr>
                <w:rFonts w:ascii="等线" w:eastAsia="等线" w:cs="等线"/>
                <w:b/>
                <w:bCs/>
                <w:kern w:val="0"/>
                <w:sz w:val="15"/>
                <w:szCs w:val="15"/>
              </w:rPr>
            </w:pPr>
            <w:r>
              <w:rPr>
                <w:rFonts w:hint="eastAsia" w:ascii="等线" w:eastAsia="等线" w:cs="等线"/>
                <w:b/>
                <w:bCs/>
                <w:kern w:val="0"/>
                <w:sz w:val="15"/>
                <w:szCs w:val="15"/>
              </w:rPr>
              <w:t>序号</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443" w:right="434" w:firstLine="0" w:firstLineChars="0"/>
              <w:jc w:val="center"/>
              <w:rPr>
                <w:rFonts w:ascii="等线" w:eastAsia="等线" w:cs="等线"/>
                <w:b/>
                <w:bCs/>
                <w:kern w:val="0"/>
                <w:sz w:val="15"/>
                <w:szCs w:val="15"/>
              </w:rPr>
            </w:pPr>
            <w:r>
              <w:rPr>
                <w:rFonts w:hint="eastAsia" w:ascii="等线" w:eastAsia="等线" w:cs="等线"/>
                <w:b/>
                <w:bCs/>
                <w:kern w:val="0"/>
                <w:sz w:val="15"/>
                <w:szCs w:val="15"/>
              </w:rPr>
              <w:t>种名</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121" w:right="110" w:firstLine="0" w:firstLineChars="0"/>
              <w:jc w:val="center"/>
              <w:rPr>
                <w:rFonts w:ascii="等线" w:eastAsia="等线" w:cs="等线"/>
                <w:b/>
                <w:bCs/>
                <w:kern w:val="0"/>
                <w:sz w:val="15"/>
                <w:szCs w:val="15"/>
              </w:rPr>
            </w:pPr>
            <w:r>
              <w:rPr>
                <w:rFonts w:hint="eastAsia" w:ascii="等线" w:eastAsia="等线" w:cs="等线"/>
                <w:b/>
                <w:bCs/>
                <w:kern w:val="0"/>
                <w:sz w:val="15"/>
                <w:szCs w:val="15"/>
              </w:rPr>
              <w:t>拉丁名</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4"/>
                <w:szCs w:val="14"/>
              </w:rPr>
            </w:pPr>
          </w:p>
          <w:p>
            <w:pPr>
              <w:kinsoku w:val="0"/>
              <w:overflowPunct w:val="0"/>
              <w:autoSpaceDE w:val="0"/>
              <w:autoSpaceDN w:val="0"/>
              <w:adjustRightInd w:val="0"/>
              <w:spacing w:line="240" w:lineRule="auto"/>
              <w:ind w:left="87" w:right="76" w:firstLine="0" w:firstLineChars="0"/>
              <w:jc w:val="center"/>
              <w:rPr>
                <w:rFonts w:ascii="等线" w:eastAsia="等线" w:cs="等线"/>
                <w:b/>
                <w:bCs/>
                <w:kern w:val="0"/>
                <w:sz w:val="15"/>
                <w:szCs w:val="15"/>
              </w:rPr>
            </w:pPr>
            <w:r>
              <w:rPr>
                <w:rFonts w:hint="eastAsia" w:ascii="等线" w:eastAsia="等线" w:cs="等线"/>
                <w:b/>
                <w:bCs/>
                <w:kern w:val="0"/>
                <w:sz w:val="15"/>
                <w:szCs w:val="15"/>
              </w:rPr>
              <w:t>分布型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before="11"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496" w:lineRule="auto"/>
              <w:ind w:left="250" w:right="234" w:firstLine="0" w:firstLineChars="0"/>
              <w:jc w:val="left"/>
              <w:rPr>
                <w:rFonts w:ascii="等线" w:eastAsia="等线" w:cs="等线"/>
                <w:b/>
                <w:bCs/>
                <w:spacing w:val="-1"/>
                <w:kern w:val="0"/>
                <w:sz w:val="15"/>
                <w:szCs w:val="15"/>
              </w:rPr>
            </w:pPr>
            <w:r>
              <w:rPr>
                <w:rFonts w:hint="eastAsia" w:ascii="等线" w:eastAsia="等线" w:cs="等线"/>
                <w:b/>
                <w:bCs/>
                <w:spacing w:val="-1"/>
                <w:kern w:val="0"/>
                <w:sz w:val="15"/>
                <w:szCs w:val="15"/>
              </w:rPr>
              <w:t>数量等级</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47" w:right="131" w:firstLine="0" w:firstLineChars="0"/>
              <w:jc w:val="left"/>
              <w:rPr>
                <w:rFonts w:ascii="等线" w:eastAsia="等线" w:cs="等线"/>
                <w:b/>
                <w:bCs/>
                <w:spacing w:val="-8"/>
                <w:kern w:val="0"/>
                <w:sz w:val="15"/>
                <w:szCs w:val="15"/>
              </w:rPr>
            </w:pPr>
            <w:r>
              <w:rPr>
                <w:rFonts w:hint="eastAsia" w:ascii="等线" w:eastAsia="等线" w:cs="等线"/>
                <w:b/>
                <w:bCs/>
                <w:spacing w:val="-1"/>
                <w:kern w:val="0"/>
                <w:sz w:val="15"/>
                <w:szCs w:val="15"/>
              </w:rPr>
              <w:t>中国</w:t>
            </w:r>
            <w:r>
              <w:rPr>
                <w:rFonts w:hint="eastAsia" w:ascii="等线" w:eastAsia="等线" w:cs="等线"/>
                <w:b/>
                <w:bCs/>
                <w:spacing w:val="-8"/>
                <w:kern w:val="0"/>
                <w:sz w:val="15"/>
                <w:szCs w:val="15"/>
              </w:rPr>
              <w:t>保护</w:t>
            </w:r>
          </w:p>
          <w:p>
            <w:pPr>
              <w:kinsoku w:val="0"/>
              <w:overflowPunct w:val="0"/>
              <w:autoSpaceDE w:val="0"/>
              <w:autoSpaceDN w:val="0"/>
              <w:adjustRightInd w:val="0"/>
              <w:spacing w:line="240" w:lineRule="auto"/>
              <w:ind w:left="147" w:firstLine="0" w:firstLineChars="0"/>
              <w:jc w:val="left"/>
              <w:rPr>
                <w:rFonts w:ascii="等线" w:eastAsia="等线" w:cs="等线"/>
                <w:b/>
                <w:bCs/>
                <w:kern w:val="0"/>
                <w:sz w:val="15"/>
                <w:szCs w:val="15"/>
              </w:rPr>
            </w:pPr>
            <w:r>
              <w:rPr>
                <w:rFonts w:hint="eastAsia" w:ascii="等线" w:eastAsia="等线" w:cs="等线"/>
                <w:b/>
                <w:bCs/>
                <w:kern w:val="0"/>
                <w:sz w:val="15"/>
                <w:szCs w:val="15"/>
              </w:rPr>
              <w:t>级别</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35" w:right="122" w:firstLine="0" w:firstLineChars="0"/>
              <w:jc w:val="left"/>
              <w:rPr>
                <w:rFonts w:ascii="等线" w:eastAsia="等线" w:cs="等线"/>
                <w:b/>
                <w:bCs/>
                <w:spacing w:val="-8"/>
                <w:kern w:val="0"/>
                <w:sz w:val="15"/>
                <w:szCs w:val="15"/>
              </w:rPr>
            </w:pPr>
            <w:r>
              <w:rPr>
                <w:rFonts w:hint="eastAsia" w:ascii="等线" w:eastAsia="等线" w:cs="等线"/>
                <w:b/>
                <w:bCs/>
                <w:spacing w:val="-1"/>
                <w:kern w:val="0"/>
                <w:sz w:val="15"/>
                <w:szCs w:val="15"/>
              </w:rPr>
              <w:t>新疆</w:t>
            </w:r>
            <w:r>
              <w:rPr>
                <w:rFonts w:hint="eastAsia" w:ascii="等线" w:eastAsia="等线" w:cs="等线"/>
                <w:b/>
                <w:bCs/>
                <w:spacing w:val="-8"/>
                <w:kern w:val="0"/>
                <w:sz w:val="15"/>
                <w:szCs w:val="15"/>
              </w:rPr>
              <w:t>保护</w:t>
            </w:r>
          </w:p>
          <w:p>
            <w:pPr>
              <w:kinsoku w:val="0"/>
              <w:overflowPunct w:val="0"/>
              <w:autoSpaceDE w:val="0"/>
              <w:autoSpaceDN w:val="0"/>
              <w:adjustRightInd w:val="0"/>
              <w:spacing w:line="240" w:lineRule="auto"/>
              <w:ind w:left="135" w:firstLine="0" w:firstLineChars="0"/>
              <w:jc w:val="left"/>
              <w:rPr>
                <w:rFonts w:ascii="等线" w:eastAsia="等线" w:cs="等线"/>
                <w:b/>
                <w:bCs/>
                <w:kern w:val="0"/>
                <w:sz w:val="15"/>
                <w:szCs w:val="15"/>
              </w:rPr>
            </w:pPr>
            <w:r>
              <w:rPr>
                <w:rFonts w:hint="eastAsia" w:ascii="等线" w:eastAsia="等线" w:cs="等线"/>
                <w:b/>
                <w:bCs/>
                <w:kern w:val="0"/>
                <w:sz w:val="15"/>
                <w:szCs w:val="15"/>
              </w:rPr>
              <w:t>级别</w:t>
            </w: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22" w:line="496" w:lineRule="auto"/>
              <w:ind w:left="130" w:right="119" w:firstLine="0" w:firstLineChars="0"/>
              <w:jc w:val="center"/>
              <w:rPr>
                <w:rFonts w:ascii="等线" w:eastAsia="等线" w:cs="等线"/>
                <w:b/>
                <w:bCs/>
                <w:spacing w:val="-1"/>
                <w:kern w:val="0"/>
                <w:sz w:val="15"/>
                <w:szCs w:val="15"/>
              </w:rPr>
            </w:pPr>
            <w:r>
              <w:rPr>
                <w:rFonts w:hint="eastAsia" w:ascii="等线" w:eastAsia="等线" w:cs="等线"/>
                <w:b/>
                <w:bCs/>
                <w:spacing w:val="-1"/>
                <w:kern w:val="0"/>
                <w:sz w:val="15"/>
                <w:szCs w:val="15"/>
              </w:rPr>
              <w:t>中国红皮</w:t>
            </w:r>
          </w:p>
          <w:p>
            <w:pPr>
              <w:kinsoku w:val="0"/>
              <w:overflowPunct w:val="0"/>
              <w:autoSpaceDE w:val="0"/>
              <w:autoSpaceDN w:val="0"/>
              <w:adjustRightInd w:val="0"/>
              <w:spacing w:line="240" w:lineRule="auto"/>
              <w:ind w:left="6" w:firstLine="0" w:firstLineChars="0"/>
              <w:jc w:val="center"/>
              <w:rPr>
                <w:rFonts w:ascii="等线" w:eastAsia="等线" w:cs="等线"/>
                <w:b/>
                <w:bCs/>
                <w:kern w:val="0"/>
                <w:sz w:val="15"/>
                <w:szCs w:val="15"/>
              </w:rPr>
            </w:pPr>
            <w:r>
              <w:rPr>
                <w:rFonts w:hint="eastAsia" w:ascii="等线" w:eastAsia="等线" w:cs="等线"/>
                <w:b/>
                <w:bCs/>
                <w:kern w:val="0"/>
                <w:sz w:val="15"/>
                <w:szCs w:val="15"/>
              </w:rPr>
              <w:t>书</w:t>
            </w: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left="147" w:firstLine="0" w:firstLineChars="0"/>
              <w:jc w:val="left"/>
              <w:rPr>
                <w:rFonts w:cs="Times New Roman"/>
                <w:b/>
                <w:bCs/>
                <w:kern w:val="0"/>
                <w:sz w:val="15"/>
                <w:szCs w:val="15"/>
              </w:rPr>
            </w:pPr>
            <w:r>
              <w:rPr>
                <w:rFonts w:cs="Times New Roman"/>
                <w:b/>
                <w:bCs/>
                <w:kern w:val="0"/>
                <w:sz w:val="15"/>
                <w:szCs w:val="15"/>
              </w:rPr>
              <w:t>IUCN</w:t>
            </w: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firstLine="0" w:firstLineChars="0"/>
              <w:jc w:val="left"/>
              <w:rPr>
                <w:rFonts w:ascii="宋体" w:eastAsia="宋体" w:cs="宋体"/>
                <w:b/>
                <w:bCs/>
                <w:kern w:val="0"/>
                <w:sz w:val="16"/>
                <w:szCs w:val="16"/>
              </w:rPr>
            </w:pPr>
          </w:p>
          <w:p>
            <w:pPr>
              <w:kinsoku w:val="0"/>
              <w:overflowPunct w:val="0"/>
              <w:autoSpaceDE w:val="0"/>
              <w:autoSpaceDN w:val="0"/>
              <w:adjustRightInd w:val="0"/>
              <w:spacing w:line="240" w:lineRule="auto"/>
              <w:ind w:left="118" w:firstLine="0" w:firstLineChars="0"/>
              <w:jc w:val="left"/>
              <w:rPr>
                <w:rFonts w:cs="Times New Roman"/>
                <w:b/>
                <w:bCs/>
                <w:kern w:val="0"/>
                <w:sz w:val="15"/>
                <w:szCs w:val="15"/>
              </w:rPr>
            </w:pPr>
            <w:r>
              <w:rPr>
                <w:rFonts w:cs="Times New Roman"/>
                <w:b/>
                <w:bCs/>
                <w:kern w:val="0"/>
                <w:sz w:val="15"/>
                <w:szCs w:val="15"/>
              </w:rPr>
              <w:t>CITES</w:t>
            </w: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7" w:firstLine="0" w:firstLineChars="0"/>
              <w:jc w:val="center"/>
              <w:rPr>
                <w:rFonts w:ascii="宋体" w:eastAsia="宋体" w:cs="宋体"/>
                <w:kern w:val="0"/>
                <w:sz w:val="16"/>
                <w:szCs w:val="16"/>
              </w:rPr>
            </w:pPr>
            <w:r>
              <w:rPr>
                <w:rFonts w:hint="eastAsia" w:ascii="宋体" w:eastAsia="宋体" w:cs="宋体"/>
                <w:kern w:val="0"/>
                <w:sz w:val="16"/>
                <w:szCs w:val="16"/>
              </w:rPr>
              <w:t>一</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107" w:firstLine="0" w:firstLineChars="0"/>
              <w:jc w:val="left"/>
              <w:rPr>
                <w:rFonts w:ascii="宋体" w:eastAsia="宋体" w:cs="宋体"/>
                <w:kern w:val="0"/>
                <w:sz w:val="16"/>
                <w:szCs w:val="16"/>
              </w:rPr>
            </w:pPr>
            <w:r>
              <w:rPr>
                <w:rFonts w:hint="eastAsia" w:ascii="宋体" w:eastAsia="宋体" w:cs="宋体"/>
                <w:kern w:val="0"/>
                <w:sz w:val="16"/>
                <w:szCs w:val="16"/>
              </w:rPr>
              <w:t>无尾目</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9" w:firstLine="0" w:firstLineChars="0"/>
              <w:jc w:val="center"/>
              <w:rPr>
                <w:rFonts w:cs="Times New Roman"/>
                <w:i/>
                <w:iCs/>
                <w:kern w:val="0"/>
                <w:sz w:val="16"/>
                <w:szCs w:val="16"/>
              </w:rPr>
            </w:pPr>
            <w:r>
              <w:rPr>
                <w:rFonts w:cs="Times New Roman"/>
                <w:i/>
                <w:iCs/>
                <w:kern w:val="0"/>
                <w:sz w:val="16"/>
                <w:szCs w:val="16"/>
              </w:rPr>
              <w:t>Anura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宋体" w:eastAsia="宋体" w:cs="宋体"/>
                <w:kern w:val="0"/>
                <w:sz w:val="13"/>
                <w:szCs w:val="13"/>
              </w:rPr>
            </w:pPr>
            <w:r>
              <w:rPr>
                <w:rFonts w:hint="eastAsia" w:ascii="宋体" w:eastAsia="宋体" w:cs="宋体"/>
                <w:kern w:val="0"/>
                <w:sz w:val="13"/>
                <w:szCs w:val="13"/>
              </w:rPr>
              <w:t>（一）</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382" w:right="494" w:firstLine="0" w:firstLineChars="0"/>
              <w:jc w:val="center"/>
              <w:rPr>
                <w:rFonts w:ascii="宋体" w:eastAsia="宋体" w:cs="宋体"/>
                <w:kern w:val="0"/>
                <w:sz w:val="16"/>
                <w:szCs w:val="16"/>
              </w:rPr>
            </w:pPr>
            <w:r>
              <w:rPr>
                <w:rFonts w:hint="eastAsia" w:ascii="宋体" w:eastAsia="宋体" w:cs="宋体"/>
                <w:kern w:val="0"/>
                <w:sz w:val="16"/>
                <w:szCs w:val="16"/>
              </w:rPr>
              <w:t>蛙科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Panidae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70"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8" w:firstLine="0" w:firstLineChars="0"/>
              <w:jc w:val="center"/>
              <w:rPr>
                <w:rFonts w:cs="Times New Roman"/>
                <w:kern w:val="0"/>
                <w:sz w:val="16"/>
                <w:szCs w:val="16"/>
              </w:rPr>
            </w:pPr>
            <w:r>
              <w:rPr>
                <w:rFonts w:cs="Times New Roman"/>
                <w:kern w:val="0"/>
                <w:sz w:val="16"/>
                <w:szCs w:val="16"/>
              </w:rPr>
              <w:t>1</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5" w:line="240" w:lineRule="auto"/>
              <w:ind w:right="93" w:firstLine="0" w:firstLineChars="0"/>
              <w:jc w:val="right"/>
              <w:rPr>
                <w:rFonts w:ascii="宋体" w:eastAsia="宋体" w:cs="宋体"/>
                <w:kern w:val="0"/>
                <w:sz w:val="16"/>
                <w:szCs w:val="16"/>
              </w:rPr>
            </w:pPr>
            <w:r>
              <w:rPr>
                <w:rFonts w:hint="eastAsia" w:ascii="宋体" w:eastAsia="宋体" w:cs="宋体"/>
                <w:kern w:val="0"/>
                <w:sz w:val="16"/>
                <w:szCs w:val="16"/>
              </w:rPr>
              <w:t>林蛙</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5" w:line="240" w:lineRule="auto"/>
              <w:ind w:left="121" w:right="109" w:firstLine="0" w:firstLineChars="0"/>
              <w:jc w:val="center"/>
              <w:rPr>
                <w:rFonts w:cs="Times New Roman"/>
                <w:i/>
                <w:iCs/>
                <w:kern w:val="0"/>
                <w:sz w:val="16"/>
                <w:szCs w:val="16"/>
              </w:rPr>
            </w:pPr>
            <w:r>
              <w:rPr>
                <w:rFonts w:cs="Times New Roman"/>
                <w:i/>
                <w:iCs/>
                <w:kern w:val="0"/>
                <w:sz w:val="16"/>
                <w:szCs w:val="16"/>
              </w:rPr>
              <w:t>Rana</w:t>
            </w:r>
            <w:r>
              <w:rPr>
                <w:rFonts w:cs="Times New Roman"/>
                <w:i/>
                <w:iCs/>
                <w:spacing w:val="-4"/>
                <w:kern w:val="0"/>
                <w:sz w:val="16"/>
                <w:szCs w:val="16"/>
              </w:rPr>
              <w:t xml:space="preserve"> </w:t>
            </w:r>
            <w:r>
              <w:rPr>
                <w:rFonts w:cs="Times New Roman"/>
                <w:i/>
                <w:iCs/>
                <w:kern w:val="0"/>
                <w:sz w:val="16"/>
                <w:szCs w:val="16"/>
              </w:rPr>
              <w:t>amurensis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right="294"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5"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8"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2</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宋体" w:eastAsia="宋体" w:cs="宋体"/>
                <w:kern w:val="0"/>
                <w:sz w:val="16"/>
                <w:szCs w:val="16"/>
              </w:rPr>
            </w:pPr>
            <w:r>
              <w:rPr>
                <w:rFonts w:hint="eastAsia" w:ascii="宋体" w:eastAsia="宋体" w:cs="宋体"/>
                <w:kern w:val="0"/>
                <w:sz w:val="16"/>
                <w:szCs w:val="16"/>
              </w:rPr>
              <w:t>中亚湖蛙</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0" w:firstLine="0" w:firstLineChars="0"/>
              <w:jc w:val="center"/>
              <w:rPr>
                <w:rFonts w:cs="Times New Roman"/>
                <w:i/>
                <w:iCs/>
                <w:kern w:val="0"/>
                <w:sz w:val="16"/>
                <w:szCs w:val="16"/>
              </w:rPr>
            </w:pPr>
            <w:r>
              <w:rPr>
                <w:rFonts w:cs="Times New Roman"/>
                <w:i/>
                <w:iCs/>
                <w:kern w:val="0"/>
                <w:sz w:val="16"/>
                <w:szCs w:val="16"/>
              </w:rPr>
              <w:t>Rana</w:t>
            </w:r>
            <w:r>
              <w:rPr>
                <w:rFonts w:cs="Times New Roman"/>
                <w:i/>
                <w:iCs/>
                <w:spacing w:val="-2"/>
                <w:kern w:val="0"/>
                <w:sz w:val="16"/>
                <w:szCs w:val="16"/>
              </w:rPr>
              <w:t xml:space="preserve"> </w:t>
            </w:r>
            <w:r>
              <w:rPr>
                <w:rFonts w:cs="Times New Roman"/>
                <w:i/>
                <w:iCs/>
                <w:kern w:val="0"/>
                <w:sz w:val="16"/>
                <w:szCs w:val="16"/>
              </w:rPr>
              <w:t>asiatica</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248"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9" w:line="240" w:lineRule="auto"/>
              <w:ind w:firstLine="0" w:firstLineChars="0"/>
              <w:jc w:val="left"/>
              <w:rPr>
                <w:rFonts w:ascii="宋体" w:eastAsia="宋体" w:cs="宋体"/>
                <w:b/>
                <w:bCs/>
                <w:kern w:val="0"/>
                <w:sz w:val="11"/>
                <w:szCs w:val="11"/>
              </w:rPr>
            </w:pPr>
          </w:p>
          <w:p>
            <w:pPr>
              <w:kinsoku w:val="0"/>
              <w:overflowPunct w:val="0"/>
              <w:autoSpaceDE w:val="0"/>
              <w:autoSpaceDN w:val="0"/>
              <w:adjustRightInd w:val="0"/>
              <w:spacing w:line="240" w:lineRule="auto"/>
              <w:ind w:left="104" w:right="99" w:firstLine="0" w:firstLineChars="0"/>
              <w:jc w:val="center"/>
              <w:rPr>
                <w:rFonts w:ascii="宋体" w:eastAsia="宋体" w:cs="宋体"/>
                <w:kern w:val="0"/>
                <w:sz w:val="13"/>
                <w:szCs w:val="13"/>
              </w:rPr>
            </w:pPr>
            <w:r>
              <w:rPr>
                <w:rFonts w:hint="eastAsia" w:ascii="宋体" w:eastAsia="宋体" w:cs="宋体"/>
                <w:kern w:val="0"/>
                <w:sz w:val="13"/>
                <w:szCs w:val="13"/>
              </w:rPr>
              <w:t>（二）</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left="443" w:firstLine="0" w:firstLineChars="0"/>
              <w:jc w:val="left"/>
              <w:rPr>
                <w:rFonts w:ascii="宋体" w:eastAsia="宋体" w:cs="宋体"/>
                <w:kern w:val="0"/>
                <w:sz w:val="16"/>
                <w:szCs w:val="16"/>
              </w:rPr>
            </w:pPr>
            <w:r>
              <w:rPr>
                <w:rFonts w:hint="eastAsia" w:ascii="宋体" w:eastAsia="宋体" w:cs="宋体"/>
                <w:kern w:val="0"/>
                <w:sz w:val="16"/>
                <w:szCs w:val="16"/>
              </w:rPr>
              <w:t>蟾蜍科</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11" w:firstLine="0" w:firstLineChars="0"/>
              <w:jc w:val="center"/>
              <w:rPr>
                <w:rFonts w:cs="Times New Roman"/>
                <w:i/>
                <w:iCs/>
                <w:kern w:val="0"/>
                <w:sz w:val="16"/>
                <w:szCs w:val="16"/>
              </w:rPr>
            </w:pPr>
            <w:r>
              <w:rPr>
                <w:rFonts w:cs="Times New Roman"/>
                <w:i/>
                <w:iCs/>
                <w:kern w:val="0"/>
                <w:sz w:val="16"/>
                <w:szCs w:val="16"/>
              </w:rPr>
              <w:t>Bufonidae</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64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8" w:firstLine="0" w:firstLineChars="0"/>
              <w:jc w:val="center"/>
              <w:rPr>
                <w:rFonts w:cs="Times New Roman"/>
                <w:kern w:val="0"/>
                <w:sz w:val="16"/>
                <w:szCs w:val="16"/>
              </w:rPr>
            </w:pPr>
            <w:r>
              <w:rPr>
                <w:rFonts w:cs="Times New Roman"/>
                <w:kern w:val="0"/>
                <w:sz w:val="16"/>
                <w:szCs w:val="16"/>
              </w:rPr>
              <w:t>3</w:t>
            </w:r>
          </w:p>
        </w:tc>
        <w:tc>
          <w:tcPr>
            <w:tcW w:w="1368"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32" w:line="240" w:lineRule="auto"/>
              <w:ind w:right="93" w:firstLine="0" w:firstLineChars="0"/>
              <w:jc w:val="right"/>
              <w:rPr>
                <w:rFonts w:ascii="宋体" w:eastAsia="宋体" w:cs="宋体"/>
                <w:kern w:val="0"/>
                <w:sz w:val="16"/>
                <w:szCs w:val="16"/>
              </w:rPr>
            </w:pPr>
            <w:r>
              <w:rPr>
                <w:rFonts w:hint="eastAsia" w:ascii="宋体" w:eastAsia="宋体" w:cs="宋体"/>
                <w:kern w:val="0"/>
                <w:sz w:val="16"/>
                <w:szCs w:val="16"/>
              </w:rPr>
              <w:t>新疆蟾蜍</w:t>
            </w:r>
          </w:p>
        </w:tc>
        <w:tc>
          <w:tcPr>
            <w:tcW w:w="2400" w:type="dxa"/>
            <w:tcBorders>
              <w:top w:val="single" w:color="000000" w:sz="4" w:space="0"/>
              <w:left w:val="single" w:color="000000" w:sz="4" w:space="0"/>
              <w:bottom w:val="single" w:color="000000" w:sz="4" w:space="0"/>
              <w:right w:val="single" w:color="000000" w:sz="6" w:space="0"/>
            </w:tcBorders>
          </w:tcPr>
          <w:p>
            <w:pPr>
              <w:kinsoku w:val="0"/>
              <w:overflowPunct w:val="0"/>
              <w:autoSpaceDE w:val="0"/>
              <w:autoSpaceDN w:val="0"/>
              <w:adjustRightInd w:val="0"/>
              <w:spacing w:before="143" w:line="240" w:lineRule="auto"/>
              <w:ind w:left="121" w:right="108" w:firstLine="0" w:firstLineChars="0"/>
              <w:jc w:val="center"/>
              <w:rPr>
                <w:rFonts w:cs="Times New Roman"/>
                <w:i/>
                <w:iCs/>
                <w:kern w:val="0"/>
                <w:sz w:val="16"/>
                <w:szCs w:val="16"/>
              </w:rPr>
            </w:pPr>
            <w:r>
              <w:rPr>
                <w:rFonts w:cs="Times New Roman"/>
                <w:i/>
                <w:iCs/>
                <w:kern w:val="0"/>
                <w:sz w:val="16"/>
                <w:szCs w:val="16"/>
              </w:rPr>
              <w:t>Bufo</w:t>
            </w:r>
            <w:r>
              <w:rPr>
                <w:rFonts w:cs="Times New Roman"/>
                <w:i/>
                <w:iCs/>
                <w:spacing w:val="-2"/>
                <w:kern w:val="0"/>
                <w:sz w:val="16"/>
                <w:szCs w:val="16"/>
              </w:rPr>
              <w:t xml:space="preserve"> </w:t>
            </w:r>
            <w:r>
              <w:rPr>
                <w:rFonts w:cs="Times New Roman"/>
                <w:i/>
                <w:iCs/>
                <w:kern w:val="0"/>
                <w:sz w:val="16"/>
                <w:szCs w:val="16"/>
              </w:rPr>
              <w:t>viridis</w:t>
            </w:r>
          </w:p>
        </w:tc>
        <w:tc>
          <w:tcPr>
            <w:tcW w:w="696" w:type="dxa"/>
            <w:tcBorders>
              <w:top w:val="single" w:color="000000" w:sz="4" w:space="0"/>
              <w:left w:val="single" w:color="000000" w:sz="6" w:space="0"/>
              <w:bottom w:val="single" w:color="000000" w:sz="4" w:space="0"/>
              <w:right w:val="single" w:color="000000" w:sz="4" w:space="0"/>
            </w:tcBorders>
          </w:tcPr>
          <w:p>
            <w:pPr>
              <w:kinsoku w:val="0"/>
              <w:overflowPunct w:val="0"/>
              <w:autoSpaceDE w:val="0"/>
              <w:autoSpaceDN w:val="0"/>
              <w:adjustRightInd w:val="0"/>
              <w:spacing w:before="132" w:line="240" w:lineRule="auto"/>
              <w:ind w:left="87" w:right="76" w:firstLine="0" w:firstLineChars="0"/>
              <w:jc w:val="center"/>
              <w:rPr>
                <w:rFonts w:ascii="宋体" w:eastAsia="宋体" w:cs="宋体"/>
                <w:kern w:val="0"/>
                <w:sz w:val="16"/>
                <w:szCs w:val="16"/>
              </w:rPr>
            </w:pPr>
            <w:r>
              <w:rPr>
                <w:rFonts w:hint="eastAsia" w:ascii="宋体" w:eastAsia="宋体" w:cs="宋体"/>
                <w:kern w:val="0"/>
                <w:sz w:val="16"/>
                <w:szCs w:val="16"/>
              </w:rPr>
              <w:t>中亚型</w:t>
            </w:r>
          </w:p>
        </w:tc>
        <w:tc>
          <w:tcPr>
            <w:tcW w:w="79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right="248" w:firstLine="0" w:firstLineChars="0"/>
              <w:jc w:val="right"/>
              <w:rPr>
                <w:rFonts w:cs="Times New Roman"/>
                <w:kern w:val="0"/>
                <w:sz w:val="16"/>
                <w:szCs w:val="16"/>
              </w:rPr>
            </w:pPr>
            <w:r>
              <w:rPr>
                <w:rFonts w:cs="Times New Roman"/>
                <w:kern w:val="0"/>
                <w:sz w:val="16"/>
                <w:szCs w:val="16"/>
              </w:rPr>
              <w:t>+++</w:t>
            </w:r>
          </w:p>
        </w:tc>
        <w:tc>
          <w:tcPr>
            <w:tcW w:w="593"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143" w:line="240" w:lineRule="auto"/>
              <w:ind w:left="10" w:firstLine="0" w:firstLineChars="0"/>
              <w:jc w:val="center"/>
              <w:rPr>
                <w:rFonts w:cs="Times New Roman"/>
                <w:kern w:val="0"/>
                <w:sz w:val="16"/>
                <w:szCs w:val="16"/>
              </w:rPr>
            </w:pPr>
            <w:r>
              <w:rPr>
                <w:rFonts w:ascii="宋体" w:hAnsi="宋体" w:eastAsia="宋体" w:cs="宋体"/>
                <w:kern w:val="0"/>
                <w:sz w:val="16"/>
                <w:szCs w:val="16"/>
              </w:rPr>
              <w:t>Ⅲ</w:t>
            </w:r>
          </w:p>
        </w:tc>
        <w:tc>
          <w:tcPr>
            <w:tcW w:w="572"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564"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7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c>
          <w:tcPr>
            <w:tcW w:w="689" w:type="dxa"/>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line="240" w:lineRule="auto"/>
              <w:ind w:firstLine="0" w:firstLineChars="0"/>
              <w:jc w:val="left"/>
              <w:rPr>
                <w:rFonts w:cs="Times New Roman"/>
                <w:kern w:val="0"/>
                <w:sz w:val="16"/>
                <w:szCs w:val="16"/>
              </w:rPr>
            </w:pPr>
          </w:p>
        </w:tc>
      </w:tr>
      <w:tr>
        <w:tblPrEx>
          <w:tblCellMar>
            <w:top w:w="0" w:type="dxa"/>
            <w:left w:w="0" w:type="dxa"/>
            <w:bottom w:w="0" w:type="dxa"/>
            <w:right w:w="0" w:type="dxa"/>
          </w:tblCellMar>
        </w:tblPrEx>
        <w:trPr>
          <w:trHeight w:val="467" w:hRule="atLeast"/>
        </w:trPr>
        <w:tc>
          <w:tcPr>
            <w:tcW w:w="9003" w:type="dxa"/>
            <w:gridSpan w:val="10"/>
            <w:tcBorders>
              <w:top w:val="single" w:color="000000" w:sz="4" w:space="0"/>
              <w:left w:val="single" w:color="000000" w:sz="4" w:space="0"/>
              <w:bottom w:val="single" w:color="000000" w:sz="4" w:space="0"/>
              <w:right w:val="single" w:color="000000" w:sz="4" w:space="0"/>
            </w:tcBorders>
          </w:tcPr>
          <w:p>
            <w:pPr>
              <w:kinsoku w:val="0"/>
              <w:overflowPunct w:val="0"/>
              <w:autoSpaceDE w:val="0"/>
              <w:autoSpaceDN w:val="0"/>
              <w:adjustRightInd w:val="0"/>
              <w:spacing w:before="7" w:line="240" w:lineRule="auto"/>
              <w:ind w:firstLine="0" w:firstLineChars="0"/>
              <w:jc w:val="left"/>
              <w:rPr>
                <w:rFonts w:ascii="宋体" w:eastAsia="宋体" w:cs="宋体"/>
                <w:b/>
                <w:bCs/>
                <w:kern w:val="0"/>
                <w:sz w:val="10"/>
                <w:szCs w:val="10"/>
              </w:rPr>
            </w:pPr>
          </w:p>
          <w:p>
            <w:pPr>
              <w:kinsoku w:val="0"/>
              <w:overflowPunct w:val="0"/>
              <w:autoSpaceDE w:val="0"/>
              <w:autoSpaceDN w:val="0"/>
              <w:adjustRightInd w:val="0"/>
              <w:spacing w:line="240" w:lineRule="auto"/>
              <w:ind w:left="3188" w:right="3178" w:firstLine="0" w:firstLineChars="0"/>
              <w:jc w:val="center"/>
              <w:rPr>
                <w:rFonts w:ascii="等线" w:eastAsia="等线" w:cs="等线"/>
                <w:w w:val="95"/>
                <w:kern w:val="0"/>
                <w:sz w:val="13"/>
                <w:szCs w:val="13"/>
              </w:rPr>
            </w:pPr>
            <w:r>
              <w:rPr>
                <w:rFonts w:hint="eastAsia" w:ascii="等线" w:eastAsia="等线" w:cs="等线"/>
                <w:w w:val="95"/>
                <w:kern w:val="0"/>
                <w:sz w:val="13"/>
                <w:szCs w:val="13"/>
              </w:rPr>
              <w:t>注：数量等级：</w:t>
            </w:r>
            <w:r>
              <w:rPr>
                <w:rFonts w:eastAsia="等线" w:cs="Times New Roman"/>
                <w:w w:val="95"/>
                <w:kern w:val="0"/>
                <w:sz w:val="13"/>
                <w:szCs w:val="13"/>
              </w:rPr>
              <w:t>+</w:t>
            </w:r>
            <w:r>
              <w:rPr>
                <w:rFonts w:hint="eastAsia" w:ascii="等线" w:eastAsia="等线" w:cs="等线"/>
                <w:w w:val="95"/>
                <w:kern w:val="0"/>
                <w:sz w:val="13"/>
                <w:szCs w:val="13"/>
              </w:rPr>
              <w:t>（常见种），</w:t>
            </w:r>
            <w:r>
              <w:rPr>
                <w:rFonts w:eastAsia="等线" w:cs="Times New Roman"/>
                <w:w w:val="95"/>
                <w:kern w:val="0"/>
                <w:sz w:val="13"/>
                <w:szCs w:val="13"/>
              </w:rPr>
              <w:t>-</w:t>
            </w:r>
            <w:r>
              <w:rPr>
                <w:rFonts w:hint="eastAsia" w:ascii="等线" w:eastAsia="等线" w:cs="等线"/>
                <w:w w:val="95"/>
                <w:kern w:val="0"/>
                <w:sz w:val="13"/>
                <w:szCs w:val="13"/>
              </w:rPr>
              <w:t>（少见种）。</w:t>
            </w:r>
          </w:p>
        </w:tc>
      </w:tr>
    </w:tbl>
    <w:p>
      <w:pPr>
        <w:widowControl/>
        <w:spacing w:line="240" w:lineRule="auto"/>
        <w:ind w:firstLine="0" w:firstLineChars="0"/>
        <w:jc w:val="left"/>
        <w:rPr>
          <w:rFonts w:eastAsia="宋体" w:cs="Times New Roman"/>
          <w:b/>
          <w:sz w:val="28"/>
          <w:szCs w:val="28"/>
        </w:rPr>
      </w:pPr>
    </w:p>
    <w:p>
      <w:pPr>
        <w:widowControl/>
        <w:spacing w:line="240" w:lineRule="auto"/>
        <w:ind w:firstLine="0" w:firstLineChars="0"/>
        <w:jc w:val="left"/>
        <w:rPr>
          <w:b/>
        </w:rPr>
      </w:pPr>
      <w:r>
        <w:br w:type="page"/>
      </w:r>
      <w:r>
        <w:rPr>
          <w:rFonts w:hint="eastAsia"/>
          <w:b/>
        </w:rPr>
        <w:t>附件1</w:t>
      </w:r>
    </w:p>
    <w:p>
      <w:pPr>
        <w:ind w:left="-1" w:leftChars="-177" w:hanging="424" w:hangingChars="176"/>
        <w:rPr>
          <w:b/>
        </w:rPr>
      </w:pPr>
      <w:r>
        <w:rPr>
          <w:b/>
        </w:rPr>
        <w:drawing>
          <wp:inline distT="0" distB="0" distL="0" distR="0">
            <wp:extent cx="5740400" cy="7907020"/>
            <wp:effectExtent l="19050" t="19050" r="12700" b="17780"/>
            <wp:docPr id="21" name="图片 21" descr="C:\Users\魏伯阳\AppData\Local\Temp\WeChat Files\86231d3cc474a5f546f1d7da30478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魏伯阳\AppData\Local\Temp\WeChat Files\86231d3cc474a5f546f1d7da30478af.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744550" cy="7912835"/>
                    </a:xfrm>
                    <a:prstGeom prst="rect">
                      <a:avLst/>
                    </a:prstGeom>
                    <a:noFill/>
                    <a:ln>
                      <a:solidFill>
                        <a:schemeClr val="tx1"/>
                      </a:solidFill>
                    </a:ln>
                  </pic:spPr>
                </pic:pic>
              </a:graphicData>
            </a:graphic>
          </wp:inline>
        </w:drawing>
      </w:r>
    </w:p>
    <w:p>
      <w:pPr>
        <w:widowControl/>
        <w:spacing w:line="240" w:lineRule="auto"/>
        <w:ind w:firstLine="0" w:firstLineChars="0"/>
        <w:jc w:val="left"/>
        <w:rPr>
          <w:b/>
        </w:rPr>
      </w:pPr>
      <w:r>
        <w:rPr>
          <w:b/>
        </w:rPr>
        <w:br w:type="page"/>
      </w:r>
    </w:p>
    <w:p>
      <w:pPr>
        <w:ind w:left="-1" w:leftChars="-177" w:hanging="424" w:hangingChars="176"/>
        <w:rPr>
          <w:b/>
        </w:rPr>
      </w:pPr>
      <w:r>
        <w:rPr>
          <w:b/>
        </w:rPr>
        <w:drawing>
          <wp:inline distT="0" distB="0" distL="0" distR="0">
            <wp:extent cx="5863590" cy="8077200"/>
            <wp:effectExtent l="19050" t="19050" r="22860" b="19050"/>
            <wp:docPr id="22" name="图片 22" descr="C:\Users\魏伯阳\AppData\Local\Temp\WeChat Files\e2d5bc1d43fc2fe8ed4d4e40b022c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魏伯阳\AppData\Local\Temp\WeChat Files\e2d5bc1d43fc2fe8ed4d4e40b022c4f.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864443" cy="8077982"/>
                    </a:xfrm>
                    <a:prstGeom prst="rect">
                      <a:avLst/>
                    </a:prstGeom>
                    <a:noFill/>
                    <a:ln>
                      <a:solidFill>
                        <a:schemeClr val="tx1"/>
                      </a:solidFill>
                    </a:ln>
                  </pic:spPr>
                </pic:pic>
              </a:graphicData>
            </a:graphic>
          </wp:inline>
        </w:drawing>
      </w:r>
    </w:p>
    <w:p>
      <w:pPr>
        <w:widowControl/>
        <w:spacing w:line="240" w:lineRule="auto"/>
        <w:ind w:firstLine="0" w:firstLineChars="0"/>
        <w:jc w:val="left"/>
        <w:rPr>
          <w:b/>
        </w:rPr>
      </w:pPr>
      <w:r>
        <w:rPr>
          <w:b/>
        </w:rPr>
        <w:br w:type="page"/>
      </w:r>
    </w:p>
    <w:p>
      <w:pPr>
        <w:ind w:left="-1" w:leftChars="-177" w:hanging="424" w:hangingChars="176"/>
        <w:rPr>
          <w:b/>
        </w:rPr>
      </w:pPr>
      <w:r>
        <w:rPr>
          <w:b/>
        </w:rPr>
        <w:drawing>
          <wp:inline distT="0" distB="0" distL="0" distR="0">
            <wp:extent cx="5771515" cy="7950200"/>
            <wp:effectExtent l="19050" t="19050" r="19685" b="12700"/>
            <wp:docPr id="23" name="图片 23" descr="C:\Users\魏伯阳\AppData\Local\Temp\WeChat Files\a446e342fd625806f98647eeb65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魏伯阳\AppData\Local\Temp\WeChat Files\a446e342fd625806f98647eeb65005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772235" cy="7950969"/>
                    </a:xfrm>
                    <a:prstGeom prst="rect">
                      <a:avLst/>
                    </a:prstGeom>
                    <a:noFill/>
                    <a:ln>
                      <a:solidFill>
                        <a:schemeClr val="tx1"/>
                      </a:solidFill>
                    </a:ln>
                  </pic:spPr>
                </pic:pic>
              </a:graphicData>
            </a:graphic>
          </wp:inline>
        </w:drawing>
      </w:r>
    </w:p>
    <w:p>
      <w:pPr>
        <w:widowControl/>
        <w:spacing w:line="240" w:lineRule="auto"/>
        <w:ind w:firstLine="0" w:firstLineChars="0"/>
        <w:jc w:val="left"/>
        <w:rPr>
          <w:b/>
        </w:rPr>
      </w:pPr>
      <w:r>
        <w:rPr>
          <w:b/>
        </w:rPr>
        <w:br w:type="page"/>
      </w:r>
    </w:p>
    <w:p>
      <w:pPr>
        <w:widowControl/>
        <w:spacing w:line="240" w:lineRule="auto"/>
        <w:ind w:firstLine="0" w:firstLineChars="0"/>
        <w:jc w:val="left"/>
        <w:rPr>
          <w:b/>
        </w:rPr>
      </w:pPr>
      <w:r>
        <w:rPr>
          <w:rFonts w:hint="eastAsia"/>
          <w:b/>
        </w:rPr>
        <w:t>附件2：</w:t>
      </w:r>
    </w:p>
    <w:p>
      <w:pPr>
        <w:widowControl/>
        <w:spacing w:line="240" w:lineRule="auto"/>
        <w:ind w:firstLine="0" w:firstLineChars="0"/>
        <w:jc w:val="left"/>
        <w:rPr>
          <w:b/>
        </w:rPr>
      </w:pPr>
      <w:r>
        <w:rPr>
          <w:b/>
        </w:rPr>
        <w:drawing>
          <wp:inline distT="0" distB="0" distL="0" distR="0">
            <wp:extent cx="6138545" cy="8181975"/>
            <wp:effectExtent l="1905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noChangeArrowheads="1"/>
                    </pic:cNvPicPr>
                  </pic:nvPicPr>
                  <pic:blipFill>
                    <a:blip r:embed="rId44" cstate="print"/>
                    <a:srcRect/>
                    <a:stretch>
                      <a:fillRect/>
                    </a:stretch>
                  </pic:blipFill>
                  <pic:spPr>
                    <a:xfrm>
                      <a:off x="0" y="0"/>
                      <a:ext cx="6141831" cy="8185540"/>
                    </a:xfrm>
                    <a:prstGeom prst="rect">
                      <a:avLst/>
                    </a:prstGeom>
                    <a:noFill/>
                    <a:ln w="9525">
                      <a:noFill/>
                      <a:miter lim="800000"/>
                      <a:headEnd/>
                      <a:tailEnd/>
                    </a:ln>
                  </pic:spPr>
                </pic:pic>
              </a:graphicData>
            </a:graphic>
          </wp:inline>
        </w:drawing>
      </w:r>
    </w:p>
    <w:p>
      <w:pPr>
        <w:widowControl/>
        <w:spacing w:line="240" w:lineRule="auto"/>
        <w:ind w:firstLine="0" w:firstLineChars="0"/>
        <w:jc w:val="left"/>
        <w:rPr>
          <w:b/>
        </w:rPr>
      </w:pPr>
      <w:r>
        <w:rPr>
          <w:b/>
        </w:rPr>
        <w:br w:type="page"/>
      </w:r>
    </w:p>
    <w:p>
      <w:pPr>
        <w:widowControl/>
        <w:spacing w:line="240" w:lineRule="auto"/>
        <w:ind w:firstLine="0" w:firstLineChars="0"/>
        <w:jc w:val="left"/>
        <w:rPr>
          <w:b/>
        </w:rPr>
      </w:pPr>
      <w:r>
        <w:rPr>
          <w:b/>
        </w:rPr>
        <w:drawing>
          <wp:inline distT="0" distB="0" distL="0" distR="0">
            <wp:extent cx="5724525" cy="7992110"/>
            <wp:effectExtent l="19050" t="0" r="9525"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noChangeArrowheads="1"/>
                    </pic:cNvPicPr>
                  </pic:nvPicPr>
                  <pic:blipFill>
                    <a:blip r:embed="rId45" cstate="print"/>
                    <a:srcRect/>
                    <a:stretch>
                      <a:fillRect/>
                    </a:stretch>
                  </pic:blipFill>
                  <pic:spPr>
                    <a:xfrm>
                      <a:off x="0" y="0"/>
                      <a:ext cx="5725271" cy="7993398"/>
                    </a:xfrm>
                    <a:prstGeom prst="rect">
                      <a:avLst/>
                    </a:prstGeom>
                    <a:noFill/>
                    <a:ln w="9525">
                      <a:noFill/>
                      <a:miter lim="800000"/>
                      <a:headEnd/>
                      <a:tailEnd/>
                    </a:ln>
                  </pic:spPr>
                </pic:pic>
              </a:graphicData>
            </a:graphic>
          </wp:inline>
        </w:drawing>
      </w:r>
    </w:p>
    <w:p>
      <w:pPr>
        <w:widowControl/>
        <w:spacing w:line="240" w:lineRule="auto"/>
        <w:ind w:firstLine="0" w:firstLineChars="0"/>
        <w:jc w:val="left"/>
        <w:rPr>
          <w:b/>
        </w:rPr>
      </w:pPr>
      <w:r>
        <w:rPr>
          <w:b/>
        </w:rPr>
        <w:br w:type="page"/>
      </w:r>
    </w:p>
    <w:p>
      <w:pPr>
        <w:widowControl/>
        <w:spacing w:line="240" w:lineRule="auto"/>
        <w:ind w:firstLine="0" w:firstLineChars="0"/>
        <w:jc w:val="left"/>
        <w:rPr>
          <w:b/>
        </w:rPr>
      </w:pPr>
      <w:r>
        <w:rPr>
          <w:rFonts w:hint="eastAsia"/>
          <w:b/>
        </w:rPr>
        <w:t>附加3：昌吉州专家评审意见及修改说明</w:t>
      </w:r>
    </w:p>
    <w:p>
      <w:pPr>
        <w:widowControl/>
        <w:spacing w:line="240" w:lineRule="auto"/>
        <w:ind w:firstLine="0" w:firstLineChars="0"/>
        <w:jc w:val="left"/>
        <w:rPr>
          <w:b/>
        </w:rPr>
      </w:pPr>
      <w:r>
        <w:rPr>
          <w:b/>
        </w:rPr>
        <w:drawing>
          <wp:inline distT="0" distB="0" distL="0" distR="0">
            <wp:extent cx="5941695" cy="8353425"/>
            <wp:effectExtent l="19050" t="0" r="1833" b="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noChangeArrowheads="1"/>
                    </pic:cNvPicPr>
                  </pic:nvPicPr>
                  <pic:blipFill>
                    <a:blip r:embed="rId46" cstate="print"/>
                    <a:srcRect/>
                    <a:stretch>
                      <a:fillRect/>
                    </a:stretch>
                  </pic:blipFill>
                  <pic:spPr>
                    <a:xfrm>
                      <a:off x="0" y="0"/>
                      <a:ext cx="5945014" cy="8357990"/>
                    </a:xfrm>
                    <a:prstGeom prst="rect">
                      <a:avLst/>
                    </a:prstGeom>
                    <a:noFill/>
                    <a:ln w="9525">
                      <a:noFill/>
                      <a:miter lim="800000"/>
                      <a:headEnd/>
                      <a:tailEnd/>
                    </a:ln>
                  </pic:spPr>
                </pic:pic>
              </a:graphicData>
            </a:graphic>
          </wp:inline>
        </w:drawing>
      </w:r>
      <w:r>
        <w:rPr>
          <w:b/>
        </w:rPr>
        <w:br w:type="page"/>
      </w:r>
    </w:p>
    <w:p>
      <w:pPr>
        <w:widowControl/>
        <w:spacing w:line="240" w:lineRule="auto"/>
        <w:ind w:firstLine="0" w:firstLineChars="0"/>
        <w:jc w:val="left"/>
        <w:rPr>
          <w:b/>
        </w:rPr>
      </w:pPr>
      <w:r>
        <w:rPr>
          <w:b/>
        </w:rPr>
        <w:br w:type="page"/>
      </w:r>
    </w:p>
    <w:sectPr>
      <w:pgSz w:w="11906" w:h="16838"/>
      <w:pgMar w:top="1440" w:right="1800" w:bottom="1440" w:left="180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1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1411890"/>
    </w:sdtPr>
    <w:sdtContent>
      <w:p>
        <w:pPr>
          <w:pStyle w:val="16"/>
          <w:ind w:firstLine="360"/>
          <w:jc w:val="center"/>
        </w:pPr>
        <w:r>
          <w:fldChar w:fldCharType="begin"/>
        </w:r>
        <w:r>
          <w:instrText xml:space="preserve">PAGE   \* MERGEFORMAT</w:instrText>
        </w:r>
        <w:r>
          <w:fldChar w:fldCharType="separate"/>
        </w:r>
        <w:r>
          <w:rPr>
            <w:lang w:val="zh-CN"/>
          </w:rPr>
          <w:t>II</w:t>
        </w:r>
        <w:r>
          <w:rPr>
            <w:lang w:val="zh-CN"/>
          </w:rPr>
          <w:fldChar w:fldCharType="end"/>
        </w:r>
      </w:p>
    </w:sdtContent>
  </w:sdt>
  <w:p>
    <w:pPr>
      <w:pStyle w:val="16"/>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240" w:lineRule="auto"/>
      <w:ind w:firstLine="0" w:firstLineChars="0"/>
      <w:rPr>
        <w:rFonts w:ascii="微软雅黑" w:hAnsi="微软雅黑" w:eastAsia="微软雅黑"/>
      </w:rPr>
    </w:pPr>
    <w:r>
      <w:rPr>
        <w:rFonts w:hint="eastAsia" w:ascii="微软雅黑" w:hAnsi="微软雅黑" w:eastAsia="微软雅黑"/>
      </w:rPr>
      <w:t>新疆玛纳斯国家湿地公园总体规划（2023—2</w:t>
    </w:r>
    <w:r>
      <w:rPr>
        <w:rFonts w:ascii="微软雅黑" w:hAnsi="微软雅黑" w:eastAsia="微软雅黑"/>
      </w:rPr>
      <w:t>0</w:t>
    </w:r>
    <w:r>
      <w:rPr>
        <w:rFonts w:hint="eastAsia" w:ascii="微软雅黑" w:hAnsi="微软雅黑" w:eastAsia="微软雅黑"/>
      </w:rPr>
      <w:t>30）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41D"/>
    <w:multiLevelType w:val="multilevel"/>
    <w:tmpl w:val="0000041D"/>
    <w:lvl w:ilvl="0" w:tentative="0">
      <w:start w:val="5"/>
      <w:numFmt w:val="decimal"/>
      <w:lvlText w:val="%1"/>
      <w:lvlJc w:val="left"/>
      <w:pPr>
        <w:ind w:left="657" w:hanging="377"/>
      </w:pPr>
    </w:lvl>
    <w:lvl w:ilvl="1" w:tentative="0">
      <w:start w:val="1"/>
      <w:numFmt w:val="decimal"/>
      <w:lvlText w:val="%1.%2"/>
      <w:lvlJc w:val="left"/>
      <w:pPr>
        <w:ind w:left="657" w:hanging="377"/>
      </w:pPr>
      <w:rPr>
        <w:rFonts w:ascii="Times New Roman" w:hAnsi="Times New Roman" w:cs="Times New Roman"/>
        <w:b/>
        <w:bCs/>
        <w:spacing w:val="-2"/>
        <w:w w:val="100"/>
        <w:sz w:val="28"/>
        <w:szCs w:val="28"/>
      </w:rPr>
    </w:lvl>
    <w:lvl w:ilvl="2" w:tentative="0">
      <w:start w:val="1"/>
      <w:numFmt w:val="decimal"/>
      <w:lvlText w:val="%1.%2.%3"/>
      <w:lvlJc w:val="left"/>
      <w:pPr>
        <w:ind w:left="911" w:hanging="632"/>
      </w:pPr>
      <w:rPr>
        <w:rFonts w:ascii="Times New Roman" w:hAnsi="Times New Roman" w:cs="Times New Roman"/>
        <w:b/>
        <w:bCs/>
        <w:spacing w:val="-3"/>
        <w:w w:val="100"/>
        <w:sz w:val="28"/>
        <w:szCs w:val="28"/>
      </w:rPr>
    </w:lvl>
    <w:lvl w:ilvl="3" w:tentative="0">
      <w:start w:val="1"/>
      <w:numFmt w:val="decimal"/>
      <w:lvlText w:val="%4)"/>
      <w:lvlJc w:val="left"/>
      <w:pPr>
        <w:ind w:left="1120" w:hanging="360"/>
      </w:pPr>
      <w:rPr>
        <w:rFonts w:ascii="Times New Roman" w:hAnsi="Times New Roman" w:cs="Times New Roman"/>
        <w:b w:val="0"/>
        <w:bCs w:val="0"/>
        <w:w w:val="100"/>
        <w:sz w:val="24"/>
        <w:szCs w:val="24"/>
      </w:rPr>
    </w:lvl>
    <w:lvl w:ilvl="4" w:tentative="0">
      <w:start w:val="0"/>
      <w:numFmt w:val="bullet"/>
      <w:lvlText w:val="•"/>
      <w:lvlJc w:val="left"/>
      <w:pPr>
        <w:ind w:left="3156" w:hanging="360"/>
      </w:pPr>
    </w:lvl>
    <w:lvl w:ilvl="5" w:tentative="0">
      <w:start w:val="0"/>
      <w:numFmt w:val="bullet"/>
      <w:lvlText w:val="•"/>
      <w:lvlJc w:val="left"/>
      <w:pPr>
        <w:ind w:left="4174" w:hanging="360"/>
      </w:pPr>
    </w:lvl>
    <w:lvl w:ilvl="6" w:tentative="0">
      <w:start w:val="0"/>
      <w:numFmt w:val="bullet"/>
      <w:lvlText w:val="•"/>
      <w:lvlJc w:val="left"/>
      <w:pPr>
        <w:ind w:left="5193" w:hanging="360"/>
      </w:pPr>
    </w:lvl>
    <w:lvl w:ilvl="7" w:tentative="0">
      <w:start w:val="0"/>
      <w:numFmt w:val="bullet"/>
      <w:lvlText w:val="•"/>
      <w:lvlJc w:val="left"/>
      <w:pPr>
        <w:ind w:left="6211" w:hanging="360"/>
      </w:pPr>
    </w:lvl>
    <w:lvl w:ilvl="8" w:tentative="0">
      <w:start w:val="0"/>
      <w:numFmt w:val="bullet"/>
      <w:lvlText w:val="•"/>
      <w:lvlJc w:val="left"/>
      <w:pPr>
        <w:ind w:left="7229" w:hanging="360"/>
      </w:pPr>
    </w:lvl>
  </w:abstractNum>
  <w:abstractNum w:abstractNumId="1">
    <w:nsid w:val="00000420"/>
    <w:multiLevelType w:val="multilevel"/>
    <w:tmpl w:val="00000420"/>
    <w:lvl w:ilvl="0" w:tentative="0">
      <w:start w:val="1"/>
      <w:numFmt w:val="decimal"/>
      <w:lvlText w:val="%1."/>
      <w:lvlJc w:val="left"/>
      <w:pPr>
        <w:ind w:left="943" w:hanging="181"/>
      </w:pPr>
      <w:rPr>
        <w:b/>
        <w:bCs/>
        <w:w w:val="100"/>
      </w:rPr>
    </w:lvl>
    <w:lvl w:ilvl="1" w:tentative="0">
      <w:start w:val="0"/>
      <w:numFmt w:val="bullet"/>
      <w:lvlText w:val="•"/>
      <w:lvlJc w:val="left"/>
      <w:pPr>
        <w:ind w:left="1772" w:hanging="181"/>
      </w:pPr>
    </w:lvl>
    <w:lvl w:ilvl="2" w:tentative="0">
      <w:start w:val="0"/>
      <w:numFmt w:val="bullet"/>
      <w:lvlText w:val="•"/>
      <w:lvlJc w:val="left"/>
      <w:pPr>
        <w:ind w:left="2605" w:hanging="181"/>
      </w:pPr>
    </w:lvl>
    <w:lvl w:ilvl="3" w:tentative="0">
      <w:start w:val="0"/>
      <w:numFmt w:val="bullet"/>
      <w:lvlText w:val="•"/>
      <w:lvlJc w:val="left"/>
      <w:pPr>
        <w:ind w:left="3437" w:hanging="181"/>
      </w:pPr>
    </w:lvl>
    <w:lvl w:ilvl="4" w:tentative="0">
      <w:start w:val="0"/>
      <w:numFmt w:val="bullet"/>
      <w:lvlText w:val="•"/>
      <w:lvlJc w:val="left"/>
      <w:pPr>
        <w:ind w:left="4270" w:hanging="181"/>
      </w:pPr>
    </w:lvl>
    <w:lvl w:ilvl="5" w:tentative="0">
      <w:start w:val="0"/>
      <w:numFmt w:val="bullet"/>
      <w:lvlText w:val="•"/>
      <w:lvlJc w:val="left"/>
      <w:pPr>
        <w:ind w:left="5103" w:hanging="181"/>
      </w:pPr>
    </w:lvl>
    <w:lvl w:ilvl="6" w:tentative="0">
      <w:start w:val="0"/>
      <w:numFmt w:val="bullet"/>
      <w:lvlText w:val="•"/>
      <w:lvlJc w:val="left"/>
      <w:pPr>
        <w:ind w:left="5935" w:hanging="181"/>
      </w:pPr>
    </w:lvl>
    <w:lvl w:ilvl="7" w:tentative="0">
      <w:start w:val="0"/>
      <w:numFmt w:val="bullet"/>
      <w:lvlText w:val="•"/>
      <w:lvlJc w:val="left"/>
      <w:pPr>
        <w:ind w:left="6768" w:hanging="181"/>
      </w:pPr>
    </w:lvl>
    <w:lvl w:ilvl="8" w:tentative="0">
      <w:start w:val="0"/>
      <w:numFmt w:val="bullet"/>
      <w:lvlText w:val="•"/>
      <w:lvlJc w:val="left"/>
      <w:pPr>
        <w:ind w:left="7601" w:hanging="181"/>
      </w:pPr>
    </w:lvl>
  </w:abstractNum>
  <w:abstractNum w:abstractNumId="2">
    <w:nsid w:val="030D3516"/>
    <w:multiLevelType w:val="multilevel"/>
    <w:tmpl w:val="030D3516"/>
    <w:lvl w:ilvl="0" w:tentative="0">
      <w:start w:val="1"/>
      <w:numFmt w:val="decimal"/>
      <w:lvlText w:val="%1、"/>
      <w:lvlJc w:val="left"/>
      <w:pPr>
        <w:ind w:left="786"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39D133E0"/>
    <w:multiLevelType w:val="multilevel"/>
    <w:tmpl w:val="39D133E0"/>
    <w:lvl w:ilvl="0" w:tentative="0">
      <w:start w:val="1"/>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21D8A2C"/>
    <w:multiLevelType w:val="singleLevel"/>
    <w:tmpl w:val="421D8A2C"/>
    <w:lvl w:ilvl="0" w:tentative="0">
      <w:start w:val="1"/>
      <w:numFmt w:val="decimal"/>
      <w:suff w:val="nothing"/>
      <w:lvlText w:val="%1．"/>
      <w:lvlJc w:val="left"/>
    </w:lvl>
  </w:abstractNum>
  <w:abstractNum w:abstractNumId="5">
    <w:nsid w:val="6ABC09AA"/>
    <w:multiLevelType w:val="multilevel"/>
    <w:tmpl w:val="6ABC09AA"/>
    <w:lvl w:ilvl="0" w:tentative="0">
      <w:start w:val="1"/>
      <w:numFmt w:val="decimal"/>
      <w:pStyle w:val="90"/>
      <w:suff w:val="nothing"/>
      <w:lvlText w:val="%1、"/>
      <w:lvlJc w:val="center"/>
      <w:pPr>
        <w:ind w:left="0" w:firstLine="0"/>
      </w:pPr>
      <w:rPr>
        <w:rFonts w:hint="eastAsia"/>
      </w:rPr>
    </w:lvl>
    <w:lvl w:ilvl="1" w:tentative="0">
      <w:start w:val="1"/>
      <w:numFmt w:val="decimal"/>
      <w:pStyle w:val="93"/>
      <w:suff w:val="nothing"/>
      <w:lvlText w:val="%1.%2"/>
      <w:lvlJc w:val="left"/>
      <w:pPr>
        <w:ind w:left="0" w:firstLine="0"/>
      </w:pPr>
      <w:rPr>
        <w:rFonts w:hint="eastAsia"/>
      </w:rPr>
    </w:lvl>
    <w:lvl w:ilvl="2" w:tentative="0">
      <w:start w:val="1"/>
      <w:numFmt w:val="decimal"/>
      <w:pStyle w:val="95"/>
      <w:suff w:val="nothing"/>
      <w:lvlText w:val="%1.%2.%3 "/>
      <w:lvlJc w:val="left"/>
      <w:pPr>
        <w:ind w:left="0" w:firstLine="0"/>
      </w:pPr>
      <w:rPr>
        <w:rFonts w:hint="eastAsia"/>
      </w:rPr>
    </w:lvl>
    <w:lvl w:ilvl="3" w:tentative="0">
      <w:start w:val="1"/>
      <w:numFmt w:val="decimal"/>
      <w:pStyle w:val="97"/>
      <w:isLgl/>
      <w:suff w:val="nothing"/>
      <w:lvlText w:val="%1.%2.%3.%4 "/>
      <w:lvlJc w:val="left"/>
      <w:pPr>
        <w:ind w:left="0" w:firstLine="0"/>
      </w:pPr>
      <w:rPr>
        <w:rFonts w:hint="eastAsia"/>
      </w:rPr>
    </w:lvl>
    <w:lvl w:ilvl="4" w:tentative="0">
      <w:start w:val="1"/>
      <w:numFmt w:val="decimal"/>
      <w:lvlRestart w:val="2"/>
      <w:pStyle w:val="100"/>
      <w:isLgl/>
      <w:suff w:val="nothing"/>
      <w:lvlText w:val="表%1.%2-%5 "/>
      <w:lvlJc w:val="center"/>
      <w:pPr>
        <w:ind w:left="0" w:firstLine="0"/>
      </w:pPr>
      <w:rPr>
        <w:rFonts w:hint="eastAsia"/>
        <w:lang w:val="en-US"/>
      </w:rPr>
    </w:lvl>
    <w:lvl w:ilvl="5" w:tentative="0">
      <w:start w:val="1"/>
      <w:numFmt w:val="none"/>
      <w:lvlRestart w:val="2"/>
      <w:suff w:val="nothing"/>
      <w:lvlText w:val=""/>
      <w:lvlJc w:val="center"/>
      <w:pPr>
        <w:ind w:left="0" w:firstLine="0"/>
      </w:pPr>
      <w:rPr>
        <w:rFonts w:hint="eastAsia"/>
      </w:rPr>
    </w:lvl>
    <w:lvl w:ilvl="6" w:tentative="0">
      <w:start w:val="1"/>
      <w:numFmt w:val="decimal"/>
      <w:lvlRestart w:val="2"/>
      <w:pStyle w:val="102"/>
      <w:isLgl/>
      <w:suff w:val="nothing"/>
      <w:lvlText w:val="图 %1.%2-%7 "/>
      <w:lvlJc w:val="center"/>
      <w:pPr>
        <w:ind w:left="0" w:firstLine="0"/>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ZmMjg3MDQ2MzExNDk0OWY5M2UwNzBmOWViMDBkMGMifQ=="/>
  </w:docVars>
  <w:rsids>
    <w:rsidRoot w:val="00C332BB"/>
    <w:rsid w:val="00005D1F"/>
    <w:rsid w:val="0000763A"/>
    <w:rsid w:val="00007CE4"/>
    <w:rsid w:val="00011731"/>
    <w:rsid w:val="00011A45"/>
    <w:rsid w:val="00013248"/>
    <w:rsid w:val="00014399"/>
    <w:rsid w:val="0001752C"/>
    <w:rsid w:val="0002262C"/>
    <w:rsid w:val="000240C1"/>
    <w:rsid w:val="000253EC"/>
    <w:rsid w:val="00026FE3"/>
    <w:rsid w:val="00027F42"/>
    <w:rsid w:val="0003221D"/>
    <w:rsid w:val="0003282B"/>
    <w:rsid w:val="00034E08"/>
    <w:rsid w:val="000421C3"/>
    <w:rsid w:val="00043CBB"/>
    <w:rsid w:val="0005136D"/>
    <w:rsid w:val="00054D3B"/>
    <w:rsid w:val="00054E0A"/>
    <w:rsid w:val="0005550E"/>
    <w:rsid w:val="00076CA6"/>
    <w:rsid w:val="00082274"/>
    <w:rsid w:val="000869FF"/>
    <w:rsid w:val="000875ED"/>
    <w:rsid w:val="00092B40"/>
    <w:rsid w:val="0009597F"/>
    <w:rsid w:val="000968FA"/>
    <w:rsid w:val="000A5E20"/>
    <w:rsid w:val="000B4131"/>
    <w:rsid w:val="000B5A60"/>
    <w:rsid w:val="000B60E9"/>
    <w:rsid w:val="000C6308"/>
    <w:rsid w:val="000D0164"/>
    <w:rsid w:val="000D0AD0"/>
    <w:rsid w:val="000D370D"/>
    <w:rsid w:val="000D3A09"/>
    <w:rsid w:val="000D7B7B"/>
    <w:rsid w:val="000E0478"/>
    <w:rsid w:val="000E165C"/>
    <w:rsid w:val="000E2777"/>
    <w:rsid w:val="000E6912"/>
    <w:rsid w:val="000F3E7A"/>
    <w:rsid w:val="000F5778"/>
    <w:rsid w:val="000F57CB"/>
    <w:rsid w:val="000F58FA"/>
    <w:rsid w:val="000F78F4"/>
    <w:rsid w:val="00101E20"/>
    <w:rsid w:val="00107936"/>
    <w:rsid w:val="00110CAB"/>
    <w:rsid w:val="00113231"/>
    <w:rsid w:val="001143FB"/>
    <w:rsid w:val="0011620A"/>
    <w:rsid w:val="00121770"/>
    <w:rsid w:val="00123545"/>
    <w:rsid w:val="00124000"/>
    <w:rsid w:val="001301BB"/>
    <w:rsid w:val="001307EF"/>
    <w:rsid w:val="00133846"/>
    <w:rsid w:val="00133EE9"/>
    <w:rsid w:val="00142AE9"/>
    <w:rsid w:val="0014345E"/>
    <w:rsid w:val="001445B3"/>
    <w:rsid w:val="0014481F"/>
    <w:rsid w:val="001467A8"/>
    <w:rsid w:val="00150573"/>
    <w:rsid w:val="001538D2"/>
    <w:rsid w:val="00154040"/>
    <w:rsid w:val="001557EF"/>
    <w:rsid w:val="00156158"/>
    <w:rsid w:val="00156524"/>
    <w:rsid w:val="00161B2A"/>
    <w:rsid w:val="00161B3A"/>
    <w:rsid w:val="001651F7"/>
    <w:rsid w:val="0017037B"/>
    <w:rsid w:val="001712BE"/>
    <w:rsid w:val="00175735"/>
    <w:rsid w:val="00175FE7"/>
    <w:rsid w:val="0017702E"/>
    <w:rsid w:val="00181F53"/>
    <w:rsid w:val="00183C44"/>
    <w:rsid w:val="00190448"/>
    <w:rsid w:val="00192A2E"/>
    <w:rsid w:val="00193458"/>
    <w:rsid w:val="001938F7"/>
    <w:rsid w:val="00194000"/>
    <w:rsid w:val="001A3C96"/>
    <w:rsid w:val="001A74ED"/>
    <w:rsid w:val="001A76B0"/>
    <w:rsid w:val="001A7F9D"/>
    <w:rsid w:val="001A7FBE"/>
    <w:rsid w:val="001B55AE"/>
    <w:rsid w:val="001C185E"/>
    <w:rsid w:val="001C25C3"/>
    <w:rsid w:val="001C3C0E"/>
    <w:rsid w:val="001C453D"/>
    <w:rsid w:val="001C6E75"/>
    <w:rsid w:val="001C7A03"/>
    <w:rsid w:val="001D0ABD"/>
    <w:rsid w:val="001D2215"/>
    <w:rsid w:val="001D260D"/>
    <w:rsid w:val="001D2AB6"/>
    <w:rsid w:val="001D3108"/>
    <w:rsid w:val="001D5B0D"/>
    <w:rsid w:val="001D60D0"/>
    <w:rsid w:val="001D628D"/>
    <w:rsid w:val="001E16B7"/>
    <w:rsid w:val="001E27BC"/>
    <w:rsid w:val="001E758A"/>
    <w:rsid w:val="001F12F3"/>
    <w:rsid w:val="001F3668"/>
    <w:rsid w:val="001F3D8D"/>
    <w:rsid w:val="001F7611"/>
    <w:rsid w:val="002024B5"/>
    <w:rsid w:val="002027EE"/>
    <w:rsid w:val="00210DEB"/>
    <w:rsid w:val="002113C9"/>
    <w:rsid w:val="00213328"/>
    <w:rsid w:val="002146D1"/>
    <w:rsid w:val="00215AEB"/>
    <w:rsid w:val="00215C73"/>
    <w:rsid w:val="00225A2E"/>
    <w:rsid w:val="002304C7"/>
    <w:rsid w:val="00230A7A"/>
    <w:rsid w:val="00233C80"/>
    <w:rsid w:val="00235BF0"/>
    <w:rsid w:val="00241B71"/>
    <w:rsid w:val="00245ED6"/>
    <w:rsid w:val="00247DBB"/>
    <w:rsid w:val="0025675E"/>
    <w:rsid w:val="00266F08"/>
    <w:rsid w:val="00272087"/>
    <w:rsid w:val="0027611F"/>
    <w:rsid w:val="002803A3"/>
    <w:rsid w:val="002812CF"/>
    <w:rsid w:val="00287CB3"/>
    <w:rsid w:val="002905B4"/>
    <w:rsid w:val="00293708"/>
    <w:rsid w:val="00293977"/>
    <w:rsid w:val="0029474C"/>
    <w:rsid w:val="00296654"/>
    <w:rsid w:val="002A1E8E"/>
    <w:rsid w:val="002A6A7F"/>
    <w:rsid w:val="002B0C0B"/>
    <w:rsid w:val="002B1DF7"/>
    <w:rsid w:val="002B40D8"/>
    <w:rsid w:val="002B5EC7"/>
    <w:rsid w:val="002B70E2"/>
    <w:rsid w:val="002C021A"/>
    <w:rsid w:val="002C3FC7"/>
    <w:rsid w:val="002C50BD"/>
    <w:rsid w:val="002C759F"/>
    <w:rsid w:val="002D33D2"/>
    <w:rsid w:val="002D62C9"/>
    <w:rsid w:val="002D6857"/>
    <w:rsid w:val="002E28CF"/>
    <w:rsid w:val="002E4AC8"/>
    <w:rsid w:val="002E60C6"/>
    <w:rsid w:val="002F1331"/>
    <w:rsid w:val="002F3160"/>
    <w:rsid w:val="002F3679"/>
    <w:rsid w:val="002F3EDC"/>
    <w:rsid w:val="002F575A"/>
    <w:rsid w:val="00304AFD"/>
    <w:rsid w:val="0031483B"/>
    <w:rsid w:val="00321226"/>
    <w:rsid w:val="00322468"/>
    <w:rsid w:val="00322806"/>
    <w:rsid w:val="00322AFE"/>
    <w:rsid w:val="0032569E"/>
    <w:rsid w:val="00330682"/>
    <w:rsid w:val="003306D2"/>
    <w:rsid w:val="00330AD3"/>
    <w:rsid w:val="003310EF"/>
    <w:rsid w:val="00332422"/>
    <w:rsid w:val="00340712"/>
    <w:rsid w:val="00340ED5"/>
    <w:rsid w:val="00352284"/>
    <w:rsid w:val="00352697"/>
    <w:rsid w:val="00353183"/>
    <w:rsid w:val="00354E10"/>
    <w:rsid w:val="00354EB5"/>
    <w:rsid w:val="00366A7D"/>
    <w:rsid w:val="00370869"/>
    <w:rsid w:val="00377104"/>
    <w:rsid w:val="003807C1"/>
    <w:rsid w:val="003809FA"/>
    <w:rsid w:val="00380C70"/>
    <w:rsid w:val="0038153B"/>
    <w:rsid w:val="00382802"/>
    <w:rsid w:val="00382894"/>
    <w:rsid w:val="00384965"/>
    <w:rsid w:val="003902A2"/>
    <w:rsid w:val="00390416"/>
    <w:rsid w:val="003916DB"/>
    <w:rsid w:val="00391CB7"/>
    <w:rsid w:val="003931A6"/>
    <w:rsid w:val="0039342A"/>
    <w:rsid w:val="003A2CD1"/>
    <w:rsid w:val="003A330D"/>
    <w:rsid w:val="003A3A2A"/>
    <w:rsid w:val="003A53EE"/>
    <w:rsid w:val="003A6DBC"/>
    <w:rsid w:val="003B3027"/>
    <w:rsid w:val="003B3714"/>
    <w:rsid w:val="003B3C86"/>
    <w:rsid w:val="003C05F5"/>
    <w:rsid w:val="003C673C"/>
    <w:rsid w:val="003C73D1"/>
    <w:rsid w:val="003C7609"/>
    <w:rsid w:val="003C76AA"/>
    <w:rsid w:val="003D593C"/>
    <w:rsid w:val="003F14B1"/>
    <w:rsid w:val="003F2202"/>
    <w:rsid w:val="003F2AB2"/>
    <w:rsid w:val="003F2CE2"/>
    <w:rsid w:val="003F5C64"/>
    <w:rsid w:val="004026CF"/>
    <w:rsid w:val="00406270"/>
    <w:rsid w:val="00406641"/>
    <w:rsid w:val="00407086"/>
    <w:rsid w:val="00411B8F"/>
    <w:rsid w:val="0041219D"/>
    <w:rsid w:val="004123A3"/>
    <w:rsid w:val="0041318E"/>
    <w:rsid w:val="00413CA6"/>
    <w:rsid w:val="00414960"/>
    <w:rsid w:val="00414A25"/>
    <w:rsid w:val="00415AC5"/>
    <w:rsid w:val="00420400"/>
    <w:rsid w:val="00422C92"/>
    <w:rsid w:val="004242AA"/>
    <w:rsid w:val="00424BEF"/>
    <w:rsid w:val="0042611B"/>
    <w:rsid w:val="00432C94"/>
    <w:rsid w:val="00433DAD"/>
    <w:rsid w:val="00437995"/>
    <w:rsid w:val="00441D0A"/>
    <w:rsid w:val="004428D9"/>
    <w:rsid w:val="004465AB"/>
    <w:rsid w:val="00451E01"/>
    <w:rsid w:val="00452157"/>
    <w:rsid w:val="0045216F"/>
    <w:rsid w:val="0045358E"/>
    <w:rsid w:val="00460976"/>
    <w:rsid w:val="004622A3"/>
    <w:rsid w:val="0046241C"/>
    <w:rsid w:val="00465B8C"/>
    <w:rsid w:val="004665B5"/>
    <w:rsid w:val="00470ADF"/>
    <w:rsid w:val="00470C85"/>
    <w:rsid w:val="00471900"/>
    <w:rsid w:val="0048081E"/>
    <w:rsid w:val="00485810"/>
    <w:rsid w:val="004862A6"/>
    <w:rsid w:val="004869E4"/>
    <w:rsid w:val="00487C22"/>
    <w:rsid w:val="00487F6A"/>
    <w:rsid w:val="00495CF5"/>
    <w:rsid w:val="004A03A3"/>
    <w:rsid w:val="004A1020"/>
    <w:rsid w:val="004A1251"/>
    <w:rsid w:val="004A269B"/>
    <w:rsid w:val="004A282E"/>
    <w:rsid w:val="004A5E73"/>
    <w:rsid w:val="004A6995"/>
    <w:rsid w:val="004A75D7"/>
    <w:rsid w:val="004B0894"/>
    <w:rsid w:val="004B22A2"/>
    <w:rsid w:val="004B4707"/>
    <w:rsid w:val="004B4B99"/>
    <w:rsid w:val="004B4D53"/>
    <w:rsid w:val="004B5F9E"/>
    <w:rsid w:val="004C035E"/>
    <w:rsid w:val="004C33A5"/>
    <w:rsid w:val="004C40D9"/>
    <w:rsid w:val="004C46C6"/>
    <w:rsid w:val="004C4F91"/>
    <w:rsid w:val="004C692B"/>
    <w:rsid w:val="004C6FB7"/>
    <w:rsid w:val="004C7106"/>
    <w:rsid w:val="004D012A"/>
    <w:rsid w:val="004D0BB4"/>
    <w:rsid w:val="004D1E8D"/>
    <w:rsid w:val="004D4553"/>
    <w:rsid w:val="004D5DB4"/>
    <w:rsid w:val="004D689B"/>
    <w:rsid w:val="004D755E"/>
    <w:rsid w:val="004F14BD"/>
    <w:rsid w:val="004F2248"/>
    <w:rsid w:val="004F50AD"/>
    <w:rsid w:val="004F6E94"/>
    <w:rsid w:val="004F6EC8"/>
    <w:rsid w:val="00502528"/>
    <w:rsid w:val="005027C2"/>
    <w:rsid w:val="00503767"/>
    <w:rsid w:val="00505F62"/>
    <w:rsid w:val="0050758B"/>
    <w:rsid w:val="005104A3"/>
    <w:rsid w:val="0051219C"/>
    <w:rsid w:val="00512BAA"/>
    <w:rsid w:val="00514432"/>
    <w:rsid w:val="00515944"/>
    <w:rsid w:val="00521655"/>
    <w:rsid w:val="00522DA1"/>
    <w:rsid w:val="005246EA"/>
    <w:rsid w:val="005330F6"/>
    <w:rsid w:val="00534134"/>
    <w:rsid w:val="00535696"/>
    <w:rsid w:val="00535AFF"/>
    <w:rsid w:val="00535DD2"/>
    <w:rsid w:val="00536661"/>
    <w:rsid w:val="00541D55"/>
    <w:rsid w:val="00544B03"/>
    <w:rsid w:val="00545BED"/>
    <w:rsid w:val="0054678B"/>
    <w:rsid w:val="00552954"/>
    <w:rsid w:val="00557A65"/>
    <w:rsid w:val="00557B82"/>
    <w:rsid w:val="00563786"/>
    <w:rsid w:val="00563BA4"/>
    <w:rsid w:val="00565380"/>
    <w:rsid w:val="005653C1"/>
    <w:rsid w:val="005663E1"/>
    <w:rsid w:val="00567A10"/>
    <w:rsid w:val="00576833"/>
    <w:rsid w:val="005833C0"/>
    <w:rsid w:val="005A434E"/>
    <w:rsid w:val="005A6757"/>
    <w:rsid w:val="005A735D"/>
    <w:rsid w:val="005A7B5E"/>
    <w:rsid w:val="005B01EF"/>
    <w:rsid w:val="005B242B"/>
    <w:rsid w:val="005B75B3"/>
    <w:rsid w:val="005B7654"/>
    <w:rsid w:val="005C4396"/>
    <w:rsid w:val="005C6C02"/>
    <w:rsid w:val="005D1350"/>
    <w:rsid w:val="005D4FD7"/>
    <w:rsid w:val="005D55E3"/>
    <w:rsid w:val="005D72A2"/>
    <w:rsid w:val="005E5AEB"/>
    <w:rsid w:val="005E6984"/>
    <w:rsid w:val="005F3D01"/>
    <w:rsid w:val="005F51EB"/>
    <w:rsid w:val="00601109"/>
    <w:rsid w:val="00605911"/>
    <w:rsid w:val="00611BA8"/>
    <w:rsid w:val="0061281B"/>
    <w:rsid w:val="00613751"/>
    <w:rsid w:val="0061478D"/>
    <w:rsid w:val="0062153F"/>
    <w:rsid w:val="0062174C"/>
    <w:rsid w:val="006249CF"/>
    <w:rsid w:val="006258FA"/>
    <w:rsid w:val="00626EFC"/>
    <w:rsid w:val="006314FA"/>
    <w:rsid w:val="00631AF5"/>
    <w:rsid w:val="00632B68"/>
    <w:rsid w:val="00637EAF"/>
    <w:rsid w:val="00645DEA"/>
    <w:rsid w:val="00646249"/>
    <w:rsid w:val="00646E9B"/>
    <w:rsid w:val="00647E5A"/>
    <w:rsid w:val="00651ACE"/>
    <w:rsid w:val="00663ED7"/>
    <w:rsid w:val="0067250E"/>
    <w:rsid w:val="00672EB5"/>
    <w:rsid w:val="00672F28"/>
    <w:rsid w:val="0067460B"/>
    <w:rsid w:val="006822D7"/>
    <w:rsid w:val="0068574F"/>
    <w:rsid w:val="006870C5"/>
    <w:rsid w:val="00687F0F"/>
    <w:rsid w:val="00690FAE"/>
    <w:rsid w:val="00691F43"/>
    <w:rsid w:val="006B25C1"/>
    <w:rsid w:val="006B29F0"/>
    <w:rsid w:val="006B5917"/>
    <w:rsid w:val="006C4D3E"/>
    <w:rsid w:val="006D02BF"/>
    <w:rsid w:val="006D21D1"/>
    <w:rsid w:val="006D2C1A"/>
    <w:rsid w:val="006D2C96"/>
    <w:rsid w:val="006D3A54"/>
    <w:rsid w:val="006D6412"/>
    <w:rsid w:val="006D7165"/>
    <w:rsid w:val="006D75B7"/>
    <w:rsid w:val="006D7725"/>
    <w:rsid w:val="006E3DCD"/>
    <w:rsid w:val="006F2031"/>
    <w:rsid w:val="00701A37"/>
    <w:rsid w:val="00702AB0"/>
    <w:rsid w:val="00703282"/>
    <w:rsid w:val="00703840"/>
    <w:rsid w:val="00704966"/>
    <w:rsid w:val="00706802"/>
    <w:rsid w:val="007109D9"/>
    <w:rsid w:val="00711456"/>
    <w:rsid w:val="007136C1"/>
    <w:rsid w:val="007221B6"/>
    <w:rsid w:val="00731BF4"/>
    <w:rsid w:val="00742470"/>
    <w:rsid w:val="007427B5"/>
    <w:rsid w:val="00746FD5"/>
    <w:rsid w:val="00750593"/>
    <w:rsid w:val="007516B6"/>
    <w:rsid w:val="007547BB"/>
    <w:rsid w:val="0075584F"/>
    <w:rsid w:val="00760279"/>
    <w:rsid w:val="00761289"/>
    <w:rsid w:val="00763AD1"/>
    <w:rsid w:val="00766498"/>
    <w:rsid w:val="007715DE"/>
    <w:rsid w:val="00775F44"/>
    <w:rsid w:val="007765BB"/>
    <w:rsid w:val="0078163D"/>
    <w:rsid w:val="00797F90"/>
    <w:rsid w:val="007A169D"/>
    <w:rsid w:val="007A4A37"/>
    <w:rsid w:val="007A5567"/>
    <w:rsid w:val="007A67BB"/>
    <w:rsid w:val="007B0CBB"/>
    <w:rsid w:val="007B175B"/>
    <w:rsid w:val="007B41C4"/>
    <w:rsid w:val="007B4249"/>
    <w:rsid w:val="007B6F90"/>
    <w:rsid w:val="007B7660"/>
    <w:rsid w:val="007B7DF6"/>
    <w:rsid w:val="007C07C7"/>
    <w:rsid w:val="007C1AB0"/>
    <w:rsid w:val="007C269C"/>
    <w:rsid w:val="007C3046"/>
    <w:rsid w:val="007D0033"/>
    <w:rsid w:val="007D4D00"/>
    <w:rsid w:val="007D7975"/>
    <w:rsid w:val="007E0618"/>
    <w:rsid w:val="007E1C88"/>
    <w:rsid w:val="007E667D"/>
    <w:rsid w:val="007E77B8"/>
    <w:rsid w:val="007F40A4"/>
    <w:rsid w:val="0080021F"/>
    <w:rsid w:val="00800EEC"/>
    <w:rsid w:val="00815044"/>
    <w:rsid w:val="008150D5"/>
    <w:rsid w:val="00816B70"/>
    <w:rsid w:val="00817787"/>
    <w:rsid w:val="00820075"/>
    <w:rsid w:val="00821617"/>
    <w:rsid w:val="00822B21"/>
    <w:rsid w:val="00826462"/>
    <w:rsid w:val="008267CC"/>
    <w:rsid w:val="00826A5E"/>
    <w:rsid w:val="00830FBA"/>
    <w:rsid w:val="00832714"/>
    <w:rsid w:val="00835F38"/>
    <w:rsid w:val="00837A1D"/>
    <w:rsid w:val="008470C2"/>
    <w:rsid w:val="00847F3E"/>
    <w:rsid w:val="00851762"/>
    <w:rsid w:val="0085269F"/>
    <w:rsid w:val="0085431A"/>
    <w:rsid w:val="00854AC5"/>
    <w:rsid w:val="00855BD7"/>
    <w:rsid w:val="00856874"/>
    <w:rsid w:val="00861634"/>
    <w:rsid w:val="00866B61"/>
    <w:rsid w:val="00870721"/>
    <w:rsid w:val="00870929"/>
    <w:rsid w:val="00870935"/>
    <w:rsid w:val="00876F99"/>
    <w:rsid w:val="00880BA8"/>
    <w:rsid w:val="00881ACA"/>
    <w:rsid w:val="00890ECB"/>
    <w:rsid w:val="00893996"/>
    <w:rsid w:val="008942B6"/>
    <w:rsid w:val="00894579"/>
    <w:rsid w:val="0089464D"/>
    <w:rsid w:val="00894FB3"/>
    <w:rsid w:val="00896A68"/>
    <w:rsid w:val="00897C33"/>
    <w:rsid w:val="008A5BC7"/>
    <w:rsid w:val="008B2617"/>
    <w:rsid w:val="008B6021"/>
    <w:rsid w:val="008C05AF"/>
    <w:rsid w:val="008C5533"/>
    <w:rsid w:val="008D04E1"/>
    <w:rsid w:val="008F078F"/>
    <w:rsid w:val="008F6DD7"/>
    <w:rsid w:val="008F7524"/>
    <w:rsid w:val="00900B8D"/>
    <w:rsid w:val="009012C9"/>
    <w:rsid w:val="00903AB8"/>
    <w:rsid w:val="009051FA"/>
    <w:rsid w:val="009052B2"/>
    <w:rsid w:val="00905C98"/>
    <w:rsid w:val="00907EBB"/>
    <w:rsid w:val="009118F3"/>
    <w:rsid w:val="00914728"/>
    <w:rsid w:val="00916228"/>
    <w:rsid w:val="00917852"/>
    <w:rsid w:val="00924023"/>
    <w:rsid w:val="00926DE4"/>
    <w:rsid w:val="00927BA8"/>
    <w:rsid w:val="00931240"/>
    <w:rsid w:val="00934ED5"/>
    <w:rsid w:val="00936B21"/>
    <w:rsid w:val="00940406"/>
    <w:rsid w:val="00941D4B"/>
    <w:rsid w:val="00947940"/>
    <w:rsid w:val="00947C40"/>
    <w:rsid w:val="00950977"/>
    <w:rsid w:val="00950C21"/>
    <w:rsid w:val="00954BBC"/>
    <w:rsid w:val="00957068"/>
    <w:rsid w:val="00962E1E"/>
    <w:rsid w:val="00971776"/>
    <w:rsid w:val="009755A7"/>
    <w:rsid w:val="009755D9"/>
    <w:rsid w:val="00976358"/>
    <w:rsid w:val="00977322"/>
    <w:rsid w:val="00986AE4"/>
    <w:rsid w:val="00987CC7"/>
    <w:rsid w:val="009902E5"/>
    <w:rsid w:val="009A0054"/>
    <w:rsid w:val="009A2A70"/>
    <w:rsid w:val="009A6DB0"/>
    <w:rsid w:val="009B0908"/>
    <w:rsid w:val="009B2900"/>
    <w:rsid w:val="009B459A"/>
    <w:rsid w:val="009B7483"/>
    <w:rsid w:val="009C1522"/>
    <w:rsid w:val="009C2E61"/>
    <w:rsid w:val="009C5104"/>
    <w:rsid w:val="009C5A32"/>
    <w:rsid w:val="009C6405"/>
    <w:rsid w:val="009C7335"/>
    <w:rsid w:val="009D0890"/>
    <w:rsid w:val="009D214E"/>
    <w:rsid w:val="009D2A75"/>
    <w:rsid w:val="009D56D5"/>
    <w:rsid w:val="009D64AA"/>
    <w:rsid w:val="009D64CD"/>
    <w:rsid w:val="009D6F84"/>
    <w:rsid w:val="009D761A"/>
    <w:rsid w:val="009E138B"/>
    <w:rsid w:val="009E15DD"/>
    <w:rsid w:val="009E1FAF"/>
    <w:rsid w:val="009E5DDD"/>
    <w:rsid w:val="009F24F6"/>
    <w:rsid w:val="009F2E56"/>
    <w:rsid w:val="009F35B3"/>
    <w:rsid w:val="009F6FE4"/>
    <w:rsid w:val="00A12160"/>
    <w:rsid w:val="00A21691"/>
    <w:rsid w:val="00A2351D"/>
    <w:rsid w:val="00A23ED9"/>
    <w:rsid w:val="00A26501"/>
    <w:rsid w:val="00A32EA1"/>
    <w:rsid w:val="00A3457E"/>
    <w:rsid w:val="00A3639F"/>
    <w:rsid w:val="00A40105"/>
    <w:rsid w:val="00A41130"/>
    <w:rsid w:val="00A45C1C"/>
    <w:rsid w:val="00A51C0F"/>
    <w:rsid w:val="00A53D4E"/>
    <w:rsid w:val="00A54FD8"/>
    <w:rsid w:val="00A5602B"/>
    <w:rsid w:val="00A56411"/>
    <w:rsid w:val="00A60202"/>
    <w:rsid w:val="00A60D00"/>
    <w:rsid w:val="00A62CFF"/>
    <w:rsid w:val="00A63192"/>
    <w:rsid w:val="00A657C0"/>
    <w:rsid w:val="00A7116E"/>
    <w:rsid w:val="00A73821"/>
    <w:rsid w:val="00A77E28"/>
    <w:rsid w:val="00A8154F"/>
    <w:rsid w:val="00A95FA5"/>
    <w:rsid w:val="00A96B68"/>
    <w:rsid w:val="00A97FBD"/>
    <w:rsid w:val="00AA1CD8"/>
    <w:rsid w:val="00AA7F9A"/>
    <w:rsid w:val="00AB117A"/>
    <w:rsid w:val="00AC01C3"/>
    <w:rsid w:val="00AC11B6"/>
    <w:rsid w:val="00AC3E7A"/>
    <w:rsid w:val="00AD01FB"/>
    <w:rsid w:val="00AD3B21"/>
    <w:rsid w:val="00AF6972"/>
    <w:rsid w:val="00AF6FE9"/>
    <w:rsid w:val="00AF7708"/>
    <w:rsid w:val="00AF7B6A"/>
    <w:rsid w:val="00B052C7"/>
    <w:rsid w:val="00B06D2E"/>
    <w:rsid w:val="00B10D1A"/>
    <w:rsid w:val="00B12842"/>
    <w:rsid w:val="00B14AC6"/>
    <w:rsid w:val="00B16B7D"/>
    <w:rsid w:val="00B179D0"/>
    <w:rsid w:val="00B17A6D"/>
    <w:rsid w:val="00B17F3B"/>
    <w:rsid w:val="00B2254C"/>
    <w:rsid w:val="00B25930"/>
    <w:rsid w:val="00B26140"/>
    <w:rsid w:val="00B3024B"/>
    <w:rsid w:val="00B32D49"/>
    <w:rsid w:val="00B35713"/>
    <w:rsid w:val="00B4277F"/>
    <w:rsid w:val="00B42F35"/>
    <w:rsid w:val="00B46595"/>
    <w:rsid w:val="00B4758B"/>
    <w:rsid w:val="00B47912"/>
    <w:rsid w:val="00B57CC0"/>
    <w:rsid w:val="00B61BE6"/>
    <w:rsid w:val="00B62541"/>
    <w:rsid w:val="00B62B06"/>
    <w:rsid w:val="00B62E9A"/>
    <w:rsid w:val="00B63298"/>
    <w:rsid w:val="00B643A3"/>
    <w:rsid w:val="00B74183"/>
    <w:rsid w:val="00B77888"/>
    <w:rsid w:val="00B8116E"/>
    <w:rsid w:val="00B83BB3"/>
    <w:rsid w:val="00B848FB"/>
    <w:rsid w:val="00B84961"/>
    <w:rsid w:val="00B963D6"/>
    <w:rsid w:val="00BA10F4"/>
    <w:rsid w:val="00BA1F0A"/>
    <w:rsid w:val="00BA35EA"/>
    <w:rsid w:val="00BA6585"/>
    <w:rsid w:val="00BA71DE"/>
    <w:rsid w:val="00BB0FBB"/>
    <w:rsid w:val="00BB2CCD"/>
    <w:rsid w:val="00BC34CE"/>
    <w:rsid w:val="00BC5009"/>
    <w:rsid w:val="00BC7A45"/>
    <w:rsid w:val="00BD08E8"/>
    <w:rsid w:val="00BD0D72"/>
    <w:rsid w:val="00BD0E0F"/>
    <w:rsid w:val="00BD104E"/>
    <w:rsid w:val="00BD1537"/>
    <w:rsid w:val="00BD3D71"/>
    <w:rsid w:val="00BD4C62"/>
    <w:rsid w:val="00BD6073"/>
    <w:rsid w:val="00BD6E0A"/>
    <w:rsid w:val="00BD7C45"/>
    <w:rsid w:val="00BE6CE5"/>
    <w:rsid w:val="00BF1A87"/>
    <w:rsid w:val="00BF1CF2"/>
    <w:rsid w:val="00BF2323"/>
    <w:rsid w:val="00BF3F05"/>
    <w:rsid w:val="00BF5DA5"/>
    <w:rsid w:val="00BF64FF"/>
    <w:rsid w:val="00BF6AEB"/>
    <w:rsid w:val="00C044BA"/>
    <w:rsid w:val="00C04E87"/>
    <w:rsid w:val="00C11637"/>
    <w:rsid w:val="00C1192F"/>
    <w:rsid w:val="00C14350"/>
    <w:rsid w:val="00C14892"/>
    <w:rsid w:val="00C15646"/>
    <w:rsid w:val="00C17259"/>
    <w:rsid w:val="00C21448"/>
    <w:rsid w:val="00C21572"/>
    <w:rsid w:val="00C230B9"/>
    <w:rsid w:val="00C25DA1"/>
    <w:rsid w:val="00C32CEA"/>
    <w:rsid w:val="00C332BB"/>
    <w:rsid w:val="00C34564"/>
    <w:rsid w:val="00C358E8"/>
    <w:rsid w:val="00C41945"/>
    <w:rsid w:val="00C41E7D"/>
    <w:rsid w:val="00C42BD8"/>
    <w:rsid w:val="00C442C5"/>
    <w:rsid w:val="00C45A0D"/>
    <w:rsid w:val="00C47562"/>
    <w:rsid w:val="00C51C55"/>
    <w:rsid w:val="00C5270D"/>
    <w:rsid w:val="00C62295"/>
    <w:rsid w:val="00C6357D"/>
    <w:rsid w:val="00C65166"/>
    <w:rsid w:val="00C674CF"/>
    <w:rsid w:val="00C70688"/>
    <w:rsid w:val="00C7210D"/>
    <w:rsid w:val="00C7460A"/>
    <w:rsid w:val="00C753F5"/>
    <w:rsid w:val="00C771EB"/>
    <w:rsid w:val="00C77C80"/>
    <w:rsid w:val="00C81756"/>
    <w:rsid w:val="00C9046C"/>
    <w:rsid w:val="00C913FF"/>
    <w:rsid w:val="00C93906"/>
    <w:rsid w:val="00C93A18"/>
    <w:rsid w:val="00C93BAE"/>
    <w:rsid w:val="00C93D8D"/>
    <w:rsid w:val="00CA12F9"/>
    <w:rsid w:val="00CA15C4"/>
    <w:rsid w:val="00CA6078"/>
    <w:rsid w:val="00CA6A50"/>
    <w:rsid w:val="00CB359C"/>
    <w:rsid w:val="00CB3DA0"/>
    <w:rsid w:val="00CB691A"/>
    <w:rsid w:val="00CC0089"/>
    <w:rsid w:val="00CC119B"/>
    <w:rsid w:val="00CC1B71"/>
    <w:rsid w:val="00CC1E4A"/>
    <w:rsid w:val="00CC3398"/>
    <w:rsid w:val="00CC4FD8"/>
    <w:rsid w:val="00CC5BA4"/>
    <w:rsid w:val="00CD51D0"/>
    <w:rsid w:val="00CE1EA0"/>
    <w:rsid w:val="00CE2554"/>
    <w:rsid w:val="00CE4A08"/>
    <w:rsid w:val="00CE6878"/>
    <w:rsid w:val="00D02679"/>
    <w:rsid w:val="00D02F35"/>
    <w:rsid w:val="00D044A5"/>
    <w:rsid w:val="00D06FCB"/>
    <w:rsid w:val="00D073C6"/>
    <w:rsid w:val="00D101D5"/>
    <w:rsid w:val="00D11B96"/>
    <w:rsid w:val="00D1278F"/>
    <w:rsid w:val="00D12815"/>
    <w:rsid w:val="00D13F4D"/>
    <w:rsid w:val="00D142CF"/>
    <w:rsid w:val="00D1511E"/>
    <w:rsid w:val="00D17565"/>
    <w:rsid w:val="00D210B9"/>
    <w:rsid w:val="00D27429"/>
    <w:rsid w:val="00D354B6"/>
    <w:rsid w:val="00D36012"/>
    <w:rsid w:val="00D460FF"/>
    <w:rsid w:val="00D5110A"/>
    <w:rsid w:val="00D52ADF"/>
    <w:rsid w:val="00D52B9A"/>
    <w:rsid w:val="00D541DD"/>
    <w:rsid w:val="00D55172"/>
    <w:rsid w:val="00D561BF"/>
    <w:rsid w:val="00D5669C"/>
    <w:rsid w:val="00D56801"/>
    <w:rsid w:val="00D62507"/>
    <w:rsid w:val="00D6683F"/>
    <w:rsid w:val="00D7112A"/>
    <w:rsid w:val="00D75AF0"/>
    <w:rsid w:val="00D77437"/>
    <w:rsid w:val="00D8219B"/>
    <w:rsid w:val="00D82379"/>
    <w:rsid w:val="00D83269"/>
    <w:rsid w:val="00D86BFD"/>
    <w:rsid w:val="00D91D48"/>
    <w:rsid w:val="00D94262"/>
    <w:rsid w:val="00D94EB6"/>
    <w:rsid w:val="00D95281"/>
    <w:rsid w:val="00DA1563"/>
    <w:rsid w:val="00DA311C"/>
    <w:rsid w:val="00DA3AAE"/>
    <w:rsid w:val="00DA6DB8"/>
    <w:rsid w:val="00DB043F"/>
    <w:rsid w:val="00DB27F7"/>
    <w:rsid w:val="00DB2B10"/>
    <w:rsid w:val="00DC040A"/>
    <w:rsid w:val="00DC3B02"/>
    <w:rsid w:val="00DC442C"/>
    <w:rsid w:val="00DD08FF"/>
    <w:rsid w:val="00DD3470"/>
    <w:rsid w:val="00DD44F6"/>
    <w:rsid w:val="00DD53E6"/>
    <w:rsid w:val="00DD76D6"/>
    <w:rsid w:val="00DD7E7A"/>
    <w:rsid w:val="00DE357B"/>
    <w:rsid w:val="00DF1E10"/>
    <w:rsid w:val="00DF216F"/>
    <w:rsid w:val="00DF26F1"/>
    <w:rsid w:val="00DF4C0A"/>
    <w:rsid w:val="00DF4EBC"/>
    <w:rsid w:val="00DF7610"/>
    <w:rsid w:val="00E006A4"/>
    <w:rsid w:val="00E107C1"/>
    <w:rsid w:val="00E25AD8"/>
    <w:rsid w:val="00E31434"/>
    <w:rsid w:val="00E31C8D"/>
    <w:rsid w:val="00E3265B"/>
    <w:rsid w:val="00E32968"/>
    <w:rsid w:val="00E342C6"/>
    <w:rsid w:val="00E41335"/>
    <w:rsid w:val="00E432F1"/>
    <w:rsid w:val="00E4593A"/>
    <w:rsid w:val="00E505B7"/>
    <w:rsid w:val="00E509C6"/>
    <w:rsid w:val="00E548B4"/>
    <w:rsid w:val="00E610BF"/>
    <w:rsid w:val="00E6211D"/>
    <w:rsid w:val="00E625EC"/>
    <w:rsid w:val="00E630A6"/>
    <w:rsid w:val="00E641FF"/>
    <w:rsid w:val="00E70882"/>
    <w:rsid w:val="00E71DE6"/>
    <w:rsid w:val="00E722F1"/>
    <w:rsid w:val="00E814CD"/>
    <w:rsid w:val="00E81942"/>
    <w:rsid w:val="00E83448"/>
    <w:rsid w:val="00E94720"/>
    <w:rsid w:val="00E9737E"/>
    <w:rsid w:val="00E97911"/>
    <w:rsid w:val="00E97A0B"/>
    <w:rsid w:val="00EA4B7C"/>
    <w:rsid w:val="00EA7206"/>
    <w:rsid w:val="00EA7DF9"/>
    <w:rsid w:val="00EB25C7"/>
    <w:rsid w:val="00EB3F22"/>
    <w:rsid w:val="00EC4214"/>
    <w:rsid w:val="00EC4DA8"/>
    <w:rsid w:val="00ED12DE"/>
    <w:rsid w:val="00ED1FA2"/>
    <w:rsid w:val="00EE65D6"/>
    <w:rsid w:val="00EF4BB3"/>
    <w:rsid w:val="00EF4DA8"/>
    <w:rsid w:val="00F07193"/>
    <w:rsid w:val="00F10E83"/>
    <w:rsid w:val="00F1672D"/>
    <w:rsid w:val="00F219E3"/>
    <w:rsid w:val="00F26ED2"/>
    <w:rsid w:val="00F3069D"/>
    <w:rsid w:val="00F30F4D"/>
    <w:rsid w:val="00F31119"/>
    <w:rsid w:val="00F40F5F"/>
    <w:rsid w:val="00F41177"/>
    <w:rsid w:val="00F4176D"/>
    <w:rsid w:val="00F4221D"/>
    <w:rsid w:val="00F45573"/>
    <w:rsid w:val="00F60849"/>
    <w:rsid w:val="00F63A60"/>
    <w:rsid w:val="00F649E3"/>
    <w:rsid w:val="00F66379"/>
    <w:rsid w:val="00F73222"/>
    <w:rsid w:val="00F77D1F"/>
    <w:rsid w:val="00F80AAC"/>
    <w:rsid w:val="00F8264A"/>
    <w:rsid w:val="00F836D2"/>
    <w:rsid w:val="00F83720"/>
    <w:rsid w:val="00F94E24"/>
    <w:rsid w:val="00F96E94"/>
    <w:rsid w:val="00F970A4"/>
    <w:rsid w:val="00FA0207"/>
    <w:rsid w:val="00FB74E0"/>
    <w:rsid w:val="00FC0E0A"/>
    <w:rsid w:val="00FC14D7"/>
    <w:rsid w:val="00FC1DA2"/>
    <w:rsid w:val="00FC35D4"/>
    <w:rsid w:val="00FC3E31"/>
    <w:rsid w:val="00FC50BA"/>
    <w:rsid w:val="00FC6C72"/>
    <w:rsid w:val="00FC7A91"/>
    <w:rsid w:val="00FC7C1D"/>
    <w:rsid w:val="00FD0FB7"/>
    <w:rsid w:val="00FD2436"/>
    <w:rsid w:val="00FD7015"/>
    <w:rsid w:val="00FE0691"/>
    <w:rsid w:val="00FE60D9"/>
    <w:rsid w:val="00FE68F3"/>
    <w:rsid w:val="00FE7AC2"/>
    <w:rsid w:val="00FE7B01"/>
    <w:rsid w:val="00FF0018"/>
    <w:rsid w:val="00FF0EAA"/>
    <w:rsid w:val="00FF176F"/>
    <w:rsid w:val="00FF3C10"/>
    <w:rsid w:val="00FF4ECA"/>
    <w:rsid w:val="00FF5860"/>
    <w:rsid w:val="00FF7118"/>
    <w:rsid w:val="023B4F39"/>
    <w:rsid w:val="023F70F7"/>
    <w:rsid w:val="02436927"/>
    <w:rsid w:val="02CF42E1"/>
    <w:rsid w:val="039306A2"/>
    <w:rsid w:val="03CA0201"/>
    <w:rsid w:val="07AE1F01"/>
    <w:rsid w:val="080B468F"/>
    <w:rsid w:val="08723B25"/>
    <w:rsid w:val="08A13AE2"/>
    <w:rsid w:val="0FEC591E"/>
    <w:rsid w:val="105D31DC"/>
    <w:rsid w:val="11720983"/>
    <w:rsid w:val="16D66656"/>
    <w:rsid w:val="170C495B"/>
    <w:rsid w:val="1726744C"/>
    <w:rsid w:val="17A2244B"/>
    <w:rsid w:val="17DA5EDA"/>
    <w:rsid w:val="194D6634"/>
    <w:rsid w:val="1CE46EAE"/>
    <w:rsid w:val="1E1E1F30"/>
    <w:rsid w:val="1E687E40"/>
    <w:rsid w:val="1E8B7C44"/>
    <w:rsid w:val="1E8F4E61"/>
    <w:rsid w:val="1FDA61C3"/>
    <w:rsid w:val="21151763"/>
    <w:rsid w:val="21835740"/>
    <w:rsid w:val="221D1CA0"/>
    <w:rsid w:val="22F201BD"/>
    <w:rsid w:val="234B2E54"/>
    <w:rsid w:val="26C129A8"/>
    <w:rsid w:val="273E14F6"/>
    <w:rsid w:val="28F70FB4"/>
    <w:rsid w:val="2A7A019E"/>
    <w:rsid w:val="2A8148C8"/>
    <w:rsid w:val="2B7C0D56"/>
    <w:rsid w:val="2F756D85"/>
    <w:rsid w:val="302B2738"/>
    <w:rsid w:val="303C41FD"/>
    <w:rsid w:val="30DB4FBE"/>
    <w:rsid w:val="3335776D"/>
    <w:rsid w:val="33456E21"/>
    <w:rsid w:val="37057E09"/>
    <w:rsid w:val="396106AA"/>
    <w:rsid w:val="3AAC4AF7"/>
    <w:rsid w:val="3B3F161A"/>
    <w:rsid w:val="3CB32B39"/>
    <w:rsid w:val="3D4B58AD"/>
    <w:rsid w:val="3E9D158F"/>
    <w:rsid w:val="3EAF1FF2"/>
    <w:rsid w:val="3ED15CC1"/>
    <w:rsid w:val="3F2F5580"/>
    <w:rsid w:val="42031716"/>
    <w:rsid w:val="42AB30CA"/>
    <w:rsid w:val="43FD4DE4"/>
    <w:rsid w:val="44910D82"/>
    <w:rsid w:val="46A6689C"/>
    <w:rsid w:val="48440E08"/>
    <w:rsid w:val="4BE93945"/>
    <w:rsid w:val="4CEF2899"/>
    <w:rsid w:val="4DD836A1"/>
    <w:rsid w:val="4E0437B6"/>
    <w:rsid w:val="4E230563"/>
    <w:rsid w:val="4E251AD6"/>
    <w:rsid w:val="4E7377C8"/>
    <w:rsid w:val="4E8F39A6"/>
    <w:rsid w:val="4F3C5E76"/>
    <w:rsid w:val="4FDB6405"/>
    <w:rsid w:val="51060257"/>
    <w:rsid w:val="527C2B55"/>
    <w:rsid w:val="5340112B"/>
    <w:rsid w:val="5558509F"/>
    <w:rsid w:val="56046570"/>
    <w:rsid w:val="57180148"/>
    <w:rsid w:val="57D94E3A"/>
    <w:rsid w:val="58B869F1"/>
    <w:rsid w:val="5B8D38A4"/>
    <w:rsid w:val="5D065714"/>
    <w:rsid w:val="5E9C1C12"/>
    <w:rsid w:val="5EE04ACE"/>
    <w:rsid w:val="5EE6697D"/>
    <w:rsid w:val="5EF35EE4"/>
    <w:rsid w:val="5FC859D8"/>
    <w:rsid w:val="60713F57"/>
    <w:rsid w:val="615E23A7"/>
    <w:rsid w:val="619C01FB"/>
    <w:rsid w:val="63F77B62"/>
    <w:rsid w:val="64FD4909"/>
    <w:rsid w:val="69EA38BA"/>
    <w:rsid w:val="6BA940A9"/>
    <w:rsid w:val="6BB70031"/>
    <w:rsid w:val="6C0F16A8"/>
    <w:rsid w:val="6D54712C"/>
    <w:rsid w:val="6F243B5B"/>
    <w:rsid w:val="6FCD469E"/>
    <w:rsid w:val="703E62B4"/>
    <w:rsid w:val="707C5A5A"/>
    <w:rsid w:val="72461E95"/>
    <w:rsid w:val="729763E0"/>
    <w:rsid w:val="72EB2A76"/>
    <w:rsid w:val="7342749A"/>
    <w:rsid w:val="73956667"/>
    <w:rsid w:val="74A65D07"/>
    <w:rsid w:val="770B1EB2"/>
    <w:rsid w:val="777F3D9C"/>
    <w:rsid w:val="77835B0B"/>
    <w:rsid w:val="77EE20CC"/>
    <w:rsid w:val="78DC5E61"/>
    <w:rsid w:val="791E41B1"/>
    <w:rsid w:val="79351345"/>
    <w:rsid w:val="7A390472"/>
    <w:rsid w:val="7AE70352"/>
    <w:rsid w:val="7B1E3D92"/>
    <w:rsid w:val="7B6E0521"/>
    <w:rsid w:val="7C3A1381"/>
    <w:rsid w:val="7C5971FE"/>
    <w:rsid w:val="7E2A59DB"/>
    <w:rsid w:val="7F305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1"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semiHidden="0"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Theme="minorEastAsia" w:cstheme="minorBidi"/>
      <w:kern w:val="2"/>
      <w:sz w:val="24"/>
      <w:szCs w:val="22"/>
      <w:lang w:val="en-US" w:eastAsia="zh-CN" w:bidi="ar-SA"/>
    </w:rPr>
  </w:style>
  <w:style w:type="paragraph" w:styleId="2">
    <w:name w:val="heading 1"/>
    <w:basedOn w:val="1"/>
    <w:next w:val="1"/>
    <w:link w:val="32"/>
    <w:autoRedefine/>
    <w:qFormat/>
    <w:uiPriority w:val="1"/>
    <w:pPr>
      <w:keepNext/>
      <w:keepLines/>
      <w:spacing w:before="340" w:after="330" w:line="578" w:lineRule="auto"/>
      <w:jc w:val="center"/>
      <w:outlineLvl w:val="0"/>
    </w:pPr>
    <w:rPr>
      <w:rFonts w:eastAsia="黑体"/>
      <w:b/>
      <w:bCs/>
      <w:kern w:val="44"/>
      <w:sz w:val="36"/>
      <w:szCs w:val="44"/>
    </w:rPr>
  </w:style>
  <w:style w:type="paragraph" w:styleId="3">
    <w:name w:val="heading 2"/>
    <w:basedOn w:val="1"/>
    <w:next w:val="1"/>
    <w:link w:val="33"/>
    <w:autoRedefine/>
    <w:unhideWhenUsed/>
    <w:qFormat/>
    <w:uiPriority w:val="1"/>
    <w:pPr>
      <w:keepNext/>
      <w:keepLines/>
      <w:spacing w:before="260" w:after="260" w:line="415" w:lineRule="auto"/>
      <w:jc w:val="center"/>
      <w:outlineLvl w:val="1"/>
    </w:pPr>
    <w:rPr>
      <w:rFonts w:eastAsia="黑体" w:asciiTheme="majorHAnsi" w:hAnsiTheme="majorHAnsi" w:cstheme="majorBidi"/>
      <w:b/>
      <w:bCs/>
      <w:sz w:val="32"/>
      <w:szCs w:val="32"/>
    </w:rPr>
  </w:style>
  <w:style w:type="paragraph" w:styleId="4">
    <w:name w:val="heading 3"/>
    <w:basedOn w:val="1"/>
    <w:next w:val="1"/>
    <w:link w:val="34"/>
    <w:autoRedefine/>
    <w:unhideWhenUsed/>
    <w:qFormat/>
    <w:uiPriority w:val="1"/>
    <w:pPr>
      <w:keepNext/>
      <w:keepLines/>
      <w:spacing w:before="120" w:after="120" w:line="415" w:lineRule="auto"/>
      <w:ind w:firstLine="0" w:firstLineChars="0"/>
      <w:outlineLvl w:val="2"/>
    </w:pPr>
    <w:rPr>
      <w:rFonts w:eastAsia="黑体"/>
      <w:bCs/>
      <w:sz w:val="28"/>
      <w:szCs w:val="32"/>
    </w:rPr>
  </w:style>
  <w:style w:type="paragraph" w:styleId="5">
    <w:name w:val="heading 4"/>
    <w:basedOn w:val="1"/>
    <w:next w:val="1"/>
    <w:link w:val="36"/>
    <w:autoRedefine/>
    <w:unhideWhenUsed/>
    <w:qFormat/>
    <w:uiPriority w:val="9"/>
    <w:pPr>
      <w:keepNext/>
      <w:keepLines/>
      <w:spacing w:before="120" w:after="120"/>
      <w:ind w:firstLine="0" w:firstLineChars="0"/>
      <w:outlineLvl w:val="3"/>
    </w:pPr>
    <w:rPr>
      <w:rFonts w:eastAsia="宋体" w:cstheme="majorBidi"/>
      <w:b/>
      <w:bCs/>
      <w:szCs w:val="28"/>
    </w:rPr>
  </w:style>
  <w:style w:type="paragraph" w:styleId="6">
    <w:name w:val="heading 5"/>
    <w:basedOn w:val="1"/>
    <w:next w:val="1"/>
    <w:link w:val="37"/>
    <w:unhideWhenUsed/>
    <w:qFormat/>
    <w:uiPriority w:val="9"/>
    <w:pPr>
      <w:keepNext/>
      <w:keepLines/>
      <w:spacing w:before="120" w:after="120"/>
      <w:outlineLvl w:val="4"/>
    </w:pPr>
    <w:rPr>
      <w:b/>
      <w:bCs/>
      <w:szCs w:val="28"/>
    </w:rPr>
  </w:style>
  <w:style w:type="paragraph" w:styleId="7">
    <w:name w:val="heading 6"/>
    <w:basedOn w:val="1"/>
    <w:next w:val="1"/>
    <w:link w:val="103"/>
    <w:unhideWhenUsed/>
    <w:qFormat/>
    <w:uiPriority w:val="9"/>
    <w:pPr>
      <w:keepNext/>
      <w:keepLines/>
      <w:spacing w:before="240" w:after="64" w:line="320" w:lineRule="auto"/>
      <w:outlineLvl w:val="5"/>
    </w:pPr>
    <w:rPr>
      <w:rFonts w:asciiTheme="majorHAnsi" w:hAnsiTheme="majorHAnsi" w:eastAsiaTheme="majorEastAsia" w:cstheme="majorBidi"/>
      <w:b/>
      <w:bCs/>
      <w:szCs w:val="24"/>
    </w:rPr>
  </w:style>
  <w:style w:type="character" w:default="1" w:styleId="27">
    <w:name w:val="Default Paragraph Font"/>
    <w:autoRedefine/>
    <w:unhideWhenUsed/>
    <w:qFormat/>
    <w:uiPriority w:val="1"/>
  </w:style>
  <w:style w:type="table" w:default="1" w:styleId="25">
    <w:name w:val="Normal Table"/>
    <w:unhideWhenUsed/>
    <w:uiPriority w:val="99"/>
    <w:tblPr>
      <w:tblCellMar>
        <w:top w:w="0" w:type="dxa"/>
        <w:left w:w="108" w:type="dxa"/>
        <w:bottom w:w="0" w:type="dxa"/>
        <w:right w:w="108" w:type="dxa"/>
      </w:tblCellMar>
    </w:tblPr>
  </w:style>
  <w:style w:type="paragraph" w:styleId="8">
    <w:name w:val="toc 7"/>
    <w:basedOn w:val="1"/>
    <w:next w:val="1"/>
    <w:autoRedefine/>
    <w:unhideWhenUsed/>
    <w:qFormat/>
    <w:uiPriority w:val="39"/>
    <w:pPr>
      <w:spacing w:line="240" w:lineRule="auto"/>
      <w:ind w:left="2520" w:leftChars="1200" w:firstLine="0" w:firstLineChars="0"/>
    </w:pPr>
    <w:rPr>
      <w:rFonts w:asciiTheme="minorHAnsi" w:hAnsiTheme="minorHAnsi"/>
      <w:sz w:val="21"/>
    </w:rPr>
  </w:style>
  <w:style w:type="paragraph" w:styleId="9">
    <w:name w:val="Normal Indent"/>
    <w:basedOn w:val="10"/>
    <w:qFormat/>
    <w:uiPriority w:val="0"/>
    <w:pPr>
      <w:spacing w:after="0"/>
      <w:ind w:firstLine="480"/>
    </w:pPr>
    <w:rPr>
      <w:rFonts w:eastAsia="宋体" w:cs="Times New Roman"/>
      <w:color w:val="000000"/>
      <w:szCs w:val="20"/>
    </w:rPr>
  </w:style>
  <w:style w:type="paragraph" w:styleId="10">
    <w:name w:val="Body Text"/>
    <w:basedOn w:val="1"/>
    <w:link w:val="39"/>
    <w:autoRedefine/>
    <w:unhideWhenUsed/>
    <w:qFormat/>
    <w:uiPriority w:val="1"/>
    <w:pPr>
      <w:spacing w:after="120"/>
    </w:pPr>
  </w:style>
  <w:style w:type="paragraph" w:styleId="11">
    <w:name w:val="toc 5"/>
    <w:basedOn w:val="1"/>
    <w:next w:val="1"/>
    <w:unhideWhenUsed/>
    <w:qFormat/>
    <w:uiPriority w:val="39"/>
    <w:pPr>
      <w:spacing w:line="240" w:lineRule="auto"/>
      <w:ind w:left="1680" w:leftChars="800" w:firstLine="0" w:firstLineChars="0"/>
    </w:pPr>
    <w:rPr>
      <w:rFonts w:asciiTheme="minorHAnsi" w:hAnsiTheme="minorHAnsi"/>
      <w:sz w:val="21"/>
    </w:rPr>
  </w:style>
  <w:style w:type="paragraph" w:styleId="12">
    <w:name w:val="toc 3"/>
    <w:basedOn w:val="1"/>
    <w:next w:val="1"/>
    <w:unhideWhenUsed/>
    <w:qFormat/>
    <w:uiPriority w:val="39"/>
    <w:pPr>
      <w:ind w:left="840" w:leftChars="400"/>
    </w:pPr>
  </w:style>
  <w:style w:type="paragraph" w:styleId="13">
    <w:name w:val="toc 8"/>
    <w:basedOn w:val="1"/>
    <w:next w:val="1"/>
    <w:unhideWhenUsed/>
    <w:qFormat/>
    <w:uiPriority w:val="39"/>
    <w:pPr>
      <w:spacing w:line="240" w:lineRule="auto"/>
      <w:ind w:left="2940" w:leftChars="1400" w:firstLine="0" w:firstLineChars="0"/>
    </w:pPr>
    <w:rPr>
      <w:rFonts w:asciiTheme="minorHAnsi" w:hAnsiTheme="minorHAnsi"/>
      <w:sz w:val="21"/>
    </w:rPr>
  </w:style>
  <w:style w:type="paragraph" w:styleId="14">
    <w:name w:val="Date"/>
    <w:basedOn w:val="1"/>
    <w:next w:val="1"/>
    <w:link w:val="88"/>
    <w:autoRedefine/>
    <w:unhideWhenUsed/>
    <w:qFormat/>
    <w:uiPriority w:val="99"/>
    <w:pPr>
      <w:ind w:left="100" w:leftChars="2500"/>
    </w:pPr>
  </w:style>
  <w:style w:type="paragraph" w:styleId="15">
    <w:name w:val="Balloon Text"/>
    <w:basedOn w:val="1"/>
    <w:link w:val="89"/>
    <w:autoRedefine/>
    <w:unhideWhenUsed/>
    <w:qFormat/>
    <w:uiPriority w:val="99"/>
    <w:pPr>
      <w:spacing w:line="240" w:lineRule="auto"/>
    </w:pPr>
    <w:rPr>
      <w:sz w:val="18"/>
      <w:szCs w:val="18"/>
    </w:rPr>
  </w:style>
  <w:style w:type="paragraph" w:styleId="16">
    <w:name w:val="footer"/>
    <w:basedOn w:val="1"/>
    <w:link w:val="31"/>
    <w:unhideWhenUsed/>
    <w:qFormat/>
    <w:uiPriority w:val="99"/>
    <w:pPr>
      <w:tabs>
        <w:tab w:val="center" w:pos="4153"/>
        <w:tab w:val="right" w:pos="8306"/>
      </w:tabs>
      <w:snapToGrid w:val="0"/>
      <w:jc w:val="left"/>
    </w:pPr>
    <w:rPr>
      <w:sz w:val="18"/>
      <w:szCs w:val="18"/>
    </w:rPr>
  </w:style>
  <w:style w:type="paragraph" w:styleId="17">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style>
  <w:style w:type="paragraph" w:styleId="19">
    <w:name w:val="toc 4"/>
    <w:basedOn w:val="1"/>
    <w:next w:val="1"/>
    <w:unhideWhenUsed/>
    <w:qFormat/>
    <w:uiPriority w:val="39"/>
    <w:pPr>
      <w:spacing w:line="240" w:lineRule="auto"/>
      <w:ind w:left="1260" w:leftChars="600" w:firstLine="0" w:firstLineChars="0"/>
    </w:pPr>
    <w:rPr>
      <w:rFonts w:asciiTheme="minorHAnsi" w:hAnsiTheme="minorHAnsi"/>
      <w:sz w:val="21"/>
    </w:rPr>
  </w:style>
  <w:style w:type="paragraph" w:styleId="20">
    <w:name w:val="toc 6"/>
    <w:basedOn w:val="1"/>
    <w:next w:val="1"/>
    <w:unhideWhenUsed/>
    <w:qFormat/>
    <w:uiPriority w:val="39"/>
    <w:pPr>
      <w:spacing w:line="240" w:lineRule="auto"/>
      <w:ind w:left="2100" w:leftChars="1000" w:firstLine="0" w:firstLineChars="0"/>
    </w:pPr>
    <w:rPr>
      <w:rFonts w:asciiTheme="minorHAnsi" w:hAnsiTheme="minorHAnsi"/>
      <w:sz w:val="21"/>
    </w:rPr>
  </w:style>
  <w:style w:type="paragraph" w:styleId="21">
    <w:name w:val="toc 2"/>
    <w:basedOn w:val="1"/>
    <w:next w:val="1"/>
    <w:unhideWhenUsed/>
    <w:qFormat/>
    <w:uiPriority w:val="39"/>
    <w:pPr>
      <w:ind w:left="420" w:leftChars="200"/>
    </w:pPr>
  </w:style>
  <w:style w:type="paragraph" w:styleId="22">
    <w:name w:val="toc 9"/>
    <w:basedOn w:val="1"/>
    <w:next w:val="1"/>
    <w:unhideWhenUsed/>
    <w:qFormat/>
    <w:uiPriority w:val="39"/>
    <w:pPr>
      <w:spacing w:line="240" w:lineRule="auto"/>
      <w:ind w:left="3360" w:leftChars="1600" w:firstLine="0" w:firstLineChars="0"/>
    </w:pPr>
    <w:rPr>
      <w:rFonts w:asciiTheme="minorHAnsi" w:hAnsiTheme="minorHAnsi"/>
      <w:sz w:val="21"/>
    </w:rPr>
  </w:style>
  <w:style w:type="paragraph" w:styleId="23">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Cs w:val="24"/>
    </w:rPr>
  </w:style>
  <w:style w:type="paragraph" w:styleId="24">
    <w:name w:val="Title"/>
    <w:basedOn w:val="1"/>
    <w:next w:val="1"/>
    <w:link w:val="104"/>
    <w:qFormat/>
    <w:uiPriority w:val="1"/>
    <w:pPr>
      <w:autoSpaceDE w:val="0"/>
      <w:autoSpaceDN w:val="0"/>
      <w:adjustRightInd w:val="0"/>
      <w:spacing w:before="86" w:line="240" w:lineRule="auto"/>
      <w:ind w:left="4812" w:right="5391" w:firstLine="0" w:firstLineChars="0"/>
    </w:pPr>
    <w:rPr>
      <w:rFonts w:ascii="黑体" w:eastAsia="黑体" w:cs="黑体"/>
      <w:b/>
      <w:bCs/>
      <w:kern w:val="0"/>
      <w:sz w:val="72"/>
      <w:szCs w:val="72"/>
    </w:rPr>
  </w:style>
  <w:style w:type="table" w:styleId="26">
    <w:name w:val="Table Grid"/>
    <w:basedOn w:val="2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FollowedHyperlink"/>
    <w:basedOn w:val="27"/>
    <w:autoRedefine/>
    <w:unhideWhenUsed/>
    <w:qFormat/>
    <w:uiPriority w:val="99"/>
    <w:rPr>
      <w:color w:val="800080"/>
      <w:u w:val="single"/>
    </w:rPr>
  </w:style>
  <w:style w:type="character" w:styleId="29">
    <w:name w:val="Hyperlink"/>
    <w:basedOn w:val="27"/>
    <w:autoRedefine/>
    <w:unhideWhenUsed/>
    <w:qFormat/>
    <w:uiPriority w:val="99"/>
    <w:rPr>
      <w:color w:val="0000FF"/>
      <w:u w:val="single"/>
    </w:rPr>
  </w:style>
  <w:style w:type="character" w:customStyle="1" w:styleId="30">
    <w:name w:val="页眉 字符"/>
    <w:basedOn w:val="27"/>
    <w:link w:val="17"/>
    <w:autoRedefine/>
    <w:qFormat/>
    <w:uiPriority w:val="99"/>
    <w:rPr>
      <w:sz w:val="18"/>
      <w:szCs w:val="18"/>
    </w:rPr>
  </w:style>
  <w:style w:type="character" w:customStyle="1" w:styleId="31">
    <w:name w:val="页脚 字符"/>
    <w:basedOn w:val="27"/>
    <w:link w:val="16"/>
    <w:autoRedefine/>
    <w:qFormat/>
    <w:uiPriority w:val="99"/>
    <w:rPr>
      <w:sz w:val="18"/>
      <w:szCs w:val="18"/>
    </w:rPr>
  </w:style>
  <w:style w:type="character" w:customStyle="1" w:styleId="32">
    <w:name w:val="标题 1 字符"/>
    <w:basedOn w:val="27"/>
    <w:link w:val="2"/>
    <w:autoRedefine/>
    <w:qFormat/>
    <w:uiPriority w:val="9"/>
    <w:rPr>
      <w:rFonts w:eastAsia="黑体"/>
      <w:b/>
      <w:bCs/>
      <w:kern w:val="44"/>
      <w:sz w:val="36"/>
      <w:szCs w:val="44"/>
    </w:rPr>
  </w:style>
  <w:style w:type="character" w:customStyle="1" w:styleId="33">
    <w:name w:val="标题 2 字符"/>
    <w:basedOn w:val="27"/>
    <w:link w:val="3"/>
    <w:autoRedefine/>
    <w:qFormat/>
    <w:uiPriority w:val="9"/>
    <w:rPr>
      <w:rFonts w:eastAsia="黑体" w:asciiTheme="majorHAnsi" w:hAnsiTheme="majorHAnsi" w:cstheme="majorBidi"/>
      <w:b/>
      <w:bCs/>
      <w:sz w:val="32"/>
      <w:szCs w:val="32"/>
    </w:rPr>
  </w:style>
  <w:style w:type="character" w:customStyle="1" w:styleId="34">
    <w:name w:val="标题 3 字符"/>
    <w:basedOn w:val="27"/>
    <w:link w:val="4"/>
    <w:autoRedefine/>
    <w:qFormat/>
    <w:uiPriority w:val="9"/>
    <w:rPr>
      <w:rFonts w:ascii="Times New Roman" w:hAnsi="Times New Roman" w:eastAsia="黑体"/>
      <w:bCs/>
      <w:sz w:val="28"/>
      <w:szCs w:val="32"/>
    </w:rPr>
  </w:style>
  <w:style w:type="paragraph" w:customStyle="1" w:styleId="35">
    <w:name w:val="列表段落1"/>
    <w:basedOn w:val="1"/>
    <w:autoRedefine/>
    <w:qFormat/>
    <w:uiPriority w:val="1"/>
    <w:pPr>
      <w:ind w:firstLine="420"/>
    </w:pPr>
  </w:style>
  <w:style w:type="character" w:customStyle="1" w:styleId="36">
    <w:name w:val="标题 4 字符"/>
    <w:basedOn w:val="27"/>
    <w:link w:val="5"/>
    <w:autoRedefine/>
    <w:qFormat/>
    <w:uiPriority w:val="9"/>
    <w:rPr>
      <w:rFonts w:ascii="Times New Roman" w:hAnsi="Times New Roman" w:eastAsia="宋体" w:cstheme="majorBidi"/>
      <w:b/>
      <w:bCs/>
      <w:sz w:val="24"/>
      <w:szCs w:val="28"/>
    </w:rPr>
  </w:style>
  <w:style w:type="character" w:customStyle="1" w:styleId="37">
    <w:name w:val="标题 5 字符"/>
    <w:basedOn w:val="27"/>
    <w:link w:val="6"/>
    <w:autoRedefine/>
    <w:qFormat/>
    <w:uiPriority w:val="9"/>
    <w:rPr>
      <w:rFonts w:ascii="Times New Roman" w:hAnsi="Times New Roman"/>
      <w:b/>
      <w:bCs/>
      <w:sz w:val="24"/>
      <w:szCs w:val="28"/>
    </w:rPr>
  </w:style>
  <w:style w:type="paragraph" w:customStyle="1" w:styleId="38">
    <w:name w:val="样式 标题 3 + 左侧:  2 字符 右侧:  2 字符 段前: 0.25 行 段后: 0.25 行"/>
    <w:basedOn w:val="4"/>
    <w:next w:val="1"/>
    <w:autoRedefine/>
    <w:qFormat/>
    <w:uiPriority w:val="0"/>
    <w:pPr>
      <w:snapToGrid w:val="0"/>
      <w:spacing w:before="25" w:after="25" w:line="240" w:lineRule="auto"/>
      <w:ind w:left="480" w:leftChars="200" w:right="480" w:rightChars="200"/>
      <w:jc w:val="left"/>
    </w:pPr>
    <w:rPr>
      <w:rFonts w:cs="宋体"/>
      <w:sz w:val="30"/>
      <w:szCs w:val="20"/>
    </w:rPr>
  </w:style>
  <w:style w:type="character" w:customStyle="1" w:styleId="39">
    <w:name w:val="正文文本 字符"/>
    <w:basedOn w:val="27"/>
    <w:link w:val="10"/>
    <w:autoRedefine/>
    <w:semiHidden/>
    <w:qFormat/>
    <w:uiPriority w:val="99"/>
    <w:rPr>
      <w:rFonts w:ascii="Times New Roman" w:hAnsi="Times New Roman"/>
      <w:sz w:val="24"/>
    </w:rPr>
  </w:style>
  <w:style w:type="paragraph" w:customStyle="1" w:styleId="40">
    <w:name w:val="Table Paragraph"/>
    <w:basedOn w:val="1"/>
    <w:autoRedefine/>
    <w:qFormat/>
    <w:uiPriority w:val="1"/>
    <w:pPr>
      <w:autoSpaceDE w:val="0"/>
      <w:autoSpaceDN w:val="0"/>
      <w:adjustRightInd w:val="0"/>
      <w:spacing w:beforeLines="50" w:afterLines="50"/>
      <w:jc w:val="left"/>
    </w:pPr>
    <w:rPr>
      <w:rFonts w:cs="Times New Roman"/>
      <w:kern w:val="0"/>
      <w:szCs w:val="24"/>
    </w:rPr>
  </w:style>
  <w:style w:type="paragraph" w:customStyle="1" w:styleId="4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2">
    <w:name w:val="正文1"/>
    <w:basedOn w:val="1"/>
    <w:next w:val="1"/>
    <w:autoRedefine/>
    <w:qFormat/>
    <w:uiPriority w:val="0"/>
    <w:rPr>
      <w:rFonts w:ascii="宋体" w:hAnsi="宋体" w:eastAsia="宋体" w:cs="Times New Roman"/>
      <w:szCs w:val="21"/>
    </w:rPr>
  </w:style>
  <w:style w:type="paragraph" w:customStyle="1" w:styleId="43">
    <w:name w:val="Char Char4 Char Char"/>
    <w:basedOn w:val="1"/>
    <w:autoRedefine/>
    <w:qFormat/>
    <w:uiPriority w:val="0"/>
    <w:pPr>
      <w:ind w:firstLine="0" w:firstLineChars="0"/>
    </w:pPr>
    <w:rPr>
      <w:rFonts w:ascii="宋体" w:hAnsi="宋体" w:eastAsia="宋体" w:cs="Courier New"/>
      <w:szCs w:val="24"/>
    </w:rPr>
  </w:style>
  <w:style w:type="paragraph" w:customStyle="1" w:styleId="44">
    <w:name w:val="Char"/>
    <w:basedOn w:val="1"/>
    <w:autoRedefine/>
    <w:qFormat/>
    <w:uiPriority w:val="0"/>
    <w:pPr>
      <w:spacing w:line="240" w:lineRule="auto"/>
      <w:ind w:firstLine="0" w:firstLineChars="0"/>
    </w:pPr>
    <w:rPr>
      <w:rFonts w:ascii="Tahoma" w:hAnsi="Tahoma" w:eastAsia="宋体" w:cs="Times New Roman"/>
      <w:szCs w:val="24"/>
    </w:rPr>
  </w:style>
  <w:style w:type="paragraph" w:customStyle="1" w:styleId="45">
    <w:name w:val="无间隔1"/>
    <w:autoRedefine/>
    <w:qFormat/>
    <w:uiPriority w:val="1"/>
    <w:pPr>
      <w:widowControl w:val="0"/>
      <w:spacing w:line="360" w:lineRule="auto"/>
      <w:jc w:val="center"/>
    </w:pPr>
    <w:rPr>
      <w:rFonts w:ascii="宋体" w:hAnsi="宋体" w:eastAsia="黑体" w:cs="宋体"/>
      <w:kern w:val="2"/>
      <w:sz w:val="21"/>
      <w:szCs w:val="22"/>
      <w:lang w:val="en-US" w:eastAsia="zh-CN" w:bidi="ar-SA"/>
    </w:rPr>
  </w:style>
  <w:style w:type="paragraph" w:customStyle="1" w:styleId="46">
    <w:name w:val="font5"/>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47">
    <w:name w:val="font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48">
    <w:name w:val="font7"/>
    <w:basedOn w:val="1"/>
    <w:autoRedefine/>
    <w:qFormat/>
    <w:uiPriority w:val="0"/>
    <w:pPr>
      <w:widowControl/>
      <w:spacing w:before="100" w:beforeAutospacing="1" w:after="100" w:afterAutospacing="1" w:line="240" w:lineRule="auto"/>
      <w:ind w:firstLine="0" w:firstLineChars="0"/>
      <w:jc w:val="left"/>
    </w:pPr>
    <w:rPr>
      <w:rFonts w:eastAsia="宋体" w:cs="Times New Roman"/>
      <w:color w:val="000000"/>
      <w:kern w:val="0"/>
      <w:sz w:val="18"/>
      <w:szCs w:val="18"/>
    </w:rPr>
  </w:style>
  <w:style w:type="paragraph" w:customStyle="1" w:styleId="49">
    <w:name w:val="font8"/>
    <w:basedOn w:val="1"/>
    <w:autoRedefine/>
    <w:qFormat/>
    <w:uiPriority w:val="0"/>
    <w:pPr>
      <w:widowControl/>
      <w:spacing w:before="100" w:beforeAutospacing="1" w:after="100" w:afterAutospacing="1" w:line="240" w:lineRule="auto"/>
      <w:ind w:firstLine="0" w:firstLineChars="0"/>
      <w:jc w:val="left"/>
    </w:pPr>
    <w:rPr>
      <w:rFonts w:eastAsia="宋体" w:cs="Times New Roman"/>
      <w:color w:val="000000"/>
      <w:kern w:val="0"/>
      <w:sz w:val="18"/>
      <w:szCs w:val="18"/>
    </w:rPr>
  </w:style>
  <w:style w:type="paragraph" w:customStyle="1" w:styleId="50">
    <w:name w:val="font9"/>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18"/>
      <w:szCs w:val="18"/>
    </w:rPr>
  </w:style>
  <w:style w:type="paragraph" w:customStyle="1" w:styleId="51">
    <w:name w:val="font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b/>
      <w:bCs/>
      <w:color w:val="000000"/>
      <w:kern w:val="0"/>
      <w:sz w:val="18"/>
      <w:szCs w:val="18"/>
    </w:rPr>
  </w:style>
  <w:style w:type="paragraph" w:customStyle="1" w:styleId="52">
    <w:name w:val="xl65"/>
    <w:basedOn w:val="1"/>
    <w:autoRedefine/>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firstLineChars="0"/>
      <w:textAlignment w:val="center"/>
    </w:pPr>
    <w:rPr>
      <w:rFonts w:ascii="宋体" w:hAnsi="宋体" w:eastAsia="宋体" w:cs="宋体"/>
      <w:b/>
      <w:bCs/>
      <w:kern w:val="0"/>
      <w:sz w:val="18"/>
      <w:szCs w:val="18"/>
    </w:rPr>
  </w:style>
  <w:style w:type="paragraph" w:customStyle="1" w:styleId="53">
    <w:name w:val="xl66"/>
    <w:basedOn w:val="1"/>
    <w:autoRedefine/>
    <w:qFormat/>
    <w:uiPriority w:val="0"/>
    <w:pPr>
      <w:widowControl/>
      <w:pBdr>
        <w:top w:val="single" w:color="auto" w:sz="8" w:space="0"/>
        <w:left w:val="single" w:color="auto" w:sz="8" w:space="0"/>
        <w:bottom w:val="single" w:color="auto" w:sz="8" w:space="0"/>
      </w:pBdr>
      <w:spacing w:before="100" w:beforeAutospacing="1" w:after="100" w:afterAutospacing="1" w:line="240" w:lineRule="auto"/>
      <w:ind w:firstLine="0" w:firstLineChars="0"/>
      <w:textAlignment w:val="center"/>
    </w:pPr>
    <w:rPr>
      <w:rFonts w:ascii="宋体" w:hAnsi="宋体" w:eastAsia="宋体" w:cs="宋体"/>
      <w:b/>
      <w:bCs/>
      <w:kern w:val="0"/>
      <w:sz w:val="18"/>
      <w:szCs w:val="18"/>
    </w:rPr>
  </w:style>
  <w:style w:type="paragraph" w:customStyle="1" w:styleId="54">
    <w:name w:val="xl67"/>
    <w:basedOn w:val="1"/>
    <w:autoRedefine/>
    <w:qFormat/>
    <w:uiPriority w:val="0"/>
    <w:pPr>
      <w:widowControl/>
      <w:pBdr>
        <w:top w:val="single" w:color="auto" w:sz="8" w:space="0"/>
        <w:bottom w:val="single" w:color="auto" w:sz="8" w:space="0"/>
      </w:pBdr>
      <w:spacing w:before="100" w:beforeAutospacing="1" w:after="100" w:afterAutospacing="1" w:line="240" w:lineRule="auto"/>
      <w:ind w:firstLine="0" w:firstLineChars="0"/>
      <w:textAlignment w:val="center"/>
    </w:pPr>
    <w:rPr>
      <w:rFonts w:ascii="宋体" w:hAnsi="宋体" w:eastAsia="宋体" w:cs="宋体"/>
      <w:b/>
      <w:bCs/>
      <w:kern w:val="0"/>
      <w:sz w:val="18"/>
      <w:szCs w:val="18"/>
    </w:rPr>
  </w:style>
  <w:style w:type="paragraph" w:customStyle="1" w:styleId="55">
    <w:name w:val="xl68"/>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line="240" w:lineRule="auto"/>
      <w:ind w:firstLine="0" w:firstLineChars="0"/>
      <w:textAlignment w:val="center"/>
    </w:pPr>
    <w:rPr>
      <w:rFonts w:ascii="宋体" w:hAnsi="宋体" w:eastAsia="宋体" w:cs="宋体"/>
      <w:b/>
      <w:bCs/>
      <w:kern w:val="0"/>
      <w:sz w:val="18"/>
      <w:szCs w:val="18"/>
    </w:rPr>
  </w:style>
  <w:style w:type="paragraph" w:customStyle="1" w:styleId="56">
    <w:name w:val="xl69"/>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firstLineChars="0"/>
      <w:textAlignment w:val="center"/>
    </w:pPr>
    <w:rPr>
      <w:rFonts w:ascii="宋体" w:hAnsi="宋体" w:eastAsia="宋体" w:cs="宋体"/>
      <w:b/>
      <w:bCs/>
      <w:kern w:val="0"/>
      <w:sz w:val="18"/>
      <w:szCs w:val="18"/>
    </w:rPr>
  </w:style>
  <w:style w:type="paragraph" w:customStyle="1" w:styleId="57">
    <w:name w:val="xl70"/>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textAlignment w:val="center"/>
    </w:pPr>
    <w:rPr>
      <w:rFonts w:ascii="宋体" w:hAnsi="宋体" w:eastAsia="宋体" w:cs="宋体"/>
      <w:b/>
      <w:bCs/>
      <w:kern w:val="0"/>
      <w:sz w:val="18"/>
      <w:szCs w:val="18"/>
    </w:rPr>
  </w:style>
  <w:style w:type="paragraph" w:customStyle="1" w:styleId="58">
    <w:name w:val="xl71"/>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b/>
      <w:bCs/>
      <w:kern w:val="0"/>
      <w:sz w:val="18"/>
      <w:szCs w:val="18"/>
    </w:rPr>
  </w:style>
  <w:style w:type="paragraph" w:customStyle="1" w:styleId="59">
    <w:name w:val="xl72"/>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b/>
      <w:bCs/>
      <w:kern w:val="0"/>
      <w:sz w:val="18"/>
      <w:szCs w:val="18"/>
    </w:rPr>
  </w:style>
  <w:style w:type="paragraph" w:customStyle="1" w:styleId="60">
    <w:name w:val="xl73"/>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b/>
      <w:bCs/>
      <w:kern w:val="0"/>
      <w:sz w:val="18"/>
      <w:szCs w:val="18"/>
    </w:rPr>
  </w:style>
  <w:style w:type="paragraph" w:customStyle="1" w:styleId="61">
    <w:name w:val="xl74"/>
    <w:basedOn w:val="1"/>
    <w:autoRedefine/>
    <w:qFormat/>
    <w:uiPriority w:val="0"/>
    <w:pPr>
      <w:widowControl/>
      <w:pBdr>
        <w:bottom w:val="single" w:color="auto" w:sz="8" w:space="0"/>
        <w:right w:val="single" w:color="auto" w:sz="8" w:space="0"/>
      </w:pBdr>
      <w:shd w:val="clear" w:color="000000" w:fill="A6A6A6"/>
      <w:spacing w:before="100" w:beforeAutospacing="1" w:after="100" w:afterAutospacing="1" w:line="240" w:lineRule="auto"/>
      <w:ind w:firstLine="0" w:firstLineChars="0"/>
      <w:textAlignment w:val="center"/>
    </w:pPr>
    <w:rPr>
      <w:rFonts w:ascii="宋体" w:hAnsi="宋体" w:eastAsia="宋体" w:cs="宋体"/>
      <w:b/>
      <w:bCs/>
      <w:kern w:val="0"/>
      <w:sz w:val="18"/>
      <w:szCs w:val="18"/>
    </w:rPr>
  </w:style>
  <w:style w:type="paragraph" w:customStyle="1" w:styleId="62">
    <w:name w:val="xl75"/>
    <w:basedOn w:val="1"/>
    <w:autoRedefine/>
    <w:qFormat/>
    <w:uiPriority w:val="0"/>
    <w:pPr>
      <w:widowControl/>
      <w:pBdr>
        <w:top w:val="single" w:color="auto" w:sz="8" w:space="0"/>
        <w:left w:val="single" w:color="auto" w:sz="8" w:space="0"/>
        <w:bottom w:val="single" w:color="auto" w:sz="8" w:space="0"/>
      </w:pBdr>
      <w:spacing w:before="100" w:beforeAutospacing="1" w:after="100" w:afterAutospacing="1" w:line="240" w:lineRule="auto"/>
      <w:ind w:firstLine="0" w:firstLineChars="0"/>
      <w:jc w:val="center"/>
      <w:textAlignment w:val="center"/>
    </w:pPr>
    <w:rPr>
      <w:rFonts w:ascii="宋体" w:hAnsi="宋体" w:eastAsia="宋体" w:cs="宋体"/>
      <w:b/>
      <w:bCs/>
      <w:kern w:val="0"/>
      <w:sz w:val="18"/>
      <w:szCs w:val="18"/>
    </w:rPr>
  </w:style>
  <w:style w:type="paragraph" w:customStyle="1" w:styleId="63">
    <w:name w:val="xl76"/>
    <w:basedOn w:val="1"/>
    <w:autoRedefine/>
    <w:qFormat/>
    <w:uiPriority w:val="0"/>
    <w:pPr>
      <w:widowControl/>
      <w:pBdr>
        <w:top w:val="single" w:color="auto" w:sz="8" w:space="0"/>
        <w:bottom w:val="single" w:color="auto" w:sz="8" w:space="0"/>
      </w:pBdr>
      <w:spacing w:before="100" w:beforeAutospacing="1" w:after="100" w:afterAutospacing="1" w:line="240" w:lineRule="auto"/>
      <w:ind w:firstLine="0" w:firstLineChars="0"/>
      <w:jc w:val="center"/>
      <w:textAlignment w:val="center"/>
    </w:pPr>
    <w:rPr>
      <w:rFonts w:ascii="宋体" w:hAnsi="宋体" w:eastAsia="宋体" w:cs="宋体"/>
      <w:b/>
      <w:bCs/>
      <w:kern w:val="0"/>
      <w:sz w:val="18"/>
      <w:szCs w:val="18"/>
    </w:rPr>
  </w:style>
  <w:style w:type="paragraph" w:customStyle="1" w:styleId="64">
    <w:name w:val="xl77"/>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ascii="宋体" w:hAnsi="宋体" w:eastAsia="宋体" w:cs="宋体"/>
      <w:b/>
      <w:bCs/>
      <w:kern w:val="0"/>
      <w:sz w:val="18"/>
      <w:szCs w:val="18"/>
    </w:rPr>
  </w:style>
  <w:style w:type="paragraph" w:customStyle="1" w:styleId="65">
    <w:name w:val="xl78"/>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kern w:val="0"/>
      <w:sz w:val="18"/>
      <w:szCs w:val="18"/>
    </w:rPr>
  </w:style>
  <w:style w:type="paragraph" w:customStyle="1" w:styleId="66">
    <w:name w:val="xl79"/>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textAlignment w:val="center"/>
    </w:pPr>
    <w:rPr>
      <w:rFonts w:ascii="宋体" w:hAnsi="宋体" w:eastAsia="宋体" w:cs="宋体"/>
      <w:kern w:val="0"/>
      <w:sz w:val="18"/>
      <w:szCs w:val="18"/>
    </w:rPr>
  </w:style>
  <w:style w:type="paragraph" w:customStyle="1" w:styleId="67">
    <w:name w:val="xl80"/>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kern w:val="0"/>
      <w:sz w:val="18"/>
      <w:szCs w:val="18"/>
    </w:rPr>
  </w:style>
  <w:style w:type="paragraph" w:customStyle="1" w:styleId="68">
    <w:name w:val="xl81"/>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kern w:val="0"/>
      <w:sz w:val="18"/>
      <w:szCs w:val="18"/>
    </w:rPr>
  </w:style>
  <w:style w:type="paragraph" w:customStyle="1" w:styleId="69">
    <w:name w:val="xl82"/>
    <w:basedOn w:val="1"/>
    <w:autoRedefine/>
    <w:qFormat/>
    <w:uiPriority w:val="0"/>
    <w:pPr>
      <w:widowControl/>
      <w:pBdr>
        <w:top w:val="single" w:color="auto" w:sz="8" w:space="0"/>
        <w:left w:val="single" w:color="auto" w:sz="8" w:space="0"/>
        <w:bottom w:val="single" w:color="auto" w:sz="8" w:space="0"/>
      </w:pBdr>
      <w:spacing w:before="100" w:beforeAutospacing="1" w:after="100" w:afterAutospacing="1" w:line="240" w:lineRule="auto"/>
      <w:ind w:firstLine="0" w:firstLineChars="0"/>
      <w:jc w:val="center"/>
      <w:textAlignment w:val="center"/>
    </w:pPr>
    <w:rPr>
      <w:rFonts w:eastAsia="宋体" w:cs="Times New Roman"/>
      <w:kern w:val="0"/>
      <w:sz w:val="18"/>
      <w:szCs w:val="18"/>
    </w:rPr>
  </w:style>
  <w:style w:type="paragraph" w:customStyle="1" w:styleId="70">
    <w:name w:val="xl83"/>
    <w:basedOn w:val="1"/>
    <w:autoRedefine/>
    <w:qFormat/>
    <w:uiPriority w:val="0"/>
    <w:pPr>
      <w:widowControl/>
      <w:pBdr>
        <w:top w:val="single" w:color="auto" w:sz="8" w:space="0"/>
        <w:bottom w:val="single" w:color="auto" w:sz="8" w:space="0"/>
      </w:pBdr>
      <w:spacing w:before="100" w:beforeAutospacing="1" w:after="100" w:afterAutospacing="1" w:line="240" w:lineRule="auto"/>
      <w:ind w:firstLine="0" w:firstLineChars="0"/>
      <w:jc w:val="center"/>
      <w:textAlignment w:val="center"/>
    </w:pPr>
    <w:rPr>
      <w:rFonts w:eastAsia="宋体" w:cs="Times New Roman"/>
      <w:kern w:val="0"/>
      <w:sz w:val="18"/>
      <w:szCs w:val="18"/>
    </w:rPr>
  </w:style>
  <w:style w:type="paragraph" w:customStyle="1" w:styleId="71">
    <w:name w:val="xl84"/>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eastAsia="宋体" w:cs="Times New Roman"/>
      <w:kern w:val="0"/>
      <w:sz w:val="18"/>
      <w:szCs w:val="18"/>
    </w:rPr>
  </w:style>
  <w:style w:type="paragraph" w:customStyle="1" w:styleId="72">
    <w:name w:val="xl85"/>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pPr>
    <w:rPr>
      <w:rFonts w:ascii="宋体" w:hAnsi="宋体" w:eastAsia="宋体" w:cs="宋体"/>
      <w:kern w:val="0"/>
      <w:sz w:val="18"/>
      <w:szCs w:val="18"/>
    </w:rPr>
  </w:style>
  <w:style w:type="paragraph" w:customStyle="1" w:styleId="73">
    <w:name w:val="xl86"/>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kern w:val="0"/>
      <w:sz w:val="18"/>
      <w:szCs w:val="18"/>
    </w:rPr>
  </w:style>
  <w:style w:type="paragraph" w:customStyle="1" w:styleId="74">
    <w:name w:val="xl87"/>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pPr>
    <w:rPr>
      <w:rFonts w:eastAsia="宋体" w:cs="Times New Roman"/>
      <w:kern w:val="0"/>
      <w:sz w:val="18"/>
      <w:szCs w:val="18"/>
    </w:rPr>
  </w:style>
  <w:style w:type="paragraph" w:customStyle="1" w:styleId="75">
    <w:name w:val="xl88"/>
    <w:basedOn w:val="1"/>
    <w:autoRedefine/>
    <w:qFormat/>
    <w:uiPriority w:val="0"/>
    <w:pPr>
      <w:widowControl/>
      <w:pBdr>
        <w:top w:val="single" w:color="auto" w:sz="8" w:space="0"/>
        <w:left w:val="single" w:color="auto" w:sz="8" w:space="0"/>
        <w:bottom w:val="single" w:color="auto" w:sz="8"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76">
    <w:name w:val="xl89"/>
    <w:basedOn w:val="1"/>
    <w:autoRedefine/>
    <w:qFormat/>
    <w:uiPriority w:val="0"/>
    <w:pPr>
      <w:widowControl/>
      <w:pBdr>
        <w:top w:val="single" w:color="auto" w:sz="8" w:space="0"/>
        <w:bottom w:val="single" w:color="auto" w:sz="8"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77">
    <w:name w:val="xl90"/>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78">
    <w:name w:val="xl91"/>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kern w:val="0"/>
      <w:sz w:val="18"/>
      <w:szCs w:val="18"/>
    </w:rPr>
  </w:style>
  <w:style w:type="paragraph" w:customStyle="1" w:styleId="79">
    <w:name w:val="xl92"/>
    <w:basedOn w:val="1"/>
    <w:autoRedefine/>
    <w:qFormat/>
    <w:uiPriority w:val="0"/>
    <w:pPr>
      <w:widowControl/>
      <w:pBdr>
        <w:bottom w:val="single" w:color="auto" w:sz="8" w:space="0"/>
        <w:right w:val="single" w:color="auto" w:sz="8" w:space="0"/>
      </w:pBdr>
      <w:shd w:val="clear" w:color="000000" w:fill="A6A6A6"/>
      <w:spacing w:before="100" w:beforeAutospacing="1" w:after="100" w:afterAutospacing="1" w:line="240" w:lineRule="auto"/>
      <w:ind w:firstLine="0" w:firstLineChars="0"/>
      <w:textAlignment w:val="center"/>
    </w:pPr>
    <w:rPr>
      <w:rFonts w:eastAsia="宋体" w:cs="Times New Roman"/>
      <w:b/>
      <w:bCs/>
      <w:kern w:val="0"/>
      <w:sz w:val="18"/>
      <w:szCs w:val="18"/>
    </w:rPr>
  </w:style>
  <w:style w:type="paragraph" w:customStyle="1" w:styleId="80">
    <w:name w:val="xl93"/>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kern w:val="0"/>
      <w:sz w:val="18"/>
      <w:szCs w:val="18"/>
    </w:rPr>
  </w:style>
  <w:style w:type="paragraph" w:customStyle="1" w:styleId="81">
    <w:name w:val="xl94"/>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line="240" w:lineRule="auto"/>
      <w:ind w:firstLine="0" w:firstLineChars="0"/>
      <w:textAlignment w:val="center"/>
    </w:pPr>
    <w:rPr>
      <w:rFonts w:ascii="宋体" w:hAnsi="宋体" w:eastAsia="宋体" w:cs="宋体"/>
      <w:kern w:val="0"/>
      <w:sz w:val="18"/>
      <w:szCs w:val="18"/>
    </w:rPr>
  </w:style>
  <w:style w:type="paragraph" w:customStyle="1" w:styleId="82">
    <w:name w:val="xl95"/>
    <w:basedOn w:val="1"/>
    <w:autoRedefine/>
    <w:qFormat/>
    <w:uiPriority w:val="0"/>
    <w:pPr>
      <w:widowControl/>
      <w:pBdr>
        <w:top w:val="single" w:color="auto" w:sz="8" w:space="0"/>
        <w:left w:val="single" w:color="auto" w:sz="8" w:space="0"/>
        <w:bottom w:val="single" w:color="auto" w:sz="8" w:space="0"/>
      </w:pBdr>
      <w:shd w:val="clear" w:color="000000" w:fill="A6A6A6"/>
      <w:spacing w:before="100" w:beforeAutospacing="1" w:after="100" w:afterAutospacing="1" w:line="240" w:lineRule="auto"/>
      <w:ind w:firstLine="0" w:firstLineChars="0"/>
      <w:jc w:val="center"/>
      <w:textAlignment w:val="center"/>
    </w:pPr>
    <w:rPr>
      <w:rFonts w:ascii="宋体" w:hAnsi="宋体" w:eastAsia="宋体" w:cs="宋体"/>
      <w:b/>
      <w:bCs/>
      <w:kern w:val="0"/>
      <w:sz w:val="18"/>
      <w:szCs w:val="18"/>
    </w:rPr>
  </w:style>
  <w:style w:type="paragraph" w:customStyle="1" w:styleId="83">
    <w:name w:val="xl96"/>
    <w:basedOn w:val="1"/>
    <w:autoRedefine/>
    <w:qFormat/>
    <w:uiPriority w:val="0"/>
    <w:pPr>
      <w:widowControl/>
      <w:pBdr>
        <w:top w:val="single" w:color="auto" w:sz="8" w:space="0"/>
        <w:bottom w:val="single" w:color="auto" w:sz="8" w:space="0"/>
      </w:pBdr>
      <w:shd w:val="clear" w:color="000000" w:fill="A6A6A6"/>
      <w:spacing w:before="100" w:beforeAutospacing="1" w:after="100" w:afterAutospacing="1" w:line="240" w:lineRule="auto"/>
      <w:ind w:firstLine="0" w:firstLineChars="0"/>
      <w:jc w:val="center"/>
      <w:textAlignment w:val="center"/>
    </w:pPr>
    <w:rPr>
      <w:rFonts w:ascii="宋体" w:hAnsi="宋体" w:eastAsia="宋体" w:cs="宋体"/>
      <w:b/>
      <w:bCs/>
      <w:kern w:val="0"/>
      <w:sz w:val="18"/>
      <w:szCs w:val="18"/>
    </w:rPr>
  </w:style>
  <w:style w:type="paragraph" w:customStyle="1" w:styleId="84">
    <w:name w:val="xl97"/>
    <w:basedOn w:val="1"/>
    <w:autoRedefine/>
    <w:qFormat/>
    <w:uiPriority w:val="0"/>
    <w:pPr>
      <w:widowControl/>
      <w:pBdr>
        <w:top w:val="single" w:color="auto" w:sz="8" w:space="0"/>
        <w:bottom w:val="single" w:color="auto" w:sz="8" w:space="0"/>
        <w:right w:val="single" w:color="auto" w:sz="8" w:space="0"/>
      </w:pBdr>
      <w:shd w:val="clear" w:color="000000" w:fill="A6A6A6"/>
      <w:spacing w:before="100" w:beforeAutospacing="1" w:after="100" w:afterAutospacing="1" w:line="240" w:lineRule="auto"/>
      <w:ind w:firstLine="0" w:firstLineChars="0"/>
      <w:jc w:val="center"/>
      <w:textAlignment w:val="center"/>
    </w:pPr>
    <w:rPr>
      <w:rFonts w:ascii="宋体" w:hAnsi="宋体" w:eastAsia="宋体" w:cs="宋体"/>
      <w:b/>
      <w:bCs/>
      <w:kern w:val="0"/>
      <w:sz w:val="18"/>
      <w:szCs w:val="18"/>
    </w:rPr>
  </w:style>
  <w:style w:type="paragraph" w:customStyle="1" w:styleId="85">
    <w:name w:val="xl98"/>
    <w:basedOn w:val="1"/>
    <w:autoRedefine/>
    <w:qFormat/>
    <w:uiPriority w:val="0"/>
    <w:pPr>
      <w:widowControl/>
      <w:pBdr>
        <w:bottom w:val="single" w:color="auto" w:sz="8" w:space="0"/>
        <w:right w:val="single" w:color="auto" w:sz="8" w:space="0"/>
      </w:pBdr>
      <w:shd w:val="clear" w:color="000000" w:fill="A6A6A6"/>
      <w:spacing w:before="100" w:beforeAutospacing="1" w:after="100" w:afterAutospacing="1" w:line="240" w:lineRule="auto"/>
      <w:ind w:firstLine="0" w:firstLineChars="0"/>
      <w:textAlignment w:val="center"/>
    </w:pPr>
    <w:rPr>
      <w:rFonts w:eastAsia="宋体" w:cs="Times New Roman"/>
      <w:b/>
      <w:bCs/>
      <w:kern w:val="0"/>
      <w:sz w:val="18"/>
      <w:szCs w:val="18"/>
    </w:rPr>
  </w:style>
  <w:style w:type="paragraph" w:customStyle="1" w:styleId="86">
    <w:name w:val="xl99"/>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firstLineChars="0"/>
      <w:textAlignment w:val="center"/>
    </w:pPr>
    <w:rPr>
      <w:rFonts w:eastAsia="宋体" w:cs="Times New Roman"/>
      <w:kern w:val="0"/>
      <w:sz w:val="18"/>
      <w:szCs w:val="18"/>
    </w:rPr>
  </w:style>
  <w:style w:type="paragraph" w:customStyle="1" w:styleId="87">
    <w:name w:val="TOC 标题1"/>
    <w:basedOn w:val="2"/>
    <w:next w:val="1"/>
    <w:autoRedefine/>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88">
    <w:name w:val="日期 字符"/>
    <w:basedOn w:val="27"/>
    <w:link w:val="14"/>
    <w:autoRedefine/>
    <w:semiHidden/>
    <w:qFormat/>
    <w:uiPriority w:val="99"/>
    <w:rPr>
      <w:rFonts w:ascii="Times New Roman" w:hAnsi="Times New Roman"/>
      <w:sz w:val="24"/>
    </w:rPr>
  </w:style>
  <w:style w:type="character" w:customStyle="1" w:styleId="89">
    <w:name w:val="批注框文本 字符"/>
    <w:basedOn w:val="27"/>
    <w:link w:val="15"/>
    <w:autoRedefine/>
    <w:semiHidden/>
    <w:qFormat/>
    <w:uiPriority w:val="99"/>
    <w:rPr>
      <w:rFonts w:ascii="Times New Roman" w:hAnsi="Times New Roman"/>
      <w:sz w:val="18"/>
      <w:szCs w:val="18"/>
    </w:rPr>
  </w:style>
  <w:style w:type="paragraph" w:customStyle="1" w:styleId="90">
    <w:name w:val="1级标题"/>
    <w:next w:val="91"/>
    <w:autoRedefine/>
    <w:qFormat/>
    <w:uiPriority w:val="0"/>
    <w:pPr>
      <w:keepNext/>
      <w:keepLines/>
      <w:pageBreakBefore/>
      <w:numPr>
        <w:ilvl w:val="0"/>
        <w:numId w:val="1"/>
      </w:numPr>
      <w:spacing w:line="360" w:lineRule="auto"/>
      <w:jc w:val="center"/>
      <w:outlineLvl w:val="0"/>
    </w:pPr>
    <w:rPr>
      <w:rFonts w:ascii="Times New Roman" w:hAnsi="Times New Roman" w:eastAsia="宋体" w:cs="宋体"/>
      <w:b/>
      <w:kern w:val="2"/>
      <w:sz w:val="32"/>
      <w:szCs w:val="22"/>
      <w:lang w:val="en-US" w:eastAsia="zh-CN" w:bidi="ar-SA"/>
    </w:rPr>
  </w:style>
  <w:style w:type="paragraph" w:customStyle="1" w:styleId="91">
    <w:name w:val="A我的正文"/>
    <w:link w:val="92"/>
    <w:qFormat/>
    <w:uiPriority w:val="0"/>
    <w:pPr>
      <w:widowControl w:val="0"/>
      <w:topLinePunct/>
      <w:spacing w:line="360" w:lineRule="auto"/>
      <w:ind w:firstLine="200" w:firstLineChars="200"/>
      <w:jc w:val="both"/>
    </w:pPr>
    <w:rPr>
      <w:rFonts w:ascii="Times New Roman" w:hAnsi="Times New Roman" w:eastAsia="宋体" w:cs="宋体"/>
      <w:kern w:val="2"/>
      <w:sz w:val="24"/>
      <w:szCs w:val="22"/>
      <w:lang w:val="en-US" w:eastAsia="zh-CN" w:bidi="ar-SA"/>
    </w:rPr>
  </w:style>
  <w:style w:type="character" w:customStyle="1" w:styleId="92">
    <w:name w:val="A我的正文 字符"/>
    <w:basedOn w:val="27"/>
    <w:link w:val="91"/>
    <w:qFormat/>
    <w:uiPriority w:val="0"/>
    <w:rPr>
      <w:rFonts w:ascii="Times New Roman" w:hAnsi="Times New Roman" w:eastAsia="宋体" w:cs="宋体"/>
      <w:kern w:val="2"/>
      <w:sz w:val="24"/>
      <w:szCs w:val="22"/>
    </w:rPr>
  </w:style>
  <w:style w:type="paragraph" w:customStyle="1" w:styleId="93">
    <w:name w:val="2级标题"/>
    <w:next w:val="91"/>
    <w:link w:val="94"/>
    <w:qFormat/>
    <w:uiPriority w:val="0"/>
    <w:pPr>
      <w:numPr>
        <w:ilvl w:val="1"/>
        <w:numId w:val="1"/>
      </w:numPr>
      <w:outlineLvl w:val="1"/>
    </w:pPr>
    <w:rPr>
      <w:rFonts w:ascii="Times New Roman" w:hAnsi="Times New Roman" w:eastAsia="宋体" w:cs="宋体"/>
      <w:b/>
      <w:kern w:val="2"/>
      <w:sz w:val="30"/>
      <w:szCs w:val="22"/>
      <w:lang w:val="en-US" w:eastAsia="zh-CN" w:bidi="ar-SA"/>
    </w:rPr>
  </w:style>
  <w:style w:type="character" w:customStyle="1" w:styleId="94">
    <w:name w:val="2级标题 Char"/>
    <w:basedOn w:val="27"/>
    <w:link w:val="93"/>
    <w:qFormat/>
    <w:uiPriority w:val="0"/>
    <w:rPr>
      <w:rFonts w:ascii="Times New Roman" w:hAnsi="Times New Roman" w:eastAsia="宋体" w:cs="宋体"/>
      <w:b/>
      <w:kern w:val="2"/>
      <w:sz w:val="30"/>
      <w:szCs w:val="22"/>
    </w:rPr>
  </w:style>
  <w:style w:type="paragraph" w:customStyle="1" w:styleId="95">
    <w:name w:val="3级标题"/>
    <w:next w:val="91"/>
    <w:link w:val="96"/>
    <w:qFormat/>
    <w:uiPriority w:val="0"/>
    <w:pPr>
      <w:numPr>
        <w:ilvl w:val="2"/>
        <w:numId w:val="1"/>
      </w:numPr>
      <w:outlineLvl w:val="2"/>
    </w:pPr>
    <w:rPr>
      <w:rFonts w:ascii="Times New Roman" w:hAnsi="Times New Roman" w:eastAsia="宋体" w:cs="宋体"/>
      <w:b/>
      <w:kern w:val="2"/>
      <w:sz w:val="28"/>
      <w:szCs w:val="22"/>
      <w:lang w:val="en-US" w:eastAsia="zh-CN" w:bidi="ar-SA"/>
    </w:rPr>
  </w:style>
  <w:style w:type="character" w:customStyle="1" w:styleId="96">
    <w:name w:val="3级标题 Char"/>
    <w:basedOn w:val="94"/>
    <w:link w:val="95"/>
    <w:qFormat/>
    <w:uiPriority w:val="0"/>
    <w:rPr>
      <w:rFonts w:ascii="Times New Roman" w:hAnsi="Times New Roman" w:eastAsia="宋体" w:cs="宋体"/>
      <w:kern w:val="2"/>
      <w:sz w:val="28"/>
      <w:szCs w:val="22"/>
    </w:rPr>
  </w:style>
  <w:style w:type="paragraph" w:customStyle="1" w:styleId="97">
    <w:name w:val="4级标题"/>
    <w:next w:val="91"/>
    <w:qFormat/>
    <w:uiPriority w:val="0"/>
    <w:pPr>
      <w:numPr>
        <w:ilvl w:val="3"/>
        <w:numId w:val="1"/>
      </w:numPr>
      <w:outlineLvl w:val="3"/>
    </w:pPr>
    <w:rPr>
      <w:rFonts w:ascii="Times New Roman" w:hAnsi="Times New Roman" w:eastAsia="宋体" w:cs="宋体"/>
      <w:b/>
      <w:kern w:val="2"/>
      <w:sz w:val="24"/>
      <w:szCs w:val="22"/>
      <w:lang w:val="en-US" w:eastAsia="zh-CN" w:bidi="ar-SA"/>
    </w:rPr>
  </w:style>
  <w:style w:type="paragraph" w:customStyle="1" w:styleId="98">
    <w:name w:val="A表格文字"/>
    <w:next w:val="1"/>
    <w:link w:val="99"/>
    <w:qFormat/>
    <w:uiPriority w:val="0"/>
    <w:pPr>
      <w:jc w:val="center"/>
    </w:pPr>
    <w:rPr>
      <w:rFonts w:ascii="Times New Roman" w:hAnsi="Times New Roman" w:eastAsia="宋体" w:cs="宋体"/>
      <w:color w:val="000000"/>
      <w:sz w:val="21"/>
      <w:lang w:val="en-US" w:eastAsia="zh-CN" w:bidi="ar-SA"/>
    </w:rPr>
  </w:style>
  <w:style w:type="character" w:customStyle="1" w:styleId="99">
    <w:name w:val="A表格文字 字符"/>
    <w:basedOn w:val="27"/>
    <w:link w:val="98"/>
    <w:qFormat/>
    <w:uiPriority w:val="0"/>
    <w:rPr>
      <w:rFonts w:ascii="Times New Roman" w:hAnsi="Times New Roman" w:eastAsia="宋体" w:cs="宋体"/>
      <w:color w:val="000000"/>
      <w:sz w:val="21"/>
    </w:rPr>
  </w:style>
  <w:style w:type="paragraph" w:customStyle="1" w:styleId="100">
    <w:name w:val="A我的表头"/>
    <w:next w:val="1"/>
    <w:link w:val="101"/>
    <w:qFormat/>
    <w:uiPriority w:val="1"/>
    <w:pPr>
      <w:keepNext/>
      <w:keepLines/>
      <w:numPr>
        <w:ilvl w:val="4"/>
        <w:numId w:val="1"/>
      </w:numPr>
      <w:spacing w:line="360" w:lineRule="auto"/>
      <w:jc w:val="center"/>
    </w:pPr>
    <w:rPr>
      <w:rFonts w:ascii="Times New Roman" w:hAnsi="Times New Roman" w:eastAsia="黑体" w:cs="宋体"/>
      <w:b/>
      <w:kern w:val="2"/>
      <w:sz w:val="24"/>
      <w:szCs w:val="22"/>
      <w:lang w:val="en-US" w:eastAsia="zh-CN" w:bidi="ar-SA"/>
    </w:rPr>
  </w:style>
  <w:style w:type="character" w:customStyle="1" w:styleId="101">
    <w:name w:val="A我的表头 字符"/>
    <w:basedOn w:val="27"/>
    <w:link w:val="100"/>
    <w:qFormat/>
    <w:uiPriority w:val="1"/>
    <w:rPr>
      <w:rFonts w:ascii="Times New Roman" w:hAnsi="Times New Roman" w:eastAsia="黑体" w:cs="宋体"/>
      <w:b/>
      <w:kern w:val="2"/>
      <w:sz w:val="24"/>
      <w:szCs w:val="22"/>
    </w:rPr>
  </w:style>
  <w:style w:type="paragraph" w:customStyle="1" w:styleId="102">
    <w:name w:val="图片标题"/>
    <w:basedOn w:val="1"/>
    <w:next w:val="91"/>
    <w:qFormat/>
    <w:uiPriority w:val="0"/>
    <w:pPr>
      <w:numPr>
        <w:ilvl w:val="6"/>
        <w:numId w:val="1"/>
      </w:numPr>
      <w:topLinePunct/>
      <w:ind w:firstLineChars="0"/>
      <w:jc w:val="center"/>
    </w:pPr>
    <w:rPr>
      <w:rFonts w:eastAsia="黑体" w:cs="宋体"/>
      <w:b/>
      <w:sz w:val="21"/>
    </w:rPr>
  </w:style>
  <w:style w:type="character" w:customStyle="1" w:styleId="103">
    <w:name w:val="标题 6 字符"/>
    <w:basedOn w:val="27"/>
    <w:link w:val="7"/>
    <w:semiHidden/>
    <w:qFormat/>
    <w:uiPriority w:val="9"/>
    <w:rPr>
      <w:rFonts w:asciiTheme="majorHAnsi" w:hAnsiTheme="majorHAnsi" w:eastAsiaTheme="majorEastAsia" w:cstheme="majorBidi"/>
      <w:b/>
      <w:bCs/>
      <w:kern w:val="2"/>
      <w:sz w:val="24"/>
      <w:szCs w:val="24"/>
    </w:rPr>
  </w:style>
  <w:style w:type="character" w:customStyle="1" w:styleId="104">
    <w:name w:val="标题 字符"/>
    <w:basedOn w:val="27"/>
    <w:link w:val="24"/>
    <w:qFormat/>
    <w:uiPriority w:val="10"/>
    <w:rPr>
      <w:rFonts w:ascii="黑体" w:hAnsi="Times New Roman" w:eastAsia="黑体" w:cs="黑体"/>
      <w:b/>
      <w:bCs/>
      <w:sz w:val="72"/>
      <w:szCs w:val="72"/>
    </w:rPr>
  </w:style>
  <w:style w:type="table" w:customStyle="1" w:styleId="105">
    <w:name w:val="网格型1"/>
    <w:basedOn w:val="25"/>
    <w:qFormat/>
    <w:uiPriority w:val="5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0" Type="http://schemas.openxmlformats.org/officeDocument/2006/relationships/fontTable" Target="fontTable.xml"/><Relationship Id="rId5" Type="http://schemas.openxmlformats.org/officeDocument/2006/relationships/header" Target="header1.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20.png"/><Relationship Id="rId45" Type="http://schemas.openxmlformats.org/officeDocument/2006/relationships/image" Target="media/image19.png"/><Relationship Id="rId44" Type="http://schemas.openxmlformats.org/officeDocument/2006/relationships/image" Target="media/image18.png"/><Relationship Id="rId43" Type="http://schemas.openxmlformats.org/officeDocument/2006/relationships/image" Target="media/image17.jpeg"/><Relationship Id="rId42" Type="http://schemas.openxmlformats.org/officeDocument/2006/relationships/image" Target="media/image16.jpeg"/><Relationship Id="rId41" Type="http://schemas.openxmlformats.org/officeDocument/2006/relationships/image" Target="media/image15.jpeg"/><Relationship Id="rId40" Type="http://schemas.openxmlformats.org/officeDocument/2006/relationships/image" Target="media/image14.wmf"/><Relationship Id="rId4" Type="http://schemas.openxmlformats.org/officeDocument/2006/relationships/endnotes" Target="endnotes.xml"/><Relationship Id="rId39" Type="http://schemas.openxmlformats.org/officeDocument/2006/relationships/oleObject" Target="embeddings/oleObject3.bin"/><Relationship Id="rId38" Type="http://schemas.openxmlformats.org/officeDocument/2006/relationships/image" Target="media/image13.wmf"/><Relationship Id="rId37" Type="http://schemas.openxmlformats.org/officeDocument/2006/relationships/oleObject" Target="embeddings/oleObject2.bin"/><Relationship Id="rId36" Type="http://schemas.openxmlformats.org/officeDocument/2006/relationships/image" Target="media/image12.wmf"/><Relationship Id="rId35" Type="http://schemas.openxmlformats.org/officeDocument/2006/relationships/oleObject" Target="embeddings/oleObject1.bin"/><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jpeg"/><Relationship Id="rId30" Type="http://schemas.openxmlformats.org/officeDocument/2006/relationships/image" Target="media/image7.jpeg"/><Relationship Id="rId3" Type="http://schemas.openxmlformats.org/officeDocument/2006/relationships/footnotes" Target="footnotes.xml"/><Relationship Id="rId29" Type="http://schemas.openxmlformats.org/officeDocument/2006/relationships/image" Target="media/image6.jpeg"/><Relationship Id="rId28" Type="http://schemas.openxmlformats.org/officeDocument/2006/relationships/image" Target="media/image5.jpe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8.xml"/><Relationship Id="rId21" Type="http://schemas.openxmlformats.org/officeDocument/2006/relationships/footer" Target="footer7.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85E989-CF01-4C72-A98D-0D0DFAFF8E8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182</Pages>
  <Words>20535</Words>
  <Characters>117056</Characters>
  <Lines>975</Lines>
  <Paragraphs>274</Paragraphs>
  <TotalTime>5</TotalTime>
  <ScaleCrop>false</ScaleCrop>
  <LinksUpToDate>false</LinksUpToDate>
  <CharactersWithSpaces>137317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2023-03-23T15:58:00Z</dcterms:created>
  <dc:creator>zhaofeng</dc:creator>
  <cp:lastModifiedBy>小麦啾</cp:lastModifiedBy>
  <cp:lastPrinted>2023-03-08T00:54:00Z</cp:lastPrinted>
  <dcterms:modified xsi:type="dcterms:W3CDTF">2024-06-03T08:24:49Z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5FC5AE7FE03A4C9490D8043953AEE96A</vt:lpwstr>
  </property>
</Properties>
</file>