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A499F">
      <w:pPr>
        <w:keepNext w:val="0"/>
        <w:keepLines w:val="0"/>
        <w:pageBreakBefore w:val="0"/>
        <w:widowControl w:val="0"/>
        <w:kinsoku/>
        <w:wordWrap/>
        <w:overflowPunct/>
        <w:topLinePunct w:val="0"/>
        <w:autoSpaceDE/>
        <w:autoSpaceDN/>
        <w:bidi w:val="0"/>
        <w:adjustRightInd/>
        <w:snapToGrid/>
        <w:spacing w:line="530" w:lineRule="exact"/>
        <w:jc w:val="left"/>
        <w:textAlignment w:val="auto"/>
        <w:rPr>
          <w:rFonts w:hint="default" w:ascii="方正小标宋_GBK" w:hAnsi="方正小标宋_GBK" w:eastAsia="方正小标宋_GBK" w:cs="方正小标宋_GBK"/>
          <w:color w:val="auto"/>
          <w:sz w:val="44"/>
          <w:szCs w:val="44"/>
          <w:lang w:val="en-US" w:eastAsia="zh-CN"/>
        </w:rPr>
      </w:pPr>
      <w:bookmarkStart w:id="0" w:name="_GoBack"/>
      <w:bookmarkEnd w:id="0"/>
      <w:r>
        <w:rPr>
          <w:rFonts w:hint="eastAsia" w:ascii="黑体" w:hAnsi="黑体" w:eastAsia="黑体" w:cs="黑体"/>
          <w:color w:val="auto"/>
          <w:sz w:val="32"/>
          <w:szCs w:val="32"/>
          <w:lang w:val="en-US" w:eastAsia="zh-CN"/>
        </w:rPr>
        <w:t>附件1</w:t>
      </w:r>
    </w:p>
    <w:p w14:paraId="4D1F8E87">
      <w:pPr>
        <w:pStyle w:val="2"/>
        <w:keepNext w:val="0"/>
        <w:keepLines w:val="0"/>
        <w:pageBreakBefore w:val="0"/>
        <w:kinsoku/>
        <w:wordWrap/>
        <w:overflowPunct/>
        <w:topLinePunct w:val="0"/>
        <w:autoSpaceDE/>
        <w:autoSpaceDN/>
        <w:bidi w:val="0"/>
        <w:adjustRightInd/>
        <w:snapToGrid/>
        <w:spacing w:line="530" w:lineRule="exact"/>
        <w:textAlignment w:val="auto"/>
        <w:rPr>
          <w:rFonts w:hint="eastAsia"/>
          <w:lang w:val="en-US" w:eastAsia="zh-CN"/>
        </w:rPr>
      </w:pPr>
    </w:p>
    <w:p w14:paraId="3E1FA191">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2025年自治区科技成果转化示范专项</w:t>
      </w:r>
    </w:p>
    <w:p w14:paraId="4B22BD2A">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default"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—乡村振兴产业发展科技行动计划</w:t>
      </w:r>
    </w:p>
    <w:p w14:paraId="06D78725">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项目申报指南</w:t>
      </w:r>
    </w:p>
    <w:p w14:paraId="562EA5C1">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eastAsia" w:ascii="方正仿宋_GBK" w:hAnsi="方正仿宋_GBK" w:eastAsia="方正仿宋_GBK" w:cs="方正仿宋_GBK"/>
          <w:color w:val="auto"/>
          <w:sz w:val="32"/>
          <w:szCs w:val="32"/>
          <w:lang w:val="en-US" w:eastAsia="zh-CN"/>
        </w:rPr>
      </w:pPr>
    </w:p>
    <w:p w14:paraId="0DBA1D95">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仿宋_GBK" w:hAnsi="方正仿宋_GBK" w:eastAsia="方正仿宋_GBK" w:cs="方正仿宋_GBK"/>
          <w:i w:val="0"/>
          <w:iCs w:val="0"/>
          <w:caps w:val="0"/>
          <w:color w:val="auto"/>
          <w:spacing w:val="0"/>
          <w:sz w:val="32"/>
          <w:szCs w:val="32"/>
          <w:highlight w:val="none"/>
          <w:shd w:val="clear" w:fill="FFFFFF"/>
        </w:rPr>
      </w:pPr>
      <w:r>
        <w:rPr>
          <w:rFonts w:hint="eastAsia" w:ascii="方正仿宋_GBK" w:hAnsi="方正仿宋_GBK" w:eastAsia="方正仿宋_GBK" w:cs="方正仿宋_GBK"/>
          <w:i w:val="0"/>
          <w:iCs w:val="0"/>
          <w:caps w:val="0"/>
          <w:color w:val="auto"/>
          <w:spacing w:val="0"/>
          <w:sz w:val="32"/>
          <w:szCs w:val="32"/>
          <w:highlight w:val="none"/>
          <w:shd w:val="clear" w:fill="FFFFFF"/>
        </w:rPr>
        <w:t xml:space="preserve">为全面贯彻党的二十大和二十届二中、三中全会精神，贯彻落实习近平总书记关于“三农”工作的重要论述和重要指示精神，贯彻落实中央经济工作会议、中央农村工作会议精神，锚定建设农业强区、扎实推进乡村全面振兴目标，立足打造全国优质农牧产品重要供给基地，以学习运用“千万工程”经验为引领，围绕县域乡村特色产业，聚焦产业重点领域和关键环节，加快科技成果转化应用与示范推广推进农业农村现代化，加强科技强农惠农富农，持续巩固拓展脱贫攻坚成果，为发展壮大乡村富民产业、提升乡村产业发展质效提供有力科技支撑。现启动2025年度自治区科技成果转化示范专项—乡村振兴产业发展科技行动计划项目申报工作。 </w:t>
      </w:r>
    </w:p>
    <w:p w14:paraId="4739AE34">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黑体_GBK" w:hAnsi="方正黑体_GBK" w:eastAsia="方正黑体_GBK" w:cs="方正黑体_GBK"/>
          <w:i w:val="0"/>
          <w:iCs w:val="0"/>
          <w:caps w:val="0"/>
          <w:color w:val="auto"/>
          <w:spacing w:val="0"/>
          <w:sz w:val="32"/>
          <w:szCs w:val="32"/>
          <w:highlight w:val="none"/>
          <w:shd w:val="clear" w:fill="FFFFFF"/>
        </w:rPr>
      </w:pPr>
      <w:r>
        <w:rPr>
          <w:rFonts w:hint="eastAsia" w:ascii="方正黑体_GBK" w:hAnsi="方正黑体_GBK" w:eastAsia="方正黑体_GBK" w:cs="方正黑体_GBK"/>
          <w:i w:val="0"/>
          <w:iCs w:val="0"/>
          <w:caps w:val="0"/>
          <w:color w:val="auto"/>
          <w:spacing w:val="0"/>
          <w:sz w:val="32"/>
          <w:szCs w:val="32"/>
          <w:highlight w:val="none"/>
          <w:shd w:val="clear" w:fill="FFFFFF"/>
        </w:rPr>
        <w:t>一、支持方向</w:t>
      </w:r>
    </w:p>
    <w:p w14:paraId="251270E2">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仿宋_GBK" w:hAnsi="方正仿宋_GBK" w:eastAsia="方正仿宋_GBK" w:cs="方正仿宋_GBK"/>
          <w:i w:val="0"/>
          <w:iCs w:val="0"/>
          <w:caps w:val="0"/>
          <w:color w:val="auto"/>
          <w:spacing w:val="0"/>
          <w:sz w:val="32"/>
          <w:szCs w:val="32"/>
          <w:highlight w:val="none"/>
          <w:shd w:val="clear" w:fill="FFFFFF"/>
        </w:rPr>
      </w:pPr>
      <w:r>
        <w:rPr>
          <w:rFonts w:hint="eastAsia" w:ascii="方正仿宋_GBK" w:hAnsi="方正仿宋_GBK" w:eastAsia="方正仿宋_GBK" w:cs="方正仿宋_GBK"/>
          <w:i w:val="0"/>
          <w:iCs w:val="0"/>
          <w:caps w:val="0"/>
          <w:color w:val="auto"/>
          <w:spacing w:val="0"/>
          <w:sz w:val="32"/>
          <w:szCs w:val="32"/>
          <w:highlight w:val="none"/>
          <w:shd w:val="clear" w:fill="FFFFFF"/>
        </w:rPr>
        <w:t>聚焦全国优质农牧产品重要供给基地目标任务，加快科技成果的引进与示范，实现新成果、新技术在产业链各个环节的转化应用，提升乡村产业发展水平；以产业振兴带动农牧民增收，发挥各农业科技园区要素聚集作用，精准务实培育特色优势产业；坚持以南疆为重点，推动南疆农业产业创新升级，辐射带动县域经济发展。</w:t>
      </w:r>
    </w:p>
    <w:p w14:paraId="173E6C70">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黑体_GBK" w:hAnsi="方正黑体_GBK" w:eastAsia="方正黑体_GBK" w:cs="方正黑体_GBK"/>
          <w:i w:val="0"/>
          <w:iCs w:val="0"/>
          <w:caps w:val="0"/>
          <w:color w:val="auto"/>
          <w:spacing w:val="0"/>
          <w:sz w:val="32"/>
          <w:szCs w:val="32"/>
          <w:highlight w:val="none"/>
          <w:shd w:val="clear" w:fill="FFFFFF"/>
        </w:rPr>
      </w:pPr>
      <w:r>
        <w:rPr>
          <w:rFonts w:hint="eastAsia" w:ascii="方正黑体_GBK" w:hAnsi="方正黑体_GBK" w:eastAsia="方正黑体_GBK" w:cs="方正黑体_GBK"/>
          <w:i w:val="0"/>
          <w:iCs w:val="0"/>
          <w:caps w:val="0"/>
          <w:color w:val="auto"/>
          <w:spacing w:val="0"/>
          <w:sz w:val="32"/>
          <w:szCs w:val="32"/>
          <w:highlight w:val="none"/>
          <w:shd w:val="clear" w:fill="FFFFFF"/>
        </w:rPr>
        <w:t>二、支持内容</w:t>
      </w:r>
    </w:p>
    <w:p w14:paraId="0D8E807E">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方正仿宋_GBK" w:hAnsi="方正仿宋_GBK" w:eastAsia="方正仿宋_GBK" w:cs="方正仿宋_GBK"/>
          <w:i w:val="0"/>
          <w:iCs w:val="0"/>
          <w:caps w:val="0"/>
          <w:color w:val="auto"/>
          <w:spacing w:val="0"/>
          <w:sz w:val="32"/>
          <w:szCs w:val="32"/>
          <w:highlight w:val="none"/>
          <w:shd w:val="clear" w:fill="FFFFFF"/>
        </w:rPr>
      </w:pPr>
      <w:r>
        <w:rPr>
          <w:rFonts w:hint="eastAsia" w:ascii="方正仿宋_GBK" w:hAnsi="方正仿宋_GBK" w:eastAsia="方正仿宋_GBK" w:cs="方正仿宋_GBK"/>
          <w:b/>
          <w:bCs/>
          <w:i w:val="0"/>
          <w:iCs w:val="0"/>
          <w:caps w:val="0"/>
          <w:color w:val="auto"/>
          <w:spacing w:val="0"/>
          <w:sz w:val="32"/>
          <w:szCs w:val="32"/>
          <w:highlight w:val="none"/>
          <w:shd w:val="clear" w:fill="FFFFFF"/>
        </w:rPr>
        <w:t>1.粮油和食品加工产业。粮食</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在产粮大县，集成推广强筋、富硒、有机专用小麦高效种植技术，扩大优质专用高产小麦品种种植面积，支持自治区新一轮粮食产能提升行动，开展“良田”“良法”“良种”“良机”“良制”集成融合示范推广；提升小麦初加工及精深加工水平，支持开展特色专用粉、富硒粉、有机粉等小麦粉加工；支持引进或开发主食、烘焙食品等面食加工新技术，加快推进主食产业化；支持玉米种植重点县市，集成推广早熟、高产、耐密宜机收玉米新品种，集成密植高产高效栽培技术；支持引进或开发玉米精深加工新技术，挖掘玉米综合利用价值，提升产业发展科技水平；支持水稻种植县市，集成推广耐盐碱优质高产水稻新品种及复播早熟水稻品种，集成节水节本轻简高产高效机械化栽培技术；支持引进或开发水稻精深加工新技术。</w:t>
      </w:r>
      <w:r>
        <w:rPr>
          <w:rFonts w:hint="eastAsia" w:ascii="方正仿宋_GBK" w:hAnsi="方正仿宋_GBK" w:eastAsia="方正仿宋_GBK" w:cs="方正仿宋_GBK"/>
          <w:b/>
          <w:bCs/>
          <w:i w:val="0"/>
          <w:iCs w:val="0"/>
          <w:caps w:val="0"/>
          <w:color w:val="auto"/>
          <w:spacing w:val="0"/>
          <w:sz w:val="32"/>
          <w:szCs w:val="32"/>
          <w:highlight w:val="none"/>
          <w:shd w:val="clear" w:fill="FFFFFF"/>
        </w:rPr>
        <w:t>油料</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领域，支持开展油料作物为主的油脂精深加工；支持引进提升油脂绿色高效加工的新技术与新装备，鼓励开展特色高端油脂绿色加工，提升油脂产品附加值和市场竞争力。</w:t>
      </w:r>
    </w:p>
    <w:p w14:paraId="5C244707">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方正仿宋_GBK" w:hAnsi="方正仿宋_GBK" w:eastAsia="方正仿宋_GBK" w:cs="方正仿宋_GBK"/>
          <w:i w:val="0"/>
          <w:iCs w:val="0"/>
          <w:caps w:val="0"/>
          <w:color w:val="auto"/>
          <w:spacing w:val="0"/>
          <w:sz w:val="32"/>
          <w:szCs w:val="32"/>
          <w:highlight w:val="none"/>
          <w:shd w:val="clear" w:fill="FFFFFF"/>
        </w:rPr>
      </w:pPr>
      <w:r>
        <w:rPr>
          <w:rFonts w:hint="eastAsia" w:ascii="方正仿宋_GBK" w:hAnsi="方正仿宋_GBK" w:eastAsia="方正仿宋_GBK" w:cs="方正仿宋_GBK"/>
          <w:b/>
          <w:bCs/>
          <w:i w:val="0"/>
          <w:iCs w:val="0"/>
          <w:caps w:val="0"/>
          <w:color w:val="auto"/>
          <w:spacing w:val="0"/>
          <w:sz w:val="32"/>
          <w:szCs w:val="32"/>
          <w:highlight w:val="none"/>
          <w:shd w:val="clear" w:fill="FFFFFF"/>
        </w:rPr>
        <w:t>2.棉花产业。棉花高效种植</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在适宜棉区集成推广配套轻简高效绿色栽培技术；支持引进、转化及开发加厚高强度地膜的回收再利用技术；支持高效生物降解地膜的引进与示范推广；支持引进或开发更加高效、低成本棉花打顶、节水节肥一体化、减肥减药、干播湿出、病虫害综合防治等种植技术并进行示范推广，进一步提高棉花种植效益。</w:t>
      </w:r>
      <w:r>
        <w:rPr>
          <w:rFonts w:hint="eastAsia" w:ascii="方正仿宋_GBK" w:hAnsi="方正仿宋_GBK" w:eastAsia="方正仿宋_GBK" w:cs="方正仿宋_GBK"/>
          <w:b/>
          <w:bCs/>
          <w:i w:val="0"/>
          <w:iCs w:val="0"/>
          <w:caps w:val="0"/>
          <w:color w:val="auto"/>
          <w:spacing w:val="0"/>
          <w:sz w:val="32"/>
          <w:szCs w:val="32"/>
          <w:highlight w:val="none"/>
          <w:shd w:val="clear" w:fill="FFFFFF"/>
        </w:rPr>
        <w:t>棉花采收加工</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机采棉播种、施药、打顶、除草、收获机械技术的应用与示范；支持引进或开发轻简高效棉花清杂技术，保证高品质棉纺织原料供给；提高棉花副产物加工利用水平，支持开展棉籽、棉秸秆、棉壳精深加工，开发新产品，提高棉花附加值</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i w:val="0"/>
          <w:iCs w:val="0"/>
          <w:caps w:val="0"/>
          <w:color w:val="auto"/>
          <w:spacing w:val="0"/>
          <w:sz w:val="32"/>
          <w:szCs w:val="32"/>
          <w:highlight w:val="none"/>
          <w:shd w:val="clear" w:fill="FFFFFF"/>
        </w:rPr>
        <w:t>助力国家优质棉基地建设。</w:t>
      </w:r>
    </w:p>
    <w:p w14:paraId="6B49961B">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方正仿宋_GBK" w:hAnsi="方正仿宋_GBK" w:eastAsia="方正仿宋_GBK" w:cs="方正仿宋_GBK"/>
          <w:i w:val="0"/>
          <w:iCs w:val="0"/>
          <w:caps w:val="0"/>
          <w:color w:val="auto"/>
          <w:spacing w:val="0"/>
          <w:sz w:val="32"/>
          <w:szCs w:val="32"/>
          <w:highlight w:val="none"/>
          <w:shd w:val="clear" w:fill="FFFFFF"/>
        </w:rPr>
      </w:pPr>
      <w:r>
        <w:rPr>
          <w:rFonts w:hint="eastAsia" w:ascii="方正仿宋_GBK" w:hAnsi="方正仿宋_GBK" w:eastAsia="方正仿宋_GBK" w:cs="方正仿宋_GBK"/>
          <w:b/>
          <w:bCs/>
          <w:i w:val="0"/>
          <w:iCs w:val="0"/>
          <w:caps w:val="0"/>
          <w:color w:val="auto"/>
          <w:spacing w:val="0"/>
          <w:sz w:val="32"/>
          <w:szCs w:val="32"/>
          <w:highlight w:val="none"/>
          <w:shd w:val="clear" w:fill="FFFFFF"/>
        </w:rPr>
        <w:t>3.绿色畜产品。肉牛肉羊</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利用人工授精等技术，对农、牧区低产主导肉牛、肉羊品种进行改良，提高繁殖率及产肉性；开发标准化养殖、商品杂交、高效育肥、四季出栏高效生产、营养调控、常见多发病快速诊疗技术并进行示范推广。</w:t>
      </w:r>
      <w:r>
        <w:rPr>
          <w:rFonts w:hint="eastAsia" w:ascii="方正仿宋_GBK" w:hAnsi="方正仿宋_GBK" w:eastAsia="方正仿宋_GBK" w:cs="方正仿宋_GBK"/>
          <w:b/>
          <w:bCs/>
          <w:i w:val="0"/>
          <w:iCs w:val="0"/>
          <w:caps w:val="0"/>
          <w:color w:val="auto"/>
          <w:spacing w:val="0"/>
          <w:sz w:val="32"/>
          <w:szCs w:val="32"/>
          <w:highlight w:val="none"/>
          <w:shd w:val="clear" w:fill="FFFFFF"/>
        </w:rPr>
        <w:t>牛羊肉精深加工及副产品综合利用等</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领域，支持开展牛、羊肉精深加工以及肠衣、皮毛、脂肪、内脏、血、骨等副产品高值化利用。</w:t>
      </w:r>
      <w:r>
        <w:rPr>
          <w:rFonts w:hint="eastAsia" w:ascii="方正仿宋_GBK" w:hAnsi="方正仿宋_GBK" w:eastAsia="方正仿宋_GBK" w:cs="方正仿宋_GBK"/>
          <w:b/>
          <w:bCs/>
          <w:i w:val="0"/>
          <w:iCs w:val="0"/>
          <w:caps w:val="0"/>
          <w:color w:val="auto"/>
          <w:spacing w:val="0"/>
          <w:sz w:val="32"/>
          <w:szCs w:val="32"/>
          <w:highlight w:val="none"/>
          <w:shd w:val="clear" w:fill="FFFFFF"/>
        </w:rPr>
        <w:t>奶业</w:t>
      </w:r>
      <w:r>
        <w:rPr>
          <w:rFonts w:hint="eastAsia" w:ascii="方正仿宋_GBK" w:hAnsi="方正仿宋_GBK" w:eastAsia="方正仿宋_GBK" w:cs="方正仿宋_GBK"/>
          <w:i w:val="0"/>
          <w:iCs w:val="0"/>
          <w:caps w:val="0"/>
          <w:color w:val="auto"/>
          <w:spacing w:val="0"/>
          <w:sz w:val="32"/>
          <w:szCs w:val="32"/>
          <w:highlight w:val="none"/>
          <w:shd w:val="clear" w:fill="FFFFFF"/>
        </w:rPr>
        <w:t>，支持利用性控冻精、胚胎移植等技术改良奶牛群体；支持开发奶牛、奶驼、奶驴标准化养殖技术，示范推广舍饲营养调控、疫病防治、环境控制等技术，提高生鲜乳质量及产量；支持开发或引进乳品加工新技术、新工艺，建立标准化安全生产技术体系，开发高品质液态奶、奶酪、黄油等加工产品，开发本地特色益生菌产品，丰富产品品类，提升产品品质。</w:t>
      </w:r>
      <w:r>
        <w:rPr>
          <w:rFonts w:hint="eastAsia" w:ascii="方正仿宋_GBK" w:hAnsi="方正仿宋_GBK" w:eastAsia="方正仿宋_GBK" w:cs="方正仿宋_GBK"/>
          <w:b/>
          <w:bCs/>
          <w:i w:val="0"/>
          <w:iCs w:val="0"/>
          <w:caps w:val="0"/>
          <w:color w:val="auto"/>
          <w:spacing w:val="0"/>
          <w:sz w:val="32"/>
          <w:szCs w:val="32"/>
          <w:highlight w:val="none"/>
          <w:shd w:val="clear" w:fill="FFFFFF"/>
        </w:rPr>
        <w:t>生猪</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领域，支持开展生猪瘦肉型新品种培育，构建杂交配套系，配套适宜性轻简高效繁殖、高效育肥、疫病防控及净化、生鲜肉屠宰加工等技术，提高生猪养殖效益。</w:t>
      </w:r>
      <w:r>
        <w:rPr>
          <w:rFonts w:hint="eastAsia" w:ascii="方正仿宋_GBK" w:hAnsi="方正仿宋_GBK" w:eastAsia="方正仿宋_GBK" w:cs="方正仿宋_GBK"/>
          <w:b/>
          <w:bCs/>
          <w:i w:val="0"/>
          <w:iCs w:val="0"/>
          <w:caps w:val="0"/>
          <w:color w:val="auto"/>
          <w:spacing w:val="0"/>
          <w:sz w:val="32"/>
          <w:szCs w:val="32"/>
          <w:highlight w:val="none"/>
          <w:shd w:val="clear" w:fill="FFFFFF"/>
        </w:rPr>
        <w:t>家禽</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开展轻简性温湿度环境控制与水质净化处理新技术示范应用，提升标准化、规模化养殖水平，重点支持开展绿色减抗家禽生产技术示范，实现家禽废弃物资源化利用，提升家禽粪污低成本、无害化处理与循环利用技术水平；支持开展家禽营养饲喂技术研究，优化其饲料配方和饲养管理措施，提高家禽生产性能、改善肉质品质。</w:t>
      </w:r>
      <w:r>
        <w:rPr>
          <w:rFonts w:hint="eastAsia" w:ascii="方正仿宋_GBK" w:hAnsi="方正仿宋_GBK" w:eastAsia="方正仿宋_GBK" w:cs="方正仿宋_GBK"/>
          <w:b/>
          <w:bCs/>
          <w:i w:val="0"/>
          <w:iCs w:val="0"/>
          <w:caps w:val="0"/>
          <w:color w:val="auto"/>
          <w:spacing w:val="0"/>
          <w:sz w:val="32"/>
          <w:szCs w:val="32"/>
          <w:highlight w:val="none"/>
          <w:shd w:val="clear" w:fill="FFFFFF"/>
        </w:rPr>
        <w:t>水产</w:t>
      </w:r>
      <w:r>
        <w:rPr>
          <w:rFonts w:hint="eastAsia" w:ascii="方正仿宋_GBK" w:hAnsi="方正仿宋_GBK" w:eastAsia="方正仿宋_GBK" w:cs="方正仿宋_GBK"/>
          <w:i w:val="0"/>
          <w:iCs w:val="0"/>
          <w:caps w:val="0"/>
          <w:color w:val="auto"/>
          <w:spacing w:val="0"/>
          <w:sz w:val="32"/>
          <w:szCs w:val="32"/>
          <w:highlight w:val="none"/>
          <w:shd w:val="clear" w:fill="FFFFFF"/>
        </w:rPr>
        <w:t>领域，引进高产、抗病性强的品种，支持引进或开发水产集约化、规模化、标准化高效生产技术及设施，集成安全水产品生产与高效健康养殖技术；支持引进或开发水产规模化养殖场（区域）环境净化工程技术以及养殖病害综合防治技术、疫病检测、诊断等技术。</w:t>
      </w:r>
      <w:r>
        <w:rPr>
          <w:rFonts w:hint="eastAsia" w:ascii="方正仿宋_GBK" w:hAnsi="方正仿宋_GBK" w:eastAsia="方正仿宋_GBK" w:cs="方正仿宋_GBK"/>
          <w:b/>
          <w:bCs/>
          <w:i w:val="0"/>
          <w:iCs w:val="0"/>
          <w:caps w:val="0"/>
          <w:color w:val="auto"/>
          <w:spacing w:val="0"/>
          <w:sz w:val="32"/>
          <w:szCs w:val="32"/>
          <w:highlight w:val="none"/>
          <w:shd w:val="clear" w:fill="FFFFFF"/>
        </w:rPr>
        <w:t>饲料饲草</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开展玉米秸秆、玉米芯、棉粕、麦麸、饼粕等本地粮油副产物加工综合利用和颗粒饲料调制技术集成示范，实现饲料节本提效；支持棉秸秆、芦苇、骆驼刺、菌草等非常规饲草资源开发与高效利用，开发安全型畜禽饲料及添加剂新产品。</w:t>
      </w:r>
    </w:p>
    <w:p w14:paraId="557655AD">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方正仿宋_GBK" w:hAnsi="方正仿宋_GBK" w:eastAsia="方正仿宋_GBK" w:cs="方正仿宋_GBK"/>
          <w:i w:val="0"/>
          <w:iCs w:val="0"/>
          <w:caps w:val="0"/>
          <w:color w:val="auto"/>
          <w:spacing w:val="0"/>
          <w:sz w:val="32"/>
          <w:szCs w:val="32"/>
          <w:highlight w:val="none"/>
          <w:shd w:val="clear" w:fill="FFFFFF"/>
        </w:rPr>
      </w:pPr>
      <w:r>
        <w:rPr>
          <w:rFonts w:hint="eastAsia" w:ascii="方正仿宋_GBK" w:hAnsi="方正仿宋_GBK" w:eastAsia="方正仿宋_GBK" w:cs="方正仿宋_GBK"/>
          <w:b/>
          <w:bCs/>
          <w:i w:val="0"/>
          <w:iCs w:val="0"/>
          <w:caps w:val="0"/>
          <w:color w:val="auto"/>
          <w:spacing w:val="0"/>
          <w:sz w:val="32"/>
          <w:szCs w:val="32"/>
          <w:highlight w:val="none"/>
          <w:shd w:val="clear" w:fill="FFFFFF"/>
        </w:rPr>
        <w:t>4.优质果蔬产业。特色干果</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集成推广产量、出仁率、出油率高的优良核桃品种及配套种植技术；支持改良“灰枣”“骏枣”等红枣品种，进一步提高红枣可食率、糖及黄酮含量，示范推广绿色、有机种植模式；支持集中推广丰产、抗逆、单仁率高、宜加工等巴旦木品种，集成示范标准化种植技术，有效提高单产和商品果率。</w:t>
      </w:r>
      <w:r>
        <w:rPr>
          <w:rFonts w:hint="eastAsia" w:ascii="方正仿宋_GBK" w:hAnsi="方正仿宋_GBK" w:eastAsia="方正仿宋_GBK" w:cs="方正仿宋_GBK"/>
          <w:b/>
          <w:bCs/>
          <w:i w:val="0"/>
          <w:iCs w:val="0"/>
          <w:caps w:val="0"/>
          <w:color w:val="auto"/>
          <w:spacing w:val="0"/>
          <w:sz w:val="32"/>
          <w:szCs w:val="32"/>
          <w:highlight w:val="none"/>
          <w:shd w:val="clear" w:fill="FFFFFF"/>
        </w:rPr>
        <w:t>特色鲜果</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领域，支持引进苹果及砧木种质资源并进行适宜性选育，引进或开发绿色、节本、简约化苹果栽培技术，提高商品果率及生产效益。</w:t>
      </w:r>
      <w:r>
        <w:rPr>
          <w:rFonts w:hint="eastAsia" w:ascii="方正仿宋_GBK" w:hAnsi="方正仿宋_GBK" w:eastAsia="方正仿宋_GBK" w:cs="方正仿宋_GBK"/>
          <w:b/>
          <w:bCs/>
          <w:i w:val="0"/>
          <w:iCs w:val="0"/>
          <w:caps w:val="0"/>
          <w:color w:val="auto"/>
          <w:spacing w:val="0"/>
          <w:sz w:val="32"/>
          <w:szCs w:val="32"/>
          <w:highlight w:val="none"/>
          <w:shd w:val="clear" w:fill="FFFFFF"/>
        </w:rPr>
        <w:t>香梨</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领域，支持示范推广果园标准化管理、病害防治、合理控产等种植技术措施，提升库尔勒香梨品质。</w:t>
      </w:r>
      <w:r>
        <w:rPr>
          <w:rFonts w:hint="eastAsia" w:ascii="方正仿宋_GBK" w:hAnsi="方正仿宋_GBK" w:eastAsia="方正仿宋_GBK" w:cs="方正仿宋_GBK"/>
          <w:b/>
          <w:bCs/>
          <w:i w:val="0"/>
          <w:iCs w:val="0"/>
          <w:caps w:val="0"/>
          <w:color w:val="auto"/>
          <w:spacing w:val="0"/>
          <w:sz w:val="32"/>
          <w:szCs w:val="32"/>
          <w:highlight w:val="none"/>
          <w:shd w:val="clear" w:fill="FFFFFF"/>
        </w:rPr>
        <w:t>葡萄</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领域，支持推广特色优势鲜食品种和酿酒品种绿色种植模式，提升果品品质；支持进一步探索适宜不同区域气候环境和鲜食、制干、酿酒不同用途的轻简化架式改造以及种植技术，提高生产效益。</w:t>
      </w:r>
      <w:r>
        <w:rPr>
          <w:rFonts w:hint="eastAsia" w:ascii="方正仿宋_GBK" w:hAnsi="方正仿宋_GBK" w:eastAsia="方正仿宋_GBK" w:cs="方正仿宋_GBK"/>
          <w:b/>
          <w:bCs/>
          <w:i w:val="0"/>
          <w:iCs w:val="0"/>
          <w:caps w:val="0"/>
          <w:color w:val="auto"/>
          <w:spacing w:val="0"/>
          <w:sz w:val="32"/>
          <w:szCs w:val="32"/>
          <w:highlight w:val="none"/>
          <w:shd w:val="clear" w:fill="FFFFFF"/>
        </w:rPr>
        <w:t>杏</w:t>
      </w:r>
      <w:r>
        <w:rPr>
          <w:rFonts w:hint="eastAsia" w:ascii="方正仿宋_GBK" w:hAnsi="方正仿宋_GBK" w:eastAsia="方正仿宋_GBK" w:cs="方正仿宋_GBK"/>
          <w:i w:val="0"/>
          <w:iCs w:val="0"/>
          <w:caps w:val="0"/>
          <w:color w:val="auto"/>
          <w:spacing w:val="0"/>
          <w:sz w:val="32"/>
          <w:szCs w:val="32"/>
          <w:highlight w:val="none"/>
          <w:shd w:val="clear" w:fill="FFFFFF"/>
        </w:rPr>
        <w:t>领域，集成开展品种优化更新、辅助授粉、科学修剪、水肥管理等种植技术应用，实现单产和增效的示范提升；开展设施领域杏配套品种、树形、优产稳产、品质提升等技术的推广应用，推动早熟杏设施化栽培模式集成示范推广。</w:t>
      </w:r>
      <w:r>
        <w:rPr>
          <w:rFonts w:hint="eastAsia" w:ascii="方正仿宋_GBK" w:hAnsi="方正仿宋_GBK" w:eastAsia="方正仿宋_GBK" w:cs="方正仿宋_GBK"/>
          <w:b/>
          <w:bCs/>
          <w:i w:val="0"/>
          <w:iCs w:val="0"/>
          <w:caps w:val="0"/>
          <w:color w:val="auto"/>
          <w:spacing w:val="0"/>
          <w:sz w:val="32"/>
          <w:szCs w:val="32"/>
          <w:highlight w:val="none"/>
          <w:shd w:val="clear" w:fill="FFFFFF"/>
        </w:rPr>
        <w:t>新梅</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领域，支持开发集成嫁接、科学修剪、水肥管理、减肥减药种植模式，重点支持有机绿色高品质新梅种植技术集成应用。</w:t>
      </w:r>
      <w:r>
        <w:rPr>
          <w:rFonts w:hint="eastAsia" w:ascii="方正仿宋_GBK" w:hAnsi="方正仿宋_GBK" w:eastAsia="方正仿宋_GBK" w:cs="方正仿宋_GBK"/>
          <w:b/>
          <w:bCs/>
          <w:i w:val="0"/>
          <w:iCs w:val="0"/>
          <w:caps w:val="0"/>
          <w:color w:val="auto"/>
          <w:spacing w:val="0"/>
          <w:sz w:val="32"/>
          <w:szCs w:val="32"/>
          <w:highlight w:val="none"/>
          <w:shd w:val="clear" w:fill="FFFFFF"/>
        </w:rPr>
        <w:t>杏李</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领域，支持不同成熟期品种配置、良繁大规格苗木及建园技术、抗寒栽培技术、水肥管理技术、整形修剪技术和保鲜储运技术等关键技术集成。</w:t>
      </w:r>
      <w:r>
        <w:rPr>
          <w:rFonts w:hint="eastAsia" w:ascii="方正仿宋_GBK" w:hAnsi="方正仿宋_GBK" w:eastAsia="方正仿宋_GBK" w:cs="方正仿宋_GBK"/>
          <w:b/>
          <w:bCs/>
          <w:i w:val="0"/>
          <w:iCs w:val="0"/>
          <w:caps w:val="0"/>
          <w:color w:val="auto"/>
          <w:spacing w:val="0"/>
          <w:sz w:val="32"/>
          <w:szCs w:val="32"/>
          <w:highlight w:val="none"/>
          <w:shd w:val="clear" w:fill="FFFFFF"/>
        </w:rPr>
        <w:t>樱桃</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领域，支持抗寒品种选育与配置、整形修剪技术、辅助授粉技术、水肥管理技术和采收贮藏保鲜技术等关键技术集成。</w:t>
      </w:r>
      <w:r>
        <w:rPr>
          <w:rFonts w:hint="eastAsia" w:ascii="方正仿宋_GBK" w:hAnsi="方正仿宋_GBK" w:eastAsia="方正仿宋_GBK" w:cs="方正仿宋_GBK"/>
          <w:b/>
          <w:bCs/>
          <w:i w:val="0"/>
          <w:iCs w:val="0"/>
          <w:caps w:val="0"/>
          <w:color w:val="auto"/>
          <w:spacing w:val="0"/>
          <w:sz w:val="32"/>
          <w:szCs w:val="32"/>
          <w:highlight w:val="none"/>
          <w:shd w:val="clear" w:fill="FFFFFF"/>
        </w:rPr>
        <w:t>蔬菜</w:t>
      </w:r>
      <w:r>
        <w:rPr>
          <w:rFonts w:hint="eastAsia" w:ascii="方正仿宋_GBK" w:hAnsi="方正仿宋_GBK" w:eastAsia="方正仿宋_GBK" w:cs="方正仿宋_GBK"/>
          <w:i w:val="0"/>
          <w:iCs w:val="0"/>
          <w:caps w:val="0"/>
          <w:color w:val="auto"/>
          <w:spacing w:val="0"/>
          <w:sz w:val="32"/>
          <w:szCs w:val="32"/>
          <w:highlight w:val="none"/>
          <w:shd w:val="clear" w:fill="FFFFFF"/>
        </w:rPr>
        <w:t>领域，重点支持病虫害绿色防控、高效节水利用及无土栽培技术的转化与应用示范，温室硬件设备环境控制系统示范推广。</w:t>
      </w:r>
      <w:r>
        <w:rPr>
          <w:rFonts w:hint="eastAsia" w:ascii="方正仿宋_GBK" w:hAnsi="方正仿宋_GBK" w:eastAsia="方正仿宋_GBK" w:cs="方正仿宋_GBK"/>
          <w:b/>
          <w:bCs/>
          <w:i w:val="0"/>
          <w:iCs w:val="0"/>
          <w:caps w:val="0"/>
          <w:color w:val="auto"/>
          <w:spacing w:val="0"/>
          <w:sz w:val="32"/>
          <w:szCs w:val="32"/>
          <w:highlight w:val="none"/>
          <w:shd w:val="clear" w:fill="FFFFFF"/>
        </w:rPr>
        <w:t>中药材</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领域，支持引进疆外中药材在新疆的示范种植；支持提高中药材规模化、标准化种植技术和管理技术水平；支持中药材生产加工技术集成示范及特色产品开发，提升中草药综合利用价值。</w:t>
      </w:r>
      <w:r>
        <w:rPr>
          <w:rFonts w:hint="eastAsia" w:ascii="方正仿宋_GBK" w:hAnsi="方正仿宋_GBK" w:eastAsia="方正仿宋_GBK" w:cs="方正仿宋_GBK"/>
          <w:b/>
          <w:bCs/>
          <w:i w:val="0"/>
          <w:iCs w:val="0"/>
          <w:caps w:val="0"/>
          <w:color w:val="auto"/>
          <w:spacing w:val="0"/>
          <w:sz w:val="32"/>
          <w:szCs w:val="32"/>
          <w:highlight w:val="none"/>
          <w:shd w:val="clear" w:fill="FFFFFF"/>
        </w:rPr>
        <w:t>保鲜及产品加工</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轻简化、高效、低成本果蔬产品采后预处理技术，推动果蔬产品产地初加工；支持采取预制加工技术开展即食即热、即烹即配等多类型预制菜加工；支持应用高新技术开展果蔬产品精深加工，开发多元化、高附加值产品。</w:t>
      </w:r>
    </w:p>
    <w:p w14:paraId="4C8A9A9A">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方正仿宋_GBK" w:hAnsi="方正仿宋_GBK" w:eastAsia="方正仿宋_GBK" w:cs="方正仿宋_GBK"/>
          <w:i w:val="0"/>
          <w:iCs w:val="0"/>
          <w:caps w:val="0"/>
          <w:color w:val="auto"/>
          <w:spacing w:val="0"/>
          <w:sz w:val="32"/>
          <w:szCs w:val="32"/>
          <w:highlight w:val="none"/>
          <w:shd w:val="clear" w:fill="FFFFFF"/>
        </w:rPr>
      </w:pPr>
      <w:r>
        <w:rPr>
          <w:rFonts w:hint="eastAsia" w:ascii="方正仿宋_GBK" w:hAnsi="方正仿宋_GBK" w:eastAsia="方正仿宋_GBK" w:cs="方正仿宋_GBK"/>
          <w:b/>
          <w:bCs/>
          <w:i w:val="0"/>
          <w:iCs w:val="0"/>
          <w:caps w:val="0"/>
          <w:color w:val="auto"/>
          <w:spacing w:val="0"/>
          <w:sz w:val="32"/>
          <w:szCs w:val="32"/>
          <w:highlight w:val="none"/>
          <w:shd w:val="clear" w:fill="FFFFFF"/>
        </w:rPr>
        <w:t>5.其他。农机装备和智慧农业</w:t>
      </w:r>
      <w:r>
        <w:rPr>
          <w:rFonts w:hint="eastAsia" w:ascii="方正仿宋_GBK" w:hAnsi="方正仿宋_GBK" w:eastAsia="方正仿宋_GBK" w:cs="方正仿宋_GBK"/>
          <w:i w:val="0"/>
          <w:iCs w:val="0"/>
          <w:caps w:val="0"/>
          <w:color w:val="auto"/>
          <w:spacing w:val="0"/>
          <w:sz w:val="32"/>
          <w:szCs w:val="32"/>
          <w:highlight w:val="none"/>
          <w:shd w:val="clear" w:fill="FFFFFF"/>
        </w:rPr>
        <w:t>领域，支持引进或开发轻简高效小型农业机械和装备（农产品精深加工设备、设施农业装备、种子产业化和种苗设备、作物种业田间作业机械）；支持工厂化设施农业（设施装备、新材料、专用品种、农艺新技术）技术的集成应用。支持开展作物环境监测、水肥一体化等物联网设施应用示范；支持畜禽、水产智能化养殖技术应用与示范。</w:t>
      </w:r>
      <w:r>
        <w:rPr>
          <w:rFonts w:hint="eastAsia" w:ascii="方正仿宋_GBK" w:hAnsi="方正仿宋_GBK" w:eastAsia="方正仿宋_GBK" w:cs="方正仿宋_GBK"/>
          <w:b/>
          <w:bCs/>
          <w:i w:val="0"/>
          <w:iCs w:val="0"/>
          <w:caps w:val="0"/>
          <w:color w:val="auto"/>
          <w:spacing w:val="0"/>
          <w:sz w:val="32"/>
          <w:szCs w:val="32"/>
          <w:highlight w:val="none"/>
          <w:shd w:val="clear" w:fill="FFFFFF"/>
        </w:rPr>
        <w:t>耕地保护</w:t>
      </w:r>
      <w:r>
        <w:rPr>
          <w:rFonts w:hint="eastAsia" w:ascii="方正仿宋_GBK" w:hAnsi="方正仿宋_GBK" w:eastAsia="方正仿宋_GBK" w:cs="方正仿宋_GBK"/>
          <w:i w:val="0"/>
          <w:iCs w:val="0"/>
          <w:caps w:val="0"/>
          <w:color w:val="auto"/>
          <w:spacing w:val="0"/>
          <w:sz w:val="32"/>
          <w:szCs w:val="32"/>
          <w:highlight w:val="none"/>
          <w:shd w:val="clear" w:fill="FFFFFF"/>
        </w:rPr>
        <w:t>领域，重点转化养殖</w:t>
      </w:r>
      <w:r>
        <w:rPr>
          <w:rFonts w:hint="eastAsia" w:ascii="方正仿宋_GBK" w:hAnsi="方正仿宋_GBK" w:eastAsia="方正仿宋_GBK" w:cs="方正仿宋_GBK"/>
          <w:i w:val="0"/>
          <w:iCs w:val="0"/>
          <w:caps w:val="0"/>
          <w:color w:val="auto"/>
          <w:spacing w:val="0"/>
          <w:sz w:val="32"/>
          <w:szCs w:val="32"/>
          <w:highlight w:val="none"/>
          <w:shd w:val="clear" w:fill="FFFFFF"/>
          <w:lang w:val="en-US" w:eastAsia="zh-CN"/>
        </w:rPr>
        <w:t>尾</w:t>
      </w:r>
      <w:r>
        <w:rPr>
          <w:rFonts w:hint="eastAsia" w:ascii="方正仿宋_GBK" w:hAnsi="方正仿宋_GBK" w:eastAsia="方正仿宋_GBK" w:cs="方正仿宋_GBK"/>
          <w:i w:val="0"/>
          <w:iCs w:val="0"/>
          <w:caps w:val="0"/>
          <w:color w:val="auto"/>
          <w:spacing w:val="0"/>
          <w:sz w:val="32"/>
          <w:szCs w:val="32"/>
          <w:highlight w:val="none"/>
          <w:shd w:val="clear" w:fill="FFFFFF"/>
        </w:rPr>
        <w:t>水精准安全还田、秸秆还田与免耕栽培、盐碱地水盐调控、精准灌溉与微咸水利用、有机肥及新型改良剂施用等技术成果，提高耕地资源保护水平。</w:t>
      </w:r>
      <w:r>
        <w:rPr>
          <w:rFonts w:hint="eastAsia" w:ascii="方正仿宋_GBK" w:hAnsi="方正仿宋_GBK" w:eastAsia="方正仿宋_GBK" w:cs="方正仿宋_GBK"/>
          <w:b/>
          <w:bCs/>
          <w:i w:val="0"/>
          <w:iCs w:val="0"/>
          <w:caps w:val="0"/>
          <w:color w:val="auto"/>
          <w:spacing w:val="0"/>
          <w:sz w:val="32"/>
          <w:szCs w:val="32"/>
          <w:highlight w:val="none"/>
          <w:shd w:val="clear" w:fill="FFFFFF"/>
        </w:rPr>
        <w:t>乡村文化旅游</w:t>
      </w:r>
      <w:r>
        <w:rPr>
          <w:rFonts w:hint="eastAsia" w:ascii="方正仿宋_GBK" w:hAnsi="方正仿宋_GBK" w:eastAsia="方正仿宋_GBK" w:cs="方正仿宋_GBK"/>
          <w:b w:val="0"/>
          <w:bCs w:val="0"/>
          <w:i w:val="0"/>
          <w:iCs w:val="0"/>
          <w:caps w:val="0"/>
          <w:color w:val="auto"/>
          <w:spacing w:val="0"/>
          <w:sz w:val="32"/>
          <w:szCs w:val="32"/>
          <w:highlight w:val="none"/>
          <w:shd w:val="clear" w:fill="FFFFFF"/>
        </w:rPr>
        <w:t>领域</w:t>
      </w:r>
      <w:r>
        <w:rPr>
          <w:rFonts w:hint="eastAsia" w:ascii="方正仿宋_GBK" w:hAnsi="方正仿宋_GBK" w:eastAsia="方正仿宋_GBK" w:cs="方正仿宋_GBK"/>
          <w:i w:val="0"/>
          <w:iCs w:val="0"/>
          <w:caps w:val="0"/>
          <w:color w:val="auto"/>
          <w:spacing w:val="0"/>
          <w:sz w:val="32"/>
          <w:szCs w:val="32"/>
          <w:highlight w:val="none"/>
          <w:shd w:val="clear" w:fill="FFFFFF"/>
        </w:rPr>
        <w:t>，支持开展数字平台建设，开发富农旅游产品；支持乡村</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非物质文化遗产</w:t>
      </w:r>
      <w:r>
        <w:rPr>
          <w:rFonts w:hint="eastAsia" w:ascii="方正仿宋_GBK" w:hAnsi="方正仿宋_GBK" w:eastAsia="方正仿宋_GBK" w:cs="方正仿宋_GBK"/>
          <w:i w:val="0"/>
          <w:iCs w:val="0"/>
          <w:caps w:val="0"/>
          <w:color w:val="auto"/>
          <w:spacing w:val="0"/>
          <w:sz w:val="32"/>
          <w:szCs w:val="32"/>
          <w:highlight w:val="none"/>
          <w:shd w:val="clear" w:fill="FFFFFF"/>
        </w:rPr>
        <w:t>数字化开发，开发乡村非遗文化旅游产品。</w:t>
      </w:r>
      <w:r>
        <w:rPr>
          <w:rFonts w:hint="eastAsia" w:ascii="方正仿宋_GBK" w:hAnsi="方正仿宋_GBK" w:eastAsia="方正仿宋_GBK" w:cs="方正仿宋_GBK"/>
          <w:b/>
          <w:bCs/>
          <w:i w:val="0"/>
          <w:iCs w:val="0"/>
          <w:caps w:val="0"/>
          <w:color w:val="auto"/>
          <w:spacing w:val="0"/>
          <w:sz w:val="32"/>
          <w:szCs w:val="32"/>
          <w:highlight w:val="none"/>
          <w:shd w:val="clear" w:fill="FFFFFF"/>
        </w:rPr>
        <w:t>现代物流</w:t>
      </w:r>
      <w:r>
        <w:rPr>
          <w:rFonts w:hint="eastAsia" w:ascii="方正仿宋_GBK" w:hAnsi="方正仿宋_GBK" w:eastAsia="方正仿宋_GBK" w:cs="方正仿宋_GBK"/>
          <w:i w:val="0"/>
          <w:iCs w:val="0"/>
          <w:caps w:val="0"/>
          <w:color w:val="auto"/>
          <w:spacing w:val="0"/>
          <w:sz w:val="32"/>
          <w:szCs w:val="32"/>
          <w:highlight w:val="none"/>
          <w:shd w:val="clear" w:fill="FFFFFF"/>
        </w:rPr>
        <w:t>领域，重点支持智能物流技术及设施装备的应用示范。</w:t>
      </w:r>
      <w:r>
        <w:rPr>
          <w:rFonts w:hint="eastAsia" w:ascii="方正仿宋_GBK" w:hAnsi="方正仿宋_GBK" w:eastAsia="方正仿宋_GBK" w:cs="方正仿宋_GBK"/>
          <w:b/>
          <w:bCs/>
          <w:i w:val="0"/>
          <w:iCs w:val="0"/>
          <w:caps w:val="0"/>
          <w:color w:val="auto"/>
          <w:spacing w:val="0"/>
          <w:sz w:val="32"/>
          <w:szCs w:val="32"/>
          <w:highlight w:val="none"/>
          <w:shd w:val="clear" w:fill="FFFFFF"/>
        </w:rPr>
        <w:t>电子商务</w:t>
      </w:r>
      <w:r>
        <w:rPr>
          <w:rFonts w:hint="eastAsia" w:ascii="方正仿宋_GBK" w:hAnsi="方正仿宋_GBK" w:eastAsia="方正仿宋_GBK" w:cs="方正仿宋_GBK"/>
          <w:i w:val="0"/>
          <w:iCs w:val="0"/>
          <w:caps w:val="0"/>
          <w:color w:val="auto"/>
          <w:spacing w:val="0"/>
          <w:sz w:val="32"/>
          <w:szCs w:val="32"/>
          <w:highlight w:val="none"/>
          <w:shd w:val="clear" w:fill="FFFFFF"/>
        </w:rPr>
        <w:t>领域，重点支持大数据、云计算、区块链等数字技术在电子商务中的应用示范。</w:t>
      </w:r>
    </w:p>
    <w:p w14:paraId="5345F771">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default" w:ascii="方正黑体_GBK" w:hAnsi="方正黑体_GBK" w:eastAsia="方正黑体_GBK" w:cs="方正黑体_GBK"/>
          <w:color w:val="auto"/>
          <w:kern w:val="0"/>
          <w:sz w:val="32"/>
          <w:szCs w:val="32"/>
          <w:highlight w:val="none"/>
          <w:lang w:val="en-US" w:eastAsia="zh-CN" w:bidi="ar-SA"/>
        </w:rPr>
      </w:pPr>
      <w:r>
        <w:rPr>
          <w:rFonts w:hint="eastAsia" w:ascii="方正黑体_GBK" w:hAnsi="方正黑体_GBK" w:eastAsia="方正黑体_GBK" w:cs="方正黑体_GBK"/>
          <w:color w:val="auto"/>
          <w:kern w:val="0"/>
          <w:sz w:val="32"/>
          <w:szCs w:val="32"/>
          <w:highlight w:val="none"/>
          <w:lang w:val="en-US" w:eastAsia="zh-CN" w:bidi="ar-SA"/>
        </w:rPr>
        <w:t>三、申报条件</w:t>
      </w:r>
    </w:p>
    <w:p w14:paraId="266A4CDF">
      <w:pPr>
        <w:keepNext w:val="0"/>
        <w:keepLines w:val="0"/>
        <w:pageBreakBefore w:val="0"/>
        <w:numPr>
          <w:ilvl w:val="0"/>
          <w:numId w:val="0"/>
        </w:numPr>
        <w:kinsoku/>
        <w:wordWrap/>
        <w:overflowPunct/>
        <w:topLinePunct w:val="0"/>
        <w:autoSpaceDE/>
        <w:autoSpaceDN/>
        <w:bidi w:val="0"/>
        <w:adjustRightInd/>
        <w:snapToGrid/>
        <w:spacing w:line="530" w:lineRule="exact"/>
        <w:ind w:firstLine="643" w:firstLineChars="200"/>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1.项目申报单位</w:t>
      </w:r>
      <w:r>
        <w:rPr>
          <w:rFonts w:hint="eastAsia" w:ascii="方正仿宋_GBK" w:hAnsi="方正仿宋_GBK" w:eastAsia="方正仿宋_GBK" w:cs="方正仿宋_GBK"/>
          <w:b w:val="0"/>
          <w:bCs w:val="0"/>
          <w:color w:val="auto"/>
          <w:sz w:val="32"/>
          <w:szCs w:val="32"/>
          <w:highlight w:val="none"/>
          <w:lang w:val="en-US" w:eastAsia="zh-CN"/>
        </w:rPr>
        <w:t>应是我区各级农业科技园区内入驻的龙头企业或链主企业</w:t>
      </w:r>
      <w:r>
        <w:rPr>
          <w:rFonts w:hint="eastAsia" w:ascii="方正仿宋_GBK" w:hAnsi="方正仿宋_GBK" w:eastAsia="方正仿宋_GBK" w:cs="方正仿宋_GBK"/>
          <w:b/>
          <w:bCs/>
          <w:color w:val="auto"/>
          <w:sz w:val="32"/>
          <w:szCs w:val="32"/>
          <w:highlight w:val="none"/>
          <w:lang w:val="en-US" w:eastAsia="zh-CN"/>
        </w:rPr>
        <w:t>。</w:t>
      </w:r>
    </w:p>
    <w:p w14:paraId="764E97C0">
      <w:pPr>
        <w:keepNext w:val="0"/>
        <w:keepLines w:val="0"/>
        <w:pageBreakBefore w:val="0"/>
        <w:numPr>
          <w:ilvl w:val="0"/>
          <w:numId w:val="0"/>
        </w:numPr>
        <w:kinsoku/>
        <w:wordWrap/>
        <w:overflowPunct/>
        <w:topLinePunct w:val="0"/>
        <w:autoSpaceDE/>
        <w:autoSpaceDN/>
        <w:bidi w:val="0"/>
        <w:adjustRightInd/>
        <w:snapToGrid/>
        <w:spacing w:line="530" w:lineRule="exact"/>
        <w:ind w:firstLine="643"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2.项目申报内容</w:t>
      </w:r>
      <w:r>
        <w:rPr>
          <w:rFonts w:hint="eastAsia" w:ascii="方正仿宋_GBK" w:hAnsi="方正仿宋_GBK" w:eastAsia="方正仿宋_GBK" w:cs="方正仿宋_GBK"/>
          <w:b w:val="0"/>
          <w:bCs w:val="0"/>
          <w:color w:val="auto"/>
          <w:sz w:val="32"/>
          <w:szCs w:val="32"/>
          <w:highlight w:val="none"/>
          <w:lang w:val="en-US" w:eastAsia="zh-CN"/>
        </w:rPr>
        <w:t>应聚焦</w:t>
      </w:r>
      <w:r>
        <w:rPr>
          <w:rFonts w:hint="eastAsia" w:ascii="方正仿宋_GBK" w:hAnsi="方正仿宋_GBK" w:eastAsia="方正仿宋_GBK" w:cs="方正仿宋_GBK"/>
          <w:color w:val="auto"/>
          <w:sz w:val="32"/>
          <w:szCs w:val="32"/>
          <w:highlight w:val="none"/>
          <w:lang w:val="en-US" w:eastAsia="zh-CN"/>
        </w:rPr>
        <w:t>园区主导产业发展定位及方向，</w:t>
      </w:r>
      <w:r>
        <w:rPr>
          <w:rFonts w:hint="eastAsia" w:ascii="方正仿宋_GBK" w:hAnsi="方正仿宋_GBK" w:eastAsia="方正仿宋_GBK" w:cs="方正仿宋_GBK"/>
          <w:b w:val="0"/>
          <w:bCs w:val="0"/>
          <w:color w:val="auto"/>
          <w:sz w:val="32"/>
          <w:szCs w:val="32"/>
          <w:highlight w:val="none"/>
          <w:lang w:val="en-US" w:eastAsia="zh-CN"/>
        </w:rPr>
        <w:t>园区内龙头企业或链主企业依托已搭建的各类研发平台或通过项目支持新搭建研发平台等方式，引进高水平专家团队，加强</w:t>
      </w:r>
      <w:r>
        <w:rPr>
          <w:rFonts w:hint="eastAsia" w:ascii="方正仿宋_GBK" w:hAnsi="方正仿宋_GBK" w:eastAsia="方正仿宋_GBK" w:cs="方正仿宋_GBK"/>
          <w:color w:val="auto"/>
          <w:sz w:val="32"/>
          <w:szCs w:val="32"/>
          <w:highlight w:val="none"/>
          <w:lang w:val="en-US" w:eastAsia="zh-CN"/>
        </w:rPr>
        <w:t>产学研联合攻关，引进新技术、打造新产品，推进科技成果的转化应用和产业化示范，进一步强化园区先导示范带动县域乡村产业创新发展的作用。</w:t>
      </w:r>
    </w:p>
    <w:p w14:paraId="756BEC1A">
      <w:pPr>
        <w:keepNext w:val="0"/>
        <w:keepLines w:val="0"/>
        <w:pageBreakBefore w:val="0"/>
        <w:numPr>
          <w:ilvl w:val="0"/>
          <w:numId w:val="0"/>
        </w:numPr>
        <w:kinsoku/>
        <w:wordWrap/>
        <w:overflowPunct/>
        <w:topLinePunct w:val="0"/>
        <w:autoSpaceDE/>
        <w:autoSpaceDN/>
        <w:bidi w:val="0"/>
        <w:adjustRightInd/>
        <w:snapToGrid/>
        <w:spacing w:line="530" w:lineRule="exact"/>
        <w:ind w:firstLine="643" w:firstLineChars="200"/>
        <w:textAlignment w:val="auto"/>
        <w:rPr>
          <w:rFonts w:hint="default" w:ascii="方正仿宋_GBK" w:hAnsi="方正仿宋_GBK" w:eastAsia="方正仿宋_GBK" w:cs="方正仿宋_GBK"/>
          <w:color w:val="auto"/>
          <w:sz w:val="32"/>
          <w:szCs w:val="32"/>
          <w:highlight w:val="yellow"/>
          <w:lang w:val="en-US" w:eastAsia="zh-CN"/>
        </w:rPr>
      </w:pPr>
      <w:r>
        <w:rPr>
          <w:rFonts w:hint="eastAsia" w:ascii="方正仿宋_GBK" w:hAnsi="方正仿宋_GBK" w:eastAsia="方正仿宋_GBK" w:cs="方正仿宋_GBK"/>
          <w:b/>
          <w:bCs/>
          <w:color w:val="auto"/>
          <w:sz w:val="32"/>
          <w:szCs w:val="32"/>
          <w:highlight w:val="none"/>
          <w:lang w:val="en-US" w:eastAsia="zh-CN"/>
        </w:rPr>
        <w:t>3.项目指标</w:t>
      </w:r>
      <w:r>
        <w:rPr>
          <w:rFonts w:hint="eastAsia" w:ascii="方正仿宋_GBK" w:hAnsi="方正仿宋_GBK" w:eastAsia="方正仿宋_GBK" w:cs="方正仿宋_GBK"/>
          <w:b w:val="0"/>
          <w:bCs w:val="0"/>
          <w:color w:val="auto"/>
          <w:sz w:val="32"/>
          <w:szCs w:val="32"/>
          <w:highlight w:val="none"/>
          <w:lang w:val="en-US" w:eastAsia="zh-CN"/>
        </w:rPr>
        <w:t>应包括引</w:t>
      </w:r>
      <w:r>
        <w:rPr>
          <w:rFonts w:hint="eastAsia" w:ascii="方正仿宋_GBK" w:hAnsi="方正仿宋_GBK" w:eastAsia="方正仿宋_GBK" w:cs="方正仿宋_GBK"/>
          <w:color w:val="auto"/>
          <w:sz w:val="32"/>
          <w:szCs w:val="32"/>
          <w:highlight w:val="none"/>
          <w:lang w:val="en-US" w:eastAsia="zh-CN"/>
        </w:rPr>
        <w:t>进/示范/推广新品种、新技术或新产品不少于1项，搭建研发平台不少于1个，引育相关领域高水平技术专家团队（包含产业技术体系专家等）不少于1个、每年开展项目工作不少于100天，解决就业数不少于10人，辐射带动农户数不少于50户，培训农民数量不少于300人次/年。</w:t>
      </w:r>
      <w:r>
        <w:rPr>
          <w:rFonts w:hint="eastAsia" w:ascii="方正仿宋_GBK" w:hAnsi="方正仿宋_GBK" w:eastAsia="方正仿宋_GBK" w:cs="方正仿宋_GBK"/>
          <w:b/>
          <w:bCs/>
          <w:color w:val="auto"/>
          <w:sz w:val="32"/>
          <w:szCs w:val="32"/>
          <w:highlight w:val="none"/>
          <w:lang w:val="en-US" w:eastAsia="zh-CN"/>
        </w:rPr>
        <w:t>其他任务指标</w:t>
      </w:r>
      <w:r>
        <w:rPr>
          <w:rFonts w:hint="eastAsia" w:ascii="方正仿宋_GBK" w:hAnsi="方正仿宋_GBK" w:eastAsia="方正仿宋_GBK" w:cs="方正仿宋_GBK"/>
          <w:color w:val="auto"/>
          <w:sz w:val="32"/>
          <w:szCs w:val="32"/>
          <w:highlight w:val="none"/>
          <w:lang w:val="en-US" w:eastAsia="zh-CN"/>
        </w:rPr>
        <w:t>设置合理、可量化，包含新增销售收入、新增利润等经济效益指标，以及转化应用科技成果数、参加产学研合作的科技人员数、开展科普活动等社会效益指标。</w:t>
      </w:r>
    </w:p>
    <w:p w14:paraId="3C4A2456">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黑体_GBK" w:hAnsi="方正黑体_GBK" w:eastAsia="方正黑体_GBK" w:cs="方正黑体_GBK"/>
          <w:color w:val="auto"/>
          <w:kern w:val="0"/>
          <w:sz w:val="32"/>
          <w:szCs w:val="32"/>
          <w:highlight w:val="none"/>
          <w:lang w:val="en-US" w:eastAsia="zh-CN" w:bidi="ar-SA"/>
        </w:rPr>
      </w:pPr>
      <w:r>
        <w:rPr>
          <w:rFonts w:hint="eastAsia" w:ascii="方正黑体_GBK" w:hAnsi="方正黑体_GBK" w:eastAsia="方正黑体_GBK" w:cs="方正黑体_GBK"/>
          <w:color w:val="auto"/>
          <w:kern w:val="0"/>
          <w:sz w:val="32"/>
          <w:szCs w:val="32"/>
          <w:highlight w:val="none"/>
          <w:lang w:val="en-US" w:eastAsia="zh-CN" w:bidi="ar-SA"/>
        </w:rPr>
        <w:t>四、支持方式</w:t>
      </w:r>
    </w:p>
    <w:p w14:paraId="66631CD6">
      <w:pPr>
        <w:pStyle w:val="2"/>
        <w:keepNext w:val="0"/>
        <w:keepLines w:val="0"/>
        <w:pageBreakBefore w:val="0"/>
        <w:kinsoku/>
        <w:wordWrap/>
        <w:overflowPunct/>
        <w:topLinePunct w:val="0"/>
        <w:autoSpaceDE/>
        <w:autoSpaceDN/>
        <w:bidi w:val="0"/>
        <w:adjustRightInd/>
        <w:snapToGrid/>
        <w:spacing w:line="530" w:lineRule="exact"/>
        <w:textAlignment w:val="auto"/>
        <w:rPr>
          <w:rFonts w:hint="default" w:ascii="Times New Roman" w:hAnsi="Times New Roman" w:eastAsia="方正仿宋_GBK" w:cs="Times New Roman"/>
          <w:i w:val="0"/>
          <w:iCs w:val="0"/>
          <w:caps w:val="0"/>
          <w:color w:val="000000" w:themeColor="text1"/>
          <w:spacing w:val="0"/>
          <w:kern w:val="2"/>
          <w:sz w:val="32"/>
          <w:szCs w:val="32"/>
          <w:highlight w:val="yellow"/>
          <w:shd w:val="clear" w:fill="FFFFFF"/>
          <w:lang w:val="en-US" w:eastAsia="zh-CN" w:bidi="ar-SA"/>
          <w14:textFill>
            <w14:solidFill>
              <w14:schemeClr w14:val="tx1"/>
            </w14:solidFill>
          </w14:textFill>
        </w:rPr>
      </w:pPr>
      <w:r>
        <w:rPr>
          <w:rFonts w:hint="eastAsia" w:ascii="Times New Roman" w:hAnsi="Times New Roman" w:eastAsia="方正仿宋_GBK" w:cs="Times New Roman"/>
          <w:i w:val="0"/>
          <w:iCs w:val="0"/>
          <w:caps w:val="0"/>
          <w:color w:val="000000" w:themeColor="text1"/>
          <w:spacing w:val="0"/>
          <w:kern w:val="2"/>
          <w:sz w:val="32"/>
          <w:szCs w:val="32"/>
          <w:highlight w:val="none"/>
          <w:shd w:val="clear" w:fill="FFFFFF"/>
          <w:lang w:val="en-US" w:eastAsia="zh-CN" w:bidi="ar-SA"/>
          <w14:textFill>
            <w14:solidFill>
              <w14:schemeClr w14:val="tx1"/>
            </w14:solidFill>
          </w14:textFill>
        </w:rPr>
        <w:t>按照公开、公平、公正的原则，通过专家论证等环节，择优选取科研平台搭建条件成熟、科研力量优势明显、预期成果显著的项目予以支持。</w:t>
      </w:r>
      <w:r>
        <w:rPr>
          <w:rFonts w:hint="eastAsia" w:ascii="方正仿宋_GBK" w:hAnsi="方正仿宋_GBK" w:eastAsia="方正仿宋_GBK" w:cs="方正仿宋_GBK"/>
          <w:color w:val="auto"/>
          <w:sz w:val="32"/>
          <w:szCs w:val="32"/>
          <w:highlight w:val="none"/>
          <w:lang w:val="en-US" w:eastAsia="zh-CN"/>
        </w:rPr>
        <w:t>根据项目实施内容、主要任务指标，</w:t>
      </w:r>
      <w:r>
        <w:rPr>
          <w:rFonts w:hint="default" w:ascii="方正仿宋_GBK" w:hAnsi="方正仿宋_GBK" w:eastAsia="方正仿宋_GBK" w:cs="方正仿宋_GBK"/>
          <w:color w:val="auto"/>
          <w:sz w:val="32"/>
          <w:szCs w:val="32"/>
          <w:highlight w:val="none"/>
          <w:lang w:val="en-US" w:eastAsia="zh-CN"/>
        </w:rPr>
        <w:t>单个项目申请自治区财政科技经费支持额度不超过</w:t>
      </w:r>
      <w:r>
        <w:rPr>
          <w:rFonts w:hint="eastAsia" w:ascii="方正仿宋_GBK" w:hAnsi="方正仿宋_GBK" w:eastAsia="方正仿宋_GBK" w:cs="方正仿宋_GBK"/>
          <w:color w:val="auto"/>
          <w:sz w:val="32"/>
          <w:szCs w:val="32"/>
          <w:highlight w:val="none"/>
          <w:lang w:val="en-US" w:eastAsia="zh-CN"/>
        </w:rPr>
        <w:t>60</w:t>
      </w:r>
      <w:r>
        <w:rPr>
          <w:rFonts w:hint="default" w:ascii="方正仿宋_GBK" w:hAnsi="方正仿宋_GBK" w:eastAsia="方正仿宋_GBK" w:cs="方正仿宋_GBK"/>
          <w:color w:val="auto"/>
          <w:sz w:val="32"/>
          <w:szCs w:val="32"/>
          <w:highlight w:val="none"/>
          <w:lang w:val="en-US" w:eastAsia="zh-CN"/>
        </w:rPr>
        <w:t>万元。</w:t>
      </w:r>
    </w:p>
    <w:p w14:paraId="5148FC01">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仿宋_GBK" w:hAnsi="方正仿宋_GBK" w:eastAsia="方正仿宋_GBK" w:cs="方正仿宋_GBK"/>
          <w:b/>
          <w:bCs/>
          <w:color w:val="auto"/>
          <w:kern w:val="0"/>
          <w:sz w:val="32"/>
          <w:szCs w:val="32"/>
          <w:lang w:val="en-US" w:eastAsia="zh-CN" w:bidi="ar-SA"/>
        </w:rPr>
      </w:pPr>
      <w:r>
        <w:rPr>
          <w:rFonts w:hint="eastAsia" w:ascii="方正黑体_GBK" w:hAnsi="方正小标宋简体" w:eastAsia="方正黑体_GBK" w:cs="方正小标宋简体"/>
          <w:color w:val="auto"/>
          <w:kern w:val="0"/>
          <w:sz w:val="32"/>
          <w:szCs w:val="32"/>
          <w:lang w:val="en-US" w:eastAsia="zh-CN" w:bidi="ar-SA"/>
        </w:rPr>
        <w:t>五、申报要求</w:t>
      </w:r>
    </w:p>
    <w:p w14:paraId="620138DF">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rPr>
          <w:rFonts w:hint="eastAsia" w:ascii="方正仿宋_GBK" w:hAnsi="方正仿宋_GBK" w:eastAsia="方正仿宋_GBK" w:cs="方正仿宋_GBK"/>
          <w:b/>
          <w:bCs/>
          <w:color w:val="auto"/>
          <w:kern w:val="0"/>
          <w:sz w:val="32"/>
          <w:szCs w:val="32"/>
          <w:lang w:val="en-US" w:eastAsia="zh-CN" w:bidi="ar-SA"/>
        </w:rPr>
      </w:pPr>
      <w:r>
        <w:rPr>
          <w:rFonts w:hint="eastAsia" w:ascii="方正仿宋_GBK" w:hAnsi="方正仿宋_GBK" w:eastAsia="方正仿宋_GBK" w:cs="方正仿宋_GBK"/>
          <w:b/>
          <w:bCs/>
          <w:color w:val="auto"/>
          <w:kern w:val="0"/>
          <w:sz w:val="32"/>
          <w:szCs w:val="32"/>
          <w:lang w:val="en-US" w:eastAsia="zh-CN" w:bidi="ar-SA"/>
        </w:rPr>
        <w:t>1.项目实施县（市、区）应具备的条件</w:t>
      </w:r>
    </w:p>
    <w:p w14:paraId="2B0311F2">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bidi="ar-SA"/>
        </w:rPr>
      </w:pPr>
      <w:r>
        <w:rPr>
          <w:rFonts w:hint="eastAsia" w:ascii="方正仿宋_GBK" w:hAnsi="方正仿宋_GBK" w:eastAsia="方正仿宋_GBK" w:cs="方正仿宋_GBK"/>
          <w:color w:val="auto"/>
          <w:kern w:val="0"/>
          <w:sz w:val="32"/>
          <w:szCs w:val="32"/>
          <w:lang w:val="en-US" w:eastAsia="zh-CN" w:bidi="ar-SA"/>
        </w:rPr>
        <w:t>（1）党政主要领导重视科技工作，亲自抓乡村振兴产业发展科技行动计划项目以及农业科技园区建设。</w:t>
      </w:r>
    </w:p>
    <w:p w14:paraId="4D94F932">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bidi="ar-SA"/>
        </w:rPr>
      </w:pPr>
      <w:r>
        <w:rPr>
          <w:rFonts w:hint="eastAsia" w:ascii="方正仿宋_GBK" w:hAnsi="方正仿宋_GBK" w:eastAsia="方正仿宋_GBK" w:cs="方正仿宋_GBK"/>
          <w:color w:val="auto"/>
          <w:kern w:val="0"/>
          <w:sz w:val="32"/>
          <w:szCs w:val="32"/>
          <w:lang w:val="en-US" w:eastAsia="zh-CN" w:bidi="ar-SA"/>
        </w:rPr>
        <w:t>（2）项目涉及产业发展基础良好，资源优势明显，已列入县（市、区）经济、社会、科技以及农业科技园区发展规划。</w:t>
      </w:r>
    </w:p>
    <w:p w14:paraId="50F16F5E">
      <w:pPr>
        <w:keepNext w:val="0"/>
        <w:keepLines w:val="0"/>
        <w:pageBreakBefore w:val="0"/>
        <w:widowControl w:val="0"/>
        <w:kinsoku/>
        <w:wordWrap/>
        <w:overflowPunct/>
        <w:topLinePunct w:val="0"/>
        <w:autoSpaceDE/>
        <w:autoSpaceDN/>
        <w:bidi w:val="0"/>
        <w:adjustRightInd/>
        <w:snapToGrid/>
        <w:spacing w:beforeAutospacing="0" w:afterAutospacing="0" w:line="530" w:lineRule="exact"/>
        <w:ind w:firstLine="643" w:firstLineChars="200"/>
        <w:jc w:val="both"/>
        <w:textAlignment w:val="auto"/>
        <w:outlineLvl w:val="9"/>
        <w:rPr>
          <w:rFonts w:hint="eastAsia" w:ascii="方正仿宋_GBK" w:hAnsi="方正仿宋_GBK" w:eastAsia="方正仿宋_GBK" w:cs="方正仿宋_GBK"/>
          <w:b/>
          <w:bCs/>
          <w:color w:val="auto"/>
          <w:kern w:val="0"/>
          <w:sz w:val="32"/>
          <w:szCs w:val="32"/>
        </w:rPr>
      </w:pPr>
      <w:r>
        <w:rPr>
          <w:rFonts w:hint="eastAsia" w:ascii="方正仿宋_GBK" w:hAnsi="方正仿宋_GBK" w:eastAsia="方正仿宋_GBK" w:cs="方正仿宋_GBK"/>
          <w:b/>
          <w:bCs/>
          <w:color w:val="auto"/>
          <w:kern w:val="0"/>
          <w:sz w:val="32"/>
          <w:szCs w:val="32"/>
        </w:rPr>
        <w:t>2.申报主体相关要求</w:t>
      </w:r>
    </w:p>
    <w:p w14:paraId="30A95968">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（1）</w:t>
      </w:r>
      <w:r>
        <w:rPr>
          <w:rFonts w:hint="default" w:ascii="Times New Roman" w:hAnsi="Times New Roman" w:eastAsia="方正仿宋_GBK" w:cs="Times New Roman"/>
          <w:sz w:val="32"/>
          <w:szCs w:val="32"/>
          <w:lang w:val="en" w:eastAsia="zh-CN"/>
        </w:rPr>
        <w:t>申报</w:t>
      </w:r>
      <w:r>
        <w:rPr>
          <w:rFonts w:hint="default" w:ascii="Times New Roman" w:hAnsi="Times New Roman" w:eastAsia="方正仿宋_GBK" w:cs="Times New Roman"/>
          <w:sz w:val="32"/>
          <w:szCs w:val="32"/>
          <w:lang w:val="en-US" w:eastAsia="zh-CN"/>
        </w:rPr>
        <w:t>单位</w:t>
      </w:r>
      <w:r>
        <w:rPr>
          <w:rFonts w:hint="eastAsia" w:ascii="方正仿宋_GBK" w:hAnsi="方正仿宋_GBK" w:eastAsia="方正仿宋_GBK" w:cs="方正仿宋_GBK"/>
          <w:color w:val="auto"/>
          <w:kern w:val="0"/>
          <w:sz w:val="32"/>
          <w:szCs w:val="32"/>
          <w:lang w:val="en-US" w:eastAsia="zh-CN"/>
        </w:rPr>
        <w:t>需是在自治区境内注册，具有独立法人资格，并为</w:t>
      </w:r>
      <w:r>
        <w:rPr>
          <w:rFonts w:hint="eastAsia" w:ascii="方正仿宋_GBK" w:hAnsi="方正仿宋_GBK" w:eastAsia="方正仿宋_GBK" w:cs="方正仿宋_GBK"/>
          <w:b w:val="0"/>
          <w:bCs w:val="0"/>
          <w:color w:val="auto"/>
          <w:sz w:val="32"/>
          <w:szCs w:val="32"/>
          <w:highlight w:val="none"/>
          <w:lang w:val="en-US" w:eastAsia="zh-CN"/>
        </w:rPr>
        <w:t>我区各级农业科技园区内入驻</w:t>
      </w:r>
      <w:r>
        <w:rPr>
          <w:rFonts w:hint="eastAsia" w:ascii="方正仿宋_GBK" w:hAnsi="方正仿宋_GBK" w:eastAsia="方正仿宋_GBK" w:cs="方正仿宋_GBK"/>
          <w:color w:val="auto"/>
          <w:kern w:val="0"/>
          <w:sz w:val="32"/>
          <w:szCs w:val="32"/>
          <w:lang w:val="en-US" w:eastAsia="zh-CN"/>
        </w:rPr>
        <w:t>的龙头企业或链主企业。单位及法人代表无不良信用记录，并具备与项目实施相匹配的基础条件和能力，具有健全的科研、财务等管理制度。</w:t>
      </w:r>
    </w:p>
    <w:p w14:paraId="4A05C5F5">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outlineLvl w:val="9"/>
        <w:rPr>
          <w:rFonts w:hint="eastAsia"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（2）</w:t>
      </w:r>
      <w:r>
        <w:rPr>
          <w:rFonts w:hint="eastAsia" w:ascii="Times New Roman" w:hAnsi="Times New Roman" w:eastAsia="方正仿宋_GBK" w:cs="Times New Roman"/>
          <w:sz w:val="32"/>
          <w:szCs w:val="32"/>
          <w:lang w:val="en-US" w:eastAsia="zh-CN"/>
        </w:rPr>
        <w:t>申报项目内容需符合园区主导产业发展定位及方向。</w:t>
      </w:r>
    </w:p>
    <w:p w14:paraId="59E178F0">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outlineLvl w:val="9"/>
        <w:rPr>
          <w:rFonts w:hint="eastAsia" w:ascii="Times New Roman" w:hAnsi="Times New Roman" w:eastAsia="方正仿宋_GBK" w:cs="Times New Roman"/>
          <w:sz w:val="32"/>
          <w:szCs w:val="32"/>
          <w:lang w:val="en-US" w:eastAsia="zh-CN"/>
        </w:rPr>
      </w:pPr>
      <w:r>
        <w:rPr>
          <w:rFonts w:hint="eastAsia" w:ascii="方正仿宋_GBK" w:hAnsi="方正仿宋_GBK" w:eastAsia="方正仿宋_GBK" w:cs="方正仿宋_GBK"/>
          <w:color w:val="auto"/>
          <w:kern w:val="0"/>
          <w:sz w:val="32"/>
          <w:szCs w:val="32"/>
          <w:lang w:val="en-US" w:eastAsia="zh-CN"/>
        </w:rPr>
        <w:t>（3）</w:t>
      </w:r>
      <w:r>
        <w:rPr>
          <w:rFonts w:hint="eastAsia" w:ascii="方正仿宋_GBK" w:hAnsi="方正仿宋_GBK" w:eastAsia="方正仿宋_GBK" w:cs="方正仿宋_GBK"/>
          <w:color w:val="auto"/>
          <w:kern w:val="0"/>
          <w:sz w:val="32"/>
          <w:szCs w:val="32"/>
        </w:rPr>
        <w:t>项目</w:t>
      </w:r>
      <w:r>
        <w:rPr>
          <w:rFonts w:hint="eastAsia" w:ascii="方正仿宋_GBK" w:hAnsi="方正仿宋_GBK" w:eastAsia="方正仿宋_GBK" w:cs="方正仿宋_GBK"/>
          <w:color w:val="auto"/>
          <w:kern w:val="0"/>
          <w:sz w:val="32"/>
          <w:szCs w:val="32"/>
          <w:lang w:eastAsia="zh-CN"/>
        </w:rPr>
        <w:t>需</w:t>
      </w:r>
      <w:r>
        <w:rPr>
          <w:rFonts w:hint="eastAsia" w:ascii="方正仿宋_GBK" w:hAnsi="方正仿宋_GBK" w:eastAsia="方正仿宋_GBK" w:cs="方正仿宋_GBK"/>
          <w:color w:val="auto"/>
          <w:kern w:val="0"/>
          <w:sz w:val="32"/>
          <w:szCs w:val="32"/>
        </w:rPr>
        <w:t>以产学研协作形式组织，技术合作（指导）单位</w:t>
      </w:r>
      <w:r>
        <w:rPr>
          <w:rFonts w:hint="eastAsia" w:ascii="方正仿宋_GBK" w:hAnsi="方正仿宋_GBK" w:eastAsia="方正仿宋_GBK" w:cs="方正仿宋_GBK"/>
          <w:color w:val="auto"/>
          <w:kern w:val="0"/>
          <w:sz w:val="32"/>
          <w:szCs w:val="32"/>
          <w:lang w:eastAsia="zh-CN"/>
        </w:rPr>
        <w:t>需</w:t>
      </w:r>
      <w:r>
        <w:rPr>
          <w:rFonts w:hint="eastAsia" w:ascii="方正仿宋_GBK" w:hAnsi="方正仿宋_GBK" w:eastAsia="方正仿宋_GBK" w:cs="方正仿宋_GBK"/>
          <w:color w:val="auto"/>
          <w:kern w:val="0"/>
          <w:sz w:val="32"/>
          <w:szCs w:val="32"/>
        </w:rPr>
        <w:t>是高等学校、科研院所或具有独立法人资格的科研机构</w:t>
      </w:r>
      <w:r>
        <w:rPr>
          <w:rFonts w:hint="eastAsia" w:ascii="方正仿宋_GBK" w:hAnsi="方正仿宋_GBK" w:eastAsia="方正仿宋_GBK" w:cs="方正仿宋_GBK"/>
          <w:color w:val="auto"/>
          <w:kern w:val="0"/>
          <w:sz w:val="32"/>
          <w:szCs w:val="32"/>
          <w:lang w:eastAsia="zh-CN"/>
        </w:rPr>
        <w:t>；</w:t>
      </w:r>
      <w:r>
        <w:rPr>
          <w:rFonts w:hint="default" w:ascii="Times New Roman" w:hAnsi="Times New Roman" w:eastAsia="方正仿宋_GBK" w:cs="Times New Roman"/>
          <w:sz w:val="32"/>
          <w:szCs w:val="32"/>
          <w:lang w:val="en" w:eastAsia="zh-CN"/>
        </w:rPr>
        <w:t>申报</w:t>
      </w:r>
      <w:r>
        <w:rPr>
          <w:rFonts w:hint="default" w:ascii="Times New Roman" w:hAnsi="Times New Roman" w:eastAsia="方正仿宋_GBK" w:cs="Times New Roman"/>
          <w:sz w:val="32"/>
          <w:szCs w:val="32"/>
          <w:lang w:val="en-US" w:eastAsia="zh-CN"/>
        </w:rPr>
        <w:t>单位</w:t>
      </w:r>
      <w:r>
        <w:rPr>
          <w:rFonts w:hint="eastAsia" w:ascii="Times New Roman" w:hAnsi="Times New Roman" w:eastAsia="方正仿宋_GBK" w:cs="Times New Roman"/>
          <w:sz w:val="32"/>
          <w:szCs w:val="32"/>
          <w:lang w:val="en-US" w:eastAsia="zh-CN"/>
        </w:rPr>
        <w:t>与</w:t>
      </w:r>
      <w:r>
        <w:rPr>
          <w:rFonts w:hint="eastAsia" w:ascii="方正仿宋_GBK" w:hAnsi="方正仿宋_GBK" w:eastAsia="方正仿宋_GBK" w:cs="方正仿宋_GBK"/>
          <w:color w:val="auto"/>
          <w:kern w:val="0"/>
          <w:sz w:val="32"/>
          <w:szCs w:val="32"/>
        </w:rPr>
        <w:t>技术合作（指导）单位</w:t>
      </w:r>
      <w:r>
        <w:rPr>
          <w:rFonts w:hint="eastAsia" w:ascii="方正仿宋_GBK" w:hAnsi="方正仿宋_GBK" w:eastAsia="方正仿宋_GBK" w:cs="方正仿宋_GBK"/>
          <w:color w:val="auto"/>
          <w:kern w:val="0"/>
          <w:sz w:val="32"/>
          <w:szCs w:val="32"/>
          <w:lang w:val="en-US" w:eastAsia="zh-CN"/>
        </w:rPr>
        <w:t>应</w:t>
      </w:r>
      <w:r>
        <w:rPr>
          <w:rFonts w:hint="default" w:ascii="Times New Roman" w:hAnsi="Times New Roman" w:eastAsia="方正仿宋_GBK" w:cs="Times New Roman"/>
          <w:sz w:val="32"/>
          <w:szCs w:val="32"/>
          <w:lang w:val="en-US" w:eastAsia="zh-CN"/>
        </w:rPr>
        <w:t>签订</w:t>
      </w:r>
      <w:r>
        <w:rPr>
          <w:rFonts w:hint="eastAsia" w:ascii="Times New Roman" w:hAnsi="Times New Roman" w:eastAsia="方正仿宋_GBK" w:cs="Times New Roman"/>
          <w:sz w:val="32"/>
          <w:szCs w:val="32"/>
          <w:lang w:val="en-US" w:eastAsia="zh-CN"/>
        </w:rPr>
        <w:t>科技合作或技术服务协议。</w:t>
      </w:r>
    </w:p>
    <w:p w14:paraId="5579419B">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outlineLvl w:val="9"/>
        <w:rPr>
          <w:rFonts w:hint="default" w:ascii="方正仿宋_GBK" w:hAnsi="方正仿宋_GBK" w:eastAsia="方正仿宋_GBK" w:cs="方正仿宋_GBK"/>
          <w:b/>
          <w:bCs/>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3.申报材料要求</w:t>
      </w:r>
    </w:p>
    <w:p w14:paraId="18199927">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outlineLvl w:val="9"/>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（1）需提供所属农业科技园区的推荐函。</w:t>
      </w:r>
    </w:p>
    <w:p w14:paraId="35C95BD5">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outlineLvl w:val="9"/>
        <w:rPr>
          <w:rFonts w:hint="eastAsia" w:ascii="Times New Roman" w:hAnsi="Times New Roman" w:eastAsia="方正仿宋_GBK" w:cs="Times New Roman"/>
          <w:sz w:val="32"/>
          <w:szCs w:val="32"/>
          <w:lang w:val="en-US" w:eastAsia="zh-CN"/>
        </w:rPr>
      </w:pPr>
      <w:r>
        <w:rPr>
          <w:rFonts w:hint="eastAsia" w:ascii="方正仿宋_GBK" w:hAnsi="方正仿宋_GBK" w:eastAsia="方正仿宋_GBK" w:cs="方正仿宋_GBK"/>
          <w:color w:val="auto"/>
          <w:kern w:val="0"/>
          <w:sz w:val="32"/>
          <w:szCs w:val="32"/>
          <w:lang w:val="en-US" w:eastAsia="zh-CN"/>
        </w:rPr>
        <w:t>（2）需提供</w:t>
      </w:r>
      <w:r>
        <w:rPr>
          <w:rFonts w:hint="eastAsia" w:ascii="Times New Roman" w:hAnsi="Times New Roman" w:eastAsia="方正仿宋_GBK" w:cs="Times New Roman"/>
          <w:sz w:val="32"/>
          <w:szCs w:val="32"/>
          <w:lang w:val="en-US" w:eastAsia="zh-CN"/>
        </w:rPr>
        <w:t>科技合作或技术服务协议。</w:t>
      </w:r>
    </w:p>
    <w:p w14:paraId="6EAF7138">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outlineLvl w:val="9"/>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（3）需提交自筹经费承诺函。</w:t>
      </w:r>
    </w:p>
    <w:p w14:paraId="7D086698">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outlineLvl w:val="9"/>
        <w:rPr>
          <w:rFonts w:hint="eastAsia" w:ascii="方正仿宋_GBK" w:hAnsi="方正仿宋_GBK" w:eastAsia="方正仿宋_GBK" w:cs="方正仿宋_GBK"/>
          <w:b/>
          <w:bCs/>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（4）需提交2023、2024年经审计的财务报告。</w:t>
      </w:r>
    </w:p>
    <w:p w14:paraId="26A65C13">
      <w:pPr>
        <w:keepNext w:val="0"/>
        <w:keepLines w:val="0"/>
        <w:pageBreakBefore w:val="0"/>
        <w:kinsoku/>
        <w:wordWrap/>
        <w:overflowPunct/>
        <w:topLinePunct w:val="0"/>
        <w:autoSpaceDE/>
        <w:autoSpaceDN/>
        <w:bidi w:val="0"/>
        <w:adjustRightInd/>
        <w:snapToGrid/>
        <w:spacing w:beforeAutospacing="0" w:afterAutospacing="0" w:line="530" w:lineRule="exact"/>
        <w:ind w:firstLine="643" w:firstLineChars="200"/>
        <w:textAlignment w:val="auto"/>
        <w:outlineLvl w:val="9"/>
        <w:rPr>
          <w:rFonts w:hint="eastAsia" w:ascii="方正仿宋_GBK" w:hAnsi="方正仿宋_GBK" w:eastAsia="方正仿宋_GBK" w:cs="方正仿宋_GBK"/>
          <w:b/>
          <w:bCs/>
          <w:color w:val="auto"/>
          <w:kern w:val="0"/>
          <w:sz w:val="32"/>
          <w:szCs w:val="32"/>
        </w:rPr>
      </w:pPr>
      <w:r>
        <w:rPr>
          <w:rFonts w:hint="eastAsia" w:ascii="方正仿宋_GBK" w:hAnsi="方正仿宋_GBK" w:eastAsia="方正仿宋_GBK" w:cs="方正仿宋_GBK"/>
          <w:b/>
          <w:bCs/>
          <w:color w:val="auto"/>
          <w:kern w:val="0"/>
          <w:sz w:val="32"/>
          <w:szCs w:val="32"/>
          <w:lang w:val="en-US" w:eastAsia="zh-CN"/>
        </w:rPr>
        <w:t>4</w:t>
      </w:r>
      <w:r>
        <w:rPr>
          <w:rFonts w:hint="eastAsia" w:ascii="方正仿宋_GBK" w:hAnsi="方正仿宋_GBK" w:eastAsia="方正仿宋_GBK" w:cs="方正仿宋_GBK"/>
          <w:b/>
          <w:bCs/>
          <w:color w:val="auto"/>
          <w:kern w:val="0"/>
          <w:sz w:val="32"/>
          <w:szCs w:val="32"/>
        </w:rPr>
        <w:t>.其他要求</w:t>
      </w:r>
    </w:p>
    <w:p w14:paraId="73516A38">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w:t>
      </w:r>
      <w:r>
        <w:rPr>
          <w:rFonts w:hint="eastAsia" w:ascii="方正仿宋_GBK" w:hAnsi="方正仿宋_GBK" w:eastAsia="方正仿宋_GBK" w:cs="方正仿宋_GBK"/>
          <w:color w:val="auto"/>
          <w:kern w:val="0"/>
          <w:sz w:val="32"/>
          <w:szCs w:val="32"/>
          <w:lang w:val="en-US" w:eastAsia="zh-CN"/>
        </w:rPr>
        <w:t>1</w:t>
      </w:r>
      <w:r>
        <w:rPr>
          <w:rFonts w:hint="eastAsia" w:ascii="方正仿宋_GBK" w:hAnsi="方正仿宋_GBK" w:eastAsia="方正仿宋_GBK" w:cs="方正仿宋_GBK"/>
          <w:color w:val="auto"/>
          <w:kern w:val="0"/>
          <w:sz w:val="32"/>
          <w:szCs w:val="32"/>
        </w:rPr>
        <w:t>）有下列情况之一的属于限制申报范围：</w:t>
      </w:r>
    </w:p>
    <w:p w14:paraId="51C34C2B">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1.项目负责人有在研项目或已立项公示项目（不包括自治区科技特派员服务类项目和自治区自然科学基金</w:t>
      </w:r>
      <w:r>
        <w:rPr>
          <w:rFonts w:hint="eastAsia" w:ascii="方正仿宋_GBK" w:hAnsi="方正仿宋_GBK" w:eastAsia="方正仿宋_GBK" w:cs="方正仿宋_GBK"/>
          <w:color w:val="auto"/>
          <w:kern w:val="0"/>
          <w:sz w:val="32"/>
          <w:szCs w:val="32"/>
          <w:lang w:val="en-US" w:eastAsia="zh-CN"/>
        </w:rPr>
        <w:t>项目</w:t>
      </w:r>
      <w:r>
        <w:rPr>
          <w:rFonts w:hint="eastAsia" w:ascii="方正仿宋_GBK" w:hAnsi="方正仿宋_GBK" w:eastAsia="方正仿宋_GBK" w:cs="方正仿宋_GBK"/>
          <w:color w:val="auto"/>
          <w:kern w:val="0"/>
          <w:sz w:val="32"/>
          <w:szCs w:val="32"/>
        </w:rPr>
        <w:t>）；</w:t>
      </w:r>
    </w:p>
    <w:p w14:paraId="5BAF25C0">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2.项目主要技术经济指标与国家、自治区已立项项目相同或相近的；</w:t>
      </w:r>
    </w:p>
    <w:p w14:paraId="60478CA5">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kern w:val="0"/>
          <w:sz w:val="32"/>
          <w:szCs w:val="32"/>
        </w:rPr>
        <w:t>违反上述申报限制的，将按照科研诚信相关规定处理。</w:t>
      </w:r>
    </w:p>
    <w:p w14:paraId="7746BAA2">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eastAsia="zh-CN"/>
        </w:rPr>
      </w:pPr>
      <w:r>
        <w:rPr>
          <w:rFonts w:hint="eastAsia" w:ascii="方正仿宋_GBK" w:hAnsi="方正仿宋_GBK" w:eastAsia="方正仿宋_GBK" w:cs="方正仿宋_GBK"/>
          <w:color w:val="auto"/>
          <w:kern w:val="0"/>
          <w:sz w:val="32"/>
          <w:szCs w:val="32"/>
        </w:rPr>
        <w:t>（</w:t>
      </w:r>
      <w:r>
        <w:rPr>
          <w:rFonts w:hint="eastAsia" w:ascii="方正仿宋_GBK" w:hAnsi="方正仿宋_GBK" w:eastAsia="方正仿宋_GBK" w:cs="方正仿宋_GBK"/>
          <w:color w:val="auto"/>
          <w:kern w:val="0"/>
          <w:sz w:val="32"/>
          <w:szCs w:val="32"/>
          <w:lang w:val="en-US" w:eastAsia="zh-CN"/>
        </w:rPr>
        <w:t>2</w:t>
      </w:r>
      <w:r>
        <w:rPr>
          <w:rFonts w:hint="eastAsia" w:ascii="方正仿宋_GBK" w:hAnsi="方正仿宋_GBK" w:eastAsia="方正仿宋_GBK" w:cs="方正仿宋_GBK"/>
          <w:color w:val="auto"/>
          <w:kern w:val="0"/>
          <w:sz w:val="32"/>
          <w:szCs w:val="32"/>
        </w:rPr>
        <w:t>）项目承担单位自筹经费与财政拨款比例不</w:t>
      </w:r>
      <w:r>
        <w:rPr>
          <w:rFonts w:hint="eastAsia" w:ascii="方正仿宋_GBK" w:hAnsi="方正仿宋_GBK" w:eastAsia="方正仿宋_GBK" w:cs="方正仿宋_GBK"/>
          <w:color w:val="auto"/>
          <w:kern w:val="0"/>
          <w:sz w:val="32"/>
          <w:szCs w:val="32"/>
          <w:lang w:val="en-US" w:eastAsia="zh-CN"/>
        </w:rPr>
        <w:t>低</w:t>
      </w:r>
      <w:r>
        <w:rPr>
          <w:rFonts w:hint="eastAsia" w:ascii="方正仿宋_GBK" w:hAnsi="方正仿宋_GBK" w:eastAsia="方正仿宋_GBK" w:cs="方正仿宋_GBK"/>
          <w:color w:val="auto"/>
          <w:kern w:val="0"/>
          <w:sz w:val="32"/>
          <w:szCs w:val="32"/>
        </w:rPr>
        <w:t>于</w:t>
      </w:r>
      <w:r>
        <w:rPr>
          <w:rFonts w:hint="eastAsia" w:ascii="方正仿宋_GBK" w:hAnsi="方正仿宋_GBK" w:eastAsia="方正仿宋_GBK" w:cs="方正仿宋_GBK"/>
          <w:color w:val="auto"/>
          <w:kern w:val="0"/>
          <w:sz w:val="32"/>
          <w:szCs w:val="32"/>
          <w:lang w:val="en-US" w:eastAsia="zh-CN"/>
        </w:rPr>
        <w:t>1</w:t>
      </w:r>
      <w:r>
        <w:rPr>
          <w:rFonts w:hint="eastAsia" w:ascii="方正仿宋_GBK" w:hAnsi="方正仿宋_GBK" w:eastAsia="方正仿宋_GBK" w:cs="方正仿宋_GBK"/>
          <w:color w:val="auto"/>
          <w:kern w:val="0"/>
          <w:sz w:val="32"/>
          <w:szCs w:val="32"/>
        </w:rPr>
        <w:t>:1</w:t>
      </w:r>
      <w:r>
        <w:rPr>
          <w:rFonts w:hint="eastAsia" w:ascii="方正仿宋_GBK" w:hAnsi="方正仿宋_GBK" w:eastAsia="方正仿宋_GBK" w:cs="方正仿宋_GBK"/>
          <w:color w:val="auto"/>
          <w:kern w:val="0"/>
          <w:sz w:val="32"/>
          <w:szCs w:val="32"/>
          <w:lang w:eastAsia="zh-CN"/>
        </w:rPr>
        <w:t>。</w:t>
      </w:r>
    </w:p>
    <w:p w14:paraId="299749C3">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jc w:val="left"/>
        <w:textAlignment w:val="auto"/>
        <w:outlineLvl w:val="9"/>
        <w:rPr>
          <w:rFonts w:hint="eastAsia" w:ascii="方正黑体_GBK" w:hAnsi="方正黑体_GBK" w:eastAsia="方正黑体_GBK" w:cs="方正黑体_GBK"/>
          <w:color w:val="auto"/>
          <w:sz w:val="32"/>
          <w:szCs w:val="32"/>
          <w:lang w:val="en-US" w:eastAsia="zh-CN"/>
        </w:rPr>
      </w:pPr>
      <w:r>
        <w:rPr>
          <w:rFonts w:hint="eastAsia" w:ascii="方正仿宋_GBK" w:hAnsi="方正仿宋_GBK" w:eastAsia="方正仿宋_GBK" w:cs="方正仿宋_GBK"/>
          <w:color w:val="auto"/>
          <w:kern w:val="0"/>
          <w:sz w:val="32"/>
          <w:szCs w:val="32"/>
        </w:rPr>
        <w:t>（</w:t>
      </w:r>
      <w:r>
        <w:rPr>
          <w:rFonts w:hint="eastAsia" w:ascii="方正仿宋_GBK" w:hAnsi="方正仿宋_GBK" w:eastAsia="方正仿宋_GBK" w:cs="方正仿宋_GBK"/>
          <w:color w:val="auto"/>
          <w:kern w:val="0"/>
          <w:sz w:val="32"/>
          <w:szCs w:val="32"/>
          <w:lang w:val="en-US" w:eastAsia="zh-CN"/>
        </w:rPr>
        <w:t>3</w:t>
      </w:r>
      <w:r>
        <w:rPr>
          <w:rFonts w:hint="eastAsia" w:ascii="方正仿宋_GBK" w:hAnsi="方正仿宋_GBK" w:eastAsia="方正仿宋_GBK" w:cs="方正仿宋_GBK"/>
          <w:color w:val="auto"/>
          <w:kern w:val="0"/>
          <w:sz w:val="32"/>
          <w:szCs w:val="32"/>
        </w:rPr>
        <w:t>）</w:t>
      </w:r>
      <w:r>
        <w:rPr>
          <w:rFonts w:hint="eastAsia" w:ascii="方正仿宋_GBK" w:hAnsi="方正仿宋_GBK" w:eastAsia="方正仿宋_GBK" w:cs="方正仿宋_GBK"/>
          <w:color w:val="auto"/>
          <w:kern w:val="0"/>
          <w:sz w:val="32"/>
          <w:szCs w:val="32"/>
          <w:lang w:val="en-US" w:eastAsia="zh-CN"/>
        </w:rPr>
        <w:t>项目需在疆内实施，</w:t>
      </w:r>
      <w:r>
        <w:rPr>
          <w:rFonts w:hint="eastAsia" w:ascii="方正仿宋_GBK" w:hAnsi="方正仿宋_GBK" w:eastAsia="方正仿宋_GBK" w:cs="方正仿宋_GBK"/>
          <w:strike w:val="0"/>
          <w:dstrike w:val="0"/>
          <w:color w:val="000000" w:themeColor="text1"/>
          <w:sz w:val="32"/>
          <w:szCs w:val="32"/>
          <w14:textFill>
            <w14:solidFill>
              <w14:schemeClr w14:val="tx1"/>
            </w14:solidFill>
          </w14:textFill>
        </w:rPr>
        <w:t>项目</w:t>
      </w:r>
      <w:r>
        <w:rPr>
          <w:rFonts w:hint="eastAsia" w:ascii="方正仿宋_GBK" w:hAnsi="方正仿宋_GBK" w:eastAsia="方正仿宋_GBK" w:cs="方正仿宋_GBK"/>
          <w:color w:val="000000" w:themeColor="text1"/>
          <w:sz w:val="32"/>
          <w:szCs w:val="32"/>
          <w14:textFill>
            <w14:solidFill>
              <w14:schemeClr w14:val="tx1"/>
            </w14:solidFill>
          </w14:textFill>
        </w:rPr>
        <w:t>执行期</w:t>
      </w:r>
      <w:r>
        <w:rPr>
          <w:rFonts w:hint="eastAsia" w:ascii="方正仿宋_GBK" w:hAnsi="方正仿宋_GBK" w:eastAsia="方正仿宋_GBK" w:cs="方正仿宋_GBK"/>
          <w:color w:val="auto"/>
          <w:kern w:val="0"/>
          <w:sz w:val="32"/>
          <w:szCs w:val="32"/>
        </w:rPr>
        <w:t>2年。</w:t>
      </w:r>
    </w:p>
    <w:p w14:paraId="29D03BA0">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3" w:firstLineChars="200"/>
        <w:jc w:val="both"/>
        <w:textAlignment w:val="auto"/>
        <w:outlineLvl w:val="9"/>
        <w:rPr>
          <w:rFonts w:hint="default" w:ascii="方正仿宋_GBK" w:hAnsi="方正仿宋_GBK" w:eastAsia="方正仿宋_GBK" w:cs="方正仿宋_GBK"/>
          <w:b/>
          <w:bCs/>
          <w:color w:val="auto"/>
          <w:kern w:val="0"/>
          <w:sz w:val="32"/>
          <w:szCs w:val="32"/>
          <w:lang w:val="en-US" w:eastAsia="zh-CN" w:bidi="ar-SA"/>
        </w:rPr>
      </w:pPr>
      <w:r>
        <w:rPr>
          <w:rFonts w:hint="eastAsia" w:ascii="方正仿宋_GBK" w:hAnsi="方正仿宋_GBK" w:eastAsia="方正仿宋_GBK" w:cs="方正仿宋_GBK"/>
          <w:b/>
          <w:bCs/>
          <w:color w:val="auto"/>
          <w:kern w:val="0"/>
          <w:sz w:val="32"/>
          <w:szCs w:val="32"/>
          <w:lang w:val="en-US" w:eastAsia="zh-CN" w:bidi="ar-SA"/>
        </w:rPr>
        <w:t>5.申报方式</w:t>
      </w:r>
    </w:p>
    <w:p w14:paraId="009D2A26">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kern w:val="0"/>
          <w:sz w:val="32"/>
          <w:szCs w:val="32"/>
          <w:lang w:val="en-US" w:eastAsia="zh-CN" w:bidi="ar-SA"/>
        </w:rPr>
      </w:pPr>
      <w:r>
        <w:rPr>
          <w:rFonts w:hint="eastAsia" w:ascii="方正仿宋_GBK" w:hAnsi="方正仿宋_GBK" w:eastAsia="方正仿宋_GBK" w:cs="方正仿宋_GBK"/>
          <w:color w:val="auto"/>
          <w:kern w:val="0"/>
          <w:sz w:val="32"/>
          <w:szCs w:val="32"/>
        </w:rPr>
        <w:t>（</w:t>
      </w:r>
      <w:r>
        <w:rPr>
          <w:rFonts w:hint="eastAsia" w:ascii="方正仿宋_GBK" w:hAnsi="方正仿宋_GBK" w:eastAsia="方正仿宋_GBK" w:cs="方正仿宋_GBK"/>
          <w:color w:val="auto"/>
          <w:kern w:val="0"/>
          <w:sz w:val="32"/>
          <w:szCs w:val="32"/>
          <w:lang w:val="en-US" w:eastAsia="zh-CN"/>
        </w:rPr>
        <w:t>1</w:t>
      </w:r>
      <w:r>
        <w:rPr>
          <w:rFonts w:hint="eastAsia" w:ascii="方正仿宋_GBK" w:hAnsi="方正仿宋_GBK" w:eastAsia="方正仿宋_GBK" w:cs="方正仿宋_GBK"/>
          <w:color w:val="auto"/>
          <w:kern w:val="0"/>
          <w:sz w:val="32"/>
          <w:szCs w:val="32"/>
        </w:rPr>
        <w:t>）</w:t>
      </w:r>
      <w:r>
        <w:rPr>
          <w:rFonts w:hint="eastAsia" w:ascii="方正仿宋_GBK" w:hAnsi="方正仿宋_GBK" w:eastAsia="方正仿宋_GBK" w:cs="方正仿宋_GBK"/>
          <w:color w:val="auto"/>
          <w:kern w:val="0"/>
          <w:sz w:val="32"/>
          <w:szCs w:val="32"/>
          <w:lang w:val="en-US" w:eastAsia="zh-CN" w:bidi="ar-SA"/>
        </w:rPr>
        <w:t>项目申报需通过自治区科技厅网站的“新疆科技计划管理公共服务平台”（kjt.xinjiang.gov.cn）进行网上申报。首次申报的需先进行单位注册，获得单位账号后，方可建立用户申报账号。新疆科技项目服务中心可提供相关业务咨询。</w:t>
      </w:r>
    </w:p>
    <w:p w14:paraId="711714F2">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kern w:val="0"/>
          <w:sz w:val="32"/>
          <w:szCs w:val="32"/>
          <w:lang w:val="en-US" w:eastAsia="zh-CN" w:bidi="ar-SA"/>
        </w:rPr>
      </w:pPr>
      <w:r>
        <w:rPr>
          <w:rFonts w:hint="eastAsia" w:ascii="方正仿宋_GBK" w:hAnsi="方正仿宋_GBK" w:eastAsia="方正仿宋_GBK" w:cs="方正仿宋_GBK"/>
          <w:color w:val="auto"/>
          <w:kern w:val="0"/>
          <w:sz w:val="32"/>
          <w:szCs w:val="32"/>
          <w:lang w:val="en-US" w:eastAsia="zh-CN" w:bidi="ar-SA"/>
        </w:rPr>
        <w:t>（2）各推荐单位在“新疆科技计划管理公共服务平台”上进行审核推荐，并将项目在线提交至自治区科技厅。</w:t>
      </w:r>
    </w:p>
    <w:p w14:paraId="7C16788B">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kern w:val="0"/>
          <w:sz w:val="32"/>
          <w:szCs w:val="32"/>
          <w:lang w:val="en-US" w:eastAsia="zh-CN" w:bidi="ar-SA"/>
        </w:rPr>
      </w:pPr>
      <w:r>
        <w:rPr>
          <w:rFonts w:hint="eastAsia" w:ascii="方正仿宋_GBK" w:hAnsi="方正仿宋_GBK" w:eastAsia="方正仿宋_GBK" w:cs="方正仿宋_GBK"/>
          <w:color w:val="auto"/>
          <w:kern w:val="0"/>
          <w:sz w:val="32"/>
          <w:szCs w:val="32"/>
          <w:lang w:val="en-US" w:eastAsia="zh-CN" w:bidi="ar-SA"/>
        </w:rPr>
        <w:t>（3）未按期完成网上申报的项目将不予受理。</w:t>
      </w:r>
    </w:p>
    <w:p w14:paraId="2DEFB49D">
      <w:pPr>
        <w:pStyle w:val="9"/>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六</w:t>
      </w:r>
      <w:r>
        <w:rPr>
          <w:rFonts w:hint="eastAsia" w:ascii="方正黑体_GBK" w:hAnsi="方正黑体_GBK" w:eastAsia="方正黑体_GBK" w:cs="方正黑体_GBK"/>
          <w:color w:val="auto"/>
          <w:sz w:val="32"/>
          <w:szCs w:val="32"/>
        </w:rPr>
        <w:t>、联系方式</w:t>
      </w:r>
    </w:p>
    <w:p w14:paraId="25A3069B">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农村科技处</w:t>
      </w:r>
    </w:p>
    <w:p w14:paraId="0A75CD62">
      <w:pPr>
        <w:keepNext w:val="0"/>
        <w:keepLines w:val="0"/>
        <w:pageBreakBefore w:val="0"/>
        <w:kinsoku/>
        <w:wordWrap/>
        <w:overflowPunct/>
        <w:topLinePunct w:val="0"/>
        <w:autoSpaceDE/>
        <w:autoSpaceDN/>
        <w:bidi w:val="0"/>
        <w:adjustRightInd/>
        <w:snapToGrid/>
        <w:spacing w:beforeAutospacing="0" w:afterAutospacing="0" w:line="53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联 系 人：</w:t>
      </w:r>
      <w:r>
        <w:rPr>
          <w:rFonts w:hint="eastAsia" w:ascii="方正仿宋_GBK" w:hAnsi="方正仿宋_GBK" w:eastAsia="方正仿宋_GBK" w:cs="方正仿宋_GBK"/>
          <w:color w:val="auto"/>
          <w:sz w:val="32"/>
          <w:szCs w:val="32"/>
          <w:lang w:val="en-US" w:eastAsia="zh-CN"/>
        </w:rPr>
        <w:t>陶柳婷</w:t>
      </w:r>
    </w:p>
    <w:p w14:paraId="4883F7FC">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联系电话：0991-3822204</w:t>
      </w:r>
    </w:p>
    <w:p w14:paraId="50816800">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2.科技人才开发中心</w:t>
      </w:r>
    </w:p>
    <w:p w14:paraId="740CA030">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联 系 人：韦书</w:t>
      </w:r>
    </w:p>
    <w:p w14:paraId="7398A4E3">
      <w:pPr>
        <w:pStyle w:val="9"/>
        <w:keepNext w:val="0"/>
        <w:keepLines w:val="0"/>
        <w:pageBreakBefore w:val="0"/>
        <w:widowControl/>
        <w:kinsoku/>
        <w:wordWrap/>
        <w:overflowPunct/>
        <w:topLinePunct w:val="0"/>
        <w:autoSpaceDE/>
        <w:autoSpaceDN/>
        <w:bidi w:val="0"/>
        <w:adjustRightInd/>
        <w:snapToGrid/>
        <w:spacing w:beforeAutospacing="0" w:afterAutospacing="0" w:line="530" w:lineRule="exact"/>
        <w:ind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联系电话：0991-3822538</w:t>
      </w:r>
    </w:p>
    <w:sectPr>
      <w:footerReference r:id="rId3" w:type="default"/>
      <w:pgSz w:w="11906" w:h="16838"/>
      <w:pgMar w:top="212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08A5BC-D4B9-4C12-8354-4649231489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11AD889-25ED-4FA6-BA1B-ED35D5A6797A}"/>
  </w:font>
  <w:font w:name="方正小标宋_GBK">
    <w:panose1 w:val="02000000000000000000"/>
    <w:charset w:val="86"/>
    <w:family w:val="auto"/>
    <w:pitch w:val="default"/>
    <w:sig w:usb0="A00002BF" w:usb1="38CF7CFA" w:usb2="00082016" w:usb3="00000000" w:csb0="00040001" w:csb1="00000000"/>
    <w:embedRegular r:id="rId3" w:fontKey="{3F56B2E3-C582-4DEE-AAAC-E01AB2AE3FA1}"/>
  </w:font>
  <w:font w:name="方正仿宋_GBK">
    <w:panose1 w:val="02000000000000000000"/>
    <w:charset w:val="86"/>
    <w:family w:val="auto"/>
    <w:pitch w:val="default"/>
    <w:sig w:usb0="A00002BF" w:usb1="38CF7CFA" w:usb2="00082016" w:usb3="00000000" w:csb0="00040001" w:csb1="00000000"/>
    <w:embedRegular r:id="rId4" w:fontKey="{AD77E7A4-4D7A-4091-8A2E-F663D62A5C8C}"/>
  </w:font>
  <w:font w:name="方正黑体_GBK">
    <w:altName w:val="微软雅黑"/>
    <w:panose1 w:val="03000509000000000000"/>
    <w:charset w:val="86"/>
    <w:family w:val="auto"/>
    <w:pitch w:val="default"/>
    <w:sig w:usb0="00000000" w:usb1="00000000" w:usb2="00000000" w:usb3="00000000" w:csb0="00040000" w:csb1="00000000"/>
    <w:embedRegular r:id="rId5" w:fontKey="{B405BCD1-42A8-48E7-883E-68A7276E28DD}"/>
  </w:font>
  <w:font w:name="方正小标宋简体">
    <w:altName w:val="方正舒体"/>
    <w:panose1 w:val="02010601030101010101"/>
    <w:charset w:val="86"/>
    <w:family w:val="auto"/>
    <w:pitch w:val="default"/>
    <w:sig w:usb0="00000000" w:usb1="00000000" w:usb2="00000000" w:usb3="00000000" w:csb0="00040000" w:csb1="00000000"/>
    <w:embedRegular r:id="rId6" w:fontKey="{B1168804-B85D-491E-B271-DE7F87C4BEC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D99F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F0A7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CF0A7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iOGMwM2VkYTI5MDBhZGM3ZjFlYWU0YjMzZWM0ODgifQ=="/>
  </w:docVars>
  <w:rsids>
    <w:rsidRoot w:val="00172A27"/>
    <w:rsid w:val="00226AE9"/>
    <w:rsid w:val="002B06D1"/>
    <w:rsid w:val="002D269B"/>
    <w:rsid w:val="006B31C3"/>
    <w:rsid w:val="0089775B"/>
    <w:rsid w:val="008B2387"/>
    <w:rsid w:val="00B06E28"/>
    <w:rsid w:val="00B32474"/>
    <w:rsid w:val="00B46918"/>
    <w:rsid w:val="00D77DB8"/>
    <w:rsid w:val="01432343"/>
    <w:rsid w:val="017344C8"/>
    <w:rsid w:val="017D31AE"/>
    <w:rsid w:val="01AA1AC9"/>
    <w:rsid w:val="01B85F94"/>
    <w:rsid w:val="01C74429"/>
    <w:rsid w:val="01CE3A0A"/>
    <w:rsid w:val="01E44FDB"/>
    <w:rsid w:val="0224187C"/>
    <w:rsid w:val="024F6C16"/>
    <w:rsid w:val="02671768"/>
    <w:rsid w:val="02A604E3"/>
    <w:rsid w:val="02C31095"/>
    <w:rsid w:val="02C46BBB"/>
    <w:rsid w:val="02CB619B"/>
    <w:rsid w:val="02CF7A3A"/>
    <w:rsid w:val="02E35293"/>
    <w:rsid w:val="02F2197A"/>
    <w:rsid w:val="03190CB5"/>
    <w:rsid w:val="033755DF"/>
    <w:rsid w:val="034736CB"/>
    <w:rsid w:val="03953B20"/>
    <w:rsid w:val="03F25F90"/>
    <w:rsid w:val="041F679F"/>
    <w:rsid w:val="044C330C"/>
    <w:rsid w:val="048900BC"/>
    <w:rsid w:val="048E7480"/>
    <w:rsid w:val="04AB3B8E"/>
    <w:rsid w:val="04BA2023"/>
    <w:rsid w:val="04EF43C3"/>
    <w:rsid w:val="052851DF"/>
    <w:rsid w:val="05445D91"/>
    <w:rsid w:val="056729FB"/>
    <w:rsid w:val="05877E0F"/>
    <w:rsid w:val="05B922DB"/>
    <w:rsid w:val="06712BB6"/>
    <w:rsid w:val="06892C7D"/>
    <w:rsid w:val="069A65B0"/>
    <w:rsid w:val="069C40D7"/>
    <w:rsid w:val="06B70F10"/>
    <w:rsid w:val="06CE1DB6"/>
    <w:rsid w:val="06DD733E"/>
    <w:rsid w:val="06E25862"/>
    <w:rsid w:val="06E748BA"/>
    <w:rsid w:val="06F061D0"/>
    <w:rsid w:val="06FD269B"/>
    <w:rsid w:val="07267620"/>
    <w:rsid w:val="072C72D4"/>
    <w:rsid w:val="074D53D1"/>
    <w:rsid w:val="07691ABC"/>
    <w:rsid w:val="077B2FD9"/>
    <w:rsid w:val="077E558A"/>
    <w:rsid w:val="079B438E"/>
    <w:rsid w:val="07C75183"/>
    <w:rsid w:val="08002443"/>
    <w:rsid w:val="0846719C"/>
    <w:rsid w:val="084E60B4"/>
    <w:rsid w:val="086E4C38"/>
    <w:rsid w:val="08781E0C"/>
    <w:rsid w:val="0893631B"/>
    <w:rsid w:val="08C17D76"/>
    <w:rsid w:val="091F4B4B"/>
    <w:rsid w:val="09376339"/>
    <w:rsid w:val="0941040C"/>
    <w:rsid w:val="09594501"/>
    <w:rsid w:val="09756E61"/>
    <w:rsid w:val="09A06938"/>
    <w:rsid w:val="09CB082F"/>
    <w:rsid w:val="09D6260B"/>
    <w:rsid w:val="09F91840"/>
    <w:rsid w:val="09FB5555"/>
    <w:rsid w:val="0A1E12A6"/>
    <w:rsid w:val="0AB3379D"/>
    <w:rsid w:val="0AF44DDF"/>
    <w:rsid w:val="0B064214"/>
    <w:rsid w:val="0B116715"/>
    <w:rsid w:val="0B143F05"/>
    <w:rsid w:val="0B3D39AE"/>
    <w:rsid w:val="0B4B1C27"/>
    <w:rsid w:val="0B503CAD"/>
    <w:rsid w:val="0B927856"/>
    <w:rsid w:val="0B9B14E3"/>
    <w:rsid w:val="0BC639A4"/>
    <w:rsid w:val="0C2A3F33"/>
    <w:rsid w:val="0C4C20FB"/>
    <w:rsid w:val="0C517711"/>
    <w:rsid w:val="0C7C19E7"/>
    <w:rsid w:val="0C8C0749"/>
    <w:rsid w:val="0C915D60"/>
    <w:rsid w:val="0CA43CE5"/>
    <w:rsid w:val="0D2766C4"/>
    <w:rsid w:val="0D35493D"/>
    <w:rsid w:val="0D447D34"/>
    <w:rsid w:val="0D9773A6"/>
    <w:rsid w:val="0DC30C00"/>
    <w:rsid w:val="0DC32327"/>
    <w:rsid w:val="0DDF5AFC"/>
    <w:rsid w:val="0DFF7F2E"/>
    <w:rsid w:val="0E122ED0"/>
    <w:rsid w:val="0E1A3B33"/>
    <w:rsid w:val="0E2D6E89"/>
    <w:rsid w:val="0E576CF7"/>
    <w:rsid w:val="0E7476E7"/>
    <w:rsid w:val="0ED32660"/>
    <w:rsid w:val="0ED65CAC"/>
    <w:rsid w:val="0EE96BDE"/>
    <w:rsid w:val="0EF95E3E"/>
    <w:rsid w:val="0F491210"/>
    <w:rsid w:val="0F6A5E06"/>
    <w:rsid w:val="0FB104C7"/>
    <w:rsid w:val="0FB81855"/>
    <w:rsid w:val="0FB8498F"/>
    <w:rsid w:val="0FC24F0E"/>
    <w:rsid w:val="0FC91CB4"/>
    <w:rsid w:val="10233173"/>
    <w:rsid w:val="10A5002C"/>
    <w:rsid w:val="10A73DA4"/>
    <w:rsid w:val="10B44CEA"/>
    <w:rsid w:val="10C5247C"/>
    <w:rsid w:val="111F7DDE"/>
    <w:rsid w:val="114F61E9"/>
    <w:rsid w:val="11621A79"/>
    <w:rsid w:val="117702AA"/>
    <w:rsid w:val="117A14B8"/>
    <w:rsid w:val="118B5473"/>
    <w:rsid w:val="123A47A4"/>
    <w:rsid w:val="125D103B"/>
    <w:rsid w:val="128819B3"/>
    <w:rsid w:val="12884530"/>
    <w:rsid w:val="128B14A3"/>
    <w:rsid w:val="129C0FBA"/>
    <w:rsid w:val="12EC0194"/>
    <w:rsid w:val="131B45D5"/>
    <w:rsid w:val="13390EFF"/>
    <w:rsid w:val="138945B5"/>
    <w:rsid w:val="138E30D4"/>
    <w:rsid w:val="13A50343"/>
    <w:rsid w:val="13C609E5"/>
    <w:rsid w:val="13FB7539"/>
    <w:rsid w:val="141E34D9"/>
    <w:rsid w:val="144A458D"/>
    <w:rsid w:val="14531B4D"/>
    <w:rsid w:val="145C4EA5"/>
    <w:rsid w:val="14ED1FA1"/>
    <w:rsid w:val="14EF1875"/>
    <w:rsid w:val="14FF5ABB"/>
    <w:rsid w:val="15082937"/>
    <w:rsid w:val="15086DDB"/>
    <w:rsid w:val="150A42DA"/>
    <w:rsid w:val="15107A3E"/>
    <w:rsid w:val="152A0AFF"/>
    <w:rsid w:val="15485429"/>
    <w:rsid w:val="156C2EC6"/>
    <w:rsid w:val="158C17BA"/>
    <w:rsid w:val="1604555D"/>
    <w:rsid w:val="169D6739"/>
    <w:rsid w:val="16B32D77"/>
    <w:rsid w:val="16BA5DAD"/>
    <w:rsid w:val="16BB4C7F"/>
    <w:rsid w:val="16C32FBA"/>
    <w:rsid w:val="17064087"/>
    <w:rsid w:val="178169D1"/>
    <w:rsid w:val="17C51B69"/>
    <w:rsid w:val="17C55369"/>
    <w:rsid w:val="17EB6C6C"/>
    <w:rsid w:val="18226406"/>
    <w:rsid w:val="185B5474"/>
    <w:rsid w:val="189015C1"/>
    <w:rsid w:val="18B40066"/>
    <w:rsid w:val="18E37080"/>
    <w:rsid w:val="190378E2"/>
    <w:rsid w:val="19037FE5"/>
    <w:rsid w:val="193006AE"/>
    <w:rsid w:val="19882298"/>
    <w:rsid w:val="19C534ED"/>
    <w:rsid w:val="19EF40C6"/>
    <w:rsid w:val="1A02204B"/>
    <w:rsid w:val="1A2975D8"/>
    <w:rsid w:val="1A5F56EF"/>
    <w:rsid w:val="1A7C004F"/>
    <w:rsid w:val="1AD63143"/>
    <w:rsid w:val="1B065B6B"/>
    <w:rsid w:val="1B0E67CD"/>
    <w:rsid w:val="1B1D5E2D"/>
    <w:rsid w:val="1B2B21A0"/>
    <w:rsid w:val="1B4E38C0"/>
    <w:rsid w:val="1B590390"/>
    <w:rsid w:val="1BF63E31"/>
    <w:rsid w:val="1C1B3898"/>
    <w:rsid w:val="1C454471"/>
    <w:rsid w:val="1C4E0B38"/>
    <w:rsid w:val="1C534DE0"/>
    <w:rsid w:val="1C5C1D06"/>
    <w:rsid w:val="1C6C298A"/>
    <w:rsid w:val="1C6E39C8"/>
    <w:rsid w:val="1C8C20A0"/>
    <w:rsid w:val="1C8E26CC"/>
    <w:rsid w:val="1C984EE8"/>
    <w:rsid w:val="1CD221A8"/>
    <w:rsid w:val="1CE123EB"/>
    <w:rsid w:val="1CEC2B3E"/>
    <w:rsid w:val="1D091942"/>
    <w:rsid w:val="1D4B47A1"/>
    <w:rsid w:val="1D5B0282"/>
    <w:rsid w:val="1D74500E"/>
    <w:rsid w:val="1D752B34"/>
    <w:rsid w:val="1D930E77"/>
    <w:rsid w:val="1DB96EC4"/>
    <w:rsid w:val="1DCA63FE"/>
    <w:rsid w:val="1DDE4B7D"/>
    <w:rsid w:val="1DF20628"/>
    <w:rsid w:val="1E4470D6"/>
    <w:rsid w:val="1E7B6870"/>
    <w:rsid w:val="1E90231B"/>
    <w:rsid w:val="1EA71413"/>
    <w:rsid w:val="1ED61CF8"/>
    <w:rsid w:val="1ED63AA6"/>
    <w:rsid w:val="1F0A7BCF"/>
    <w:rsid w:val="1F0D5A8E"/>
    <w:rsid w:val="1F493322"/>
    <w:rsid w:val="1F574BE7"/>
    <w:rsid w:val="1F925C1F"/>
    <w:rsid w:val="1F960723"/>
    <w:rsid w:val="1FC97167"/>
    <w:rsid w:val="1FCE374E"/>
    <w:rsid w:val="20095E4F"/>
    <w:rsid w:val="20234AC9"/>
    <w:rsid w:val="206F41B2"/>
    <w:rsid w:val="20843FF0"/>
    <w:rsid w:val="208F6602"/>
    <w:rsid w:val="209F6845"/>
    <w:rsid w:val="20BB0358"/>
    <w:rsid w:val="20C73087"/>
    <w:rsid w:val="20EA1F62"/>
    <w:rsid w:val="20FC3C98"/>
    <w:rsid w:val="2109593D"/>
    <w:rsid w:val="216039D4"/>
    <w:rsid w:val="216B5690"/>
    <w:rsid w:val="217355DC"/>
    <w:rsid w:val="21787096"/>
    <w:rsid w:val="21817931"/>
    <w:rsid w:val="21A331FD"/>
    <w:rsid w:val="21C422DC"/>
    <w:rsid w:val="21CC4B41"/>
    <w:rsid w:val="21F030D1"/>
    <w:rsid w:val="2210107D"/>
    <w:rsid w:val="223034CD"/>
    <w:rsid w:val="2268710B"/>
    <w:rsid w:val="226A714E"/>
    <w:rsid w:val="226F0499"/>
    <w:rsid w:val="229677D4"/>
    <w:rsid w:val="2298179E"/>
    <w:rsid w:val="22A84890"/>
    <w:rsid w:val="22AC524A"/>
    <w:rsid w:val="22D30A28"/>
    <w:rsid w:val="22F95FB5"/>
    <w:rsid w:val="23003E65"/>
    <w:rsid w:val="233F1C1A"/>
    <w:rsid w:val="234003EB"/>
    <w:rsid w:val="23533917"/>
    <w:rsid w:val="23A67EEB"/>
    <w:rsid w:val="23B048C6"/>
    <w:rsid w:val="23D55D98"/>
    <w:rsid w:val="2423778D"/>
    <w:rsid w:val="242B01A8"/>
    <w:rsid w:val="243553C5"/>
    <w:rsid w:val="244B0A92"/>
    <w:rsid w:val="245E7561"/>
    <w:rsid w:val="24A7216D"/>
    <w:rsid w:val="24C543A1"/>
    <w:rsid w:val="24C90335"/>
    <w:rsid w:val="24CA7C09"/>
    <w:rsid w:val="24E55A7B"/>
    <w:rsid w:val="24E83E75"/>
    <w:rsid w:val="251175E6"/>
    <w:rsid w:val="25227A45"/>
    <w:rsid w:val="252B4B4C"/>
    <w:rsid w:val="252F32A6"/>
    <w:rsid w:val="253C3B74"/>
    <w:rsid w:val="255045B2"/>
    <w:rsid w:val="255715D3"/>
    <w:rsid w:val="25CB3C39"/>
    <w:rsid w:val="25CE7A6C"/>
    <w:rsid w:val="25D16D75"/>
    <w:rsid w:val="26284BE7"/>
    <w:rsid w:val="262C4524"/>
    <w:rsid w:val="26667E05"/>
    <w:rsid w:val="26793695"/>
    <w:rsid w:val="26C53E3B"/>
    <w:rsid w:val="27233601"/>
    <w:rsid w:val="272D6A8B"/>
    <w:rsid w:val="27396F83"/>
    <w:rsid w:val="27455C6D"/>
    <w:rsid w:val="276A122F"/>
    <w:rsid w:val="27715061"/>
    <w:rsid w:val="279664C8"/>
    <w:rsid w:val="27A47FDD"/>
    <w:rsid w:val="27A61457"/>
    <w:rsid w:val="27F37477"/>
    <w:rsid w:val="28077ACE"/>
    <w:rsid w:val="281F201A"/>
    <w:rsid w:val="28243AD4"/>
    <w:rsid w:val="28B5297E"/>
    <w:rsid w:val="28D728F5"/>
    <w:rsid w:val="292875F4"/>
    <w:rsid w:val="295D54F0"/>
    <w:rsid w:val="295D55E6"/>
    <w:rsid w:val="29604B68"/>
    <w:rsid w:val="29606D8E"/>
    <w:rsid w:val="29634188"/>
    <w:rsid w:val="29CE3CF8"/>
    <w:rsid w:val="2A0F0515"/>
    <w:rsid w:val="2A13795C"/>
    <w:rsid w:val="2A385BE6"/>
    <w:rsid w:val="2A3F4BF5"/>
    <w:rsid w:val="2A475858"/>
    <w:rsid w:val="2A88034A"/>
    <w:rsid w:val="2AB729DE"/>
    <w:rsid w:val="2ABF1892"/>
    <w:rsid w:val="2ADC0696"/>
    <w:rsid w:val="2AF12BDA"/>
    <w:rsid w:val="2AF7102C"/>
    <w:rsid w:val="2B0F45C8"/>
    <w:rsid w:val="2B157704"/>
    <w:rsid w:val="2B1A44FF"/>
    <w:rsid w:val="2B63222A"/>
    <w:rsid w:val="2B717030"/>
    <w:rsid w:val="2B792697"/>
    <w:rsid w:val="2B9F3B9D"/>
    <w:rsid w:val="2BDD46C6"/>
    <w:rsid w:val="2C0740C5"/>
    <w:rsid w:val="2C0875AD"/>
    <w:rsid w:val="2C267E1B"/>
    <w:rsid w:val="2C3047F6"/>
    <w:rsid w:val="2C387CAA"/>
    <w:rsid w:val="2C5A1872"/>
    <w:rsid w:val="2C9A4365"/>
    <w:rsid w:val="2CD5539D"/>
    <w:rsid w:val="2CDA3058"/>
    <w:rsid w:val="2CE54D5A"/>
    <w:rsid w:val="2CFE2B46"/>
    <w:rsid w:val="2D376058"/>
    <w:rsid w:val="2D7746A6"/>
    <w:rsid w:val="2DC25921"/>
    <w:rsid w:val="2DD30262"/>
    <w:rsid w:val="2DF301D1"/>
    <w:rsid w:val="2DF61A6F"/>
    <w:rsid w:val="2DF857E7"/>
    <w:rsid w:val="2E670708"/>
    <w:rsid w:val="2E6E0767"/>
    <w:rsid w:val="2E8928E3"/>
    <w:rsid w:val="2ED973C6"/>
    <w:rsid w:val="2F095763"/>
    <w:rsid w:val="2F230642"/>
    <w:rsid w:val="2F2919D0"/>
    <w:rsid w:val="2F2D2BDA"/>
    <w:rsid w:val="2F2E54B8"/>
    <w:rsid w:val="2F996B56"/>
    <w:rsid w:val="2FCF2577"/>
    <w:rsid w:val="2FE51D9B"/>
    <w:rsid w:val="2FE91F09"/>
    <w:rsid w:val="2FF124EE"/>
    <w:rsid w:val="30087837"/>
    <w:rsid w:val="30406FD1"/>
    <w:rsid w:val="30450A8C"/>
    <w:rsid w:val="30480822"/>
    <w:rsid w:val="30705B08"/>
    <w:rsid w:val="30872AC8"/>
    <w:rsid w:val="30943F04"/>
    <w:rsid w:val="30B04157"/>
    <w:rsid w:val="3159659D"/>
    <w:rsid w:val="317155B7"/>
    <w:rsid w:val="31C81974"/>
    <w:rsid w:val="31CA56EC"/>
    <w:rsid w:val="329A6E6D"/>
    <w:rsid w:val="32A432C4"/>
    <w:rsid w:val="32B12408"/>
    <w:rsid w:val="32EB1476"/>
    <w:rsid w:val="32EC3440"/>
    <w:rsid w:val="3312273B"/>
    <w:rsid w:val="33402F42"/>
    <w:rsid w:val="335B7892"/>
    <w:rsid w:val="33707BCD"/>
    <w:rsid w:val="3392223A"/>
    <w:rsid w:val="33B0446E"/>
    <w:rsid w:val="34311A53"/>
    <w:rsid w:val="34321327"/>
    <w:rsid w:val="344352E2"/>
    <w:rsid w:val="347A4474"/>
    <w:rsid w:val="34963664"/>
    <w:rsid w:val="35074561"/>
    <w:rsid w:val="351133BB"/>
    <w:rsid w:val="351211B7"/>
    <w:rsid w:val="357F328B"/>
    <w:rsid w:val="36160F00"/>
    <w:rsid w:val="363870C8"/>
    <w:rsid w:val="363D3F3B"/>
    <w:rsid w:val="3687501E"/>
    <w:rsid w:val="368C11C2"/>
    <w:rsid w:val="36A54032"/>
    <w:rsid w:val="36E2757E"/>
    <w:rsid w:val="37113475"/>
    <w:rsid w:val="3786033A"/>
    <w:rsid w:val="37A83DDA"/>
    <w:rsid w:val="382D5D7B"/>
    <w:rsid w:val="382E2B53"/>
    <w:rsid w:val="38653A79"/>
    <w:rsid w:val="3881059D"/>
    <w:rsid w:val="38BA393B"/>
    <w:rsid w:val="38C073F1"/>
    <w:rsid w:val="38D41E85"/>
    <w:rsid w:val="38ED3A6E"/>
    <w:rsid w:val="39504729"/>
    <w:rsid w:val="399A1E48"/>
    <w:rsid w:val="39FE23D7"/>
    <w:rsid w:val="3A074E84"/>
    <w:rsid w:val="3A241962"/>
    <w:rsid w:val="3A4A561C"/>
    <w:rsid w:val="3B084B8F"/>
    <w:rsid w:val="3B0956D7"/>
    <w:rsid w:val="3B304812"/>
    <w:rsid w:val="3B6B3A9C"/>
    <w:rsid w:val="3B866286"/>
    <w:rsid w:val="3B895CD0"/>
    <w:rsid w:val="3BB371F1"/>
    <w:rsid w:val="3BFD114C"/>
    <w:rsid w:val="3C0149A1"/>
    <w:rsid w:val="3C0161AE"/>
    <w:rsid w:val="3C2D6464"/>
    <w:rsid w:val="3C6C37AC"/>
    <w:rsid w:val="3D121CF5"/>
    <w:rsid w:val="3D3E2AEA"/>
    <w:rsid w:val="3D9A431D"/>
    <w:rsid w:val="3DB57251"/>
    <w:rsid w:val="3DDC2A2F"/>
    <w:rsid w:val="3DDC47DD"/>
    <w:rsid w:val="3E0E6961"/>
    <w:rsid w:val="3E1A4324"/>
    <w:rsid w:val="3E344619"/>
    <w:rsid w:val="3E497999"/>
    <w:rsid w:val="3E8E0AB5"/>
    <w:rsid w:val="3E8F7AA2"/>
    <w:rsid w:val="3EC60FE9"/>
    <w:rsid w:val="3EF73899"/>
    <w:rsid w:val="3F367F1D"/>
    <w:rsid w:val="3F450160"/>
    <w:rsid w:val="3F6525B0"/>
    <w:rsid w:val="3F850EA5"/>
    <w:rsid w:val="3FCC153D"/>
    <w:rsid w:val="3FCF3ECE"/>
    <w:rsid w:val="3FDC7673"/>
    <w:rsid w:val="40045B19"/>
    <w:rsid w:val="401F09B1"/>
    <w:rsid w:val="403D319F"/>
    <w:rsid w:val="406311E6"/>
    <w:rsid w:val="40D519B8"/>
    <w:rsid w:val="41171FD0"/>
    <w:rsid w:val="41412BA9"/>
    <w:rsid w:val="414A4154"/>
    <w:rsid w:val="41566655"/>
    <w:rsid w:val="415723CD"/>
    <w:rsid w:val="41815E93"/>
    <w:rsid w:val="41B26762"/>
    <w:rsid w:val="42000497"/>
    <w:rsid w:val="42336996"/>
    <w:rsid w:val="425B4099"/>
    <w:rsid w:val="42843695"/>
    <w:rsid w:val="42E528E0"/>
    <w:rsid w:val="42FE258C"/>
    <w:rsid w:val="430A20EE"/>
    <w:rsid w:val="430D368B"/>
    <w:rsid w:val="431408D0"/>
    <w:rsid w:val="43290586"/>
    <w:rsid w:val="432D7889"/>
    <w:rsid w:val="433724B6"/>
    <w:rsid w:val="43601A0D"/>
    <w:rsid w:val="4399229E"/>
    <w:rsid w:val="43A7763B"/>
    <w:rsid w:val="43E36EE9"/>
    <w:rsid w:val="441D78FE"/>
    <w:rsid w:val="442F2920"/>
    <w:rsid w:val="443A225E"/>
    <w:rsid w:val="444E5D09"/>
    <w:rsid w:val="445809C8"/>
    <w:rsid w:val="44872504"/>
    <w:rsid w:val="449F47B6"/>
    <w:rsid w:val="44B53FC2"/>
    <w:rsid w:val="44B71B00"/>
    <w:rsid w:val="44D83825"/>
    <w:rsid w:val="44E66872"/>
    <w:rsid w:val="45060DBD"/>
    <w:rsid w:val="45062140"/>
    <w:rsid w:val="45815C6A"/>
    <w:rsid w:val="458C33B1"/>
    <w:rsid w:val="458F5E48"/>
    <w:rsid w:val="45BC4EF4"/>
    <w:rsid w:val="45BE0C6C"/>
    <w:rsid w:val="45DE130F"/>
    <w:rsid w:val="45E5444B"/>
    <w:rsid w:val="45EA7CB3"/>
    <w:rsid w:val="45FB3C6E"/>
    <w:rsid w:val="462F3918"/>
    <w:rsid w:val="464C6278"/>
    <w:rsid w:val="465C68E8"/>
    <w:rsid w:val="465D66D7"/>
    <w:rsid w:val="4670640B"/>
    <w:rsid w:val="46AE2A8F"/>
    <w:rsid w:val="472E3BD0"/>
    <w:rsid w:val="47353569"/>
    <w:rsid w:val="476615BC"/>
    <w:rsid w:val="476A10AC"/>
    <w:rsid w:val="476B4E24"/>
    <w:rsid w:val="4785727F"/>
    <w:rsid w:val="478D4D9A"/>
    <w:rsid w:val="47AF51C8"/>
    <w:rsid w:val="47CD5197"/>
    <w:rsid w:val="480921B5"/>
    <w:rsid w:val="48117779"/>
    <w:rsid w:val="483A0621"/>
    <w:rsid w:val="485D29BF"/>
    <w:rsid w:val="486A0A26"/>
    <w:rsid w:val="489A1407"/>
    <w:rsid w:val="48CB0489"/>
    <w:rsid w:val="48D03190"/>
    <w:rsid w:val="48FC21D7"/>
    <w:rsid w:val="49126AA8"/>
    <w:rsid w:val="498E0956"/>
    <w:rsid w:val="49B63492"/>
    <w:rsid w:val="49EF7646"/>
    <w:rsid w:val="4A2B3A31"/>
    <w:rsid w:val="4A565917"/>
    <w:rsid w:val="4A5751EC"/>
    <w:rsid w:val="4A9326C8"/>
    <w:rsid w:val="4ABD7744"/>
    <w:rsid w:val="4B1B0359"/>
    <w:rsid w:val="4B3E5F47"/>
    <w:rsid w:val="4B503198"/>
    <w:rsid w:val="4B7F0E9E"/>
    <w:rsid w:val="4BBC5C4E"/>
    <w:rsid w:val="4BC13264"/>
    <w:rsid w:val="4BE3142D"/>
    <w:rsid w:val="4BF80533"/>
    <w:rsid w:val="4C6A56AA"/>
    <w:rsid w:val="4C6F5EF3"/>
    <w:rsid w:val="4C966F2F"/>
    <w:rsid w:val="4CA566E2"/>
    <w:rsid w:val="4CC84379"/>
    <w:rsid w:val="4CD3031C"/>
    <w:rsid w:val="4CE55206"/>
    <w:rsid w:val="4CF431C6"/>
    <w:rsid w:val="4D094A71"/>
    <w:rsid w:val="4D6C0FAE"/>
    <w:rsid w:val="4D814A59"/>
    <w:rsid w:val="4D836B40"/>
    <w:rsid w:val="4D8409ED"/>
    <w:rsid w:val="4D875DE8"/>
    <w:rsid w:val="4D8B41FE"/>
    <w:rsid w:val="4DB56DF9"/>
    <w:rsid w:val="4DB75623"/>
    <w:rsid w:val="4DD86643"/>
    <w:rsid w:val="4DF55447"/>
    <w:rsid w:val="4E21448E"/>
    <w:rsid w:val="4E296E9F"/>
    <w:rsid w:val="4E5959D6"/>
    <w:rsid w:val="4E7B76FB"/>
    <w:rsid w:val="4E824E83"/>
    <w:rsid w:val="4E824F2D"/>
    <w:rsid w:val="4E881E17"/>
    <w:rsid w:val="4E9B7D9D"/>
    <w:rsid w:val="4EB40E5E"/>
    <w:rsid w:val="4EB66985"/>
    <w:rsid w:val="4EC44E0F"/>
    <w:rsid w:val="4EC66BB9"/>
    <w:rsid w:val="4ECA68D4"/>
    <w:rsid w:val="4EEE53CF"/>
    <w:rsid w:val="4F5C2410"/>
    <w:rsid w:val="4F7F3B5D"/>
    <w:rsid w:val="50841C11"/>
    <w:rsid w:val="508825A3"/>
    <w:rsid w:val="5100482F"/>
    <w:rsid w:val="51022355"/>
    <w:rsid w:val="510C31D4"/>
    <w:rsid w:val="513F7105"/>
    <w:rsid w:val="5141620C"/>
    <w:rsid w:val="515D61BE"/>
    <w:rsid w:val="516A3A56"/>
    <w:rsid w:val="52304CA0"/>
    <w:rsid w:val="525F5585"/>
    <w:rsid w:val="52662470"/>
    <w:rsid w:val="526A6404"/>
    <w:rsid w:val="52BB18A6"/>
    <w:rsid w:val="52CB4279"/>
    <w:rsid w:val="52E00474"/>
    <w:rsid w:val="530002C1"/>
    <w:rsid w:val="532510D1"/>
    <w:rsid w:val="532E5683"/>
    <w:rsid w:val="535624E4"/>
    <w:rsid w:val="535C417D"/>
    <w:rsid w:val="53682217"/>
    <w:rsid w:val="53715570"/>
    <w:rsid w:val="53894668"/>
    <w:rsid w:val="53A07C03"/>
    <w:rsid w:val="53B86CFB"/>
    <w:rsid w:val="53D77AC9"/>
    <w:rsid w:val="54077C82"/>
    <w:rsid w:val="544D7D8B"/>
    <w:rsid w:val="54705828"/>
    <w:rsid w:val="5495528E"/>
    <w:rsid w:val="54992FD0"/>
    <w:rsid w:val="54E2107C"/>
    <w:rsid w:val="54F41FB5"/>
    <w:rsid w:val="550348EE"/>
    <w:rsid w:val="555A5315"/>
    <w:rsid w:val="559317CE"/>
    <w:rsid w:val="55E77D6B"/>
    <w:rsid w:val="55F12998"/>
    <w:rsid w:val="562B40FC"/>
    <w:rsid w:val="563A433F"/>
    <w:rsid w:val="56540004"/>
    <w:rsid w:val="568E01E7"/>
    <w:rsid w:val="56D402F0"/>
    <w:rsid w:val="56EB388B"/>
    <w:rsid w:val="57203535"/>
    <w:rsid w:val="572A43B4"/>
    <w:rsid w:val="573174F0"/>
    <w:rsid w:val="57405985"/>
    <w:rsid w:val="57413096"/>
    <w:rsid w:val="574B4F3B"/>
    <w:rsid w:val="57521214"/>
    <w:rsid w:val="57886F4B"/>
    <w:rsid w:val="57931F59"/>
    <w:rsid w:val="583059FA"/>
    <w:rsid w:val="583338E2"/>
    <w:rsid w:val="58405511"/>
    <w:rsid w:val="58443253"/>
    <w:rsid w:val="585711D8"/>
    <w:rsid w:val="585B234B"/>
    <w:rsid w:val="58690F0C"/>
    <w:rsid w:val="58782EFD"/>
    <w:rsid w:val="58873140"/>
    <w:rsid w:val="58C26F0A"/>
    <w:rsid w:val="58C779E0"/>
    <w:rsid w:val="58D42829"/>
    <w:rsid w:val="58ED5699"/>
    <w:rsid w:val="59177B75"/>
    <w:rsid w:val="59245C41"/>
    <w:rsid w:val="594F3C5E"/>
    <w:rsid w:val="598D0C2A"/>
    <w:rsid w:val="59AA17DC"/>
    <w:rsid w:val="59B44408"/>
    <w:rsid w:val="5A2E7D17"/>
    <w:rsid w:val="5A6C1EE2"/>
    <w:rsid w:val="5A9D6C4B"/>
    <w:rsid w:val="5AD36B10"/>
    <w:rsid w:val="5B2335F4"/>
    <w:rsid w:val="5B527A35"/>
    <w:rsid w:val="5BC14231"/>
    <w:rsid w:val="5BC621D1"/>
    <w:rsid w:val="5BE845E4"/>
    <w:rsid w:val="5C042965"/>
    <w:rsid w:val="5C367357"/>
    <w:rsid w:val="5C545A2F"/>
    <w:rsid w:val="5C6043D4"/>
    <w:rsid w:val="5C844566"/>
    <w:rsid w:val="5C871960"/>
    <w:rsid w:val="5CDD3C76"/>
    <w:rsid w:val="5D2469F6"/>
    <w:rsid w:val="5D355860"/>
    <w:rsid w:val="5D395046"/>
    <w:rsid w:val="5D3D64C3"/>
    <w:rsid w:val="5D663C6C"/>
    <w:rsid w:val="5D8E33F4"/>
    <w:rsid w:val="5D8F31C2"/>
    <w:rsid w:val="5E0A45F7"/>
    <w:rsid w:val="5E190CDE"/>
    <w:rsid w:val="5E724F47"/>
    <w:rsid w:val="5EA2029A"/>
    <w:rsid w:val="5ED864A3"/>
    <w:rsid w:val="5EE72B8A"/>
    <w:rsid w:val="5F16521D"/>
    <w:rsid w:val="5F351B67"/>
    <w:rsid w:val="5F700DD2"/>
    <w:rsid w:val="5F8805F1"/>
    <w:rsid w:val="5FAC3308"/>
    <w:rsid w:val="5FD2383A"/>
    <w:rsid w:val="604F4E8B"/>
    <w:rsid w:val="60B42F40"/>
    <w:rsid w:val="60D55390"/>
    <w:rsid w:val="610A2B60"/>
    <w:rsid w:val="611107E1"/>
    <w:rsid w:val="611256A8"/>
    <w:rsid w:val="61186C88"/>
    <w:rsid w:val="6138591F"/>
    <w:rsid w:val="613D2F35"/>
    <w:rsid w:val="613D4CE3"/>
    <w:rsid w:val="619D5782"/>
    <w:rsid w:val="61BC3D37"/>
    <w:rsid w:val="61C947C9"/>
    <w:rsid w:val="61C96577"/>
    <w:rsid w:val="61D03DA9"/>
    <w:rsid w:val="61D45648"/>
    <w:rsid w:val="62402CDD"/>
    <w:rsid w:val="6241177C"/>
    <w:rsid w:val="62516C98"/>
    <w:rsid w:val="62724E61"/>
    <w:rsid w:val="627668D6"/>
    <w:rsid w:val="627E7362"/>
    <w:rsid w:val="62913539"/>
    <w:rsid w:val="629372B1"/>
    <w:rsid w:val="62C46C97"/>
    <w:rsid w:val="62D819BB"/>
    <w:rsid w:val="62E418BB"/>
    <w:rsid w:val="637D586B"/>
    <w:rsid w:val="63E04F23"/>
    <w:rsid w:val="63FD0708"/>
    <w:rsid w:val="642C53B0"/>
    <w:rsid w:val="644D16E1"/>
    <w:rsid w:val="644F7208"/>
    <w:rsid w:val="646627A3"/>
    <w:rsid w:val="648844C8"/>
    <w:rsid w:val="64A15589"/>
    <w:rsid w:val="64CA4AE0"/>
    <w:rsid w:val="64E9765C"/>
    <w:rsid w:val="64F242D3"/>
    <w:rsid w:val="64F61D79"/>
    <w:rsid w:val="65017747"/>
    <w:rsid w:val="6502071E"/>
    <w:rsid w:val="65043EE6"/>
    <w:rsid w:val="652E32C1"/>
    <w:rsid w:val="653528A1"/>
    <w:rsid w:val="65A672FB"/>
    <w:rsid w:val="65F53DDF"/>
    <w:rsid w:val="660128DE"/>
    <w:rsid w:val="660D1128"/>
    <w:rsid w:val="66540B05"/>
    <w:rsid w:val="667411A7"/>
    <w:rsid w:val="66833198"/>
    <w:rsid w:val="669B4986"/>
    <w:rsid w:val="671604B0"/>
    <w:rsid w:val="6748516D"/>
    <w:rsid w:val="67672ABA"/>
    <w:rsid w:val="67830ADB"/>
    <w:rsid w:val="67902011"/>
    <w:rsid w:val="67A56EBF"/>
    <w:rsid w:val="67CC0B6F"/>
    <w:rsid w:val="6804655B"/>
    <w:rsid w:val="687218D9"/>
    <w:rsid w:val="687F7319"/>
    <w:rsid w:val="689A2A1B"/>
    <w:rsid w:val="68F339CF"/>
    <w:rsid w:val="69085BD7"/>
    <w:rsid w:val="6922138F"/>
    <w:rsid w:val="69280027"/>
    <w:rsid w:val="695E7EED"/>
    <w:rsid w:val="69647ECC"/>
    <w:rsid w:val="696C24CA"/>
    <w:rsid w:val="6985191D"/>
    <w:rsid w:val="69FA04DC"/>
    <w:rsid w:val="6A356EA0"/>
    <w:rsid w:val="6A6B0B13"/>
    <w:rsid w:val="6A6B4BB6"/>
    <w:rsid w:val="6AA42A4E"/>
    <w:rsid w:val="6AC67AF8"/>
    <w:rsid w:val="6ADF1441"/>
    <w:rsid w:val="6B120F8F"/>
    <w:rsid w:val="6B3811CB"/>
    <w:rsid w:val="6B3E3B32"/>
    <w:rsid w:val="6B405AFC"/>
    <w:rsid w:val="6B514399"/>
    <w:rsid w:val="6B6317EA"/>
    <w:rsid w:val="6BB107A8"/>
    <w:rsid w:val="6BD34BC2"/>
    <w:rsid w:val="6C07486C"/>
    <w:rsid w:val="6C4440E5"/>
    <w:rsid w:val="6C711CE5"/>
    <w:rsid w:val="6C8474F8"/>
    <w:rsid w:val="6C9F4AA4"/>
    <w:rsid w:val="6CBF5146"/>
    <w:rsid w:val="6CC60283"/>
    <w:rsid w:val="6CC62BA4"/>
    <w:rsid w:val="6D350F65"/>
    <w:rsid w:val="6D683DD9"/>
    <w:rsid w:val="6D8531E0"/>
    <w:rsid w:val="6DC9002B"/>
    <w:rsid w:val="6E0A03F5"/>
    <w:rsid w:val="6E0E1EE1"/>
    <w:rsid w:val="6E1B015A"/>
    <w:rsid w:val="6E272FA3"/>
    <w:rsid w:val="6EAE7221"/>
    <w:rsid w:val="6EB04D47"/>
    <w:rsid w:val="6EE844E0"/>
    <w:rsid w:val="6F190B3E"/>
    <w:rsid w:val="6F1A2788"/>
    <w:rsid w:val="6FE54EC4"/>
    <w:rsid w:val="70103DC1"/>
    <w:rsid w:val="7016507D"/>
    <w:rsid w:val="70225064"/>
    <w:rsid w:val="702456B7"/>
    <w:rsid w:val="703A6FBE"/>
    <w:rsid w:val="705160B5"/>
    <w:rsid w:val="70635730"/>
    <w:rsid w:val="70671D7D"/>
    <w:rsid w:val="707E6069"/>
    <w:rsid w:val="70A71D59"/>
    <w:rsid w:val="70BE26FB"/>
    <w:rsid w:val="70C26FB3"/>
    <w:rsid w:val="70DF36C1"/>
    <w:rsid w:val="7118592B"/>
    <w:rsid w:val="713559D7"/>
    <w:rsid w:val="713F0604"/>
    <w:rsid w:val="71844269"/>
    <w:rsid w:val="71847552"/>
    <w:rsid w:val="719721EE"/>
    <w:rsid w:val="724834E8"/>
    <w:rsid w:val="724C122A"/>
    <w:rsid w:val="72B172DF"/>
    <w:rsid w:val="72B33057"/>
    <w:rsid w:val="72D51220"/>
    <w:rsid w:val="72D74F98"/>
    <w:rsid w:val="732857F3"/>
    <w:rsid w:val="735A203D"/>
    <w:rsid w:val="737A2520"/>
    <w:rsid w:val="73E86D31"/>
    <w:rsid w:val="73F1729B"/>
    <w:rsid w:val="73FE47A6"/>
    <w:rsid w:val="74640AAD"/>
    <w:rsid w:val="746A5998"/>
    <w:rsid w:val="747131CA"/>
    <w:rsid w:val="74AC4202"/>
    <w:rsid w:val="74E41BEE"/>
    <w:rsid w:val="751537E1"/>
    <w:rsid w:val="75306BE1"/>
    <w:rsid w:val="75497CA3"/>
    <w:rsid w:val="75B44EA1"/>
    <w:rsid w:val="75FF1CC0"/>
    <w:rsid w:val="762878B8"/>
    <w:rsid w:val="76475B5E"/>
    <w:rsid w:val="767174B1"/>
    <w:rsid w:val="768947FB"/>
    <w:rsid w:val="768B1368"/>
    <w:rsid w:val="769D02A6"/>
    <w:rsid w:val="76E71522"/>
    <w:rsid w:val="76EC08E6"/>
    <w:rsid w:val="76EF6628"/>
    <w:rsid w:val="77274014"/>
    <w:rsid w:val="774E6946"/>
    <w:rsid w:val="7758241F"/>
    <w:rsid w:val="77A64F39"/>
    <w:rsid w:val="77F35CA4"/>
    <w:rsid w:val="780D320A"/>
    <w:rsid w:val="7826607A"/>
    <w:rsid w:val="78362761"/>
    <w:rsid w:val="783F5A70"/>
    <w:rsid w:val="78511348"/>
    <w:rsid w:val="78686CA8"/>
    <w:rsid w:val="789A6E0D"/>
    <w:rsid w:val="78A43B6E"/>
    <w:rsid w:val="78A71AD4"/>
    <w:rsid w:val="78C95383"/>
    <w:rsid w:val="78FE08A5"/>
    <w:rsid w:val="79102923"/>
    <w:rsid w:val="79132AA2"/>
    <w:rsid w:val="791F1447"/>
    <w:rsid w:val="79324A55"/>
    <w:rsid w:val="79507852"/>
    <w:rsid w:val="795D3D1D"/>
    <w:rsid w:val="796F1698"/>
    <w:rsid w:val="79711576"/>
    <w:rsid w:val="7988058F"/>
    <w:rsid w:val="7991114B"/>
    <w:rsid w:val="79A61220"/>
    <w:rsid w:val="79AE27CB"/>
    <w:rsid w:val="79DC10E6"/>
    <w:rsid w:val="79EF415B"/>
    <w:rsid w:val="7A0F3269"/>
    <w:rsid w:val="7A287E87"/>
    <w:rsid w:val="7A4D5B40"/>
    <w:rsid w:val="7A563DB4"/>
    <w:rsid w:val="7A772BBC"/>
    <w:rsid w:val="7A7D567C"/>
    <w:rsid w:val="7AD26045"/>
    <w:rsid w:val="7B121F7C"/>
    <w:rsid w:val="7B65510B"/>
    <w:rsid w:val="7B821819"/>
    <w:rsid w:val="7B9D48A5"/>
    <w:rsid w:val="7BA93249"/>
    <w:rsid w:val="7BC736D0"/>
    <w:rsid w:val="7BD76009"/>
    <w:rsid w:val="7BF5023D"/>
    <w:rsid w:val="7BFC5A6F"/>
    <w:rsid w:val="7C02295A"/>
    <w:rsid w:val="7C2F7D19"/>
    <w:rsid w:val="7C3E1BE4"/>
    <w:rsid w:val="7C613B24"/>
    <w:rsid w:val="7C6453C2"/>
    <w:rsid w:val="7C920BAF"/>
    <w:rsid w:val="7CB24380"/>
    <w:rsid w:val="7CF95B0B"/>
    <w:rsid w:val="7D5E0064"/>
    <w:rsid w:val="7D63567A"/>
    <w:rsid w:val="7D641B1E"/>
    <w:rsid w:val="7D937D0D"/>
    <w:rsid w:val="7DB54CF6"/>
    <w:rsid w:val="7E0E3838"/>
    <w:rsid w:val="7E125C76"/>
    <w:rsid w:val="7E2412AD"/>
    <w:rsid w:val="7E2748F9"/>
    <w:rsid w:val="7E4234E1"/>
    <w:rsid w:val="7E5A3AAD"/>
    <w:rsid w:val="7E5F5E41"/>
    <w:rsid w:val="7E725B75"/>
    <w:rsid w:val="7E933D3D"/>
    <w:rsid w:val="7E9B2074"/>
    <w:rsid w:val="7EE30820"/>
    <w:rsid w:val="7F227BB1"/>
    <w:rsid w:val="7F460DAF"/>
    <w:rsid w:val="7F5E7F52"/>
    <w:rsid w:val="7F5F07EF"/>
    <w:rsid w:val="7F8A15E4"/>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00" w:firstLineChars="200"/>
    </w:pPr>
    <w:rPr>
      <w:sz w:val="30"/>
    </w:rPr>
  </w:style>
  <w:style w:type="paragraph" w:styleId="4">
    <w:name w:val="Body Text"/>
    <w:basedOn w:val="1"/>
    <w:qFormat/>
    <w:uiPriority w:val="0"/>
    <w:pPr>
      <w:spacing w:after="120"/>
    </w:pPr>
  </w:style>
  <w:style w:type="paragraph" w:styleId="5">
    <w:name w:val="Body Text First Indent"/>
    <w:basedOn w:val="4"/>
    <w:qFormat/>
    <w:uiPriority w:val="0"/>
    <w:pPr>
      <w:ind w:firstLine="420" w:firstLineChars="100"/>
    </w:pPr>
    <w:rPr>
      <w:rFonts w:eastAsia="宋体" w:cs="Times New Roman"/>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Autospacing="1" w:afterAutospacing="1"/>
      <w:jc w:val="left"/>
    </w:pPr>
    <w:rPr>
      <w:kern w:val="0"/>
      <w:sz w:val="24"/>
    </w:rPr>
  </w:style>
  <w:style w:type="paragraph" w:customStyle="1" w:styleId="12">
    <w:name w:val="Default"/>
    <w:basedOn w:val="13"/>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13">
    <w:name w:val="正文1"/>
    <w:qFormat/>
    <w:uiPriority w:val="0"/>
    <w:pPr>
      <w:jc w:val="both"/>
    </w:pPr>
    <w:rPr>
      <w:rFonts w:ascii="Times New Roman" w:hAnsi="Times New Roman" w:eastAsia="宋体" w:cs="Times New Roman"/>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4507</Words>
  <Characters>4585</Characters>
  <Lines>0</Lines>
  <Paragraphs>0</Paragraphs>
  <TotalTime>30</TotalTime>
  <ScaleCrop>false</ScaleCrop>
  <LinksUpToDate>false</LinksUpToDate>
  <CharactersWithSpaces>4590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2024-01-30T03:26:00Z</dcterms:created>
  <dc:creator>每个眼神都只身荒野</dc:creator>
  <cp:lastModifiedBy>小麦啾</cp:lastModifiedBy>
  <cp:lastPrinted>2025-03-28T09:16:00Z</cp:lastPrinted>
  <dcterms:modified xsi:type="dcterms:W3CDTF">2025-04-07T04:55:08Z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404A5FEB640F4CF685E7F291EE406274_13</vt:lpwstr>
  </property>
  <property fmtid="{D5CDD505-2E9C-101B-9397-08002B2CF9AE}" pid="4" name="KSOTemplateDocerSaveRecord">
    <vt:lpwstr>eyJoZGlkIjoiZGZmMjg3MDQ2MzExNDk0OWY5M2UwNzBmOWViMDBkMGMiLCJ1c2VySWQiOiIzMjQ5NjUzODcifQ==</vt:lpwstr>
  </property>
</Properties>
</file>