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A8DB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rPr>
      </w:pPr>
      <w:bookmarkStart w:id="0" w:name="_GoBack"/>
      <w:bookmarkEnd w:id="0"/>
    </w:p>
    <w:tbl>
      <w:tblPr>
        <w:tblStyle w:val="3"/>
        <w:tblW w:w="16145" w:type="dxa"/>
        <w:tblInd w:w="-14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0"/>
        <w:gridCol w:w="368"/>
        <w:gridCol w:w="654"/>
        <w:gridCol w:w="673"/>
        <w:gridCol w:w="7050"/>
        <w:gridCol w:w="735"/>
        <w:gridCol w:w="480"/>
        <w:gridCol w:w="585"/>
        <w:gridCol w:w="330"/>
        <w:gridCol w:w="645"/>
        <w:gridCol w:w="855"/>
        <w:gridCol w:w="1320"/>
        <w:gridCol w:w="690"/>
        <w:gridCol w:w="495"/>
        <w:gridCol w:w="611"/>
        <w:gridCol w:w="354"/>
      </w:tblGrid>
      <w:tr w14:paraId="42FC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6145" w:type="dxa"/>
            <w:gridSpan w:val="16"/>
            <w:tcBorders>
              <w:top w:val="nil"/>
              <w:left w:val="nil"/>
              <w:bottom w:val="nil"/>
              <w:right w:val="nil"/>
            </w:tcBorders>
            <w:shd w:val="clear" w:color="auto" w:fill="auto"/>
            <w:noWrap/>
            <w:vAlign w:val="center"/>
          </w:tcPr>
          <w:p w14:paraId="641253E6">
            <w:pPr>
              <w:keepNext w:val="0"/>
              <w:keepLines w:val="0"/>
              <w:pageBreakBefore w:val="0"/>
              <w:widowControl/>
              <w:suppressLineNumbers w:val="0"/>
              <w:kinsoku/>
              <w:wordWrap/>
              <w:overflowPunct/>
              <w:topLinePunct w:val="0"/>
              <w:autoSpaceDE/>
              <w:autoSpaceDN/>
              <w:bidi w:val="0"/>
              <w:adjustRightInd/>
              <w:snapToGrid/>
              <w:spacing w:line="480" w:lineRule="exact"/>
              <w:jc w:val="both"/>
              <w:textAlignment w:val="center"/>
              <w:rPr>
                <w:rFonts w:hint="eastAsia" w:ascii="黑体" w:hAnsi="黑体" w:eastAsia="黑体" w:cs="黑体"/>
                <w:b w:val="0"/>
                <w:bCs w:val="0"/>
                <w:i w:val="0"/>
                <w:iCs w:val="0"/>
                <w:color w:val="000000"/>
                <w:kern w:val="0"/>
                <w:sz w:val="32"/>
                <w:szCs w:val="32"/>
                <w:u w:val="none"/>
                <w:lang w:val="en-US" w:eastAsia="zh-CN" w:bidi="ar"/>
              </w:rPr>
            </w:pPr>
            <w:r>
              <w:rPr>
                <w:rFonts w:hint="eastAsia" w:ascii="黑体" w:hAnsi="黑体" w:eastAsia="黑体" w:cs="黑体"/>
                <w:b w:val="0"/>
                <w:bCs w:val="0"/>
                <w:i w:val="0"/>
                <w:iCs w:val="0"/>
                <w:color w:val="000000"/>
                <w:kern w:val="0"/>
                <w:sz w:val="32"/>
                <w:szCs w:val="32"/>
                <w:u w:val="none"/>
                <w:lang w:val="en-US" w:eastAsia="zh-CN" w:bidi="ar"/>
              </w:rPr>
              <w:t>附件</w:t>
            </w:r>
          </w:p>
          <w:p w14:paraId="5B6386C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方正小标宋简体" w:hAnsi="方正小标宋简体" w:eastAsia="方正小标宋简体" w:cs="方正小标宋简体"/>
                <w:b/>
                <w:bCs/>
                <w:i w:val="0"/>
                <w:iCs w:val="0"/>
                <w:color w:val="000000"/>
                <w:sz w:val="21"/>
                <w:szCs w:val="21"/>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昌吉州教育系统行政检查事项梳理表</w:t>
            </w:r>
          </w:p>
        </w:tc>
      </w:tr>
      <w:tr w14:paraId="29B16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7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3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E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自治区</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主管部门</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4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事项名称</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B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实施层级</w:t>
            </w:r>
          </w:p>
        </w:tc>
        <w:tc>
          <w:tcPr>
            <w:tcW w:w="7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C5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设定和实施依据</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11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检查标准</w:t>
            </w:r>
          </w:p>
        </w:tc>
        <w:tc>
          <w:tcPr>
            <w:tcW w:w="4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29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频次上限</w:t>
            </w: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62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检查要点表</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/检查单名称</w:t>
            </w:r>
          </w:p>
        </w:tc>
        <w:tc>
          <w:tcPr>
            <w:tcW w:w="3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6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检查项目</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E57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检查内容</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82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检查项目</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与检查内容</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拆分依据（选填）</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C0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检查依据</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0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是否</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重点项</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（选填）</w:t>
            </w:r>
          </w:p>
        </w:tc>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21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检查结果</w:t>
            </w:r>
          </w:p>
        </w:tc>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22B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检查结果</w:t>
            </w:r>
            <w:r>
              <w:rPr>
                <w:rFonts w:hint="eastAsia" w:ascii="黑体" w:hAnsi="宋体" w:eastAsia="黑体" w:cs="黑体"/>
                <w:i w:val="0"/>
                <w:iCs w:val="0"/>
                <w:color w:val="000000"/>
                <w:kern w:val="0"/>
                <w:sz w:val="18"/>
                <w:szCs w:val="18"/>
                <w:u w:val="none"/>
                <w:lang w:val="en-US" w:eastAsia="zh-CN" w:bidi="ar"/>
              </w:rPr>
              <w:br w:type="textWrapping"/>
            </w:r>
            <w:r>
              <w:rPr>
                <w:rFonts w:hint="eastAsia" w:ascii="黑体" w:hAnsi="宋体" w:eastAsia="黑体" w:cs="黑体"/>
                <w:i w:val="0"/>
                <w:iCs w:val="0"/>
                <w:color w:val="000000"/>
                <w:kern w:val="0"/>
                <w:sz w:val="18"/>
                <w:szCs w:val="18"/>
                <w:u w:val="none"/>
                <w:lang w:val="en-US" w:eastAsia="zh-CN" w:bidi="ar"/>
              </w:rPr>
              <w:t>正确答案</w:t>
            </w:r>
          </w:p>
        </w:tc>
        <w:tc>
          <w:tcPr>
            <w:tcW w:w="3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BA5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备注</w:t>
            </w:r>
          </w:p>
        </w:tc>
      </w:tr>
      <w:tr w14:paraId="3645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DAFB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1</w:t>
            </w:r>
          </w:p>
        </w:tc>
        <w:tc>
          <w:tcPr>
            <w:tcW w:w="3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DE017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方正仿宋_GBK" w:hAnsi="方正仿宋_GBK" w:eastAsia="方正仿宋_GBK" w:cs="方正仿宋_GBK"/>
                <w:i w:val="0"/>
                <w:iCs w:val="0"/>
                <w:color w:val="000000"/>
                <w:sz w:val="15"/>
                <w:szCs w:val="15"/>
                <w:u w:val="none"/>
                <w:lang w:val="en-US"/>
              </w:rPr>
            </w:pPr>
            <w:r>
              <w:rPr>
                <w:rFonts w:hint="eastAsia" w:ascii="方正仿宋_GBK" w:hAnsi="方正仿宋_GBK" w:eastAsia="方正仿宋_GBK" w:cs="方正仿宋_GBK"/>
                <w:i w:val="0"/>
                <w:iCs w:val="0"/>
                <w:color w:val="000000"/>
                <w:kern w:val="0"/>
                <w:sz w:val="15"/>
                <w:szCs w:val="15"/>
                <w:u w:val="none"/>
                <w:lang w:val="en-US" w:eastAsia="zh-CN" w:bidi="ar"/>
              </w:rPr>
              <w:t>昌吉州教育局</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453D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对学校（营利性民办学校）办学行为的检查</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F7B86">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ascii="Wingdings 2" w:hAnsi="Wingdings 2" w:eastAsia="Wingdings 2" w:cs="Wingdings 2"/>
                <w:i w:val="0"/>
                <w:iCs w:val="0"/>
                <w:color w:val="000000"/>
                <w:sz w:val="15"/>
                <w:szCs w:val="15"/>
                <w:u w:val="none"/>
              </w:rPr>
            </w:pPr>
            <w:r>
              <w:rPr>
                <w:rFonts w:hint="default" w:ascii="Wingdings 2" w:hAnsi="Wingdings 2" w:eastAsia="Wingdings 2" w:cs="Wingdings 2"/>
                <w:i w:val="0"/>
                <w:iCs w:val="0"/>
                <w:color w:val="000000"/>
                <w:kern w:val="0"/>
                <w:sz w:val="15"/>
                <w:szCs w:val="15"/>
                <w:u w:val="none"/>
                <w:lang w:val="en-US" w:eastAsia="zh-CN" w:bidi="ar"/>
              </w:rPr>
              <w:br w:type="textWrapping"/>
            </w:r>
            <w:r>
              <w:rPr>
                <w:rFonts w:hint="default" w:ascii="Wingdings 2" w:hAnsi="Wingdings 2" w:eastAsia="Wingdings 2" w:cs="Wingdings 2"/>
                <w:i w:val="0"/>
                <w:iCs w:val="0"/>
                <w:color w:val="000000"/>
                <w:kern w:val="0"/>
                <w:sz w:val="15"/>
                <w:szCs w:val="15"/>
                <w:u w:val="none"/>
                <w:lang w:val="en-US" w:eastAsia="zh-CN" w:bidi="ar"/>
              </w:rPr>
              <w:t>R</w:t>
            </w:r>
            <w:r>
              <w:rPr>
                <w:rFonts w:hint="eastAsia" w:ascii="方正仿宋_GBK" w:hAnsi="方正仿宋_GBK" w:eastAsia="方正仿宋_GBK" w:cs="方正仿宋_GBK"/>
                <w:i w:val="0"/>
                <w:iCs w:val="0"/>
                <w:color w:val="000000"/>
                <w:kern w:val="0"/>
                <w:sz w:val="15"/>
                <w:szCs w:val="15"/>
                <w:u w:val="none"/>
                <w:lang w:val="en-US" w:eastAsia="zh-CN" w:bidi="ar"/>
              </w:rPr>
              <w:t>市级</w:t>
            </w:r>
            <w:r>
              <w:rPr>
                <w:rFonts w:hint="default" w:ascii="Wingdings 2" w:hAnsi="Wingdings 2" w:eastAsia="Wingdings 2" w:cs="Wingdings 2"/>
                <w:i w:val="0"/>
                <w:iCs w:val="0"/>
                <w:color w:val="000000"/>
                <w:kern w:val="0"/>
                <w:sz w:val="15"/>
                <w:szCs w:val="15"/>
                <w:u w:val="none"/>
                <w:lang w:val="en-US" w:eastAsia="zh-CN" w:bidi="ar"/>
              </w:rPr>
              <w:br w:type="textWrapping"/>
            </w:r>
            <w:r>
              <w:rPr>
                <w:rFonts w:hint="default" w:ascii="Wingdings 2" w:hAnsi="Wingdings 2" w:eastAsia="Wingdings 2" w:cs="Wingdings 2"/>
                <w:i w:val="0"/>
                <w:iCs w:val="0"/>
                <w:color w:val="000000"/>
                <w:kern w:val="0"/>
                <w:sz w:val="15"/>
                <w:szCs w:val="15"/>
                <w:u w:val="none"/>
                <w:lang w:val="en-US" w:eastAsia="zh-CN" w:bidi="ar"/>
              </w:rPr>
              <w:t>R</w:t>
            </w:r>
            <w:r>
              <w:rPr>
                <w:rFonts w:hint="eastAsia" w:ascii="方正仿宋_GBK" w:hAnsi="方正仿宋_GBK" w:eastAsia="方正仿宋_GBK" w:cs="方正仿宋_GBK"/>
                <w:i w:val="0"/>
                <w:iCs w:val="0"/>
                <w:color w:val="000000"/>
                <w:kern w:val="0"/>
                <w:sz w:val="15"/>
                <w:szCs w:val="15"/>
                <w:u w:val="none"/>
                <w:lang w:val="en-US" w:eastAsia="zh-CN" w:bidi="ar"/>
              </w:rPr>
              <w:t>县级</w:t>
            </w:r>
            <w:r>
              <w:rPr>
                <w:rFonts w:hint="default" w:ascii="Wingdings 2" w:hAnsi="Wingdings 2" w:eastAsia="Wingdings 2" w:cs="Wingdings 2"/>
                <w:i w:val="0"/>
                <w:iCs w:val="0"/>
                <w:color w:val="000000"/>
                <w:kern w:val="0"/>
                <w:sz w:val="15"/>
                <w:szCs w:val="15"/>
                <w:u w:val="none"/>
                <w:lang w:val="en-US" w:eastAsia="zh-CN" w:bidi="ar"/>
              </w:rPr>
              <w:br w:type="textWrapping"/>
            </w:r>
            <w:r>
              <w:rPr>
                <w:rFonts w:hint="default" w:ascii="Wingdings 2" w:hAnsi="Wingdings 2" w:eastAsia="Wingdings 2" w:cs="Wingdings 2"/>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镇（乡、街道）级</w:t>
            </w:r>
          </w:p>
        </w:tc>
        <w:tc>
          <w:tcPr>
            <w:tcW w:w="7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B1BB1">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方正仿宋_GBK" w:cs="Times New Roman"/>
                <w:i w:val="0"/>
                <w:iCs w:val="0"/>
                <w:color w:val="000000"/>
                <w:kern w:val="0"/>
                <w:sz w:val="13"/>
                <w:szCs w:val="13"/>
                <w:u w:val="none"/>
                <w:lang w:val="en-US" w:eastAsia="zh-CN" w:bidi="ar"/>
              </w:rPr>
              <w:t xml:space="preserve">【法律】《中华人民共和国义务教育法》（1986年7月1日施行，2018年12月29日第二次修正） </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第二十四条　学校应当建立、健全安全制度和应急机制，对学生进行安全教育，加强管理，及时消除隐患，预防发生事故。</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县级以上地方人民政府定期对学校校舍安全进行检查；对需要维修、改造的，及时予以维修、改造。</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【法规】《中华人民共和国民办教育促进法实施条例》（2004年3月5日中华人民共和国国务院令第399号公布，2021年4月7日中华人民共和国国务院令第741号修订）</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第四十七条 县级以上地方人民政府应当建立民办教育工作联席会议。教育、人力资源社会保障、民政、市场监督管理等部门应当根据职责会同有关部门建立民办学校年度检查和年度报告制度，健全日常监管机制。</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教育行政部门、人力资源社会保障行政部门及有关部门应当建立民办学校信用档案和举办者、校长执业信用制度，对民办学校进行执法监督的情况和处罚、处理结果应当予以记录，由执法、监督人员签字后归档，并依法依规公开执法监督结果。相关信用档案和信用记录依法纳入全国信用信息共享平台、国家企业信用信息公示系统。</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【规章】《民办高等学校办学管理若干规定》（2007年2月3日教育部令第25号公布，根据2015年11月10日《教育部关于废止和修改部分规章的决定》修正）</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四条第二款：省、自治区、直辖市人民政府教育行政部门（以下简称省级教育行政部门）主管本行政区域内的民办教育工作。对民办高校依法履行下列职责：（一）办学许可证管理；（二）民办高校招生简章和广告备案的审查；（三）民办高校相关信息的发布；（四）民办高校的年度检查；（五）民办高校的表彰奖励；（六）民办高校违法违规行为的查处；（七）法律法规规定的其他职责。</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二十八条：省级教育行政部门按照国家规定对民办高校实行年度检查制度。年度检查工作于每年12月31日前完成。省级教育行政部门根据年度检查情况和国务院教育行政部门基本办学条件核查的结果，在办学许可证副本上加盖年度检查结论戳记。</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年度检查时，民办高校应当向省级教育行政部门提交年度学校自查报告、财务审计报告和要求提供的其他材料。</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【规章】《独立学院设置与管理办法》（2008年2月22日教育部令第26号公布，自2008年4月1日起施行；根据2015年11月10日教育部令第38号《教育部关于废止和修改部分规章的决定》修正）</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六条第二款：省、自治区、直辖市人民政府教育行政部门主管本行政区域内的独立学院工作，依法履行下列职责：（一）独立学院办学许可证管理；（二）独立学院招生简章和广告备案的审查；（三）独立学院相关信息的发布；（四）独立学院的年度检查；（五）独立学院的表彰奖励；（六）独立学院违法违规行为的查处；（七）法律法规规定的其他职责。</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【规章】《中小学幼儿园安全管理办法》（2006年6月30日教育部令第23号公布）</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第七条  教育行政部门对学校安全工作履行下列职责：</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一）全面掌握学校安全工作状况，制定学校安全工作考核目标，加强对学校安全工作的检查指导，督促学校建立健全并落实安全管理制度；（二）建立安全工作责任制和事故责任追究制，及时消除安全隐患，指导学校妥善处理学生伤害事故；（三）及时了解学校安全教育情况，组织学校有针对性地开展学生安全教育，不断提高教育实效；（四）制定校园安全的应急预案，指导、监督下级教育行政部门和学校开展安全工作；（五）协调政府其他相关职能部门共同做好学校安全管理工作，协助当地人民政府组织对学校安全事故的救援和调查处理。</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教育督导机构应当组织学校安全工作的专项督导。</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【规章】《高等学校消防安全管理规定》(教育部、公安部第28号令，2010年1月1日起施行）</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第七条　教育行政部门依法履行对高等学校消防安全工作的管理职责，检查、指导和监督高等学校开展消防安全工作，督促高等学校建立健全并落实消防安全责任制和消防安全管理制度。</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【规章】《中华人民共和国义务教育法实施细则》（国家教育委员会令第19号，1992年3月14日施行）</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第三十五条　县级以上各级人民政府应当建立对实施义务教育的工作进行监督、指导、检查的制度。</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【规章】《小学管理规程》（1996年3月9日国家教育委员会令第26号发布）</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第四十四条　小学应接受教育行政部门或上级主管部门的检查、监督和指导，要如实报告工作，反映情况。</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【规章】《特殊教育学校暂行规程》（教育部令第1号，1998年12月2日起施行）</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第八条　按照“分级管理、分工负责”的原则，特殊教育学校在当地人民政府领导下实施教育工作。特殊教育学校应接受教育行政部门或上级主管部门的检查、监督和指导，要如实报告工作，反映情况。学年末，学校要向主管教育行政部门报告工作，重大问题应随时报告。</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【规章】《幼儿园工作规程》（教育部令第39号，2016年3月1日起施行）</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第六十一条　幼儿园应当接受上级教育、卫生、公安、消防等部门的检查、监督和指导，如实报告工作和反映情况。</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幼儿园应当依法接受教育督导部门的督导。</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第三十四条　上级教育行政部门应当定期对下级教育行政部门及其所辖学校、其他有关机构进行统计工作检查。统计工作检查的内容主要包括：</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一）统计法律、法规、规章和有关文件的贯彻落实情况；（二）统计规章制度的建设及其组织实施情况；（三）单位内负责统计工作的机构和岗位的设置情况；（四）统计经费和统计工作设备配置的保障情况；（五）统计资料的管理情况；（六）其他需要检查的内容。　</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第三十五条　国务院教育行政部门依法建立教育统计数据质量监控和评估制度，建立健全责任体系，对各省、自治区、直辖市重要教育统计数据进行监控和评估。</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省级人民政府教育行政部门应当健全统计数据质量保障体系，建立专家参与的统计数据质量核查机制，通过自查、抽查、互查等方式，开展统计数据质量核查，保证统计数据质量。</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县级以上教育行政部门可以建立教育统计数据抽查制度，制定抽查事项清单，合理确定抽查的比例和频次，随机对下级教育行政部门或其所辖学校、其他有关机构报送的教育统计数据进行核查。</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【规章】《中小学教师继续教育规定》（教育部令第7号，1999年9月13日发布）</w:t>
            </w:r>
            <w:r>
              <w:rPr>
                <w:rFonts w:hint="default" w:ascii="Times New Roman" w:hAnsi="Times New Roman" w:eastAsia="方正仿宋_GBK" w:cs="Times New Roman"/>
                <w:i w:val="0"/>
                <w:iCs w:val="0"/>
                <w:color w:val="000000"/>
                <w:kern w:val="0"/>
                <w:sz w:val="13"/>
                <w:szCs w:val="13"/>
                <w:u w:val="none"/>
                <w:lang w:val="en-US" w:eastAsia="zh-CN" w:bidi="ar"/>
              </w:rPr>
              <w:br w:type="textWrapping"/>
            </w:r>
            <w:r>
              <w:rPr>
                <w:rFonts w:hint="default" w:ascii="Times New Roman" w:hAnsi="Times New Roman" w:eastAsia="方正仿宋_GBK" w:cs="Times New Roman"/>
                <w:i w:val="0"/>
                <w:iCs w:val="0"/>
                <w:color w:val="000000"/>
                <w:kern w:val="0"/>
                <w:sz w:val="13"/>
                <w:szCs w:val="13"/>
                <w:u w:val="none"/>
                <w:lang w:val="en-US" w:eastAsia="zh-CN" w:bidi="ar"/>
              </w:rPr>
              <w:t xml:space="preserve">    第十一条　省、自治区、直辖市人民政府教育行政部门主管本地区中小学教师继续教育工作；制定本地区中小学教师继续教育配套政策和规划；全面负责本地区中小学教师继续教育的实施、检查和评估工作。市（地、州、盟）、县（区、市、旗）人民政府教育行政部门在省级人民政府教育行政部门指导下，负责管理本地区中小学教师继续教育工作。</w:t>
            </w:r>
            <w:r>
              <w:rPr>
                <w:rFonts w:hint="default" w:ascii="Times New Roman" w:hAnsi="Times New Roman" w:eastAsia="方正仿宋_GBK" w:cs="Times New Roman"/>
                <w:i w:val="0"/>
                <w:iCs w:val="0"/>
                <w:color w:val="000000"/>
                <w:kern w:val="0"/>
                <w:sz w:val="13"/>
                <w:szCs w:val="13"/>
                <w:u w:val="none"/>
                <w:lang w:val="en-US" w:eastAsia="zh-CN" w:bidi="ar"/>
              </w:rPr>
              <w:br w:type="textWrapping"/>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DF6C2">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学校安全（安全制度、应急机制、安全教育、应急预案、消防安全等）、基本办学条件、学生管理、教育统计工作、继续教育工作、信息公开工作等。</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6D39A">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方正仿宋_GBK" w:cs="Times New Roman"/>
                <w:i w:val="0"/>
                <w:iCs w:val="0"/>
                <w:color w:val="000000"/>
                <w:kern w:val="0"/>
                <w:sz w:val="15"/>
                <w:szCs w:val="15"/>
                <w:u w:val="none"/>
                <w:lang w:val="en-US" w:eastAsia="zh-CN" w:bidi="ar"/>
              </w:rPr>
              <w:t>每年至少1次，不多于2次。</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4BD3F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检查记录表</w:t>
            </w:r>
          </w:p>
        </w:tc>
        <w:tc>
          <w:tcPr>
            <w:tcW w:w="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9DA5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学校办学行为</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4184">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学校安全</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31D1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42BD">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eastAsia" w:ascii="方正仿宋_GBK" w:hAnsi="方正仿宋_GBK" w:eastAsia="方正仿宋_GBK" w:cs="方正仿宋_GBK"/>
                <w:i w:val="0"/>
                <w:iCs w:val="0"/>
                <w:color w:val="232323"/>
                <w:sz w:val="15"/>
                <w:szCs w:val="15"/>
                <w:u w:val="none"/>
              </w:rPr>
            </w:pPr>
            <w:r>
              <w:rPr>
                <w:rFonts w:hint="eastAsia" w:ascii="方正仿宋_GBK" w:hAnsi="方正仿宋_GBK" w:eastAsia="方正仿宋_GBK" w:cs="方正仿宋_GBK"/>
                <w:i w:val="0"/>
                <w:iCs w:val="0"/>
                <w:color w:val="232323"/>
                <w:kern w:val="0"/>
                <w:sz w:val="15"/>
                <w:szCs w:val="15"/>
                <w:u w:val="none"/>
                <w:lang w:val="en-US" w:eastAsia="zh-CN" w:bidi="ar"/>
              </w:rPr>
              <w:t>《中华人民共和国义务教育法》第二十四条，《中小学幼儿园安全管理办法》第七条，《高等学校消防安全管理规定》第七条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D41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FA2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1B6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096E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存在问题为“是”，不存在问题为“否”。</w:t>
            </w:r>
          </w:p>
        </w:tc>
      </w:tr>
      <w:tr w14:paraId="0B2BF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5"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E8764">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92CF0">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B2A36">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27864">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20E58">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95542">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3AC09">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108AE">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EB4B8">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D89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民办学校年度检查</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82A5B">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A926">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eastAsia" w:ascii="方正仿宋_GBK" w:hAnsi="方正仿宋_GBK" w:eastAsia="方正仿宋_GBK" w:cs="方正仿宋_GBK"/>
                <w:i w:val="0"/>
                <w:iCs w:val="0"/>
                <w:color w:val="232323"/>
                <w:sz w:val="15"/>
                <w:szCs w:val="15"/>
                <w:u w:val="none"/>
              </w:rPr>
            </w:pPr>
            <w:r>
              <w:rPr>
                <w:rFonts w:hint="eastAsia" w:ascii="方正仿宋_GBK" w:hAnsi="方正仿宋_GBK" w:eastAsia="方正仿宋_GBK" w:cs="方正仿宋_GBK"/>
                <w:i w:val="0"/>
                <w:iCs w:val="0"/>
                <w:color w:val="232323"/>
                <w:kern w:val="0"/>
                <w:sz w:val="15"/>
                <w:szCs w:val="15"/>
                <w:u w:val="none"/>
                <w:lang w:val="en-US" w:eastAsia="zh-CN" w:bidi="ar"/>
              </w:rPr>
              <w:t>《中华人民共和国民办教育促进法实施条例》 第四十七条，《民办高等学校办学管理若干规定》第四条、第二十八条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7CF6">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D83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C0A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0F886">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57AD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4765">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8A0B2">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973B">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BE5B1">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E27D9">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AD0DD">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49BA5">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BD3C8">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06392">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17C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独立学院年度检查</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3A3D">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547B">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eastAsia" w:ascii="方正仿宋_GBK" w:hAnsi="方正仿宋_GBK" w:eastAsia="方正仿宋_GBK" w:cs="方正仿宋_GBK"/>
                <w:i w:val="0"/>
                <w:iCs w:val="0"/>
                <w:color w:val="232323"/>
                <w:sz w:val="15"/>
                <w:szCs w:val="15"/>
                <w:u w:val="none"/>
              </w:rPr>
            </w:pPr>
            <w:r>
              <w:rPr>
                <w:rFonts w:hint="eastAsia" w:ascii="方正仿宋_GBK" w:hAnsi="方正仿宋_GBK" w:eastAsia="方正仿宋_GBK" w:cs="方正仿宋_GBK"/>
                <w:i w:val="0"/>
                <w:iCs w:val="0"/>
                <w:color w:val="232323"/>
                <w:kern w:val="0"/>
                <w:sz w:val="15"/>
                <w:szCs w:val="15"/>
                <w:u w:val="none"/>
                <w:lang w:val="en-US" w:eastAsia="zh-CN" w:bidi="ar"/>
              </w:rPr>
              <w:t>《独立学院设置与管理办法》第六条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F98C">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2C7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D8B9">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77269">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78DA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5CC7">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FCEC0">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F798B">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F72B8">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219C">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EBEE">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F6013">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2DE0F">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BB6E">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03B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义务教育工作</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77B8B">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D188">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232323"/>
                <w:sz w:val="15"/>
                <w:szCs w:val="15"/>
                <w:u w:val="none"/>
              </w:rPr>
            </w:pPr>
            <w:r>
              <w:rPr>
                <w:rFonts w:hint="eastAsia" w:ascii="方正仿宋_GBK" w:hAnsi="方正仿宋_GBK" w:eastAsia="方正仿宋_GBK" w:cs="方正仿宋_GBK"/>
                <w:i w:val="0"/>
                <w:iCs w:val="0"/>
                <w:color w:val="232323"/>
                <w:kern w:val="0"/>
                <w:sz w:val="15"/>
                <w:szCs w:val="15"/>
                <w:u w:val="none"/>
                <w:lang w:val="en-US" w:eastAsia="zh-CN" w:bidi="ar"/>
              </w:rPr>
              <w:t>《中华人民共和国义务教育法实施细则》第三十五条，《小学管理规程》第八条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96E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7C08A">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77F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2FA3B">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5892C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F52F8">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5303">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22E9">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436D8">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3BA30">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7D957">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18A56">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38FCF">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C0C48">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nil"/>
              <w:left w:val="nil"/>
              <w:bottom w:val="nil"/>
              <w:right w:val="nil"/>
            </w:tcBorders>
            <w:shd w:val="clear" w:color="auto" w:fill="auto"/>
            <w:noWrap/>
            <w:vAlign w:val="center"/>
          </w:tcPr>
          <w:p w14:paraId="5D364B3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特殊教育工作</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E3E48">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nil"/>
              <w:left w:val="nil"/>
              <w:bottom w:val="nil"/>
              <w:right w:val="nil"/>
            </w:tcBorders>
            <w:shd w:val="clear" w:color="auto" w:fill="auto"/>
            <w:noWrap/>
            <w:vAlign w:val="center"/>
          </w:tcPr>
          <w:p w14:paraId="190FBF65">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《特殊教育学校暂行规程》第八条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E56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C8C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40284">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2D54F">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6BBB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214BD">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0596C">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FA0F0">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ABE6">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DF045">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343A8">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F91DB">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06D80">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51F91">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AAC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幼儿园工作</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7E295">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5BCD">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《幼儿园工作规程》 第六十一条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F7B7">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A6BC">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4840">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73656">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50E9A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F91F6">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94E58">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F6D91">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7E0F6">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AC5BA">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FF345">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655BD">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E8BFA">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FD19E">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B70F">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教育统计工作</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370E2">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7B6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《教育统计管理规定》 第三十四条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AA5D">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0400">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EA83">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33407">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r w14:paraId="38D4D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5" w:hRule="atLeast"/>
        </w:trPr>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CD1AF">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3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D7AA7">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CB1CF">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47EDF">
            <w:pPr>
              <w:keepNext w:val="0"/>
              <w:keepLines w:val="0"/>
              <w:pageBreakBefore w:val="0"/>
              <w:widowControl/>
              <w:kinsoku/>
              <w:wordWrap/>
              <w:overflowPunct/>
              <w:topLinePunct w:val="0"/>
              <w:autoSpaceDE/>
              <w:autoSpaceDN/>
              <w:bidi w:val="0"/>
              <w:adjustRightInd/>
              <w:snapToGrid/>
              <w:spacing w:line="180" w:lineRule="exact"/>
              <w:jc w:val="center"/>
              <w:rPr>
                <w:rFonts w:hint="default" w:ascii="Wingdings 2" w:hAnsi="Wingdings 2" w:eastAsia="Wingdings 2" w:cs="Wingdings 2"/>
                <w:i w:val="0"/>
                <w:iCs w:val="0"/>
                <w:color w:val="000000"/>
                <w:sz w:val="15"/>
                <w:szCs w:val="15"/>
                <w:u w:val="none"/>
              </w:rPr>
            </w:pPr>
          </w:p>
        </w:tc>
        <w:tc>
          <w:tcPr>
            <w:tcW w:w="7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06E22">
            <w:pPr>
              <w:keepNext w:val="0"/>
              <w:keepLines w:val="0"/>
              <w:pageBreakBefore w:val="0"/>
              <w:widowControl/>
              <w:kinsoku/>
              <w:wordWrap/>
              <w:overflowPunct/>
              <w:topLinePunct w:val="0"/>
              <w:autoSpaceDE/>
              <w:autoSpaceDN/>
              <w:bidi w:val="0"/>
              <w:adjustRightInd/>
              <w:snapToGrid/>
              <w:spacing w:line="180" w:lineRule="exact"/>
              <w:jc w:val="both"/>
              <w:rPr>
                <w:rFonts w:hint="default" w:ascii="Times New Roman" w:hAnsi="Times New Roman" w:eastAsia="宋体" w:cs="Times New Roman"/>
                <w:i w:val="0"/>
                <w:iCs w:val="0"/>
                <w:color w:val="000000"/>
                <w:sz w:val="15"/>
                <w:szCs w:val="15"/>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61D6D">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66A7">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C024">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3BE4F">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B72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中小学教师继续教育工作</w:t>
            </w: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AC729">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宋体" w:cs="Times New Roman"/>
                <w:i w:val="0"/>
                <w:iCs w:val="0"/>
                <w:color w:val="000000"/>
                <w:sz w:val="15"/>
                <w:szCs w:val="15"/>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4E5C9">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《中小学教师继续教育规定》第十一条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39E8">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7B21">
            <w:pPr>
              <w:keepNext w:val="0"/>
              <w:keepLines w:val="0"/>
              <w:pageBreakBefore w:val="0"/>
              <w:widowControl/>
              <w:suppressLineNumbers w:val="0"/>
              <w:kinsoku/>
              <w:wordWrap/>
              <w:overflowPunct/>
              <w:topLinePunct w:val="0"/>
              <w:autoSpaceDE/>
              <w:autoSpaceDN/>
              <w:bidi w:val="0"/>
              <w:adjustRightInd/>
              <w:snapToGrid/>
              <w:spacing w:line="180" w:lineRule="exact"/>
              <w:jc w:val="left"/>
              <w:textAlignment w:val="center"/>
              <w:rPr>
                <w:rFonts w:hint="default" w:ascii="Times New Roman" w:hAnsi="Times New Roman" w:eastAsia="宋体" w:cs="Times New Roman"/>
                <w:i w:val="0"/>
                <w:iCs w:val="0"/>
                <w:color w:val="000000"/>
                <w:sz w:val="15"/>
                <w:szCs w:val="15"/>
                <w:u w:val="none"/>
              </w:rPr>
            </w:pP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是</w:t>
            </w:r>
            <w:r>
              <w:rPr>
                <w:rFonts w:hint="default" w:ascii="Times New Roman" w:hAnsi="Times New Roman" w:eastAsia="宋体" w:cs="Times New Roman"/>
                <w:i w:val="0"/>
                <w:iCs w:val="0"/>
                <w:color w:val="000000"/>
                <w:kern w:val="0"/>
                <w:sz w:val="15"/>
                <w:szCs w:val="15"/>
                <w:u w:val="none"/>
                <w:lang w:val="en-US" w:eastAsia="zh-CN" w:bidi="ar"/>
              </w:rPr>
              <w:t xml:space="preserve"> </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否</w:t>
            </w:r>
            <w:r>
              <w:rPr>
                <w:rFonts w:hint="default" w:ascii="Times New Roman" w:hAnsi="Times New Roman" w:eastAsia="宋体" w:cs="Times New Roman"/>
                <w:i w:val="0"/>
                <w:iCs w:val="0"/>
                <w:color w:val="000000"/>
                <w:kern w:val="0"/>
                <w:sz w:val="15"/>
                <w:szCs w:val="15"/>
                <w:u w:val="none"/>
                <w:lang w:val="en-US" w:eastAsia="zh-CN" w:bidi="ar"/>
              </w:rPr>
              <w:br w:type="textWrapping"/>
            </w:r>
            <w:r>
              <w:rPr>
                <w:rFonts w:hint="default" w:ascii="Times New Roman" w:hAnsi="Times New Roman" w:eastAsia="宋体" w:cs="Times New Roman"/>
                <w:i w:val="0"/>
                <w:iCs w:val="0"/>
                <w:color w:val="000000"/>
                <w:kern w:val="0"/>
                <w:sz w:val="15"/>
                <w:szCs w:val="15"/>
                <w:u w:val="none"/>
                <w:lang w:val="en-US" w:eastAsia="zh-CN" w:bidi="ar"/>
              </w:rPr>
              <w:t>□</w:t>
            </w:r>
            <w:r>
              <w:rPr>
                <w:rFonts w:hint="eastAsia" w:ascii="方正仿宋_GBK" w:hAnsi="方正仿宋_GBK" w:eastAsia="方正仿宋_GBK" w:cs="方正仿宋_GBK"/>
                <w:i w:val="0"/>
                <w:iCs w:val="0"/>
                <w:color w:val="000000"/>
                <w:kern w:val="0"/>
                <w:sz w:val="15"/>
                <w:szCs w:val="15"/>
                <w:u w:val="none"/>
                <w:lang w:val="en-US" w:eastAsia="zh-CN" w:bidi="ar"/>
              </w:rPr>
              <w:t>未涉及</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7D3B">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eastAsia" w:ascii="方正仿宋_GBK" w:hAnsi="方正仿宋_GBK" w:eastAsia="方正仿宋_GBK" w:cs="方正仿宋_GBK"/>
                <w:i w:val="0"/>
                <w:iCs w:val="0"/>
                <w:color w:val="000000"/>
                <w:sz w:val="15"/>
                <w:szCs w:val="15"/>
                <w:u w:val="none"/>
              </w:rPr>
            </w:pPr>
            <w:r>
              <w:rPr>
                <w:rFonts w:hint="eastAsia" w:ascii="方正仿宋_GBK" w:hAnsi="方正仿宋_GBK" w:eastAsia="方正仿宋_GBK" w:cs="方正仿宋_GBK"/>
                <w:i w:val="0"/>
                <w:iCs w:val="0"/>
                <w:color w:val="000000"/>
                <w:kern w:val="0"/>
                <w:sz w:val="15"/>
                <w:szCs w:val="15"/>
                <w:u w:val="none"/>
                <w:lang w:val="en-US" w:eastAsia="zh-CN" w:bidi="ar"/>
              </w:rPr>
              <w:t>否</w:t>
            </w:r>
          </w:p>
        </w:tc>
        <w:tc>
          <w:tcPr>
            <w:tcW w:w="3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3DA5">
            <w:pPr>
              <w:keepNext w:val="0"/>
              <w:keepLines w:val="0"/>
              <w:pageBreakBefore w:val="0"/>
              <w:widowControl/>
              <w:kinsoku/>
              <w:wordWrap/>
              <w:overflowPunct/>
              <w:topLinePunct w:val="0"/>
              <w:autoSpaceDE/>
              <w:autoSpaceDN/>
              <w:bidi w:val="0"/>
              <w:adjustRightInd/>
              <w:snapToGrid/>
              <w:spacing w:line="180" w:lineRule="exact"/>
              <w:jc w:val="center"/>
              <w:rPr>
                <w:rFonts w:hint="eastAsia" w:ascii="方正仿宋_GBK" w:hAnsi="方正仿宋_GBK" w:eastAsia="方正仿宋_GBK" w:cs="方正仿宋_GBK"/>
                <w:i w:val="0"/>
                <w:iCs w:val="0"/>
                <w:color w:val="000000"/>
                <w:sz w:val="15"/>
                <w:szCs w:val="15"/>
                <w:u w:val="none"/>
              </w:rPr>
            </w:pPr>
          </w:p>
        </w:tc>
      </w:tr>
    </w:tbl>
    <w:p w14:paraId="52AFD6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15"/>
          <w:szCs w:val="15"/>
          <w:lang w:val="en-US" w:eastAsia="zh-CN"/>
        </w:rPr>
      </w:pPr>
    </w:p>
    <w:sectPr>
      <w:pgSz w:w="16838" w:h="11906" w:orient="landscape"/>
      <w:pgMar w:top="1361" w:right="2098" w:bottom="1361" w:left="1984"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F6467F7"/>
    <w:rsid w:val="3F775E5F"/>
    <w:rsid w:val="5EEC1DCF"/>
    <w:rsid w:val="5FCFF0D7"/>
    <w:rsid w:val="6A3CB746"/>
    <w:rsid w:val="6D7C753C"/>
    <w:rsid w:val="77FB9F6F"/>
    <w:rsid w:val="7DBBD60D"/>
    <w:rsid w:val="7F7F8C55"/>
    <w:rsid w:val="7FFC9F17"/>
    <w:rsid w:val="9D9CE53A"/>
    <w:rsid w:val="9E57BB46"/>
    <w:rsid w:val="B72E9511"/>
    <w:rsid w:val="B76B7A04"/>
    <w:rsid w:val="BD6F1E00"/>
    <w:rsid w:val="BE7B88D3"/>
    <w:rsid w:val="C7FDEF12"/>
    <w:rsid w:val="DBFF98A5"/>
    <w:rsid w:val="DF5E6D70"/>
    <w:rsid w:val="EBEB77C4"/>
    <w:rsid w:val="EFABC787"/>
    <w:rsid w:val="F5EF48CF"/>
    <w:rsid w:val="F66F7026"/>
    <w:rsid w:val="FBFC34F5"/>
    <w:rsid w:val="FCF71903"/>
    <w:rsid w:val="FDEFD772"/>
    <w:rsid w:val="FDFFEB46"/>
    <w:rsid w:val="FFADDD53"/>
    <w:rsid w:val="FFFF0EB4"/>
    <w:rsid w:val="FFFF9170"/>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61"/>
    <w:basedOn w:val="5"/>
    <w:qFormat/>
    <w:uiPriority w:val="0"/>
    <w:rPr>
      <w:rFonts w:hint="default" w:ascii="Times New Roman" w:hAnsi="Times New Roman" w:cs="Times New Roman"/>
      <w:color w:val="000000"/>
      <w:sz w:val="40"/>
      <w:szCs w:val="40"/>
      <w:u w:val="none"/>
    </w:rPr>
  </w:style>
  <w:style w:type="character" w:customStyle="1" w:styleId="7">
    <w:name w:val="font41"/>
    <w:basedOn w:val="5"/>
    <w:qFormat/>
    <w:uiPriority w:val="0"/>
    <w:rPr>
      <w:rFonts w:hint="eastAsia" w:ascii="仿宋_GB2312" w:eastAsia="仿宋_GB2312" w:cs="仿宋_GB2312"/>
      <w:color w:val="000000"/>
      <w:sz w:val="40"/>
      <w:szCs w:val="40"/>
      <w:u w:val="none"/>
    </w:rPr>
  </w:style>
  <w:style w:type="character" w:customStyle="1" w:styleId="8">
    <w:name w:val="font141"/>
    <w:basedOn w:val="5"/>
    <w:uiPriority w:val="0"/>
    <w:rPr>
      <w:rFonts w:hint="default" w:ascii="Wingdings 2" w:hAnsi="Wingdings 2" w:eastAsia="Wingdings 2" w:cs="Wingdings 2"/>
      <w:color w:val="000000"/>
      <w:sz w:val="28"/>
      <w:szCs w:val="28"/>
      <w:u w:val="none"/>
    </w:rPr>
  </w:style>
  <w:style w:type="character" w:customStyle="1" w:styleId="9">
    <w:name w:val="font121"/>
    <w:basedOn w:val="5"/>
    <w:uiPriority w:val="0"/>
    <w:rPr>
      <w:rFonts w:hint="eastAsia" w:ascii="方正仿宋_GBK" w:hAnsi="方正仿宋_GBK" w:eastAsia="方正仿宋_GBK" w:cs="方正仿宋_GBK"/>
      <w:color w:val="000000"/>
      <w:sz w:val="28"/>
      <w:szCs w:val="28"/>
      <w:u w:val="none"/>
    </w:rPr>
  </w:style>
  <w:style w:type="character" w:customStyle="1" w:styleId="10">
    <w:name w:val="font112"/>
    <w:basedOn w:val="5"/>
    <w:uiPriority w:val="0"/>
    <w:rPr>
      <w:rFonts w:hint="default" w:ascii="Times New Roman" w:hAnsi="Times New Roman" w:cs="Times New Roman"/>
      <w:color w:val="000000"/>
      <w:sz w:val="28"/>
      <w:szCs w:val="28"/>
      <w:u w:val="none"/>
    </w:rPr>
  </w:style>
  <w:style w:type="character" w:customStyle="1" w:styleId="11">
    <w:name w:val="font21"/>
    <w:basedOn w:val="5"/>
    <w:uiPriority w:val="0"/>
    <w:rPr>
      <w:rFonts w:hint="eastAsia" w:ascii="方正仿宋_GBK" w:hAnsi="方正仿宋_GBK" w:eastAsia="方正仿宋_GBK" w:cs="方正仿宋_GBK"/>
      <w:color w:val="000000"/>
      <w:sz w:val="28"/>
      <w:szCs w:val="28"/>
      <w:u w:val="none"/>
    </w:rPr>
  </w:style>
  <w:style w:type="character" w:customStyle="1" w:styleId="12">
    <w:name w:val="font31"/>
    <w:basedOn w:val="5"/>
    <w:uiPriority w:val="0"/>
    <w:rPr>
      <w:rFonts w:hint="default" w:ascii="Times New Roman" w:hAnsi="Times New Roman" w:cs="Times New Roman"/>
      <w:color w:val="232323"/>
      <w:sz w:val="28"/>
      <w:szCs w:val="28"/>
      <w:u w:val="none"/>
    </w:rPr>
  </w:style>
  <w:style w:type="character" w:customStyle="1" w:styleId="13">
    <w:name w:val="font11"/>
    <w:basedOn w:val="5"/>
    <w:uiPriority w:val="0"/>
    <w:rPr>
      <w:rFonts w:hint="eastAsia" w:ascii="方正仿宋_GBK" w:hAnsi="方正仿宋_GBK" w:eastAsia="方正仿宋_GBK" w:cs="方正仿宋_GBK"/>
      <w:color w:val="000000"/>
      <w:sz w:val="24"/>
      <w:szCs w:val="24"/>
      <w:u w:val="none"/>
    </w:rPr>
  </w:style>
  <w:style w:type="character" w:customStyle="1" w:styleId="14">
    <w:name w:val="font01"/>
    <w:basedOn w:val="5"/>
    <w:uiPriority w:val="0"/>
    <w:rPr>
      <w:rFonts w:hint="default" w:ascii="Times New Roman" w:hAnsi="Times New Roman" w:cs="Times New Roman"/>
      <w:color w:val="000000"/>
      <w:sz w:val="24"/>
      <w:szCs w:val="24"/>
      <w:u w:val="none"/>
    </w:rPr>
  </w:style>
  <w:style w:type="character" w:customStyle="1" w:styleId="15">
    <w:name w:val="font131"/>
    <w:basedOn w:val="5"/>
    <w:uiPriority w:val="0"/>
    <w:rPr>
      <w:rFonts w:hint="default" w:ascii="Wingdings 2" w:hAnsi="Wingdings 2" w:eastAsia="Wingdings 2" w:cs="Wingdings 2"/>
      <w:color w:val="000000"/>
      <w:sz w:val="28"/>
      <w:szCs w:val="28"/>
      <w:u w:val="none"/>
    </w:rPr>
  </w:style>
  <w:style w:type="character" w:customStyle="1" w:styleId="16">
    <w:name w:val="font111"/>
    <w:basedOn w:val="5"/>
    <w:uiPriority w:val="0"/>
    <w:rPr>
      <w:rFonts w:hint="eastAsia" w:ascii="方正仿宋_GBK" w:hAnsi="方正仿宋_GBK" w:eastAsia="方正仿宋_GBK" w:cs="方正仿宋_GBK"/>
      <w:color w:val="000000"/>
      <w:sz w:val="28"/>
      <w:szCs w:val="28"/>
      <w:u w:val="none"/>
    </w:rPr>
  </w:style>
  <w:style w:type="character" w:customStyle="1" w:styleId="17">
    <w:name w:val="font51"/>
    <w:basedOn w:val="5"/>
    <w:uiPriority w:val="0"/>
    <w:rPr>
      <w:rFonts w:hint="default" w:ascii="Times New Roman" w:hAnsi="Times New Roman" w:cs="Times New Roman"/>
      <w:color w:val="000000"/>
      <w:sz w:val="28"/>
      <w:szCs w:val="28"/>
      <w:u w:val="none"/>
    </w:rPr>
  </w:style>
  <w:style w:type="character" w:customStyle="1" w:styleId="18">
    <w:name w:val="font101"/>
    <w:basedOn w:val="5"/>
    <w:uiPriority w:val="0"/>
    <w:rPr>
      <w:rFonts w:hint="default" w:ascii="Times New Roman" w:hAnsi="Times New Roman" w:cs="Times New Roman"/>
      <w:color w:val="000000"/>
      <w:sz w:val="28"/>
      <w:szCs w:val="28"/>
      <w:u w:val="none"/>
    </w:rPr>
  </w:style>
  <w:style w:type="character" w:customStyle="1" w:styleId="19">
    <w:name w:val="font15"/>
    <w:basedOn w:val="5"/>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3795</Words>
  <Characters>3915</Characters>
  <Paragraphs>24</Paragraphs>
  <TotalTime>67</TotalTime>
  <ScaleCrop>false</ScaleCrop>
  <LinksUpToDate>false</LinksUpToDate>
  <CharactersWithSpaces>4056</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2026-02-15T01:48:00Z</dcterms:created>
  <dc:creator>PTP-AN00</dc:creator>
  <cp:lastModifiedBy>姑娘加油</cp:lastModifiedBy>
  <cp:lastPrinted>2026-02-15T13:35:00Z</cp:lastPrinted>
  <dcterms:modified xsi:type="dcterms:W3CDTF">2026-07-06T02:52:08Z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D3AE5D0854A0A19022ED8B693B4F6970_43</vt:lpwstr>
  </property>
  <property fmtid="{D5CDD505-2E9C-101B-9397-08002B2CF9AE}" pid="3" name="KSOProductBuildVer">
    <vt:lpwstr>2052-12.1.0.21541</vt:lpwstr>
  </property>
  <property fmtid="{D5CDD505-2E9C-101B-9397-08002B2CF9AE}" pid="4" name="KSOTemplateDocerSaveRecord">
    <vt:lpwstr>eyJoZGlkIjoiMzEwNTM5NzYwMDRjMzkwZTVkZjY2ODkwMGIxNGU0OTUiLCJ1c2VySWQiOiIzMTUwMjMzNzQifQ==</vt:lpwstr>
  </property>
</Properties>
</file>