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142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130"/>
        <w:gridCol w:w="1824"/>
        <w:gridCol w:w="2600"/>
        <w:gridCol w:w="77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30" w:type="dxa"/>
          </w:tcPr>
          <w:p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Style w:val="5"/>
                <w:rFonts w:ascii="微软雅黑" w:hAnsi="微软雅黑" w:eastAsia="微软雅黑" w:cs="微软雅黑"/>
                <w:b/>
                <w:i w:val="0"/>
                <w:caps w:val="0"/>
                <w:color w:val="212529"/>
                <w:spacing w:val="0"/>
                <w:sz w:val="30"/>
                <w:szCs w:val="30"/>
                <w:bdr w:val="none" w:color="auto" w:sz="0" w:space="0"/>
              </w:rPr>
              <w:t>机构名称</w:t>
            </w:r>
          </w:p>
        </w:tc>
        <w:tc>
          <w:tcPr>
            <w:tcW w:w="1824" w:type="dxa"/>
          </w:tcPr>
          <w:p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Style w:val="5"/>
                <w:rFonts w:ascii="微软雅黑" w:hAnsi="微软雅黑" w:eastAsia="微软雅黑" w:cs="微软雅黑"/>
                <w:b/>
                <w:i w:val="0"/>
                <w:caps w:val="0"/>
                <w:color w:val="212529"/>
                <w:spacing w:val="0"/>
                <w:sz w:val="30"/>
                <w:szCs w:val="30"/>
                <w:bdr w:val="none" w:color="auto" w:sz="0" w:space="0"/>
              </w:rPr>
              <w:t>科室负责人</w:t>
            </w:r>
          </w:p>
        </w:tc>
        <w:tc>
          <w:tcPr>
            <w:tcW w:w="2600" w:type="dxa"/>
          </w:tcPr>
          <w:p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Style w:val="5"/>
                <w:rFonts w:ascii="微软雅黑" w:hAnsi="微软雅黑" w:eastAsia="微软雅黑" w:cs="微软雅黑"/>
                <w:b/>
                <w:i w:val="0"/>
                <w:caps w:val="0"/>
                <w:color w:val="212529"/>
                <w:spacing w:val="0"/>
                <w:sz w:val="30"/>
                <w:szCs w:val="30"/>
                <w:bdr w:val="none" w:color="auto" w:sz="0" w:space="0"/>
              </w:rPr>
              <w:t>办公室电话</w:t>
            </w:r>
          </w:p>
        </w:tc>
        <w:tc>
          <w:tcPr>
            <w:tcW w:w="7733" w:type="dxa"/>
          </w:tcPr>
          <w:p>
            <w:pPr>
              <w:jc w:val="center"/>
              <w:rPr>
                <w:sz w:val="30"/>
                <w:szCs w:val="30"/>
                <w:vertAlign w:val="baseline"/>
              </w:rPr>
            </w:pPr>
            <w:r>
              <w:rPr>
                <w:rStyle w:val="5"/>
                <w:rFonts w:ascii="微软雅黑" w:hAnsi="微软雅黑" w:eastAsia="微软雅黑" w:cs="微软雅黑"/>
                <w:b/>
                <w:i w:val="0"/>
                <w:caps w:val="0"/>
                <w:color w:val="212529"/>
                <w:spacing w:val="0"/>
                <w:sz w:val="30"/>
                <w:szCs w:val="30"/>
              </w:rPr>
              <w:t>机构职能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begin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instrText xml:space="preserve"> HYPERLINK "https://www.cj.gov.cn/p115/xjbm/20200529/163936.html" \o "州教育安全服务中心" \t "https://www.cj.gov.cn/p115/_blank" </w:instrTex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州教育安全服务中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心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end"/>
            </w:r>
          </w:p>
        </w:tc>
        <w:tc>
          <w:tcPr>
            <w:tcW w:w="182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张建丽</w:t>
            </w:r>
          </w:p>
        </w:tc>
        <w:tc>
          <w:tcPr>
            <w:tcW w:w="26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0994-2343582</w:t>
            </w:r>
          </w:p>
        </w:tc>
        <w:tc>
          <w:tcPr>
            <w:tcW w:w="7733" w:type="dxa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指导协调自治区、自治州各项安全措施在全州教育系统的贯彻落实，指导教育系统安全生产、应急管理和保卫工作;负责协调、指导自治州教育系统安全突发事件的应对处置工作;负责教育系统安全工作形势研判，承担安全宣传和與情引导工作;负责组织开展突发事件应急演练;负责检查指导自治州教育系统安全防控工作，会同公安机关研究制定工作措施并组织实施，建立完善教育系统安全防控网络;指导建设服务集聚、数据集中、管理集成的智能化公共服务平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begin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instrText xml:space="preserve"> HYPERLINK "https://www.cj.gov.cn/p115/xjbm/20200529/163935.html" \o "州学前教育工作中心" \t "https://www.cj.gov.cn/p115/_blank" </w:instrTex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州学前教育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指导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中心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end"/>
            </w:r>
          </w:p>
        </w:tc>
        <w:tc>
          <w:tcPr>
            <w:tcW w:w="182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张砚</w:t>
            </w:r>
          </w:p>
        </w:tc>
        <w:tc>
          <w:tcPr>
            <w:tcW w:w="26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0994-2342120</w:t>
            </w:r>
          </w:p>
        </w:tc>
        <w:tc>
          <w:tcPr>
            <w:tcW w:w="7733" w:type="dxa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指导、协调全州幼儿园贯彻教育方针、执行教学计划、开展教育教学改革等工作；参与制定全州学前教育事业发展规划；指导全州幼儿园布局调整；服务指导全州幼儿园招生和学籍管理工作。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eastAsia" w:eastAsiaTheme="minorEastAsia"/>
                <w:sz w:val="20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州财务管理与学生资助中心</w:t>
            </w:r>
          </w:p>
        </w:tc>
        <w:tc>
          <w:tcPr>
            <w:tcW w:w="182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侍倩</w:t>
            </w:r>
          </w:p>
        </w:tc>
        <w:tc>
          <w:tcPr>
            <w:tcW w:w="26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0994-2357757</w:t>
            </w:r>
          </w:p>
        </w:tc>
        <w:tc>
          <w:tcPr>
            <w:tcW w:w="7733" w:type="dxa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负责自治州管理学校和所属事业单位的国有资产、政府采购、预决算和财务管理工作；承担义务教育保障机制经费、有关教育专项经费管理工作；负责局机关和所属事业单位工资工作；负责教育事业统计基本信息公布、分析；参与拟订教育经费筹措、教育拨款、预算绩效管理；负责教育系统财务大平台的管理使用；承担教育经费投入情况统计工作；统筹协调、指导教育系统审计工作；负责机关和直属单位的财务收支、财务管理审计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begin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instrText xml:space="preserve"> HYPERLINK "https://www.cj.gov.cn/p115/xjbm/20200529/163933.html" \o "州语言文字普及推广中心" \t "https://www.cj.gov.cn/p115/_blank" </w:instrTex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州语言文字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工作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中心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end"/>
            </w:r>
          </w:p>
        </w:tc>
        <w:tc>
          <w:tcPr>
            <w:tcW w:w="182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王煜</w:t>
            </w:r>
          </w:p>
        </w:tc>
        <w:tc>
          <w:tcPr>
            <w:tcW w:w="26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0994-2334567</w:t>
            </w:r>
          </w:p>
        </w:tc>
        <w:tc>
          <w:tcPr>
            <w:tcW w:w="7733" w:type="dxa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参与制定全州语言文字工作规划制定；指导国家通用普通话普及推广工作；负责民族语言文字规范化、标准化、信息化工作；负责民族语言文字改革组织实施工作；负责有关民族语言文字监测、研究、科研和文化保护工作；指导少数民族语言文字翻译工作；负责民族语言文字翻译专业人才规划和培养培训工作；负责民族语言文字翻译职称评定工作；负责普通话水平测试和少数民族语言正字、正音培训及测试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begin"/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instrText xml:space="preserve"> HYPERLINK "https://www.cj.gov.cn/p115/xjbm/20160907/163709.html" \o "州教育财务审计中心" \t "https://www.cj.gov.cn/p115/_blank" </w:instrText>
            </w:r>
            <w:r>
              <w:rPr>
                <w:rFonts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separate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州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民</w:t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fldChar w:fldCharType="end"/>
            </w: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eastAsia="zh-CN"/>
              </w:rPr>
              <w:t>办教育和内地新疆学生指导中心</w:t>
            </w:r>
          </w:p>
        </w:tc>
        <w:tc>
          <w:tcPr>
            <w:tcW w:w="1824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王丽娜</w:t>
            </w:r>
          </w:p>
        </w:tc>
        <w:tc>
          <w:tcPr>
            <w:tcW w:w="2600" w:type="dxa"/>
          </w:tcPr>
          <w:p>
            <w:pPr>
              <w:jc w:val="center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  <w:lang w:val="en-US" w:eastAsia="zh-CN"/>
              </w:rPr>
              <w:t>0994-2332161</w:t>
            </w:r>
          </w:p>
        </w:tc>
        <w:tc>
          <w:tcPr>
            <w:tcW w:w="7733" w:type="dxa"/>
          </w:tcPr>
          <w:p>
            <w:pPr>
              <w:jc w:val="left"/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caps w:val="0"/>
                <w:color w:val="333333"/>
                <w:spacing w:val="0"/>
                <w:sz w:val="28"/>
                <w:szCs w:val="28"/>
                <w:shd w:val="clear" w:fill="FFFFFF"/>
              </w:rPr>
              <w:t>参与制定自治州民办教育的发展规划；负责各类民办学校及民办教育机构的协调、指导。负责内地新疆高中班、区内初中班的政策宣传、招生考试报名、信息采集、资格审核、体检、建档等工作;协助办班省市和学校做好内地新疆高中班、区内初中班的学生的教育和管理工作；负责内派服务管理教师的选拔工作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3A1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2024-10-17T10:58:49Z</dcterms:created>
  <dc:creator>Administrator</dc:creator>
  <cp:lastModifiedBy>Administrator</cp:lastModifiedBy>
  <dcterms:modified xsi:type="dcterms:W3CDTF">2024-10-17T11:15:40Z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