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4A7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bookmarkStart w:id="0" w:name="OLE_LINK1"/>
      <w:r>
        <w:rPr>
          <w:rFonts w:hint="eastAsia" w:ascii="方正小标宋_GBK" w:hAnsi="方正小标宋_GBK" w:eastAsia="方正小标宋_GBK" w:cs="方正小标宋_GBK"/>
          <w:sz w:val="44"/>
          <w:szCs w:val="44"/>
          <w:lang w:val="en-US" w:eastAsia="zh-CN"/>
        </w:rPr>
        <w:t>昌吉州</w:t>
      </w:r>
      <w:bookmarkStart w:id="1" w:name="_GoBack"/>
      <w:bookmarkEnd w:id="1"/>
      <w:r>
        <w:rPr>
          <w:rFonts w:hint="eastAsia" w:ascii="方正小标宋_GBK" w:hAnsi="方正小标宋_GBK" w:eastAsia="方正小标宋_GBK" w:cs="方正小标宋_GBK"/>
          <w:sz w:val="44"/>
          <w:szCs w:val="44"/>
        </w:rPr>
        <w:t>交通运输</w:t>
      </w:r>
      <w:r>
        <w:rPr>
          <w:rFonts w:hint="eastAsia" w:ascii="方正小标宋_GBK" w:hAnsi="方正小标宋_GBK" w:eastAsia="方正小标宋_GBK" w:cs="方正小标宋_GBK"/>
          <w:sz w:val="44"/>
          <w:szCs w:val="44"/>
          <w:lang w:val="en-US" w:eastAsia="zh-CN"/>
        </w:rPr>
        <w:t>局信访事项法治化办理指南</w:t>
      </w:r>
    </w:p>
    <w:bookmarkEnd w:id="0"/>
    <w:p w14:paraId="4F64C37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6442B1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一、信访事项的提出</w:t>
      </w:r>
    </w:p>
    <w:p w14:paraId="02DD7F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公民、法人或者其他组织可以采用信息网络、书信、电话、传真、走访等形式，向</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提出信访事项。对采用口头形式提出的信访事项，接待部门应当如实记录。采用走访形式提出信访事项的，应当到指定的接待场所提出。多人采用走访形式提出共同信访事项的，应当推选代表，代表人数不得超过5人。</w:t>
      </w:r>
    </w:p>
    <w:p w14:paraId="533F7F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二、受理</w:t>
      </w:r>
    </w:p>
    <w:p w14:paraId="7B38A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部门受理以下信访事项。</w:t>
      </w:r>
    </w:p>
    <w:p w14:paraId="5DA01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对本级机关执行法律、法规、规章及上级行政机关决定方面的意见和建议</w:t>
      </w:r>
      <w:r>
        <w:rPr>
          <w:rFonts w:hint="default" w:ascii="Times New Roman" w:hAnsi="Times New Roman" w:eastAsia="方正仿宋_GBK" w:cs="Times New Roman"/>
          <w:sz w:val="32"/>
          <w:szCs w:val="32"/>
          <w:lang w:eastAsia="zh-CN"/>
        </w:rPr>
        <w:t>；</w:t>
      </w:r>
    </w:p>
    <w:p w14:paraId="08E554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对本级机关制定的规范性文件的建议、意见；</w:t>
      </w:r>
    </w:p>
    <w:p w14:paraId="48D975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对本级机关及其工作人员的批评、建议和要求；</w:t>
      </w:r>
    </w:p>
    <w:p w14:paraId="5FFD1E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对本级机关工作人员的违法、违纪、失职行为的检举、揭发；</w:t>
      </w:r>
    </w:p>
    <w:p w14:paraId="52B16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对本级机关在交通建设、运输管理、路政管理、交通执法、公路养护管理等行业管理工作的批评、建议和请求</w:t>
      </w:r>
      <w:r>
        <w:rPr>
          <w:rFonts w:hint="default" w:ascii="Times New Roman" w:hAnsi="Times New Roman" w:eastAsia="方正仿宋_GBK" w:cs="Times New Roman"/>
          <w:sz w:val="32"/>
          <w:szCs w:val="32"/>
          <w:lang w:eastAsia="zh-CN"/>
        </w:rPr>
        <w:t>；</w:t>
      </w:r>
    </w:p>
    <w:p w14:paraId="0FBD25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对本级机关工作人员侵害信访人合法权益行为的投诉</w:t>
      </w:r>
      <w:r>
        <w:rPr>
          <w:rFonts w:hint="default" w:ascii="Times New Roman" w:hAnsi="Times New Roman" w:eastAsia="方正仿宋_GBK" w:cs="Times New Roman"/>
          <w:sz w:val="32"/>
          <w:szCs w:val="32"/>
          <w:lang w:eastAsia="zh-CN"/>
        </w:rPr>
        <w:t>；</w:t>
      </w:r>
    </w:p>
    <w:p w14:paraId="087CC9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依法属于本级机关职责有权作出处理决定的其他信访事项。</w:t>
      </w:r>
    </w:p>
    <w:p w14:paraId="265952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部门信访工作机构收到信访事项，应当予以登记甄别，对属于本部门职权范围的，应当自收到之日起15日内发放受理告知单，告知信访人接收情况以及处理途径和程序。对不属于</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系统职权范围内的信访事项，应当自收到之日起15日内书面告知信访人向有权处理的机关、单位提出。属于下级</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部门职权范围的，依法转送、交办，并书面告知信访人。对党委和政府信访部门、上级</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部门转送、交办的信访事项，可以自收到之日起5个工作日内提出异议，经转办机关、单位核实同意后，交还相关材料。书面包含纸质、短信、邮件、传真等形式。</w:t>
      </w:r>
    </w:p>
    <w:p w14:paraId="75ED2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三、办理</w:t>
      </w:r>
    </w:p>
    <w:p w14:paraId="7D41B0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rPr>
        <w:t>（一）申诉求决类</w:t>
      </w:r>
      <w:r>
        <w:rPr>
          <w:rFonts w:hint="eastAsia" w:ascii="方正楷体_GBK" w:hAnsi="方正楷体_GBK" w:eastAsia="方正楷体_GBK" w:cs="方正楷体_GBK"/>
          <w:sz w:val="32"/>
          <w:szCs w:val="32"/>
          <w:lang w:val="en-US" w:eastAsia="zh-CN"/>
        </w:rPr>
        <w:t>投诉请求</w:t>
      </w:r>
    </w:p>
    <w:p w14:paraId="3CCDBE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申诉求决，是指公民法人或其他组织依据法律法规或组织章程规定，向国家机关、政党、社会团体、企事业单位申诉，要求重新做出处理或解决矛盾纠纷。</w:t>
      </w:r>
    </w:p>
    <w:p w14:paraId="72CDF1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1.不服交通运输部门作出的行政许可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行政处罚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行政强制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向本级人民政府申请行政复议，或向人民法院提起行政诉讼。</w:t>
      </w:r>
    </w:p>
    <w:p w14:paraId="21515F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根据交通运输领域涉及的相关业务，以下七类投诉请求列入</w:t>
      </w:r>
      <w:r>
        <w:rPr>
          <w:rFonts w:hint="eastAsia" w:ascii="Times New Roman" w:hAnsi="Times New Roman" w:eastAsia="方正仿宋_GBK" w:cs="Times New Roman"/>
          <w:sz w:val="32"/>
          <w:szCs w:val="32"/>
          <w:lang w:val="en-US" w:eastAsia="zh-CN"/>
        </w:rPr>
        <w:t>通过</w:t>
      </w:r>
      <w:r>
        <w:rPr>
          <w:rFonts w:hint="default" w:ascii="Times New Roman" w:hAnsi="Times New Roman" w:eastAsia="方正仿宋_GBK" w:cs="Times New Roman"/>
          <w:sz w:val="32"/>
          <w:szCs w:val="32"/>
        </w:rPr>
        <w:t>法定途径分类处理。</w:t>
      </w:r>
    </w:p>
    <w:p w14:paraId="5DD83D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1）工程质量类投诉</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交通建设工程质量事故和质量问题投诉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向主管该工程项目的交通运输主管部门及其委托的建设工程质量监督机构投诉举报。公路建设质量安全类</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根据公路的实际情况，</w:t>
      </w:r>
      <w:r>
        <w:rPr>
          <w:rFonts w:hint="eastAsia" w:ascii="Times New Roman" w:hAnsi="Times New Roman" w:eastAsia="方正仿宋_GBK" w:cs="Times New Roman"/>
          <w:sz w:val="32"/>
          <w:szCs w:val="32"/>
          <w:lang w:val="en-US" w:eastAsia="zh-CN"/>
        </w:rPr>
        <w:t>向</w:t>
      </w:r>
      <w:r>
        <w:rPr>
          <w:rFonts w:hint="default" w:ascii="Times New Roman" w:hAnsi="Times New Roman" w:eastAsia="方正仿宋_GBK" w:cs="Times New Roman"/>
          <w:sz w:val="32"/>
          <w:szCs w:val="32"/>
        </w:rPr>
        <w:t>公路建设</w:t>
      </w:r>
      <w:r>
        <w:rPr>
          <w:rFonts w:hint="eastAsia" w:ascii="Times New Roman" w:hAnsi="Times New Roman" w:eastAsia="方正仿宋_GBK" w:cs="Times New Roman"/>
          <w:sz w:val="32"/>
          <w:szCs w:val="32"/>
          <w:lang w:val="en-US" w:eastAsia="zh-CN"/>
        </w:rPr>
        <w:t>的监管部门投诉举报且</w:t>
      </w:r>
      <w:r>
        <w:rPr>
          <w:rFonts w:hint="default" w:ascii="Times New Roman" w:hAnsi="Times New Roman" w:eastAsia="方正仿宋_GBK" w:cs="Times New Roman"/>
          <w:sz w:val="32"/>
          <w:szCs w:val="32"/>
        </w:rPr>
        <w:t>采取行政处罚、行政复议或者行政诉讼的方式解决。</w:t>
      </w:r>
    </w:p>
    <w:p w14:paraId="41DCF6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2）工程招投标类投诉</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交通工程中未按照规定进行招投标，或在招投标过程中存在围标、串标等情形的投诉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向该工程招标投标工作监管部门投诉举报。</w:t>
      </w:r>
    </w:p>
    <w:p w14:paraId="05152A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民事经济纠纷类投</w:t>
      </w:r>
      <w:r>
        <w:rPr>
          <w:rFonts w:hint="default" w:ascii="Times New Roman" w:hAnsi="Times New Roman" w:eastAsia="方正仿宋_GBK" w:cs="Times New Roman"/>
          <w:color w:val="auto"/>
          <w:sz w:val="32"/>
          <w:szCs w:val="32"/>
        </w:rPr>
        <w:t>诉</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交通工程中施工过程中因阻水淹地、施工炮损、渣土运输及堆放等原因造成相关单位或个人的物产利益受损；</w:t>
      </w:r>
      <w:r>
        <w:rPr>
          <w:rFonts w:hint="eastAsia" w:ascii="Times New Roman" w:hAnsi="Times New Roman" w:eastAsia="方正仿宋_GBK" w:cs="Times New Roman"/>
          <w:color w:val="auto"/>
          <w:sz w:val="32"/>
          <w:szCs w:val="32"/>
          <w:lang w:val="en-US" w:eastAsia="zh-CN"/>
        </w:rPr>
        <w:t>如公路建设施工损毁群众物产问题；公路损害赔偿纠纷问题投诉；</w:t>
      </w:r>
      <w:r>
        <w:rPr>
          <w:rFonts w:hint="default" w:ascii="Times New Roman" w:hAnsi="Times New Roman" w:eastAsia="方正仿宋_GBK" w:cs="Times New Roman"/>
          <w:color w:val="auto"/>
          <w:sz w:val="32"/>
          <w:szCs w:val="32"/>
        </w:rPr>
        <w:t>高速公路联网收费中涉事双方产生的民事经济纠纷问题投诉</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与施工单位、涉事单位协商或向人民法院提起民事诉讼。</w:t>
      </w:r>
    </w:p>
    <w:p w14:paraId="4A4498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服务消费类投诉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公路、水路旅客运输中一方未按照规定履行运输合同，或是在履行合同、提供运输服务过程中存在重大瑕疵及严重违约违规行为，导致另一方利益受损的服务消费投诉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向相应交通运输部门投诉或向人民法院提起民事诉讼。</w:t>
      </w:r>
    </w:p>
    <w:p w14:paraId="1BC9C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合同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纠纷类投诉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公路、水路运输企业与相关利益人因企业收购、合并、撤销、重组、分立等经营活动造成的经营合同纠纷问题投诉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客运从业人员、出租汽车从业人员与公司之间关于产权、收费、公司管理、班次安排等产生矛盾的投诉，</w:t>
      </w:r>
      <w:r>
        <w:rPr>
          <w:rFonts w:hint="default" w:ascii="Times New Roman" w:hAnsi="Times New Roman" w:eastAsia="方正仿宋_GBK" w:cs="Times New Roman"/>
          <w:sz w:val="32"/>
          <w:szCs w:val="32"/>
        </w:rPr>
        <w:t>向相关仲裁机构申请仲裁或向人民法院提起民事诉讼。</w:t>
      </w:r>
    </w:p>
    <w:p w14:paraId="0C5F1A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征地拆迁类投诉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公路建设征地拆迁补偿不及时、不到位以及补偿标准问题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向当地人民政府反映投诉或申请行政裁决、行政补偿。</w:t>
      </w:r>
    </w:p>
    <w:p w14:paraId="319570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要求赔偿类投诉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对交通运输部门及其工作人员在行使职权中侵犯公民、法人和其他组织的合法权益并造成损失，要求造成损失的交通运输部门给予赔偿</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向赔偿义务机关提出书面申请或在行政复议和行政诉讼中提出。</w:t>
      </w:r>
    </w:p>
    <w:p w14:paraId="6A857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道路运输经营管理类投诉。如客运班线线路、班次和运价调整类投诉；营运客车串线、黑车等行为扰乱运输市场秩序问题，向</w:t>
      </w:r>
      <w:r>
        <w:rPr>
          <w:rFonts w:hint="default" w:ascii="Times New Roman" w:hAnsi="Times New Roman" w:eastAsia="方正仿宋_GBK" w:cs="Times New Roman"/>
          <w:sz w:val="32"/>
          <w:szCs w:val="32"/>
        </w:rPr>
        <w:t>相应交通运输部门</w:t>
      </w:r>
      <w:r>
        <w:rPr>
          <w:rFonts w:hint="eastAsia" w:ascii="Times New Roman" w:hAnsi="Times New Roman" w:eastAsia="方正仿宋_GBK" w:cs="Times New Roman"/>
          <w:sz w:val="32"/>
          <w:szCs w:val="32"/>
          <w:lang w:val="en-US" w:eastAsia="zh-CN"/>
        </w:rPr>
        <w:t>投诉；申请、延续、停止客运班线营运权类投诉，向相应交通运输部门投诉或向当地人民政府提起行政复议，向人民法院提起行政诉讼。</w:t>
      </w:r>
    </w:p>
    <w:p w14:paraId="0310FA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工程款给付、劳资纠纷等问题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交通工程建设中的工程款给付、劳动者与用人单位的劳资纠纷问题。如：交通工程建设项目业主与承包方工程款给付问题、交通工程建设施工过程中致使劳动者身心权益受到损害问题、交通工程项目建设施工单位与劳动者工资支付问题、劳动者与用人单位劳资福利、岗位安排、人事调整问题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向当地劳动人事部门申请调解仲裁，或向人民法院提起民事诉讼。</w:t>
      </w:r>
    </w:p>
    <w:p w14:paraId="1101C0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公务员申诉问题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交通运输系统内公务员对本人的处分；辞退或者取消录用；降职；定期考核定为不称职；免职；申请辞职、提前退休未予批准；未按规定确定或者扣减工资、福利、保险待遇不服，以及对法律、法规规定可以申诉的其他人事处理不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可向原处理单位申请复核，对复核结果不服的向同级公务员主管部门或作出该人事处理的机关的上一级机关提出申诉。也可不经复核直接申诉。对处分不服的也可向行政监察机关提出申诉。</w:t>
      </w:r>
    </w:p>
    <w:p w14:paraId="0F09C7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事业单位工作人员申诉问题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交通运输系统内事业单位人员对本人的处分；清退违规进人；撤销奖励；考核定为基本合格或者不合格；未按国家规定确定或者扣减工资福利待遇不服，以及对法律、法规、规章规定可以提出申诉的其他人事处理不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可向原处理单位申请复核，对复核结果不服的按规定向同级事业单位人事综合管理部门或者主管部门提出申诉。作为监察对象的事业单位工作人员对处分不服的也可向监察机关提出申诉。</w:t>
      </w:r>
    </w:p>
    <w:p w14:paraId="272D6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用人单位与劳动者之间劳动争议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交通运输系统内用人单位与劳动者因订立、履行、变更、解除和终止劳动合同，或因除名、辞退、辞职、离职等情形发生的劳动争议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向相应的劳动调解或仲裁机构申请调解仲裁，或向人民法院提起民事诉讼。</w:t>
      </w:r>
    </w:p>
    <w:p w14:paraId="6F490C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sz w:val="32"/>
          <w:szCs w:val="32"/>
          <w:lang w:eastAsia="zh-CN"/>
        </w:rPr>
      </w:pPr>
      <w:r>
        <w:rPr>
          <w:rFonts w:hint="default"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二</w:t>
      </w:r>
      <w:r>
        <w:rPr>
          <w:rFonts w:hint="default"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检举控告类投诉请求</w:t>
      </w:r>
    </w:p>
    <w:p w14:paraId="338594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检举交通运输</w:t>
      </w:r>
      <w:r>
        <w:rPr>
          <w:rFonts w:hint="default" w:ascii="Times New Roman" w:hAnsi="Times New Roman" w:eastAsia="方正仿宋_GBK" w:cs="Times New Roman"/>
          <w:sz w:val="32"/>
          <w:szCs w:val="32"/>
          <w:lang w:val="en-US" w:eastAsia="zh-CN"/>
        </w:rPr>
        <w:t>局</w:t>
      </w:r>
      <w:r>
        <w:rPr>
          <w:rFonts w:hint="default" w:ascii="Times New Roman" w:hAnsi="Times New Roman" w:eastAsia="方正仿宋_GBK" w:cs="Times New Roman"/>
          <w:sz w:val="32"/>
          <w:szCs w:val="32"/>
        </w:rPr>
        <w:t>及下属单位行使公权力的公职人员职务违法或职务犯罪问题</w:t>
      </w:r>
      <w:r>
        <w:rPr>
          <w:rFonts w:hint="default" w:ascii="Times New Roman" w:hAnsi="Times New Roman" w:eastAsia="方正仿宋_GBK" w:cs="Times New Roman"/>
          <w:sz w:val="32"/>
          <w:szCs w:val="32"/>
          <w:lang w:val="en-US" w:eastAsia="zh-CN"/>
        </w:rPr>
        <w:t>或</w:t>
      </w:r>
      <w:r>
        <w:rPr>
          <w:rFonts w:hint="default" w:ascii="Times New Roman" w:hAnsi="Times New Roman" w:eastAsia="方正仿宋_GBK" w:cs="Times New Roman"/>
          <w:sz w:val="32"/>
          <w:szCs w:val="32"/>
        </w:rPr>
        <w:t>检举交通运输</w:t>
      </w:r>
      <w:r>
        <w:rPr>
          <w:rFonts w:hint="default" w:ascii="Times New Roman" w:hAnsi="Times New Roman" w:eastAsia="方正仿宋_GBK" w:cs="Times New Roman"/>
          <w:sz w:val="32"/>
          <w:szCs w:val="32"/>
          <w:lang w:val="en-US" w:eastAsia="zh-CN"/>
        </w:rPr>
        <w:t>局</w:t>
      </w:r>
      <w:r>
        <w:rPr>
          <w:rFonts w:hint="default" w:ascii="Times New Roman" w:hAnsi="Times New Roman" w:eastAsia="方正仿宋_GBK" w:cs="Times New Roman"/>
          <w:sz w:val="32"/>
          <w:szCs w:val="32"/>
        </w:rPr>
        <w:t>及下属单位党员领导干部违反党风党纪问题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向同级或上一级的纪检监察部门举报。</w:t>
      </w:r>
    </w:p>
    <w:p w14:paraId="1405A8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三</w:t>
      </w:r>
      <w:r>
        <w:rPr>
          <w:rFonts w:hint="default"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rPr>
        <w:t>信息公开类投诉请求</w:t>
      </w:r>
    </w:p>
    <w:p w14:paraId="0C454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政府信息公开，是指国家行政机关和法律、法规以及规章授权和委托的组织，在行使国家行政管理职权的过程中，通过法定形式和程序，主动将政府信息向社会公众或依申请而向特定的个人或组织公开的制度。</w:t>
      </w:r>
    </w:p>
    <w:p w14:paraId="0F0309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因对交通运输相关政策、有关部门规范性文件、有关行业政策不了解，申请政务信息公开</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向相应的信息公开工作机构提出。</w:t>
      </w:r>
    </w:p>
    <w:p w14:paraId="3B5D5C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认为交通运输部门未依法履行政府信息公开义务，阻碍信息公开的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依法申请行政复议或向人民法院提起行政诉讼。</w:t>
      </w:r>
    </w:p>
    <w:p w14:paraId="0E53B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认为交通运输部门在政府信息公开中侵犯其合法权益，要求予以消除或赔偿</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依法申请行政复议或向人民法院提起行政诉讼。</w:t>
      </w:r>
    </w:p>
    <w:p w14:paraId="0827E9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eastAsia="zh-CN"/>
        </w:rPr>
        <w:t>（</w:t>
      </w:r>
      <w:r>
        <w:rPr>
          <w:rFonts w:hint="default" w:ascii="方正楷体_GBK" w:hAnsi="方正楷体_GBK" w:eastAsia="方正楷体_GBK" w:cs="方正楷体_GBK"/>
          <w:sz w:val="32"/>
          <w:szCs w:val="32"/>
          <w:lang w:val="en-US" w:eastAsia="zh-CN"/>
        </w:rPr>
        <w:t>四）</w:t>
      </w:r>
      <w:r>
        <w:rPr>
          <w:rFonts w:hint="default" w:ascii="方正楷体_GBK" w:hAnsi="方正楷体_GBK" w:eastAsia="方正楷体_GBK" w:cs="方正楷体_GBK"/>
          <w:sz w:val="32"/>
          <w:szCs w:val="32"/>
        </w:rPr>
        <w:t>建议意见类</w:t>
      </w:r>
      <w:r>
        <w:rPr>
          <w:rFonts w:hint="default" w:ascii="方正楷体_GBK" w:hAnsi="方正楷体_GBK" w:eastAsia="方正楷体_GBK" w:cs="方正楷体_GBK"/>
          <w:sz w:val="32"/>
          <w:szCs w:val="32"/>
          <w:lang w:val="en-US" w:eastAsia="zh-CN"/>
        </w:rPr>
        <w:t>投诉请求</w:t>
      </w:r>
    </w:p>
    <w:p w14:paraId="2C6E65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各级</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部门应当认真研究论证，对科学合理、具有现实可行性的，应当采纳或者部分采纳，并予以回复。符合有关规定的给予奖励。</w:t>
      </w:r>
    </w:p>
    <w:p w14:paraId="37557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w:t>
      </w:r>
      <w:r>
        <w:rPr>
          <w:rFonts w:hint="default" w:ascii="方正楷体_GBK" w:hAnsi="方正楷体_GBK" w:eastAsia="方正楷体_GBK" w:cs="方正楷体_GBK"/>
          <w:sz w:val="32"/>
          <w:szCs w:val="32"/>
          <w:lang w:val="en-US" w:eastAsia="zh-CN"/>
        </w:rPr>
        <w:t>五</w:t>
      </w:r>
      <w:r>
        <w:rPr>
          <w:rFonts w:hint="default" w:ascii="方正楷体_GBK" w:hAnsi="方正楷体_GBK" w:eastAsia="方正楷体_GBK" w:cs="方正楷体_GBK"/>
          <w:sz w:val="32"/>
          <w:szCs w:val="32"/>
        </w:rPr>
        <w:t>）无法适用其他法律程序处理的，导入信访事项处理、复查、复核三级办理程序。</w:t>
      </w:r>
    </w:p>
    <w:p w14:paraId="65ECD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应当听取信访人陈述事实和理由，并调查核实。对重大、复杂、疑难的信访事项，可以举行听证。自受理之日起60日内办结，出具信访处理意见书（办理结果告知单）。情况复杂的，经本机关、单位负责人批准，可以适当延长处理期限，</w:t>
      </w:r>
    </w:p>
    <w:p w14:paraId="148DE925">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p>
    <w:p w14:paraId="669DC0C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延长期限不得超过30日，同时应当将延期理由书面告知信访人。</w:t>
      </w:r>
    </w:p>
    <w:p w14:paraId="4C7393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信访人对信访处理意见不服的，可以自收到书面答复之日起30日内请求原办理机关、单位的上一级机关、单位复查。收到复查请求的机关、单位应当自收到复查请求之日起30日内提出复查意见（复查告知单）。</w:t>
      </w:r>
    </w:p>
    <w:p w14:paraId="13662C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信访人对复查意见不服的，可以自收到书面答复之日起30日内向复查机关、单位的上一级机关、单位请求复核。收到复核请求的机关、单位应当自收到复核请求之日起30日内提出复核意见（复核告知单）。对重大、复杂、疑难的信访事项，可以举行听证。经过听证的复核意见可以依法向社会公示。听证所需时间不计算在复核期限内。信访人对信访复核意见不服，仍然以同一事实和理由提出投诉请求的，</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部门不再受理并书面告知信访人。</w:t>
      </w:r>
    </w:p>
    <w:p w14:paraId="536272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（4）对地市级及以下</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部门做出的处理意见（复查意见）不服的，可以向上一级</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部门或者本级人民政府提出复查（复核）；对省级</w:t>
      </w:r>
      <w:r>
        <w:rPr>
          <w:rFonts w:hint="default" w:ascii="Times New Roman" w:hAnsi="Times New Roman" w:eastAsia="方正仿宋_GBK" w:cs="Times New Roman"/>
          <w:sz w:val="32"/>
          <w:szCs w:val="32"/>
          <w:lang w:eastAsia="zh-CN"/>
        </w:rPr>
        <w:t>交通运输</w:t>
      </w:r>
      <w:r>
        <w:rPr>
          <w:rFonts w:hint="default" w:ascii="Times New Roman" w:hAnsi="Times New Roman" w:eastAsia="方正仿宋_GBK" w:cs="Times New Roman"/>
          <w:sz w:val="32"/>
          <w:szCs w:val="32"/>
        </w:rPr>
        <w:t>部门做出的处理意见（复查意见）不服的，可以向本级人民政府提出复查（复核）。</w:t>
      </w:r>
    </w:p>
    <w:p w14:paraId="2B0BDF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（5）信访事项处理、复查、复核三级办理程序中，应把调解和解贯穿始终，依据当事人意愿可以选择先行调解。经调解、和解达成一致意见的，制作调解、和解协议书。</w:t>
      </w:r>
    </w:p>
    <w:p w14:paraId="20DEE4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14:paraId="65FD40BA">
      <w:pPr>
        <w:rPr>
          <w:rFonts w:hint="default" w:ascii="Times New Roman" w:hAnsi="Times New Roman" w:eastAsia="方正仿宋_GBK" w:cs="Times New Roman"/>
          <w:sz w:val="32"/>
          <w:szCs w:val="32"/>
        </w:rPr>
        <w:sectPr>
          <w:footerReference r:id="rId3" w:type="default"/>
          <w:pgSz w:w="11906" w:h="16838"/>
          <w:pgMar w:top="2211" w:right="1587" w:bottom="1871" w:left="1587" w:header="851" w:footer="992" w:gutter="0"/>
          <w:pgNumType w:fmt="numberInDash" w:start="1"/>
          <w:cols w:space="720" w:num="1"/>
          <w:docGrid w:type="lines" w:linePitch="312" w:charSpace="0"/>
        </w:sectPr>
      </w:pPr>
    </w:p>
    <w:p w14:paraId="0345BC46">
      <w:pPr>
        <w:rPr>
          <w:rFonts w:hint="default" w:ascii="Times New Roman" w:hAnsi="Times New Roman" w:eastAsia="方正仿宋_GBK" w:cs="Times New Roman"/>
          <w:sz w:val="32"/>
          <w:szCs w:val="32"/>
        </w:rPr>
        <w:sectPr>
          <w:pgSz w:w="16838" w:h="11906" w:orient="landscape"/>
          <w:pgMar w:top="567" w:right="567" w:bottom="567" w:left="567" w:header="851" w:footer="992" w:gutter="0"/>
          <w:pgNumType w:fmt="numberInDash" w:start="25"/>
          <w:cols w:space="0" w:num="1"/>
          <w:rtlGutter w:val="0"/>
          <w:docGrid w:type="lines" w:linePitch="323" w:charSpace="0"/>
        </w:sectPr>
      </w:pPr>
      <w:r>
        <w:drawing>
          <wp:inline distT="0" distB="0" distL="114300" distR="114300">
            <wp:extent cx="10093325" cy="6433820"/>
            <wp:effectExtent l="0" t="0" r="317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0093325" cy="6433820"/>
                    </a:xfrm>
                    <a:prstGeom prst="rect">
                      <a:avLst/>
                    </a:prstGeom>
                    <a:noFill/>
                    <a:ln>
                      <a:noFill/>
                    </a:ln>
                  </pic:spPr>
                </pic:pic>
              </a:graphicData>
            </a:graphic>
          </wp:inline>
        </w:drawing>
      </w:r>
    </w:p>
    <w:p w14:paraId="1030D09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3F9859AC">
      <w:pPr>
        <w:rPr>
          <w:rFonts w:hint="default" w:ascii="Times New Roman" w:hAnsi="Times New Roman" w:eastAsia="方正仿宋_GBK" w:cs="Times New Roman"/>
          <w:sz w:val="32"/>
          <w:szCs w:val="32"/>
          <w:lang w:val="en-US" w:eastAsia="zh-CN"/>
        </w:rPr>
      </w:pPr>
    </w:p>
    <w:sectPr>
      <w:pgSz w:w="16838" w:h="11906" w:orient="landscape"/>
      <w:pgMar w:top="1587" w:right="2211" w:bottom="1587" w:left="1871" w:header="851" w:footer="992" w:gutter="0"/>
      <w:pgNumType w:fmt="numberInDash" w:start="25"/>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4CD25D-7AF1-4871-BEDA-58482DEDE1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262574A3-D932-4B88-8F8D-ACE2AC80929C}"/>
  </w:font>
  <w:font w:name="方正仿宋_GBK">
    <w:panose1 w:val="02000000000000000000"/>
    <w:charset w:val="86"/>
    <w:family w:val="auto"/>
    <w:pitch w:val="default"/>
    <w:sig w:usb0="A00002BF" w:usb1="38CF7CFA" w:usb2="00082016" w:usb3="00000000" w:csb0="00040001" w:csb1="00000000"/>
    <w:embedRegular r:id="rId3" w:fontKey="{2C77A7E0-1147-4EA9-9404-3E8D94C2E30E}"/>
  </w:font>
  <w:font w:name="方正楷体_GBK">
    <w:altName w:val="微软雅黑"/>
    <w:panose1 w:val="03000509000000000000"/>
    <w:charset w:val="86"/>
    <w:family w:val="auto"/>
    <w:pitch w:val="default"/>
    <w:sig w:usb0="00000000" w:usb1="00000000" w:usb2="00000000" w:usb3="00000000" w:csb0="00040000" w:csb1="00000000"/>
    <w:embedRegular r:id="rId4" w:fontKey="{2901E55A-7229-4125-90F0-FCA0A9C02AE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9EF9">
    <w:pPr>
      <w:pStyle w:val="2"/>
    </w:pPr>
    <w:r>
      <w:rPr>
        <w:sz w:val="18"/>
      </w:rPr>
      <mc:AlternateContent>
        <mc:Choice Requires="wps">
          <w:drawing>
            <wp:anchor distT="0" distB="0" distL="114300" distR="114300" simplePos="0" relativeHeight="251662336" behindDoc="0" locked="0" layoutInCell="1" allowOverlap="1">
              <wp:simplePos x="0" y="0"/>
              <wp:positionH relativeFrom="margin">
                <wp:posOffset>5155565</wp:posOffset>
              </wp:positionH>
              <wp:positionV relativeFrom="paragraph">
                <wp:posOffset>-77470</wp:posOffset>
              </wp:positionV>
              <wp:extent cx="389255" cy="22352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89255" cy="223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4989D">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- 25 -</w:t>
                          </w:r>
                          <w:r>
                            <w:rPr>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95pt;margin-top:-6.1pt;height:17.6pt;width:30.65pt;mso-position-horizontal-relative:margin;z-index:251662336;mso-width-relative:page;mso-height-relative:page;" filled="f" stroked="f" coordsize="21600,21600" o:gfxdata="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czcDm2AAAAAoBAAAPAAAAAAAAAAEAIAAAACIAAABkcnMvZG93bnJl&#10;di54bWxQSwECFAAUAAAACACHTuJAO+ElETYCAABhBAAADgAAAAAAAAABACAAAAAnAQAAZHJzL2Uy&#10;b0RvYy54bWxQSwUGAAAAAAYABgBZAQAAzwUAAAAA&#10;">
              <v:fill on="f" focussize="0,0"/>
              <v:stroke on="f" weight="0.5pt"/>
              <v:imagedata o:title=""/>
              <o:lock v:ext="edit" aspectratio="f"/>
              <v:textbox inset="0mm,0mm,0mm,0mm">
                <w:txbxContent>
                  <w:p w14:paraId="6A54989D">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- 25 -</w:t>
                    </w:r>
                    <w:r>
                      <w:rPr>
                        <w:sz w:val="28"/>
                        <w:szCs w:val="28"/>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posOffset>5138420</wp:posOffset>
              </wp:positionH>
              <wp:positionV relativeFrom="paragraph">
                <wp:posOffset>-169545</wp:posOffset>
              </wp:positionV>
              <wp:extent cx="406400" cy="315595"/>
              <wp:effectExtent l="0" t="0" r="0" b="0"/>
              <wp:wrapNone/>
              <wp:docPr id="5" name="文本框 5"/>
              <wp:cNvGraphicFramePr/>
              <a:graphic xmlns:a="http://schemas.openxmlformats.org/drawingml/2006/main">
                <a:graphicData uri="http://schemas.microsoft.com/office/word/2010/wordprocessingShape">
                  <wps:wsp>
                    <wps:cNvSpPr txBox="1"/>
                    <wps:spPr>
                      <a:xfrm>
                        <a:off x="0" y="0"/>
                        <a:ext cx="406400" cy="315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59C25">
                          <w:pPr>
                            <w:pStyle w:val="2"/>
                            <w:rPr>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4.6pt;margin-top:-13.35pt;height:24.85pt;width:32pt;mso-position-horizontal-relative:margin;z-index:251661312;mso-width-relative:page;mso-height-relative:page;" filled="f" stroked="f" coordsize="21600,21600" o:gfxdata="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vjoWrZAAAACgEAAA8AAAAAAAAAAQAgAAAAIgAAAGRycy9kb3du&#10;cmV2LnhtbFBLAQIUABQAAAAIAIdO4kCVacC5NwIAAGEEAAAOAAAAAAAAAAEAIAAAACgBAABkcnMv&#10;ZTJvRG9jLnhtbFBLBQYAAAAABgAGAFkBAADRBQAAAAA=&#10;">
              <v:fill on="f" focussize="0,0"/>
              <v:stroke on="f" weight="0.5pt"/>
              <v:imagedata o:title=""/>
              <o:lock v:ext="edit" aspectratio="f"/>
              <v:textbox inset="0mm,0mm,0mm,0mm">
                <w:txbxContent>
                  <w:p w14:paraId="34A59C25">
                    <w:pPr>
                      <w:pStyle w:val="2"/>
                      <w:rPr>
                        <w:sz w:val="28"/>
                        <w:szCs w:val="28"/>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5166995</wp:posOffset>
              </wp:positionH>
              <wp:positionV relativeFrom="paragraph">
                <wp:posOffset>-154940</wp:posOffset>
              </wp:positionV>
              <wp:extent cx="377825" cy="34988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77825" cy="3498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E98D4">
                          <w:pPr>
                            <w:pStyle w:val="2"/>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6.85pt;margin-top:-12.2pt;height:27.55pt;width:29.75pt;mso-position-horizontal-relative:margin;z-index:251660288;mso-width-relative:page;mso-height-relative:page;" filled="f" stroked="f" coordsize="21600,21600" o:gfxdata="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5qEMNkAAAAKAQAADwAAAAAAAAABACAAAAAiAAAAZHJzL2Rv&#10;d25yZXYueG1sUEsBAhQAFAAAAAgAh07iQCypnV05AgAAYQQAAA4AAAAAAAAAAQAgAAAAKAEAAGRy&#10;cy9lMm9Eb2MueG1sUEsFBgAAAAAGAAYAWQEAANMFAAAAAA==&#10;">
              <v:fill on="f" focussize="0,0"/>
              <v:stroke on="f" weight="0.5pt"/>
              <v:imagedata o:title=""/>
              <o:lock v:ext="edit" aspectratio="f"/>
              <v:textbox inset="0mm,0mm,0mm,0mm">
                <w:txbxContent>
                  <w:p w14:paraId="6FFE98D4">
                    <w:pPr>
                      <w:pStyle w:val="2"/>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9FE329">
                          <w:pPr>
                            <w:pStyle w:val="2"/>
                            <w:rPr>
                              <w:rFonts w:hint="eastAsia" w:eastAsia="宋体"/>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C9FE329">
                    <w:pPr>
                      <w:pStyle w:val="2"/>
                      <w:rPr>
                        <w:rFonts w:hint="eastAsia" w:eastAsia="宋体"/>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0D1F5958"/>
    <w:rsid w:val="0BB27F3E"/>
    <w:rsid w:val="0C1C7A68"/>
    <w:rsid w:val="0CF166CC"/>
    <w:rsid w:val="0D1F5958"/>
    <w:rsid w:val="0ED50322"/>
    <w:rsid w:val="0F571A36"/>
    <w:rsid w:val="148B7F96"/>
    <w:rsid w:val="17885B92"/>
    <w:rsid w:val="1B0911B7"/>
    <w:rsid w:val="26136FD4"/>
    <w:rsid w:val="2B5B7F5A"/>
    <w:rsid w:val="2E5B5B74"/>
    <w:rsid w:val="46C67437"/>
    <w:rsid w:val="53D121AB"/>
    <w:rsid w:val="54A23B18"/>
    <w:rsid w:val="578C4726"/>
    <w:rsid w:val="60422E4A"/>
    <w:rsid w:val="613B24D3"/>
    <w:rsid w:val="66A355E9"/>
    <w:rsid w:val="7C4B271C"/>
    <w:rsid w:val="7D4476CE"/>
    <w:rsid w:val="7F756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3438</Words>
  <Characters>3458</Characters>
  <Lines>0</Lines>
  <Paragraphs>0</Paragraphs>
  <TotalTime>17</TotalTime>
  <ScaleCrop>false</ScaleCrop>
  <LinksUpToDate>false</LinksUpToDate>
  <CharactersWithSpaces>3458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2024-07-15T05:09:00Z</dcterms:created>
  <dc:creator>陶子</dc:creator>
  <cp:lastModifiedBy>小麦啾</cp:lastModifiedBy>
  <cp:lastPrinted>2024-07-22T02:15:00Z</cp:lastPrinted>
  <dcterms:modified xsi:type="dcterms:W3CDTF">2025-02-20T04:56:43Z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46F701D3481841DAABE5EEF261E45963_13</vt:lpwstr>
  </property>
  <property fmtid="{D5CDD505-2E9C-101B-9397-08002B2CF9AE}" pid="4" name="KSOTemplateDocerSaveRecord">
    <vt:lpwstr>eyJoZGlkIjoiZGZmMjg3MDQ2MzExNDk0OWY5M2UwNzBmOWViMDBkMGMiLCJ1c2VySWQiOiIzMjQ5NjUzODcifQ==</vt:lpwstr>
  </property>
</Properties>
</file>