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ADCDF">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昌吉州巡游与网络预约出租汽车融合经营服务管理办法(试行)</w:t>
      </w:r>
    </w:p>
    <w:p w14:paraId="53D79478">
      <w:pPr>
        <w:keepNext w:val="0"/>
        <w:keepLines w:val="0"/>
        <w:pageBreakBefore w:val="0"/>
        <w:widowControl w:val="0"/>
        <w:kinsoku/>
        <w:wordWrap/>
        <w:overflowPunct/>
        <w:topLinePunct w:val="0"/>
        <w:autoSpaceDE/>
        <w:autoSpaceDN/>
        <w:bidi w:val="0"/>
        <w:adjustRightInd/>
        <w:snapToGrid/>
        <w:spacing w:line="580" w:lineRule="exact"/>
        <w:textAlignment w:val="auto"/>
      </w:pPr>
    </w:p>
    <w:p w14:paraId="6E734FC3">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p>
    <w:p w14:paraId="625512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黑体" w:hAnsi="黑体" w:eastAsia="黑体" w:cs="黑体"/>
          <w:sz w:val="32"/>
          <w:szCs w:val="32"/>
        </w:rPr>
        <w:t>第一章  总则</w:t>
      </w:r>
    </w:p>
    <w:p w14:paraId="71CC65CF">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第一条 为促进巡游出租汽车转型发展，根据《国务院办 公厅关于深化改革推进出租汽车行业健康发展的指导意见》</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国办发〔2016〕58号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以下简称《指导意见》</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、《交通运输部、工业和信息化部、公安部、商务部、市场监管总局、国家网信办关于修改网络预约出租汽车经营服务管理暂行办法的决定》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交通运输部令2022年第42号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以下简称《暂行办法》</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、《交通运输部关于修改〈巡游出租汽车经营服务管理规定〉的决定》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交通运输部令2021年第16号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以下简称《经营管理规定》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等有关规定，结合我</w:t>
      </w:r>
      <w:r>
        <w:rPr>
          <w:rFonts w:hint="eastAsia" w:ascii="Times New Roman" w:hAnsi="Times New Roman" w:eastAsia="方正仿宋_GBK" w:cs="Times New Roman"/>
          <w:sz w:val="32"/>
          <w:szCs w:val="32"/>
        </w:rPr>
        <w:t>州</w:t>
      </w:r>
      <w:r>
        <w:rPr>
          <w:rFonts w:ascii="Times New Roman" w:hAnsi="Times New Roman" w:eastAsia="方正仿宋_GBK" w:cs="Times New Roman"/>
          <w:sz w:val="32"/>
          <w:szCs w:val="32"/>
        </w:rPr>
        <w:t>实际，制定本办法。</w:t>
      </w:r>
    </w:p>
    <w:p w14:paraId="6070C57E">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第二条 巡网融合是指为巡游出租汽车开通网约功能，巡网融合车辆是指从事巡网融合业务的车辆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以下简称巡网车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w:t>
      </w:r>
    </w:p>
    <w:p w14:paraId="5D751660">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第三条 在</w:t>
      </w:r>
      <w:r>
        <w:rPr>
          <w:rFonts w:hint="eastAsia" w:ascii="Times New Roman" w:hAnsi="Times New Roman" w:eastAsia="方正仿宋_GBK" w:cs="Times New Roman"/>
          <w:sz w:val="32"/>
          <w:szCs w:val="32"/>
        </w:rPr>
        <w:t>昌吉州</w:t>
      </w:r>
      <w:r>
        <w:rPr>
          <w:rFonts w:ascii="Times New Roman" w:hAnsi="Times New Roman" w:eastAsia="方正仿宋_GBK" w:cs="Times New Roman"/>
          <w:sz w:val="32"/>
          <w:szCs w:val="32"/>
        </w:rPr>
        <w:t>行政区域内从事巡网出租汽车业务，应当遵守本办法。</w:t>
      </w:r>
    </w:p>
    <w:p w14:paraId="71355394">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第四条 优先发展城市公共交通，鼓励巡网车发展。</w:t>
      </w:r>
    </w:p>
    <w:p w14:paraId="614D9111">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第五条 </w:t>
      </w:r>
      <w:r>
        <w:rPr>
          <w:rFonts w:hint="eastAsia" w:ascii="Times New Roman" w:hAnsi="Times New Roman" w:eastAsia="方正仿宋_GBK" w:cs="Times New Roman"/>
          <w:sz w:val="32"/>
          <w:szCs w:val="32"/>
        </w:rPr>
        <w:t>州</w:t>
      </w:r>
      <w:r>
        <w:rPr>
          <w:rFonts w:ascii="Times New Roman" w:hAnsi="Times New Roman" w:eastAsia="方正仿宋_GBK" w:cs="Times New Roman"/>
          <w:sz w:val="32"/>
          <w:szCs w:val="32"/>
        </w:rPr>
        <w:t>交通运输</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负责组织领导本行政区域内的巡网融合管理工作；</w:t>
      </w:r>
      <w:r>
        <w:rPr>
          <w:rFonts w:hint="eastAsia" w:ascii="Times New Roman" w:hAnsi="Times New Roman" w:eastAsia="方正仿宋_GBK" w:cs="Times New Roman"/>
          <w:sz w:val="32"/>
          <w:szCs w:val="32"/>
        </w:rPr>
        <w:t>各县（</w:t>
      </w:r>
      <w:r>
        <w:rPr>
          <w:rFonts w:ascii="Times New Roman" w:hAnsi="Times New Roman" w:eastAsia="方正仿宋_GBK" w:cs="Times New Roman"/>
          <w:sz w:val="32"/>
          <w:szCs w:val="32"/>
        </w:rPr>
        <w:t>市</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交通运输</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负责本行政区域内巡网融合事前、事中服务管理</w:t>
      </w:r>
      <w:r>
        <w:rPr>
          <w:rFonts w:hint="eastAsia" w:ascii="Times New Roman" w:hAnsi="Times New Roman" w:eastAsia="方正仿宋_GBK" w:cs="Times New Roman"/>
          <w:sz w:val="32"/>
          <w:szCs w:val="32"/>
        </w:rPr>
        <w:t>以及</w:t>
      </w:r>
      <w:r>
        <w:rPr>
          <w:rFonts w:ascii="Times New Roman" w:hAnsi="Times New Roman" w:eastAsia="方正仿宋_GBK" w:cs="Times New Roman"/>
          <w:sz w:val="32"/>
          <w:szCs w:val="32"/>
        </w:rPr>
        <w:t>巡网融合事后监管工作。</w:t>
      </w:r>
    </w:p>
    <w:p w14:paraId="1F97B419">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hint="eastAsia" w:ascii="黑体" w:hAnsi="黑体" w:eastAsia="黑体" w:cs="黑体"/>
          <w:sz w:val="32"/>
          <w:szCs w:val="32"/>
        </w:rPr>
        <w:t>　　第二章  经营资质</w:t>
      </w:r>
    </w:p>
    <w:p w14:paraId="00CD13A6">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第六条 申请从事巡网融合服务的平台公司除符合《暂行办法》第五条规定的条件外，还应当符合下列条件：</w:t>
      </w:r>
    </w:p>
    <w:p w14:paraId="3B0ABC5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拥有保障服务的办公场所、负责人员和管理人员；</w:t>
      </w:r>
    </w:p>
    <w:p w14:paraId="5ACC10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具备与其业务规模相适应的管理能力，设立安全管理和业务管理等内设机构，按照《中华人民共和国安全生产法》等相关规定配备机构负责人、业务管理人员、安全管理人员等；</w:t>
      </w:r>
    </w:p>
    <w:p w14:paraId="4EE41B9F">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有健全的投诉举报处理制度；</w:t>
      </w:r>
    </w:p>
    <w:p w14:paraId="6BA7AA3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合理确定线上订单抽成比例；线上订单因安全责任事故导致乘客受到损害的，平台必须积极履行赔偿责任；</w:t>
      </w:r>
    </w:p>
    <w:p w14:paraId="042774A0">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（五）</w:t>
      </w:r>
      <w:r>
        <w:rPr>
          <w:rFonts w:ascii="Times New Roman" w:hAnsi="Times New Roman" w:eastAsia="方正仿宋_GBK" w:cs="Times New Roman"/>
          <w:sz w:val="32"/>
          <w:szCs w:val="32"/>
        </w:rPr>
        <w:t>线上叫车页面应设置巡网出租汽车</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勾选项。</w:t>
      </w:r>
    </w:p>
    <w:p w14:paraId="4AEF83E7">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ascii="Times New Roman" w:hAnsi="Times New Roman" w:eastAsia="方正仿宋_GBK" w:cs="Times New Roman"/>
          <w:sz w:val="32"/>
          <w:szCs w:val="32"/>
          <w:highlight w:val="none"/>
        </w:rPr>
        <w:t>第七条 申请从事巡网融合服务的平台公司，应当向</w:t>
      </w:r>
      <w:r>
        <w:rPr>
          <w:rFonts w:hint="eastAsia" w:ascii="Times New Roman" w:hAnsi="Times New Roman" w:eastAsia="方正仿宋_GBK" w:cs="Times New Roman"/>
          <w:sz w:val="32"/>
          <w:szCs w:val="32"/>
          <w:highlight w:val="none"/>
          <w:lang w:val="en-US" w:eastAsia="zh-CN"/>
        </w:rPr>
        <w:t>各县市</w:t>
      </w:r>
      <w:r>
        <w:rPr>
          <w:rFonts w:ascii="Times New Roman" w:hAnsi="Times New Roman" w:eastAsia="方正仿宋_GBK" w:cs="Times New Roman"/>
          <w:sz w:val="32"/>
          <w:szCs w:val="32"/>
          <w:highlight w:val="none"/>
        </w:rPr>
        <w:t>交通运输</w:t>
      </w:r>
      <w:r>
        <w:rPr>
          <w:rFonts w:hint="eastAsia" w:ascii="Times New Roman" w:hAnsi="Times New Roman" w:eastAsia="方正仿宋_GBK" w:cs="Times New Roman"/>
          <w:sz w:val="32"/>
          <w:szCs w:val="32"/>
          <w:highlight w:val="none"/>
          <w:lang w:val="en-US" w:eastAsia="zh-CN"/>
        </w:rPr>
        <w:t>主管部门</w:t>
      </w:r>
      <w:r>
        <w:rPr>
          <w:rFonts w:ascii="Times New Roman" w:hAnsi="Times New Roman" w:eastAsia="方正仿宋_GBK" w:cs="Times New Roman"/>
          <w:sz w:val="32"/>
          <w:szCs w:val="32"/>
          <w:highlight w:val="none"/>
        </w:rPr>
        <w:t>提出申请，</w:t>
      </w:r>
      <w:r>
        <w:rPr>
          <w:rFonts w:ascii="Times New Roman" w:hAnsi="Times New Roman" w:eastAsia="方正仿宋_GBK" w:cs="Times New Roman"/>
          <w:sz w:val="32"/>
          <w:szCs w:val="32"/>
        </w:rPr>
        <w:t>除提交《暂行办法》</w:t>
      </w:r>
      <w:r>
        <w:rPr>
          <w:rFonts w:ascii="Times New Roman" w:hAnsi="Times New Roman" w:eastAsia="方正仿宋_GBK" w:cs="Times New Roman"/>
          <w:color w:val="auto"/>
          <w:sz w:val="32"/>
          <w:szCs w:val="32"/>
        </w:rPr>
        <w:t>第六条第</w:t>
      </w:r>
      <w:r>
        <w:rPr>
          <w:rFonts w:hint="eastAsia" w:ascii="Times New Roman" w:hAnsi="Times New Roman" w:eastAsia="方正仿宋_GBK" w:cs="Times New Roman"/>
          <w:color w:val="auto"/>
          <w:sz w:val="32"/>
          <w:szCs w:val="32"/>
        </w:rPr>
        <w:t>（二）</w:t>
      </w:r>
      <w:r>
        <w:rPr>
          <w:rFonts w:ascii="Times New Roman" w:hAnsi="Times New Roman" w:eastAsia="方正仿宋_GBK" w:cs="Times New Roman"/>
          <w:color w:val="auto"/>
          <w:sz w:val="32"/>
          <w:szCs w:val="32"/>
        </w:rPr>
        <w:t>项至第</w:t>
      </w:r>
      <w:r>
        <w:rPr>
          <w:rFonts w:hint="eastAsia" w:ascii="Times New Roman" w:hAnsi="Times New Roman" w:eastAsia="方正仿宋_GBK" w:cs="Times New Roman"/>
          <w:color w:val="auto"/>
          <w:sz w:val="32"/>
          <w:szCs w:val="32"/>
        </w:rPr>
        <w:t>（八）</w:t>
      </w:r>
      <w:r>
        <w:rPr>
          <w:rFonts w:ascii="Times New Roman" w:hAnsi="Times New Roman" w:eastAsia="方正仿宋_GBK" w:cs="Times New Roman"/>
          <w:color w:val="auto"/>
          <w:sz w:val="32"/>
          <w:szCs w:val="32"/>
        </w:rPr>
        <w:t>项规定的材料以外，</w:t>
      </w:r>
      <w:r>
        <w:rPr>
          <w:rFonts w:ascii="Times New Roman" w:hAnsi="Times New Roman" w:eastAsia="方正仿宋_GBK" w:cs="Times New Roman"/>
          <w:sz w:val="32"/>
          <w:szCs w:val="32"/>
        </w:rPr>
        <w:t>还应提交以下材料：</w:t>
      </w:r>
    </w:p>
    <w:p w14:paraId="796640D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巡网融合服务经营申请表；</w:t>
      </w:r>
    </w:p>
    <w:p w14:paraId="50A7A01E">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有固定的办公场所证明；</w:t>
      </w:r>
    </w:p>
    <w:p w14:paraId="7601DA3D">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三</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投诉举报处理制度文本；</w:t>
      </w:r>
    </w:p>
    <w:p w14:paraId="3A5A530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四</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平台公司与接入平台提供巡网融合营运服务的车辆及驾驶员签订的营运协议模板；</w:t>
      </w:r>
    </w:p>
    <w:p w14:paraId="25D98C4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五</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平台公司应建立完善派单机制，制定派单标准。按照质量信誉考核结果、驾驶员投诉情况等，进行优先派单。</w:t>
      </w:r>
    </w:p>
    <w:p w14:paraId="1C686ED5">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color w:val="auto"/>
          <w:sz w:val="32"/>
          <w:szCs w:val="32"/>
          <w:highlight w:val="none"/>
        </w:rPr>
      </w:pPr>
      <w:r>
        <w:rPr>
          <w:rFonts w:ascii="Times New Roman" w:hAnsi="Times New Roman" w:eastAsia="方正仿宋_GBK" w:cs="Times New Roman"/>
          <w:sz w:val="32"/>
          <w:szCs w:val="32"/>
        </w:rPr>
        <w:t xml:space="preserve">　　第八条 </w:t>
      </w:r>
      <w:r>
        <w:rPr>
          <w:rFonts w:hint="eastAsia" w:ascii="Times New Roman" w:hAnsi="Times New Roman" w:eastAsia="方正仿宋_GBK" w:cs="Times New Roman"/>
          <w:color w:val="auto"/>
          <w:sz w:val="32"/>
          <w:szCs w:val="32"/>
          <w:highlight w:val="none"/>
          <w:u w:val="none"/>
          <w:lang w:val="en-US" w:eastAsia="zh-CN"/>
        </w:rPr>
        <w:t>各县市</w:t>
      </w:r>
      <w:r>
        <w:rPr>
          <w:rFonts w:ascii="Times New Roman" w:hAnsi="Times New Roman" w:eastAsia="方正仿宋_GBK" w:cs="Times New Roman"/>
          <w:color w:val="auto"/>
          <w:sz w:val="32"/>
          <w:szCs w:val="32"/>
          <w:highlight w:val="none"/>
          <w:u w:val="none"/>
        </w:rPr>
        <w:t>交通运输</w:t>
      </w:r>
      <w:r>
        <w:rPr>
          <w:rFonts w:hint="eastAsia" w:ascii="Times New Roman" w:hAnsi="Times New Roman" w:eastAsia="方正仿宋_GBK" w:cs="Times New Roman"/>
          <w:color w:val="auto"/>
          <w:sz w:val="32"/>
          <w:szCs w:val="32"/>
          <w:highlight w:val="none"/>
          <w:u w:val="none"/>
          <w:lang w:val="en-US" w:eastAsia="zh-CN"/>
        </w:rPr>
        <w:t>主管部门</w:t>
      </w:r>
      <w:r>
        <w:rPr>
          <w:rFonts w:ascii="Times New Roman" w:hAnsi="Times New Roman" w:eastAsia="方正仿宋_GBK" w:cs="Times New Roman"/>
          <w:color w:val="auto"/>
          <w:sz w:val="32"/>
          <w:szCs w:val="32"/>
          <w:highlight w:val="none"/>
        </w:rPr>
        <w:t>应当自受理之日起</w:t>
      </w:r>
      <w:r>
        <w:rPr>
          <w:rFonts w:hint="eastAsia" w:ascii="Times New Roman" w:hAnsi="Times New Roman" w:eastAsia="方正仿宋_GBK" w:cs="Times New Roman"/>
          <w:color w:val="auto"/>
          <w:sz w:val="32"/>
          <w:szCs w:val="32"/>
          <w:highlight w:val="none"/>
        </w:rPr>
        <w:t>20</w:t>
      </w:r>
      <w:r>
        <w:rPr>
          <w:rFonts w:ascii="Times New Roman" w:hAnsi="Times New Roman" w:eastAsia="方正仿宋_GBK" w:cs="Times New Roman"/>
          <w:color w:val="auto"/>
          <w:sz w:val="32"/>
          <w:szCs w:val="32"/>
          <w:highlight w:val="none"/>
        </w:rPr>
        <w:t>个工作日内作出批准或不予批准经营的批复。</w:t>
      </w:r>
    </w:p>
    <w:p w14:paraId="44D11A2A">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 xml:space="preserve">　　第九条 </w:t>
      </w:r>
      <w:r>
        <w:rPr>
          <w:rFonts w:hint="eastAsia" w:ascii="Times New Roman" w:hAnsi="Times New Roman" w:eastAsia="方正仿宋_GBK" w:cs="Times New Roman"/>
          <w:sz w:val="32"/>
          <w:szCs w:val="32"/>
          <w:highlight w:val="none"/>
          <w:lang w:val="en-US" w:eastAsia="zh-CN"/>
        </w:rPr>
        <w:t>各县市</w:t>
      </w:r>
      <w:r>
        <w:rPr>
          <w:rFonts w:ascii="Times New Roman" w:hAnsi="Times New Roman" w:eastAsia="方正仿宋_GBK" w:cs="Times New Roman"/>
          <w:sz w:val="32"/>
          <w:szCs w:val="32"/>
          <w:highlight w:val="none"/>
        </w:rPr>
        <w:t>交通运输</w:t>
      </w:r>
      <w:r>
        <w:rPr>
          <w:rFonts w:hint="eastAsia" w:ascii="Times New Roman" w:hAnsi="Times New Roman" w:eastAsia="方正仿宋_GBK" w:cs="Times New Roman"/>
          <w:sz w:val="32"/>
          <w:szCs w:val="32"/>
          <w:highlight w:val="none"/>
          <w:lang w:val="en-US" w:eastAsia="zh-CN"/>
        </w:rPr>
        <w:t>主管部门</w:t>
      </w:r>
      <w:r>
        <w:rPr>
          <w:rFonts w:ascii="Times New Roman" w:hAnsi="Times New Roman" w:eastAsia="方正仿宋_GBK" w:cs="Times New Roman"/>
          <w:sz w:val="32"/>
          <w:szCs w:val="32"/>
          <w:highlight w:val="none"/>
        </w:rPr>
        <w:t>对于提供巡网融合服务的平台公司申请作出批准的，应当在批复文件中明确经营范围、经营区域、经营期限等。</w:t>
      </w:r>
    </w:p>
    <w:p w14:paraId="346DE826">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　　第十条 提供巡网融合服务的平台公司暂停或者终止运营服务的，应当提前30日向</w:t>
      </w:r>
      <w:r>
        <w:rPr>
          <w:rFonts w:hint="eastAsia" w:ascii="Times New Roman" w:hAnsi="Times New Roman" w:eastAsia="方正仿宋_GBK" w:cs="Times New Roman"/>
          <w:sz w:val="32"/>
          <w:szCs w:val="32"/>
          <w:highlight w:val="none"/>
          <w:lang w:val="en-US" w:eastAsia="zh-CN"/>
        </w:rPr>
        <w:t>各县市</w:t>
      </w:r>
      <w:r>
        <w:rPr>
          <w:rFonts w:ascii="Times New Roman" w:hAnsi="Times New Roman" w:eastAsia="方正仿宋_GBK" w:cs="Times New Roman"/>
          <w:sz w:val="32"/>
          <w:szCs w:val="32"/>
          <w:highlight w:val="none"/>
        </w:rPr>
        <w:t>交通运输</w:t>
      </w:r>
      <w:r>
        <w:rPr>
          <w:rFonts w:hint="eastAsia" w:ascii="Times New Roman" w:hAnsi="Times New Roman" w:eastAsia="方正仿宋_GBK" w:cs="Times New Roman"/>
          <w:sz w:val="32"/>
          <w:szCs w:val="32"/>
          <w:highlight w:val="none"/>
          <w:lang w:val="en-US" w:eastAsia="zh-CN"/>
        </w:rPr>
        <w:t>主管部门</w:t>
      </w:r>
      <w:r>
        <w:rPr>
          <w:rFonts w:ascii="Times New Roman" w:hAnsi="Times New Roman" w:eastAsia="方正仿宋_GBK" w:cs="Times New Roman"/>
          <w:sz w:val="32"/>
          <w:szCs w:val="32"/>
          <w:highlight w:val="none"/>
        </w:rPr>
        <w:t>书面报告，说明有关情况，通告接入平台提供巡网融合运营服务的车辆及驾驶员，并向社会公告。</w:t>
      </w:r>
    </w:p>
    <w:p w14:paraId="23434AD5">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 xml:space="preserve">　　第十一条 </w:t>
      </w:r>
      <w:r>
        <w:rPr>
          <w:rFonts w:hint="eastAsia" w:ascii="Times New Roman" w:hAnsi="Times New Roman" w:eastAsia="方正仿宋_GBK" w:cs="Times New Roman"/>
          <w:sz w:val="32"/>
          <w:szCs w:val="32"/>
          <w:highlight w:val="none"/>
          <w:lang w:val="en-US" w:eastAsia="zh-CN"/>
        </w:rPr>
        <w:t>州域内</w:t>
      </w:r>
      <w:r>
        <w:rPr>
          <w:rFonts w:ascii="Times New Roman" w:hAnsi="Times New Roman" w:eastAsia="方正仿宋_GBK" w:cs="Times New Roman"/>
          <w:sz w:val="32"/>
          <w:szCs w:val="32"/>
          <w:highlight w:val="none"/>
        </w:rPr>
        <w:t>正常营运的巡游出租汽车均可以接入巡网融合服务平台提供运营服务。</w:t>
      </w:r>
    </w:p>
    <w:p w14:paraId="380BAB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已接入巡网融合服务平台运营的巡游出租汽车，从接入之日起，</w:t>
      </w:r>
      <w:r>
        <w:rPr>
          <w:rFonts w:hint="eastAsia" w:ascii="Times New Roman" w:hAnsi="Times New Roman" w:eastAsia="方正仿宋_GBK" w:cs="Times New Roman"/>
          <w:sz w:val="32"/>
          <w:szCs w:val="32"/>
          <w:highlight w:val="none"/>
          <w:lang w:val="en-US" w:eastAsia="zh-CN"/>
        </w:rPr>
        <w:t>平台应优先对服务质量好，无违规行为的车辆进行派单。</w:t>
      </w:r>
    </w:p>
    <w:p w14:paraId="79206F84">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违规行为指存在被</w:t>
      </w:r>
      <w:r>
        <w:rPr>
          <w:rFonts w:hint="eastAsia" w:ascii="Times New Roman" w:hAnsi="Times New Roman" w:eastAsia="方正仿宋_GBK" w:cs="Times New Roman"/>
          <w:sz w:val="32"/>
          <w:szCs w:val="32"/>
        </w:rPr>
        <w:t>县（市）交通运输主管部门</w:t>
      </w:r>
      <w:r>
        <w:rPr>
          <w:rFonts w:ascii="Times New Roman" w:hAnsi="Times New Roman" w:eastAsia="方正仿宋_GBK" w:cs="Times New Roman"/>
          <w:sz w:val="32"/>
          <w:szCs w:val="32"/>
        </w:rPr>
        <w:t>查证属实的投诉记录或被检查发现的违规记录。</w:t>
      </w:r>
    </w:p>
    <w:p w14:paraId="57F0A990">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县（市）</w:t>
      </w:r>
      <w:r>
        <w:rPr>
          <w:rFonts w:ascii="Times New Roman" w:hAnsi="Times New Roman" w:eastAsia="方正仿宋_GBK" w:cs="Times New Roman"/>
          <w:sz w:val="32"/>
          <w:szCs w:val="32"/>
        </w:rPr>
        <w:t>交通运输</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每月汇总车辆的违规行为向平台公司进行推送。</w:t>
      </w:r>
    </w:p>
    <w:p w14:paraId="66E96DAD">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第十二条 申请从事巡网融合营运服务的车辆，应当由所属出租汽车经营者向</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提出申请，并提供以下材料：</w:t>
      </w:r>
    </w:p>
    <w:p w14:paraId="646B108E">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授权委托书原件；</w:t>
      </w:r>
    </w:p>
    <w:p w14:paraId="48210DB9">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经办人身份证明原件及复印件；</w:t>
      </w:r>
    </w:p>
    <w:p w14:paraId="576F5955">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机动车登记证、行驶证及道路运输证原件及复印件；</w:t>
      </w:r>
    </w:p>
    <w:p w14:paraId="2ADC90F3">
      <w:pPr>
        <w:keepNext w:val="0"/>
        <w:keepLines w:val="0"/>
        <w:pageBreakBefore w:val="0"/>
        <w:widowControl w:val="0"/>
        <w:kinsoku/>
        <w:wordWrap/>
        <w:overflowPunct/>
        <w:topLinePunct w:val="0"/>
        <w:autoSpaceDE/>
        <w:autoSpaceDN/>
        <w:bidi w:val="0"/>
        <w:adjustRightInd/>
        <w:snapToGrid/>
        <w:spacing w:line="580" w:lineRule="exact"/>
        <w:ind w:firstLine="63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车辆综合性能检测报告单原件及复印件；</w:t>
      </w:r>
    </w:p>
    <w:p w14:paraId="68F5666C">
      <w:pPr>
        <w:keepNext w:val="0"/>
        <w:keepLines w:val="0"/>
        <w:pageBreakBefore w:val="0"/>
        <w:widowControl w:val="0"/>
        <w:kinsoku/>
        <w:wordWrap/>
        <w:overflowPunct/>
        <w:topLinePunct w:val="0"/>
        <w:autoSpaceDE/>
        <w:autoSpaceDN/>
        <w:bidi w:val="0"/>
        <w:adjustRightInd/>
        <w:snapToGrid/>
        <w:spacing w:line="580" w:lineRule="exact"/>
        <w:ind w:firstLine="63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w:t>
      </w:r>
      <w:r>
        <w:rPr>
          <w:rFonts w:ascii="Times New Roman" w:hAnsi="Times New Roman" w:eastAsia="方正仿宋_GBK" w:cs="Times New Roman"/>
          <w:sz w:val="32"/>
          <w:szCs w:val="32"/>
        </w:rPr>
        <w:t>相关保险证明原件及复印件；</w:t>
      </w:r>
    </w:p>
    <w:p w14:paraId="1335A4C2">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具备调度管理、车辆定位、动态监控、应急报警等功能装置的安装证明及接入平台的证明。</w:t>
      </w:r>
    </w:p>
    <w:p w14:paraId="30FBD2C3">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第十三条 </w:t>
      </w:r>
      <w:r>
        <w:rPr>
          <w:rFonts w:hint="eastAsia" w:ascii="Times New Roman" w:hAnsi="Times New Roman" w:eastAsia="方正仿宋_GBK" w:cs="Times New Roman"/>
          <w:sz w:val="32"/>
          <w:szCs w:val="32"/>
          <w:lang w:val="en-US" w:eastAsia="zh-CN"/>
        </w:rPr>
        <w:t>州域内</w:t>
      </w:r>
      <w:r>
        <w:rPr>
          <w:rFonts w:ascii="Times New Roman" w:hAnsi="Times New Roman" w:eastAsia="方正仿宋_GBK" w:cs="Times New Roman"/>
          <w:sz w:val="32"/>
          <w:szCs w:val="32"/>
        </w:rPr>
        <w:t>注册且在岗的巡游出租汽车驾驶员均可以从事巡网融合运输服务工作。</w:t>
      </w:r>
    </w:p>
    <w:p w14:paraId="7F7E25C4">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第十四条 申请从事巡网融合运输服务工作的驾驶员， 应当由所属出租汽车经营者主动向</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提出申请，并提供以下材料：</w:t>
      </w:r>
    </w:p>
    <w:p w14:paraId="6C20B8FB">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授权委托书原件；</w:t>
      </w:r>
    </w:p>
    <w:p w14:paraId="0DB4DFA5">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经办人身份证明原件及复印件；</w:t>
      </w:r>
    </w:p>
    <w:p w14:paraId="2811BE83">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驾驶员驾驶证、身份证明原件及复印件；</w:t>
      </w:r>
    </w:p>
    <w:p w14:paraId="7503D7BD">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第十五条 </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依据出租汽车经营者的申请，按第十四条规定的条件审核后，对符合巡网融合资质的驾驶员进行确认。</w:t>
      </w:r>
    </w:p>
    <w:p w14:paraId="1A1B063C">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第十六条 有下列情形之一的，优先接单：</w:t>
      </w:r>
    </w:p>
    <w:p w14:paraId="1F736F3C">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半年内无举报投诉记录的；</w:t>
      </w:r>
    </w:p>
    <w:p w14:paraId="236A75B6">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半年内无执法部门处罚记录的；</w:t>
      </w:r>
    </w:p>
    <w:p w14:paraId="31495D63">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年度质量信誉考核得分较高的；</w:t>
      </w:r>
    </w:p>
    <w:p w14:paraId="4AED283A">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乘客服务评价较高的。</w:t>
      </w:r>
    </w:p>
    <w:p w14:paraId="148E8FA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highlight w:val="yellow"/>
          <w:lang w:eastAsia="zh-CN"/>
        </w:rPr>
      </w:pPr>
      <w:r>
        <w:rPr>
          <w:rFonts w:hint="eastAsia" w:ascii="黑体" w:hAnsi="黑体" w:eastAsia="黑体" w:cs="黑体"/>
          <w:sz w:val="32"/>
          <w:szCs w:val="32"/>
        </w:rPr>
        <w:t>　　第三章  支付方式</w:t>
      </w:r>
    </w:p>
    <w:p w14:paraId="38F320E2">
      <w:pPr>
        <w:keepNext w:val="0"/>
        <w:keepLines w:val="0"/>
        <w:pageBreakBefore w:val="0"/>
        <w:widowControl w:val="0"/>
        <w:kinsoku/>
        <w:wordWrap/>
        <w:overflowPunct/>
        <w:topLinePunct w:val="0"/>
        <w:autoSpaceDE/>
        <w:autoSpaceDN/>
        <w:bidi w:val="0"/>
        <w:adjustRightInd/>
        <w:snapToGrid/>
        <w:spacing w:line="580" w:lineRule="exact"/>
        <w:ind w:firstLine="643"/>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第十七条 计费方式由乘客进行选择，鼓励网约订单使用平台定价</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即市场调节价</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highlight w:val="none"/>
        </w:rPr>
        <w:t>线上结算。　　</w:t>
      </w:r>
    </w:p>
    <w:p w14:paraId="3EA0BD30">
      <w:pPr>
        <w:keepNext w:val="0"/>
        <w:keepLines w:val="0"/>
        <w:pageBreakBefore w:val="0"/>
        <w:widowControl w:val="0"/>
        <w:kinsoku/>
        <w:wordWrap/>
        <w:overflowPunct/>
        <w:topLinePunct w:val="0"/>
        <w:autoSpaceDE/>
        <w:autoSpaceDN/>
        <w:bidi w:val="0"/>
        <w:adjustRightInd/>
        <w:snapToGrid/>
        <w:spacing w:line="580" w:lineRule="exact"/>
        <w:ind w:firstLine="643"/>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第十八条 通过网络预约方式乘车的，使用平</w:t>
      </w:r>
      <w:bookmarkStart w:id="0" w:name="_GoBack"/>
      <w:bookmarkEnd w:id="0"/>
      <w:r>
        <w:rPr>
          <w:rFonts w:ascii="Times New Roman" w:hAnsi="Times New Roman" w:eastAsia="方正仿宋_GBK" w:cs="Times New Roman"/>
          <w:sz w:val="32"/>
          <w:szCs w:val="32"/>
        </w:rPr>
        <w:t>台定价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即市场调节价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方式计费，不视为不使用计价器。通过巡游方式乘车的，按照计价器显示金额付费。</w:t>
      </w:r>
    </w:p>
    <w:p w14:paraId="39419C6B">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第十九条 乘客通过巡游方式使用计价器打表计价的，巡网融合经营的平台不允许对相应的订单进行抽成。</w:t>
      </w:r>
    </w:p>
    <w:p w14:paraId="0688DAD6">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hint="eastAsia" w:ascii="黑体" w:hAnsi="黑体" w:eastAsia="黑体" w:cs="黑体"/>
          <w:sz w:val="32"/>
          <w:szCs w:val="32"/>
        </w:rPr>
        <w:t>　　第四章运营行为</w:t>
      </w:r>
    </w:p>
    <w:p w14:paraId="5F5B7A39">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第二十条 提供巡网融合服务的平台公司，除应符合《</w:t>
      </w:r>
      <w:r>
        <w:rPr>
          <w:rFonts w:ascii="Times New Roman" w:hAnsi="Times New Roman" w:eastAsia="方正仿宋_GBK" w:cs="Times New Roman"/>
          <w:sz w:val="32"/>
          <w:szCs w:val="32"/>
          <w:highlight w:val="none"/>
        </w:rPr>
        <w:t>暂行</w:t>
      </w:r>
      <w:r>
        <w:rPr>
          <w:rFonts w:ascii="Times New Roman" w:hAnsi="Times New Roman" w:eastAsia="方正仿宋_GBK" w:cs="Times New Roman"/>
          <w:sz w:val="32"/>
          <w:szCs w:val="32"/>
        </w:rPr>
        <w:t>办法》第十六条至第二十一条、第二十三条至第二十八条相关规定外，还应遵守下列规定：</w:t>
      </w:r>
    </w:p>
    <w:p w14:paraId="3494FE5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获得批准提供巡网融合服务的平台公司不得将我</w:t>
      </w:r>
      <w:r>
        <w:rPr>
          <w:rFonts w:hint="eastAsia" w:ascii="Times New Roman" w:hAnsi="Times New Roman" w:eastAsia="方正仿宋_GBK" w:cs="Times New Roman"/>
          <w:sz w:val="32"/>
          <w:szCs w:val="32"/>
        </w:rPr>
        <w:t>州</w:t>
      </w:r>
      <w:r>
        <w:rPr>
          <w:rFonts w:ascii="Times New Roman" w:hAnsi="Times New Roman" w:eastAsia="方正仿宋_GBK" w:cs="Times New Roman"/>
          <w:sz w:val="32"/>
          <w:szCs w:val="32"/>
        </w:rPr>
        <w:t>巡网融合运营业务委托给第三方；</w:t>
      </w:r>
    </w:p>
    <w:p w14:paraId="7E9DEBA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建立24小时的线上投诉机制和线下投诉电话，并需对外公布；</w:t>
      </w:r>
    </w:p>
    <w:p w14:paraId="4D57A9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处理线上订单产生的所有投诉，并将处理结果告知乘客；</w:t>
      </w:r>
    </w:p>
    <w:p w14:paraId="5D81B32D">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按照要求报送服务质量投诉处理相关资料；</w:t>
      </w:r>
    </w:p>
    <w:p w14:paraId="49D45F4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w:t>
      </w:r>
      <w:r>
        <w:rPr>
          <w:rFonts w:ascii="Times New Roman" w:hAnsi="Times New Roman" w:eastAsia="方正仿宋_GBK" w:cs="Times New Roman"/>
          <w:sz w:val="32"/>
          <w:szCs w:val="32"/>
        </w:rPr>
        <w:t>建立完善的驾驶员服务质量评价体系，并向乘客公开，保障乘客的知情权和选择权；</w:t>
      </w:r>
    </w:p>
    <w:p w14:paraId="488C25C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建立车辆和驾驶员的动态管理机制，及时将符合提供巡网融合运输服务的车辆及驾驶员的信息接入平台，每月定期清退不符合提供巡网融合运输服务条件的车辆及驾驶员；</w:t>
      </w:r>
    </w:p>
    <w:p w14:paraId="16553E6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（七）</w:t>
      </w:r>
      <w:r>
        <w:rPr>
          <w:rFonts w:ascii="Times New Roman" w:hAnsi="Times New Roman" w:eastAsia="方正仿宋_GBK" w:cs="Times New Roman"/>
          <w:sz w:val="32"/>
          <w:szCs w:val="32"/>
        </w:rPr>
        <w:t>按照</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对驾驶员的信用考核结果，在平台上同步设置信用标识，并将信用考核结果与平台派单率直接挂钩，实施信用奖惩。对于信用良好的驾驶员，设计醒目诚信标识，并进行优先派单，提高派单比例；对于信用考核不合格的驾驶员，设计失信警示标识，降低对其派单比例。</w:t>
      </w:r>
    </w:p>
    <w:p w14:paraId="004563F5">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第二十一条 提供巡网融合运输服务的车辆运营时，应当遵守《暂行办法》第二十二条规定及《经营管理规定》第二十二条规定。</w:t>
      </w:r>
    </w:p>
    <w:p w14:paraId="5B949C5F">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第二十二条 提供巡网融合运输服务的驾驶员应当遵守《经营管理规定》第二十三条规定。</w:t>
      </w:r>
    </w:p>
    <w:p w14:paraId="132AA044">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第二十三条 乘客应当遵守《经营管理规定》第二十五条规定。</w:t>
      </w:r>
    </w:p>
    <w:p w14:paraId="3A1C92CD">
      <w:pPr>
        <w:keepNext w:val="0"/>
        <w:keepLines w:val="0"/>
        <w:pageBreakBefore w:val="0"/>
        <w:widowControl w:val="0"/>
        <w:kinsoku/>
        <w:wordWrap/>
        <w:overflowPunct/>
        <w:topLinePunct w:val="0"/>
        <w:autoSpaceDE/>
        <w:autoSpaceDN/>
        <w:bidi w:val="0"/>
        <w:adjustRightInd/>
        <w:snapToGrid/>
        <w:spacing w:line="580" w:lineRule="exact"/>
        <w:textAlignment w:val="auto"/>
        <w:rPr>
          <w:rFonts w:ascii="黑体" w:hAnsi="黑体" w:eastAsia="黑体" w:cs="黑体"/>
          <w:sz w:val="32"/>
          <w:szCs w:val="32"/>
        </w:rPr>
      </w:pPr>
      <w:r>
        <w:rPr>
          <w:rFonts w:hint="eastAsia" w:ascii="黑体" w:hAnsi="黑体" w:eastAsia="黑体" w:cs="黑体"/>
          <w:sz w:val="32"/>
          <w:szCs w:val="32"/>
        </w:rPr>
        <w:t>　　第五章监督管理</w:t>
      </w:r>
    </w:p>
    <w:p w14:paraId="745BD5F7">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第二十四条 </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应当定期组织对巡网融合服务的平台公司进行服务质量信誉考核，并及时向社会公布服务质量测评结果、乘客投诉处理情况等信息。</w:t>
      </w:r>
    </w:p>
    <w:p w14:paraId="475D0744">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第二十五条 </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应当不定期对提供巡网融合运营服务的平台公司的经营行为进行监督检查。</w:t>
      </w:r>
    </w:p>
    <w:p w14:paraId="4973D45F">
      <w:pPr>
        <w:keepNext w:val="0"/>
        <w:keepLines w:val="0"/>
        <w:pageBreakBefore w:val="0"/>
        <w:widowControl w:val="0"/>
        <w:kinsoku/>
        <w:wordWrap/>
        <w:overflowPunct/>
        <w:topLinePunct w:val="0"/>
        <w:autoSpaceDE/>
        <w:autoSpaceDN/>
        <w:bidi w:val="0"/>
        <w:adjustRightInd/>
        <w:snapToGrid/>
        <w:spacing w:line="580" w:lineRule="exact"/>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第二十六条 </w:t>
      </w:r>
      <w:r>
        <w:rPr>
          <w:rFonts w:hint="eastAsia" w:ascii="Times New Roman" w:hAnsi="Times New Roman" w:eastAsia="方正仿宋_GBK" w:cs="Times New Roman"/>
          <w:sz w:val="32"/>
          <w:szCs w:val="32"/>
        </w:rPr>
        <w:t>各县（市）交通运输主管部门</w:t>
      </w:r>
      <w:r>
        <w:rPr>
          <w:rFonts w:ascii="Times New Roman" w:hAnsi="Times New Roman" w:eastAsia="方正仿宋_GBK" w:cs="Times New Roman"/>
          <w:sz w:val="32"/>
          <w:szCs w:val="32"/>
        </w:rPr>
        <w:t>在执法检查过程中，应当对提供巡网融合运输服务的车辆及驾驶员资质及营运行为进行核查。</w:t>
      </w:r>
    </w:p>
    <w:p w14:paraId="5B594CB7">
      <w:pPr>
        <w:keepNext w:val="0"/>
        <w:keepLines w:val="0"/>
        <w:pageBreakBefore w:val="0"/>
        <w:widowControl w:val="0"/>
        <w:kinsoku/>
        <w:wordWrap/>
        <w:overflowPunct/>
        <w:topLinePunct w:val="0"/>
        <w:autoSpaceDE/>
        <w:autoSpaceDN/>
        <w:bidi w:val="0"/>
        <w:adjustRightInd/>
        <w:snapToGrid/>
        <w:spacing w:line="580" w:lineRule="exact"/>
        <w:ind w:firstLine="643"/>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第二十七条 本办法最终解释权归</w:t>
      </w:r>
      <w:r>
        <w:rPr>
          <w:rFonts w:hint="eastAsia" w:ascii="Times New Roman" w:hAnsi="Times New Roman" w:eastAsia="方正仿宋_GBK" w:cs="Times New Roman"/>
          <w:sz w:val="32"/>
          <w:szCs w:val="32"/>
        </w:rPr>
        <w:t>昌吉州</w:t>
      </w:r>
      <w:r>
        <w:rPr>
          <w:rFonts w:ascii="Times New Roman" w:hAnsi="Times New Roman" w:eastAsia="方正仿宋_GBK" w:cs="Times New Roman"/>
          <w:sz w:val="32"/>
          <w:szCs w:val="32"/>
        </w:rPr>
        <w:t>交通运输</w:t>
      </w:r>
      <w:r>
        <w:rPr>
          <w:rFonts w:hint="eastAsia" w:ascii="Times New Roman" w:hAnsi="Times New Roman" w:eastAsia="方正仿宋_GBK" w:cs="Times New Roman"/>
          <w:sz w:val="32"/>
          <w:szCs w:val="32"/>
        </w:rPr>
        <w:t>主管部门</w:t>
      </w:r>
      <w:r>
        <w:rPr>
          <w:rFonts w:ascii="Times New Roman" w:hAnsi="Times New Roman" w:eastAsia="方正仿宋_GBK" w:cs="Times New Roman"/>
          <w:sz w:val="32"/>
          <w:szCs w:val="32"/>
        </w:rPr>
        <w:t>所有。</w:t>
      </w:r>
    </w:p>
    <w:p w14:paraId="211BE342">
      <w:pPr>
        <w:keepNext w:val="0"/>
        <w:keepLines w:val="0"/>
        <w:pageBreakBefore w:val="0"/>
        <w:widowControl w:val="0"/>
        <w:kinsoku/>
        <w:wordWrap/>
        <w:overflowPunct/>
        <w:topLinePunct w:val="0"/>
        <w:autoSpaceDE/>
        <w:autoSpaceDN/>
        <w:bidi w:val="0"/>
        <w:adjustRightInd/>
        <w:snapToGrid/>
        <w:spacing w:line="580" w:lineRule="exact"/>
        <w:ind w:firstLine="643"/>
        <w:textAlignment w:val="auto"/>
        <w:rPr>
          <w:rFonts w:hint="default" w:ascii="Times New Roman" w:hAnsi="Times New Roman" w:eastAsia="方正仿宋_GBK" w:cs="Times New Roman"/>
          <w:sz w:val="32"/>
          <w:szCs w:val="32"/>
          <w:highlight w:val="yellow"/>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5F6B8">
    <w:pPr>
      <w:pStyle w:val="2"/>
    </w:pPr>
    <w:r>
      <w:rPr>
        <w:sz w:val="18"/>
      </w:rPr>
      <w:pict>
        <v:shape id="_x0000_s3073" o:spid="_x0000_s3073" o:spt="202" type="#_x0000_t202" style="position:absolute;left:0pt;margin-left:195.65pt;margin-top:0pt;height:144pt;width:44.45pt;mso-position-horizontal-relative:margin;z-index:251659264;mso-width-relative:page;mso-height-relative:page;" filled="f" stroked="f" coordsize="21600,21600">
          <v:path/>
          <v:fill on="f" focussize="0,0"/>
          <v:stroke on="f"/>
          <v:imagedata o:title=""/>
          <o:lock v:ext="edit" aspectratio="f"/>
          <v:textbox inset="0mm,0mm,0mm,0mm" style="mso-fit-shape-to-text:t;">
            <w:txbxContent>
              <w:p w14:paraId="0596507F">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c3M2Y5NzIzMDFlZjAyY2Q4Njk5ODkyYjFjNzBiNTQifQ=="/>
  </w:docVars>
  <w:rsids>
    <w:rsidRoot w:val="008F31C3"/>
    <w:rsid w:val="00177E78"/>
    <w:rsid w:val="0037736E"/>
    <w:rsid w:val="004622E4"/>
    <w:rsid w:val="0088035F"/>
    <w:rsid w:val="008F31C3"/>
    <w:rsid w:val="00FF738E"/>
    <w:rsid w:val="157D032B"/>
    <w:rsid w:val="21507128"/>
    <w:rsid w:val="3BB63557"/>
    <w:rsid w:val="3D6D3F9C"/>
    <w:rsid w:val="42FE1118"/>
    <w:rsid w:val="43270988"/>
    <w:rsid w:val="43980E0E"/>
    <w:rsid w:val="46CE3DBB"/>
    <w:rsid w:val="473A6682"/>
    <w:rsid w:val="496B275F"/>
    <w:rsid w:val="630D2AB8"/>
    <w:rsid w:val="6BC860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DC7"/>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2743</Words>
  <Characters>2758</Characters>
  <Lines>22</Lines>
  <Paragraphs>6</Paragraphs>
  <TotalTime>81</TotalTime>
  <ScaleCrop>false</ScaleCrop>
  <LinksUpToDate>false</LinksUpToDate>
  <CharactersWithSpaces>2887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2024-09-03T03:14:00Z</dcterms:created>
  <dc:creator>cavil</dc:creator>
  <cp:lastModifiedBy>Captain¥</cp:lastModifiedBy>
  <dcterms:modified xsi:type="dcterms:W3CDTF">2024-10-23T08:26:44Z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75E60A17A8F74446A095849A8677BEAB_12</vt:lpwstr>
  </property>
</Properties>
</file>