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方正小标宋_GBK" w:hAnsi="方正小标宋_GBK" w:eastAsia="方正小标宋_GBK" w:cs="方正小标宋_GBK"/>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方正小标宋_GBK" w:hAnsi="方正小标宋_GBK" w:eastAsia="方正小标宋_GBK" w:cs="方正小标宋_GBK"/>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40" w:lineRule="exact"/>
        <w:ind w:left="0" w:leftChars="0" w:firstLine="0" w:firstLineChars="0"/>
        <w:jc w:val="center"/>
        <w:textAlignment w:val="baseline"/>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昌吉州住房公积金管理中心</w:t>
      </w:r>
    </w:p>
    <w:p>
      <w:pPr>
        <w:keepNext w:val="0"/>
        <w:keepLines w:val="0"/>
        <w:pageBreakBefore w:val="0"/>
        <w:widowControl/>
        <w:kinsoku/>
        <w:wordWrap/>
        <w:overflowPunct/>
        <w:topLinePunct w:val="0"/>
        <w:autoSpaceDE/>
        <w:autoSpaceDN/>
        <w:bidi w:val="0"/>
        <w:adjustRightInd/>
        <w:snapToGrid/>
        <w:spacing w:line="640" w:lineRule="exact"/>
        <w:ind w:left="0" w:leftChars="0" w:firstLine="0" w:firstLineChars="0"/>
        <w:jc w:val="center"/>
        <w:textAlignment w:val="baseline"/>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2023年政府信息公开工作年度报告</w:t>
      </w:r>
    </w:p>
    <w:p>
      <w:pPr>
        <w:pStyle w:val="2"/>
        <w:keepNext w:val="0"/>
        <w:keepLines w:val="0"/>
        <w:pageBreakBefore w:val="0"/>
        <w:widowControl/>
        <w:kinsoku/>
        <w:wordWrap/>
        <w:overflowPunct/>
        <w:topLinePunct w:val="0"/>
        <w:autoSpaceDE/>
        <w:autoSpaceDN/>
        <w:bidi w:val="0"/>
        <w:adjustRightInd/>
        <w:snapToGrid/>
        <w:ind w:left="0" w:leftChars="0" w:firstLine="0" w:firstLineChars="0"/>
        <w:textAlignment w:val="baseline"/>
        <w:rPr>
          <w:rFonts w:hint="default"/>
          <w:lang w:val="en-US" w:eastAsia="zh-CN"/>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根据《中华人民共和国政府信息公开条例》（以下简称《条例》）和州政府有关政府信息公开工作要求，现向社会公布202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年度昌吉州住房公积金管理中心信息公开工作年度报告。</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本报告中所列数据的统计期限自202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年1月1日起至202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年12月31日止。如对本报告有任何疑问，请与昌吉州住房公积金管理中心</w:t>
      </w:r>
      <w:r>
        <w:rPr>
          <w:rFonts w:hint="eastAsia" w:eastAsia="仿宋_GB2312" w:cs="Times New Roman"/>
          <w:sz w:val="32"/>
          <w:szCs w:val="32"/>
          <w:lang w:eastAsia="zh-CN"/>
        </w:rPr>
        <w:t>办公室</w:t>
      </w:r>
      <w:r>
        <w:rPr>
          <w:rFonts w:hint="default" w:ascii="Times New Roman" w:hAnsi="Times New Roman" w:eastAsia="仿宋_GB2312" w:cs="Times New Roman"/>
          <w:sz w:val="32"/>
          <w:szCs w:val="32"/>
        </w:rPr>
        <w:t>联系（地址：昌吉市建国西路39号7楼，邮编831100，电话：0994-251</w:t>
      </w:r>
      <w:r>
        <w:rPr>
          <w:rFonts w:hint="eastAsia" w:eastAsia="仿宋_GB2312" w:cs="Times New Roman"/>
          <w:sz w:val="32"/>
          <w:szCs w:val="32"/>
          <w:lang w:val="en-US" w:eastAsia="zh-CN"/>
        </w:rPr>
        <w:t>6917</w:t>
      </w:r>
      <w:r>
        <w:rPr>
          <w:rFonts w:hint="default" w:ascii="Times New Roman" w:hAnsi="Times New Roman" w:eastAsia="仿宋_GB2312" w:cs="Times New Roman"/>
          <w:sz w:val="32"/>
          <w:szCs w:val="32"/>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Fonts w:hint="default" w:ascii="Times New Roman" w:hAnsi="Times New Roman" w:eastAsia="黑体" w:cs="Times New Roman"/>
          <w:sz w:val="32"/>
          <w:szCs w:val="32"/>
        </w:rPr>
      </w:pPr>
      <w:r>
        <w:rPr>
          <w:rFonts w:hint="eastAsia" w:eastAsia="黑体" w:cs="Times New Roman"/>
          <w:sz w:val="32"/>
          <w:szCs w:val="32"/>
          <w:lang w:val="en-US" w:eastAsia="zh-CN"/>
        </w:rPr>
        <w:t>一、</w:t>
      </w:r>
      <w:r>
        <w:rPr>
          <w:rFonts w:hint="default" w:ascii="Times New Roman" w:hAnsi="Times New Roman" w:eastAsia="黑体" w:cs="Times New Roman"/>
          <w:sz w:val="32"/>
          <w:szCs w:val="32"/>
        </w:rPr>
        <w:t>总体情况</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baseline"/>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2023年，昌吉州住房公积金管理中心始终坚持以习近平新时代中国特色社会主义思想为指导，牢牢把握“房住不炒”的定位，坚决贯彻落实党中央、国务院和区、州相关决策部署，全面提高政务公开常态化，信息发布时效化，政策解读精准化，坚持常态化公开的审慎原则，纵深推进决策执行、严密部署、宣传宣讲和结果公开，严格加强政策解读机制，密切关注民生焦点，深挖细究公开渠道，信息公开工作质效稳步提升。</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baseline"/>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一是及时公开住房公积金政策信息。2023年，通过昌吉州政府网站，及时公开州住房公积金管理委员会</w:t>
      </w:r>
      <w:r>
        <w:rPr>
          <w:rFonts w:hint="eastAsia" w:ascii="Times New Roman" w:hAnsi="Times New Roman" w:eastAsia="仿宋_GB2312" w:cs="Times New Roman"/>
          <w:color w:val="auto"/>
          <w:kern w:val="0"/>
          <w:sz w:val="32"/>
          <w:szCs w:val="32"/>
          <w:lang w:val="en-US" w:eastAsia="zh-CN" w:bidi="ar-SA"/>
        </w:rPr>
        <w:t>制定</w:t>
      </w:r>
      <w:r>
        <w:rPr>
          <w:rFonts w:hint="default" w:ascii="Times New Roman" w:hAnsi="Times New Roman" w:eastAsia="仿宋_GB2312" w:cs="Times New Roman"/>
          <w:color w:val="auto"/>
          <w:kern w:val="0"/>
          <w:sz w:val="32"/>
          <w:szCs w:val="32"/>
          <w:lang w:val="en-US" w:eastAsia="zh-CN" w:bidi="ar-SA"/>
        </w:rPr>
        <w:t>的</w:t>
      </w:r>
      <w:r>
        <w:rPr>
          <w:rFonts w:hint="eastAsia" w:ascii="Times New Roman" w:hAnsi="Times New Roman" w:eastAsia="仿宋_GB2312" w:cs="Times New Roman"/>
          <w:color w:val="auto"/>
          <w:kern w:val="0"/>
          <w:sz w:val="32"/>
          <w:szCs w:val="32"/>
          <w:lang w:val="en-US" w:eastAsia="zh-CN" w:bidi="ar-SA"/>
        </w:rPr>
        <w:t>《关于优化公积金使用政策 促进住房消费落实措施</w:t>
      </w:r>
      <w:r>
        <w:rPr>
          <w:rFonts w:hint="eastAsia"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主要涉及实施多子女家庭住房公积金支持、调整个人住房贷款额度、提高租赁住房年租金提取上限等</w:t>
      </w:r>
      <w:r>
        <w:rPr>
          <w:rFonts w:hint="eastAsia" w:ascii="Times New Roman" w:hAnsi="Times New Roman" w:eastAsia="仿宋_GB2312" w:cs="Times New Roman"/>
          <w:color w:val="auto"/>
          <w:kern w:val="0"/>
          <w:sz w:val="32"/>
          <w:szCs w:val="32"/>
          <w:lang w:val="en-US" w:eastAsia="zh-CN" w:bidi="ar-SA"/>
        </w:rPr>
        <w:t>落实措施</w:t>
      </w:r>
      <w:r>
        <w:rPr>
          <w:rFonts w:hint="default" w:ascii="Times New Roman" w:hAnsi="Times New Roman" w:eastAsia="仿宋_GB2312" w:cs="Times New Roman"/>
          <w:color w:val="auto"/>
          <w:kern w:val="0"/>
          <w:sz w:val="32"/>
          <w:szCs w:val="32"/>
          <w:lang w:val="en-US" w:eastAsia="zh-CN" w:bidi="ar-SA"/>
        </w:rPr>
        <w:t>。</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是按时披露住房公积金管理运行信息。根据住建部、财政部、人民银行联合印发的《关于健全住房公积金信息披露制度的通知》要求，通过昌吉州政府网站发布《昌吉州住房公积金2022年年度报告》，全面披露本州住房公积金运行情况，提升住房公积金管理透明度。</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baseline"/>
        <w:rPr>
          <w:rFonts w:hint="eastAsia" w:ascii="Times New Roman" w:hAnsi="Times New Roman" w:eastAsia="仿宋_GB2312" w:cs="Times New Roman"/>
          <w:color w:val="auto"/>
          <w:sz w:val="32"/>
          <w:szCs w:val="32"/>
          <w:lang w:val="en-US" w:eastAsia="zh-CN" w:bidi="ar-SA"/>
        </w:rPr>
      </w:pPr>
      <w:r>
        <w:rPr>
          <w:rFonts w:hint="eastAsia" w:eastAsia="仿宋_GB2312" w:cs="Times New Roman"/>
          <w:color w:val="auto"/>
          <w:sz w:val="32"/>
          <w:szCs w:val="32"/>
          <w:lang w:val="en-US" w:eastAsia="zh-CN" w:bidi="ar-SA"/>
        </w:rPr>
        <w:t>三是</w:t>
      </w:r>
      <w:r>
        <w:rPr>
          <w:rFonts w:hint="eastAsia" w:ascii="Times New Roman" w:hAnsi="Times New Roman" w:eastAsia="仿宋_GB2312" w:cs="Times New Roman"/>
          <w:color w:val="auto"/>
          <w:sz w:val="32"/>
          <w:szCs w:val="32"/>
          <w:lang w:val="en-US" w:eastAsia="zh-CN" w:bidi="ar-SA"/>
        </w:rPr>
        <w:t>依托政府网站，结合住房公积金12329服务热线平台，深入推广宣传“全国住房公积金”小程序网上办理使用率，持续推广“跨省通办”“就近办”办理模式，切实维护人民至上的最大利益，全程跟踪服务对象需求、全面优化业务办理流程、全力简化业务办理要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baseline"/>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二、主动公开政府信息情况</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该部分以表格形式报告。表格如下：</w:t>
      </w:r>
    </w:p>
    <w:tbl>
      <w:tblPr>
        <w:tblStyle w:val="7"/>
        <w:tblW w:w="81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8"/>
        <w:gridCol w:w="2132"/>
        <w:gridCol w:w="1612"/>
        <w:gridCol w:w="1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4" w:hRule="atLeast"/>
          <w:jc w:val="center"/>
        </w:trPr>
        <w:tc>
          <w:tcPr>
            <w:tcW w:w="8140" w:type="dxa"/>
            <w:gridSpan w:val="4"/>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default" w:ascii="Times New Roman" w:hAnsi="Times New Roman" w:cs="Times New Roman"/>
                <w:kern w:val="0"/>
                <w:sz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708"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default" w:ascii="Times New Roman" w:hAnsi="Times New Roman" w:cs="Times New Roman"/>
                <w:kern w:val="0"/>
                <w:sz w:val="24"/>
              </w:rPr>
              <w:t>信息内容</w:t>
            </w:r>
          </w:p>
        </w:tc>
        <w:tc>
          <w:tcPr>
            <w:tcW w:w="2132"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default" w:ascii="Times New Roman" w:hAnsi="Times New Roman" w:cs="Times New Roman"/>
                <w:kern w:val="0"/>
                <w:sz w:val="24"/>
              </w:rPr>
              <w:t>本年制</w:t>
            </w:r>
            <w:r>
              <w:rPr>
                <w:rFonts w:hint="default" w:ascii="Times New Roman" w:hAnsi="Times New Roman" w:cs="Times New Roman"/>
                <w:kern w:val="0"/>
                <w:sz w:val="24"/>
                <w:lang w:eastAsia="zh-CN"/>
              </w:rPr>
              <w:t>发件</w:t>
            </w:r>
            <w:r>
              <w:rPr>
                <w:rFonts w:hint="default" w:ascii="Times New Roman" w:hAnsi="Times New Roman" w:cs="Times New Roman"/>
                <w:kern w:val="0"/>
                <w:sz w:val="24"/>
              </w:rPr>
              <w:t>数</w:t>
            </w:r>
          </w:p>
        </w:tc>
        <w:tc>
          <w:tcPr>
            <w:tcW w:w="1612"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eastAsia="Times New Roman" w:cs="Times New Roman"/>
                <w:sz w:val="24"/>
                <w:lang w:eastAsia="zh-CN"/>
              </w:rPr>
            </w:pPr>
            <w:r>
              <w:rPr>
                <w:rFonts w:hint="default" w:ascii="Times New Roman" w:hAnsi="Times New Roman" w:cs="Times New Roman"/>
                <w:kern w:val="0"/>
                <w:sz w:val="22"/>
                <w:szCs w:val="21"/>
              </w:rPr>
              <w:t>本年</w:t>
            </w:r>
            <w:r>
              <w:rPr>
                <w:rFonts w:hint="default" w:ascii="Times New Roman" w:hAnsi="Times New Roman" w:cs="Times New Roman"/>
                <w:kern w:val="0"/>
                <w:sz w:val="22"/>
                <w:szCs w:val="21"/>
                <w:lang w:eastAsia="zh-CN"/>
              </w:rPr>
              <w:t>废止件数</w:t>
            </w:r>
          </w:p>
        </w:tc>
        <w:tc>
          <w:tcPr>
            <w:tcW w:w="1688"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eastAsia="Times New Roman" w:cs="Times New Roman"/>
                <w:sz w:val="24"/>
                <w:lang w:eastAsia="zh-CN"/>
              </w:rPr>
            </w:pPr>
            <w:r>
              <w:rPr>
                <w:rFonts w:hint="default" w:ascii="Times New Roman" w:hAnsi="Times New Roman" w:cs="Times New Roman"/>
                <w:kern w:val="0"/>
                <w:sz w:val="24"/>
                <w:lang w:eastAsia="zh-CN"/>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jc w:val="center"/>
        </w:trPr>
        <w:tc>
          <w:tcPr>
            <w:tcW w:w="2708"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default" w:ascii="Times New Roman" w:hAnsi="Times New Roman" w:cs="Times New Roman"/>
                <w:kern w:val="0"/>
                <w:sz w:val="24"/>
              </w:rPr>
              <w:t>规章</w:t>
            </w:r>
          </w:p>
        </w:tc>
        <w:tc>
          <w:tcPr>
            <w:tcW w:w="2132"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0</w:t>
            </w:r>
          </w:p>
        </w:tc>
        <w:tc>
          <w:tcPr>
            <w:tcW w:w="1612"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0</w:t>
            </w:r>
          </w:p>
        </w:tc>
        <w:tc>
          <w:tcPr>
            <w:tcW w:w="1688"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 w:hRule="atLeast"/>
          <w:jc w:val="center"/>
        </w:trPr>
        <w:tc>
          <w:tcPr>
            <w:tcW w:w="2708"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default" w:ascii="Times New Roman" w:hAnsi="Times New Roman" w:cs="Times New Roman"/>
                <w:kern w:val="0"/>
                <w:sz w:val="24"/>
              </w:rPr>
              <w:t>规范性文件</w:t>
            </w:r>
          </w:p>
        </w:tc>
        <w:tc>
          <w:tcPr>
            <w:tcW w:w="2132"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eastAsia="宋体" w:cs="Times New Roman"/>
                <w:sz w:val="24"/>
                <w:lang w:val="en-US" w:eastAsia="zh-CN"/>
              </w:rPr>
            </w:pPr>
            <w:r>
              <w:rPr>
                <w:rFonts w:hint="eastAsia" w:cs="Times New Roman"/>
                <w:sz w:val="24"/>
                <w:lang w:val="en-US" w:eastAsia="zh-CN"/>
              </w:rPr>
              <w:t>0</w:t>
            </w:r>
          </w:p>
        </w:tc>
        <w:tc>
          <w:tcPr>
            <w:tcW w:w="1612"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eastAsia="宋体" w:cs="Times New Roman"/>
                <w:sz w:val="24"/>
                <w:lang w:val="en-US" w:eastAsia="zh-CN"/>
              </w:rPr>
            </w:pPr>
            <w:r>
              <w:rPr>
                <w:rFonts w:hint="eastAsia" w:cs="Times New Roman"/>
                <w:sz w:val="24"/>
                <w:lang w:val="en-US" w:eastAsia="zh-CN"/>
              </w:rPr>
              <w:t>0</w:t>
            </w:r>
          </w:p>
        </w:tc>
        <w:tc>
          <w:tcPr>
            <w:tcW w:w="1688"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eastAsia="宋体" w:cs="Times New Roman"/>
                <w:sz w:val="24"/>
                <w:lang w:val="en-US" w:eastAsia="zh-CN"/>
              </w:rPr>
            </w:pPr>
            <w:r>
              <w:rPr>
                <w:rFonts w:hint="eastAsia" w:cs="Times New Roman"/>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8140" w:type="dxa"/>
            <w:gridSpan w:val="4"/>
            <w:noWrap w:val="0"/>
            <w:vAlign w:val="top"/>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default" w:ascii="Times New Roman" w:hAnsi="Times New Roman" w:cs="Times New Roman"/>
                <w:sz w:val="24"/>
              </w:rPr>
            </w:pPr>
            <w:r>
              <w:rPr>
                <w:rFonts w:hint="default" w:ascii="Times New Roman" w:hAnsi="Times New Roman" w:cs="Times New Roman"/>
                <w:kern w:val="0"/>
                <w:sz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708"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default" w:ascii="Times New Roman" w:hAnsi="Times New Roman" w:cs="Times New Roman"/>
                <w:kern w:val="0"/>
                <w:sz w:val="24"/>
              </w:rPr>
              <w:t>信息内容</w:t>
            </w:r>
          </w:p>
        </w:tc>
        <w:tc>
          <w:tcPr>
            <w:tcW w:w="5432" w:type="dxa"/>
            <w:gridSpan w:val="3"/>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default" w:ascii="Times New Roman" w:hAnsi="Times New Roman" w:cs="Times New Roman"/>
                <w:kern w:val="0"/>
                <w:sz w:val="24"/>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4" w:hRule="atLeast"/>
          <w:jc w:val="center"/>
        </w:trPr>
        <w:tc>
          <w:tcPr>
            <w:tcW w:w="2708"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default" w:ascii="Times New Roman" w:hAnsi="Times New Roman" w:cs="Times New Roman"/>
                <w:kern w:val="0"/>
                <w:sz w:val="24"/>
              </w:rPr>
              <w:t>行政许可</w:t>
            </w:r>
          </w:p>
        </w:tc>
        <w:tc>
          <w:tcPr>
            <w:tcW w:w="2132"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0</w:t>
            </w:r>
          </w:p>
        </w:tc>
        <w:tc>
          <w:tcPr>
            <w:tcW w:w="1612"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0</w:t>
            </w:r>
          </w:p>
        </w:tc>
        <w:tc>
          <w:tcPr>
            <w:tcW w:w="1688"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8140" w:type="dxa"/>
            <w:gridSpan w:val="4"/>
            <w:noWrap w:val="0"/>
            <w:vAlign w:val="top"/>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default" w:ascii="Times New Roman" w:hAnsi="Times New Roman" w:cs="Times New Roman"/>
                <w:sz w:val="24"/>
              </w:rPr>
            </w:pPr>
            <w:r>
              <w:rPr>
                <w:rFonts w:hint="default" w:ascii="Times New Roman" w:hAnsi="Times New Roman" w:cs="Times New Roman"/>
                <w:kern w:val="0"/>
                <w:sz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708"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default" w:ascii="Times New Roman" w:hAnsi="Times New Roman" w:cs="Times New Roman"/>
                <w:kern w:val="0"/>
                <w:sz w:val="24"/>
              </w:rPr>
              <w:t>信息内容</w:t>
            </w:r>
          </w:p>
        </w:tc>
        <w:tc>
          <w:tcPr>
            <w:tcW w:w="5432" w:type="dxa"/>
            <w:gridSpan w:val="3"/>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default" w:ascii="Times New Roman" w:hAnsi="Times New Roman" w:cs="Times New Roman"/>
                <w:kern w:val="0"/>
                <w:sz w:val="24"/>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708"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default" w:ascii="Times New Roman" w:hAnsi="Times New Roman" w:cs="Times New Roman"/>
                <w:kern w:val="0"/>
                <w:sz w:val="24"/>
              </w:rPr>
              <w:t>行政处罚</w:t>
            </w:r>
          </w:p>
        </w:tc>
        <w:tc>
          <w:tcPr>
            <w:tcW w:w="5432" w:type="dxa"/>
            <w:gridSpan w:val="3"/>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jc w:val="center"/>
        </w:trPr>
        <w:tc>
          <w:tcPr>
            <w:tcW w:w="2708"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default" w:ascii="Times New Roman" w:hAnsi="Times New Roman" w:cs="Times New Roman"/>
                <w:kern w:val="0"/>
                <w:sz w:val="24"/>
              </w:rPr>
              <w:t>行政强制</w:t>
            </w:r>
          </w:p>
        </w:tc>
        <w:tc>
          <w:tcPr>
            <w:tcW w:w="5432" w:type="dxa"/>
            <w:gridSpan w:val="3"/>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jc w:val="center"/>
        </w:trPr>
        <w:tc>
          <w:tcPr>
            <w:tcW w:w="8140" w:type="dxa"/>
            <w:gridSpan w:val="4"/>
            <w:noWrap w:val="0"/>
            <w:vAlign w:val="top"/>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default" w:ascii="Times New Roman" w:hAnsi="Times New Roman" w:cs="Times New Roman"/>
                <w:sz w:val="24"/>
              </w:rPr>
            </w:pPr>
            <w:r>
              <w:rPr>
                <w:rFonts w:hint="default" w:ascii="Times New Roman" w:hAnsi="Times New Roman" w:cs="Times New Roman"/>
                <w:kern w:val="0"/>
                <w:sz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2708"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default" w:ascii="Times New Roman" w:hAnsi="Times New Roman" w:cs="Times New Roman"/>
                <w:kern w:val="0"/>
                <w:sz w:val="24"/>
              </w:rPr>
              <w:t>信息内容</w:t>
            </w:r>
          </w:p>
        </w:tc>
        <w:tc>
          <w:tcPr>
            <w:tcW w:w="5432" w:type="dxa"/>
            <w:gridSpan w:val="3"/>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default" w:ascii="Times New Roman" w:hAnsi="Times New Roman" w:cs="Times New Roman"/>
                <w:kern w:val="0"/>
                <w:sz w:val="24"/>
                <w:lang w:val="en-US" w:eastAsia="zh-CN"/>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 w:hRule="atLeast"/>
          <w:jc w:val="center"/>
        </w:trPr>
        <w:tc>
          <w:tcPr>
            <w:tcW w:w="2708" w:type="dxa"/>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default" w:ascii="Times New Roman" w:hAnsi="Times New Roman" w:cs="Times New Roman"/>
                <w:kern w:val="0"/>
                <w:sz w:val="24"/>
              </w:rPr>
              <w:t>行政事业性收费</w:t>
            </w:r>
          </w:p>
        </w:tc>
        <w:tc>
          <w:tcPr>
            <w:tcW w:w="5432" w:type="dxa"/>
            <w:gridSpan w:val="3"/>
            <w:noWrap w:val="0"/>
            <w:vAlign w:val="top"/>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0</w:t>
            </w:r>
          </w:p>
        </w:tc>
      </w:tr>
    </w:tbl>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textAlignment w:val="baseline"/>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0"/>
          <w:lang w:val="en-US" w:eastAsia="zh-CN"/>
        </w:rPr>
        <w:t xml:space="preserve">    </w:t>
      </w:r>
      <w:r>
        <w:rPr>
          <w:rFonts w:hint="default" w:ascii="Times New Roman" w:hAnsi="Times New Roman" w:eastAsia="黑体" w:cs="Times New Roman"/>
          <w:sz w:val="32"/>
          <w:szCs w:val="30"/>
        </w:rPr>
        <w:t>三、收到和处理政府信息公开申请情况</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该部分以表格形式报告。表格如下：</w:t>
      </w:r>
    </w:p>
    <w:tbl>
      <w:tblPr>
        <w:tblStyle w:val="7"/>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7"/>
        <w:gridCol w:w="936"/>
        <w:gridCol w:w="3377"/>
        <w:gridCol w:w="456"/>
        <w:gridCol w:w="707"/>
        <w:gridCol w:w="707"/>
        <w:gridCol w:w="706"/>
        <w:gridCol w:w="707"/>
        <w:gridCol w:w="465"/>
        <w:gridCol w:w="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81" w:hRule="atLeast"/>
          <w:jc w:val="center"/>
        </w:trPr>
        <w:tc>
          <w:tcPr>
            <w:tcW w:w="5010" w:type="dxa"/>
            <w:gridSpan w:val="3"/>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default" w:ascii="Times New Roman" w:hAnsi="Times New Roman" w:cs="Times New Roman"/>
                <w:kern w:val="0"/>
                <w:sz w:val="24"/>
              </w:rPr>
              <w:t>（本列数据的勾稽关系为：第一项加第二项之和，等于第三项加第四项之和）</w:t>
            </w:r>
          </w:p>
        </w:tc>
        <w:tc>
          <w:tcPr>
            <w:tcW w:w="4204" w:type="dxa"/>
            <w:gridSpan w:val="7"/>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default" w:ascii="Times New Roman" w:hAnsi="Times New Roman" w:cs="Times New Roman"/>
                <w:sz w:val="24"/>
              </w:rPr>
            </w:pPr>
            <w:r>
              <w:rPr>
                <w:rFonts w:hint="default" w:ascii="Times New Roman" w:hAnsi="Times New Roman" w:cs="Times New Roman"/>
                <w:kern w:val="0"/>
                <w:sz w:val="24"/>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10" w:type="dxa"/>
            <w:gridSpan w:val="3"/>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456"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default" w:ascii="Times New Roman" w:hAnsi="Times New Roman" w:cs="Times New Roman"/>
                <w:sz w:val="24"/>
              </w:rPr>
            </w:pPr>
            <w:r>
              <w:rPr>
                <w:rFonts w:hint="default" w:ascii="Times New Roman" w:hAnsi="Times New Roman" w:cs="Times New Roman"/>
                <w:kern w:val="0"/>
                <w:sz w:val="24"/>
              </w:rPr>
              <w:t>自</w:t>
            </w:r>
            <w:r>
              <w:rPr>
                <w:rFonts w:hint="default" w:ascii="Times New Roman" w:hAnsi="Times New Roman" w:cs="Times New Roman"/>
                <w:kern w:val="0"/>
                <w:sz w:val="24"/>
                <w:lang w:eastAsia="zh-CN"/>
              </w:rPr>
              <w:t>自</w:t>
            </w:r>
            <w:r>
              <w:rPr>
                <w:rFonts w:hint="default" w:ascii="Times New Roman" w:hAnsi="Times New Roman" w:cs="Times New Roman"/>
                <w:kern w:val="0"/>
                <w:sz w:val="24"/>
              </w:rPr>
              <w:t>然人</w:t>
            </w:r>
          </w:p>
        </w:tc>
        <w:tc>
          <w:tcPr>
            <w:tcW w:w="3292" w:type="dxa"/>
            <w:gridSpan w:val="5"/>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default" w:ascii="Times New Roman" w:hAnsi="Times New Roman" w:cs="Times New Roman"/>
                <w:sz w:val="24"/>
              </w:rPr>
            </w:pPr>
            <w:r>
              <w:rPr>
                <w:rFonts w:hint="default" w:ascii="Times New Roman" w:hAnsi="Times New Roman" w:cs="Times New Roman"/>
                <w:kern w:val="0"/>
                <w:sz w:val="24"/>
              </w:rPr>
              <w:t>法人或其他组织</w:t>
            </w:r>
          </w:p>
        </w:tc>
        <w:tc>
          <w:tcPr>
            <w:tcW w:w="456"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default" w:ascii="Times New Roman" w:hAnsi="Times New Roman" w:cs="Times New Roman"/>
                <w:sz w:val="24"/>
              </w:rPr>
            </w:pPr>
            <w:r>
              <w:rPr>
                <w:rFonts w:hint="default" w:ascii="Times New Roman" w:hAnsi="Times New Roman" w:cs="Times New Roman"/>
                <w:kern w:val="0"/>
                <w:sz w:val="24"/>
              </w:rPr>
              <w:t>总</w:t>
            </w:r>
            <w:r>
              <w:rPr>
                <w:rFonts w:hint="default" w:ascii="Times New Roman" w:hAnsi="Times New Roman" w:cs="Times New Roman"/>
                <w:kern w:val="0"/>
                <w:sz w:val="24"/>
                <w:lang w:eastAsia="zh-CN"/>
              </w:rPr>
              <w:t>总</w:t>
            </w:r>
            <w:r>
              <w:rPr>
                <w:rFonts w:hint="default" w:ascii="Times New Roman" w:hAnsi="Times New Roman" w:cs="Times New Roman"/>
                <w:kern w:val="0"/>
                <w:sz w:val="24"/>
              </w:rPr>
              <w:t>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95" w:hRule="atLeast"/>
          <w:jc w:val="center"/>
        </w:trPr>
        <w:tc>
          <w:tcPr>
            <w:tcW w:w="5010" w:type="dxa"/>
            <w:gridSpan w:val="3"/>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45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default" w:ascii="Times New Roman" w:hAnsi="Times New Roman" w:cs="Times New Roman"/>
                <w:kern w:val="0"/>
                <w:sz w:val="24"/>
              </w:rPr>
              <w:t>商业企业</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default" w:ascii="Times New Roman" w:hAnsi="Times New Roman" w:cs="Times New Roman"/>
                <w:kern w:val="0"/>
                <w:sz w:val="24"/>
              </w:rPr>
              <w:t>科研机构</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default" w:ascii="Times New Roman" w:hAnsi="Times New Roman" w:cs="Times New Roman"/>
                <w:kern w:val="0"/>
                <w:sz w:val="24"/>
              </w:rPr>
              <w:t>社会公益组织</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default" w:ascii="Times New Roman" w:hAnsi="Times New Roman" w:cs="Times New Roman"/>
                <w:kern w:val="0"/>
                <w:sz w:val="24"/>
              </w:rPr>
              <w:t>法律服务机构</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baseline"/>
              <w:rPr>
                <w:rFonts w:hint="default" w:ascii="Times New Roman" w:hAnsi="Times New Roman" w:cs="Times New Roman"/>
                <w:kern w:val="0"/>
                <w:sz w:val="24"/>
              </w:rPr>
            </w:pPr>
            <w:r>
              <w:rPr>
                <w:rFonts w:hint="default" w:ascii="Times New Roman" w:hAnsi="Times New Roman" w:cs="Times New Roman"/>
                <w:kern w:val="0"/>
                <w:sz w:val="24"/>
              </w:rPr>
              <w:t>其</w:t>
            </w:r>
          </w:p>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default" w:ascii="Times New Roman" w:hAnsi="Times New Roman" w:cs="Times New Roman"/>
                <w:kern w:val="0"/>
                <w:sz w:val="24"/>
                <w:lang w:eastAsia="zh-CN"/>
              </w:rPr>
              <w:t>其</w:t>
            </w:r>
            <w:r>
              <w:rPr>
                <w:rFonts w:hint="default" w:ascii="Times New Roman" w:hAnsi="Times New Roman" w:cs="Times New Roman"/>
                <w:kern w:val="0"/>
                <w:sz w:val="24"/>
              </w:rPr>
              <w:t>他</w:t>
            </w:r>
          </w:p>
        </w:tc>
        <w:tc>
          <w:tcPr>
            <w:tcW w:w="45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0" w:hRule="atLeast"/>
          <w:jc w:val="center"/>
        </w:trPr>
        <w:tc>
          <w:tcPr>
            <w:tcW w:w="5010"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cs="Times New Roman"/>
                <w:sz w:val="24"/>
              </w:rPr>
            </w:pPr>
            <w:r>
              <w:rPr>
                <w:rFonts w:hint="default" w:ascii="Times New Roman" w:hAnsi="Times New Roman" w:cs="Times New Roman"/>
                <w:kern w:val="0"/>
                <w:sz w:val="24"/>
              </w:rPr>
              <w:t>一、本年新收政府信息公开申请数量</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lang w:val="en-US"/>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10"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cs="Times New Roman"/>
                <w:sz w:val="24"/>
              </w:rPr>
            </w:pPr>
            <w:r>
              <w:rPr>
                <w:rFonts w:hint="default" w:ascii="Times New Roman" w:hAnsi="Times New Roman" w:cs="Times New Roman"/>
                <w:kern w:val="0"/>
                <w:sz w:val="24"/>
              </w:rPr>
              <w:t>二、上年结转政府信息公开申请数量</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lang w:val="en-US"/>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sz w:val="24"/>
                <w:lang w:val="en-US" w:eastAsia="zh-CN"/>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7" w:hRule="atLeast"/>
          <w:jc w:val="center"/>
        </w:trPr>
        <w:tc>
          <w:tcPr>
            <w:tcW w:w="697"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default" w:ascii="Times New Roman" w:hAnsi="Times New Roman" w:cs="Times New Roman"/>
                <w:kern w:val="0"/>
                <w:sz w:val="24"/>
              </w:rPr>
              <w:t>三、本年度办理结果</w:t>
            </w:r>
          </w:p>
        </w:tc>
        <w:tc>
          <w:tcPr>
            <w:tcW w:w="4313"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（一）予以公开</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sz w:val="24"/>
                <w:lang w:val="en-US" w:eastAsia="zh-CN"/>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35" w:hRule="atLeast"/>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4313"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（二）部分公开（区分处理的，只计这一情形，不计其他情形）</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sz w:val="24"/>
                <w:lang w:val="en-US" w:eastAsia="zh-CN"/>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（三）不予公开</w:t>
            </w: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1.属于国家秘密</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9" w:hRule="atLeast"/>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2.其他法律行政法规禁止公开</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3.危及“三安全一稳定”</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4.保护第三方合法权益</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5.属于三类内部事务信息</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6.属于四类过程性信息</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7.属于行政执法案卷</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0" w:hRule="atLeast"/>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8.属于行政查询事项</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7" w:hRule="atLeast"/>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（四）无法提供</w:t>
            </w: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1.本机关不掌握相关政府信息</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2.没有现成信息需要另行制作</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3.补正后申请内容仍不明确</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（五）不予处理</w:t>
            </w: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1.信访举报投诉类申请</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2.重复申请</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3.要求提供公开出版物</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4.无正当理由大量反复申请</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sz w:val="24"/>
              </w:rPr>
            </w:pPr>
            <w:r>
              <w:rPr>
                <w:rFonts w:hint="default" w:ascii="Times New Roman" w:hAnsi="Times New Roman" w:eastAsia="楷体" w:cs="Times New Roman"/>
                <w:kern w:val="0"/>
                <w:sz w:val="24"/>
              </w:rPr>
              <w:t>5.要求行政机关确认或重新出具已获取信息</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3" w:hRule="atLeast"/>
          <w:jc w:val="center"/>
        </w:trPr>
        <w:tc>
          <w:tcPr>
            <w:tcW w:w="697"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textAlignment w:val="baseline"/>
              <w:rPr>
                <w:rFonts w:hint="default" w:ascii="Times New Roman" w:hAnsi="Times New Roman" w:cs="Times New Roman"/>
                <w:sz w:val="24"/>
              </w:rPr>
            </w:pPr>
            <w:r>
              <w:rPr>
                <w:rFonts w:hint="default" w:ascii="Times New Roman" w:hAnsi="Times New Roman" w:eastAsia="楷体" w:cs="Times New Roman"/>
                <w:kern w:val="0"/>
                <w:sz w:val="24"/>
              </w:rPr>
              <w:t>（六）其他处理</w:t>
            </w: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eastAsia="楷体" w:cs="Times New Roman"/>
                <w:kern w:val="0"/>
                <w:sz w:val="24"/>
                <w:lang w:val="en-US" w:eastAsia="zh-CN"/>
              </w:rPr>
            </w:pPr>
            <w:r>
              <w:rPr>
                <w:rFonts w:hint="default" w:ascii="Times New Roman" w:hAnsi="Times New Roman" w:eastAsia="楷体" w:cs="Times New Roman"/>
                <w:kern w:val="0"/>
                <w:sz w:val="24"/>
                <w:lang w:val="en-US" w:eastAsia="zh-CN"/>
              </w:rPr>
              <w:t>1.申请人无正当理由逾期不补正、行政机关不再处理其政府信息公开申请</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kern w:val="0"/>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kern w:val="0"/>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eastAsia="楷体" w:cs="Times New Roman"/>
                <w:kern w:val="0"/>
                <w:sz w:val="24"/>
                <w:lang w:val="en-US" w:eastAsia="zh-CN"/>
              </w:rPr>
            </w:pPr>
            <w:r>
              <w:rPr>
                <w:rFonts w:hint="default" w:ascii="Times New Roman" w:hAnsi="Times New Roman" w:eastAsia="楷体" w:cs="Times New Roman"/>
                <w:kern w:val="0"/>
                <w:sz w:val="24"/>
                <w:lang w:val="en-US" w:eastAsia="zh-CN"/>
              </w:rPr>
              <w:t>2.申请人逾期未按收费通知要求缴纳费用、行政机关不再处理其政府信息公开申请</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kern w:val="0"/>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kern w:val="0"/>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93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337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eastAsia="楷体" w:cs="Times New Roman"/>
                <w:kern w:val="0"/>
                <w:sz w:val="24"/>
                <w:lang w:val="en-US" w:eastAsia="zh-CN"/>
              </w:rPr>
            </w:pPr>
            <w:r>
              <w:rPr>
                <w:rFonts w:hint="default" w:ascii="Times New Roman" w:hAnsi="Times New Roman" w:eastAsia="楷体" w:cs="Times New Roman"/>
                <w:kern w:val="0"/>
                <w:sz w:val="24"/>
                <w:lang w:val="en-US" w:eastAsia="zh-CN"/>
              </w:rPr>
              <w:t>3.其他</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kern w:val="0"/>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kern w:val="0"/>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69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baseline"/>
              <w:rPr>
                <w:rFonts w:hint="default" w:ascii="Times New Roman" w:hAnsi="Times New Roman" w:cs="Times New Roman"/>
                <w:sz w:val="24"/>
              </w:rPr>
            </w:pPr>
          </w:p>
        </w:tc>
        <w:tc>
          <w:tcPr>
            <w:tcW w:w="4313"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eastAsia="楷体" w:cs="Times New Roman"/>
                <w:kern w:val="0"/>
                <w:sz w:val="24"/>
                <w:lang w:val="en-US" w:eastAsia="zh-CN"/>
              </w:rPr>
            </w:pPr>
            <w:r>
              <w:rPr>
                <w:rFonts w:hint="default" w:ascii="Times New Roman" w:hAnsi="Times New Roman" w:eastAsia="楷体" w:cs="Times New Roman"/>
                <w:kern w:val="0"/>
                <w:sz w:val="24"/>
                <w:lang w:val="en-US" w:eastAsia="zh-CN"/>
              </w:rPr>
              <w:t>（七）总计</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kern w:val="0"/>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10"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eastAsia="楷体" w:cs="Times New Roman"/>
                <w:kern w:val="0"/>
                <w:sz w:val="24"/>
                <w:lang w:val="en-US" w:eastAsia="zh-CN"/>
              </w:rPr>
            </w:pPr>
            <w:r>
              <w:rPr>
                <w:rFonts w:hint="default" w:ascii="Times New Roman" w:hAnsi="Times New Roman" w:eastAsia="楷体" w:cs="Times New Roman"/>
                <w:kern w:val="0"/>
                <w:sz w:val="24"/>
                <w:lang w:val="en-US" w:eastAsia="zh-CN"/>
              </w:rPr>
              <w:t>四、结转下年度继续办理</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kern w:val="0"/>
                <w:sz w:val="24"/>
              </w:rPr>
            </w:pPr>
            <w:r>
              <w:rPr>
                <w:rFonts w:hint="eastAsia" w:ascii="Times New Roman" w:hAnsi="Times New Roman" w:cs="Times New Roman"/>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419" w:firstLineChars="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7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240" w:firstLineChars="10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46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kern w:val="0"/>
                <w:sz w:val="24"/>
              </w:rPr>
            </w:pPr>
            <w:r>
              <w:rPr>
                <w:rFonts w:hint="eastAsia" w:ascii="Times New Roman" w:hAnsi="Times New Roman" w:cs="Times New Roman"/>
                <w:kern w:val="0"/>
                <w:sz w:val="24"/>
                <w:lang w:val="en-US" w:eastAsia="zh-CN"/>
              </w:rPr>
              <w:t>0</w:t>
            </w:r>
          </w:p>
        </w:tc>
      </w:tr>
    </w:tbl>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四、政府信息公开行政复议、行政诉讼情况</w:t>
      </w:r>
      <w:r>
        <w:rPr>
          <w:rFonts w:hint="default" w:ascii="Times New Roman" w:hAnsi="Times New Roman" w:eastAsia="黑体" w:cs="Times New Roman"/>
          <w:sz w:val="32"/>
          <w:szCs w:val="32"/>
          <w:lang w:val="en-US" w:eastAsia="zh-CN"/>
        </w:rPr>
        <w:t xml:space="preserve">   </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default" w:ascii="Times New Roman" w:hAnsi="Times New Roman" w:eastAsia="仿宋_GB2312" w:cs="Times New Roman"/>
          <w:spacing w:val="-17"/>
          <w:kern w:val="0"/>
          <w:sz w:val="24"/>
          <w:szCs w:val="24"/>
        </w:rPr>
      </w:pPr>
      <w:r>
        <w:rPr>
          <w:rFonts w:hint="default" w:ascii="Times New Roman" w:hAnsi="Times New Roman" w:eastAsia="仿宋_GB2312" w:cs="Times New Roman"/>
          <w:sz w:val="32"/>
          <w:szCs w:val="32"/>
        </w:rPr>
        <w:t>该部分以表格形式报告</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表格如下：</w:t>
      </w:r>
    </w:p>
    <w:tbl>
      <w:tblPr>
        <w:tblStyle w:val="7"/>
        <w:tblpPr w:leftFromText="180" w:rightFromText="180" w:vertAnchor="text" w:horzAnchor="page" w:tblpX="1637" w:tblpY="500"/>
        <w:tblOverlap w:val="never"/>
        <w:tblW w:w="94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6"/>
        <w:gridCol w:w="851"/>
        <w:gridCol w:w="836"/>
        <w:gridCol w:w="706"/>
        <w:gridCol w:w="456"/>
        <w:gridCol w:w="706"/>
        <w:gridCol w:w="706"/>
        <w:gridCol w:w="711"/>
        <w:gridCol w:w="789"/>
        <w:gridCol w:w="456"/>
        <w:gridCol w:w="456"/>
        <w:gridCol w:w="527"/>
        <w:gridCol w:w="456"/>
        <w:gridCol w:w="469"/>
        <w:gridCol w:w="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45" w:hRule="atLeast"/>
        </w:trPr>
        <w:tc>
          <w:tcPr>
            <w:tcW w:w="3695" w:type="dxa"/>
            <w:gridSpan w:val="5"/>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行政复议</w:t>
            </w:r>
          </w:p>
        </w:tc>
        <w:tc>
          <w:tcPr>
            <w:tcW w:w="5732" w:type="dxa"/>
            <w:gridSpan w:val="10"/>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846"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结果维持</w:t>
            </w:r>
          </w:p>
        </w:tc>
        <w:tc>
          <w:tcPr>
            <w:tcW w:w="85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结果纠正</w:t>
            </w:r>
          </w:p>
        </w:tc>
        <w:tc>
          <w:tcPr>
            <w:tcW w:w="836"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其他结果</w:t>
            </w:r>
          </w:p>
        </w:tc>
        <w:tc>
          <w:tcPr>
            <w:tcW w:w="706"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尚未审结</w:t>
            </w:r>
          </w:p>
        </w:tc>
        <w:tc>
          <w:tcPr>
            <w:tcW w:w="456"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总</w:t>
            </w:r>
            <w:r>
              <w:rPr>
                <w:rFonts w:hint="default" w:ascii="Times New Roman" w:hAnsi="Times New Roman" w:cs="Times New Roman"/>
                <w:kern w:val="0"/>
                <w:sz w:val="24"/>
                <w:szCs w:val="24"/>
                <w:lang w:eastAsia="zh-CN"/>
              </w:rPr>
              <w:t>总</w:t>
            </w:r>
            <w:r>
              <w:rPr>
                <w:rFonts w:hint="default" w:ascii="Times New Roman" w:hAnsi="Times New Roman" w:cs="Times New Roman"/>
                <w:kern w:val="0"/>
                <w:sz w:val="24"/>
                <w:szCs w:val="24"/>
              </w:rPr>
              <w:t>计</w:t>
            </w:r>
          </w:p>
        </w:tc>
        <w:tc>
          <w:tcPr>
            <w:tcW w:w="3368" w:type="dxa"/>
            <w:gridSpan w:val="5"/>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lang w:val="en-US" w:eastAsia="zh-CN"/>
              </w:rPr>
              <w:t xml:space="preserve">  </w:t>
            </w:r>
            <w:r>
              <w:rPr>
                <w:rFonts w:hint="default" w:ascii="Times New Roman" w:hAnsi="Times New Roman" w:cs="Times New Roman"/>
                <w:kern w:val="0"/>
                <w:sz w:val="24"/>
                <w:szCs w:val="24"/>
              </w:rPr>
              <w:t>未经复议直接起诉</w:t>
            </w:r>
          </w:p>
        </w:tc>
        <w:tc>
          <w:tcPr>
            <w:tcW w:w="2364" w:type="dxa"/>
            <w:gridSpan w:val="5"/>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846" w:type="dxa"/>
            <w:vMerge w:val="continue"/>
            <w:tcBorders>
              <w:top w:val="nil"/>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cs="Times New Roman"/>
                <w:kern w:val="0"/>
                <w:sz w:val="24"/>
                <w:szCs w:val="24"/>
              </w:rPr>
            </w:pPr>
          </w:p>
        </w:tc>
        <w:tc>
          <w:tcPr>
            <w:tcW w:w="85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cs="Times New Roman"/>
                <w:kern w:val="0"/>
                <w:sz w:val="24"/>
                <w:szCs w:val="24"/>
              </w:rPr>
            </w:pPr>
          </w:p>
        </w:tc>
        <w:tc>
          <w:tcPr>
            <w:tcW w:w="83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cs="Times New Roman"/>
                <w:kern w:val="0"/>
                <w:sz w:val="24"/>
                <w:szCs w:val="24"/>
              </w:rPr>
            </w:pPr>
          </w:p>
        </w:tc>
        <w:tc>
          <w:tcPr>
            <w:tcW w:w="70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cs="Times New Roman"/>
                <w:kern w:val="0"/>
                <w:sz w:val="24"/>
                <w:szCs w:val="24"/>
              </w:rPr>
            </w:pPr>
          </w:p>
        </w:tc>
        <w:tc>
          <w:tcPr>
            <w:tcW w:w="45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cs="Times New Roman"/>
                <w:kern w:val="0"/>
                <w:sz w:val="24"/>
                <w:szCs w:val="24"/>
              </w:rPr>
            </w:pP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结果维持</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结果纠正</w:t>
            </w:r>
          </w:p>
        </w:tc>
        <w:tc>
          <w:tcPr>
            <w:tcW w:w="71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其他结果</w:t>
            </w:r>
          </w:p>
        </w:tc>
        <w:tc>
          <w:tcPr>
            <w:tcW w:w="78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尚未审结</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总</w:t>
            </w:r>
            <w:r>
              <w:rPr>
                <w:rFonts w:hint="default" w:ascii="Times New Roman" w:hAnsi="Times New Roman" w:cs="Times New Roman"/>
                <w:kern w:val="0"/>
                <w:sz w:val="24"/>
                <w:szCs w:val="24"/>
                <w:lang w:eastAsia="zh-CN"/>
              </w:rPr>
              <w:t>总</w:t>
            </w:r>
            <w:r>
              <w:rPr>
                <w:rFonts w:hint="default" w:ascii="Times New Roman" w:hAnsi="Times New Roman" w:cs="Times New Roman"/>
                <w:kern w:val="0"/>
                <w:sz w:val="24"/>
                <w:szCs w:val="24"/>
              </w:rPr>
              <w:t>计</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结</w:t>
            </w:r>
            <w:r>
              <w:rPr>
                <w:rFonts w:hint="default" w:ascii="Times New Roman" w:hAnsi="Times New Roman" w:cs="Times New Roman"/>
                <w:kern w:val="0"/>
                <w:sz w:val="24"/>
                <w:szCs w:val="24"/>
                <w:lang w:eastAsia="zh-CN"/>
              </w:rPr>
              <w:t>结</w:t>
            </w:r>
            <w:r>
              <w:rPr>
                <w:rFonts w:hint="default" w:ascii="Times New Roman" w:hAnsi="Times New Roman" w:cs="Times New Roman"/>
                <w:kern w:val="0"/>
                <w:sz w:val="24"/>
                <w:szCs w:val="24"/>
              </w:rPr>
              <w:t>果维持</w:t>
            </w:r>
          </w:p>
        </w:tc>
        <w:tc>
          <w:tcPr>
            <w:tcW w:w="52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结</w:t>
            </w:r>
            <w:r>
              <w:rPr>
                <w:rFonts w:hint="default" w:ascii="Times New Roman" w:hAnsi="Times New Roman" w:cs="Times New Roman"/>
                <w:kern w:val="0"/>
                <w:sz w:val="24"/>
                <w:szCs w:val="24"/>
                <w:lang w:eastAsia="zh-CN"/>
              </w:rPr>
              <w:t>结</w:t>
            </w:r>
            <w:r>
              <w:rPr>
                <w:rFonts w:hint="default" w:ascii="Times New Roman" w:hAnsi="Times New Roman" w:cs="Times New Roman"/>
                <w:kern w:val="0"/>
                <w:sz w:val="24"/>
                <w:szCs w:val="24"/>
              </w:rPr>
              <w:t>果纠正</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其</w:t>
            </w:r>
            <w:r>
              <w:rPr>
                <w:rFonts w:hint="default" w:ascii="Times New Roman" w:hAnsi="Times New Roman" w:cs="Times New Roman"/>
                <w:kern w:val="0"/>
                <w:sz w:val="24"/>
                <w:szCs w:val="24"/>
                <w:lang w:eastAsia="zh-CN"/>
              </w:rPr>
              <w:t>其</w:t>
            </w:r>
            <w:r>
              <w:rPr>
                <w:rFonts w:hint="default" w:ascii="Times New Roman" w:hAnsi="Times New Roman" w:cs="Times New Roman"/>
                <w:kern w:val="0"/>
                <w:sz w:val="24"/>
                <w:szCs w:val="24"/>
              </w:rPr>
              <w:t>他结果</w:t>
            </w:r>
          </w:p>
        </w:tc>
        <w:tc>
          <w:tcPr>
            <w:tcW w:w="46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尚</w:t>
            </w:r>
            <w:r>
              <w:rPr>
                <w:rFonts w:hint="default" w:ascii="Times New Roman" w:hAnsi="Times New Roman" w:cs="Times New Roman"/>
                <w:kern w:val="0"/>
                <w:sz w:val="24"/>
                <w:szCs w:val="24"/>
                <w:lang w:eastAsia="zh-CN"/>
              </w:rPr>
              <w:t>尚</w:t>
            </w:r>
            <w:r>
              <w:rPr>
                <w:rFonts w:hint="default" w:ascii="Times New Roman" w:hAnsi="Times New Roman" w:cs="Times New Roman"/>
                <w:kern w:val="0"/>
                <w:sz w:val="24"/>
                <w:szCs w:val="24"/>
              </w:rPr>
              <w:t>未审结</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cs="Times New Roman"/>
                <w:kern w:val="0"/>
                <w:sz w:val="24"/>
                <w:szCs w:val="24"/>
              </w:rPr>
            </w:pPr>
            <w:r>
              <w:rPr>
                <w:rFonts w:hint="default" w:ascii="Times New Roman" w:hAnsi="Times New Roman" w:cs="Times New Roman"/>
                <w:kern w:val="0"/>
                <w:sz w:val="24"/>
                <w:szCs w:val="24"/>
              </w:rPr>
              <w:t>总</w:t>
            </w:r>
            <w:r>
              <w:rPr>
                <w:rFonts w:hint="default" w:ascii="Times New Roman" w:hAnsi="Times New Roman" w:cs="Times New Roman"/>
                <w:kern w:val="0"/>
                <w:sz w:val="24"/>
                <w:szCs w:val="24"/>
                <w:lang w:eastAsia="zh-CN"/>
              </w:rPr>
              <w:t>总</w:t>
            </w:r>
            <w:r>
              <w:rPr>
                <w:rFonts w:hint="default" w:ascii="Times New Roman" w:hAnsi="Times New Roman" w:cs="Times New Roman"/>
                <w:kern w:val="0"/>
                <w:sz w:val="24"/>
                <w:szCs w:val="24"/>
              </w:rPr>
              <w:t>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84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83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70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71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78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52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46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c>
          <w:tcPr>
            <w:tcW w:w="45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baseline"/>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0</w:t>
            </w:r>
          </w:p>
        </w:tc>
      </w:tr>
    </w:tbl>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baseline"/>
        <w:rPr>
          <w:rFonts w:hint="eastAsia" w:ascii="Times New Roman" w:hAnsi="Times New Roman" w:eastAsia="黑体" w:cs="Times New Roman"/>
          <w:sz w:val="32"/>
          <w:szCs w:val="32"/>
          <w:lang w:eastAsia="zh-CN"/>
        </w:rPr>
      </w:pPr>
      <w:r>
        <w:rPr>
          <w:rFonts w:hint="default" w:ascii="Times New Roman" w:hAnsi="Times New Roman" w:eastAsia="仿宋_GB2312" w:cs="Times New Roman"/>
          <w:color w:val="000000"/>
          <w:kern w:val="0"/>
          <w:sz w:val="32"/>
          <w:szCs w:val="32"/>
          <w:lang w:val="en-US" w:eastAsia="zh-CN" w:bidi="ar-SA"/>
        </w:rPr>
        <w:t>截至202</w:t>
      </w:r>
      <w:r>
        <w:rPr>
          <w:rFonts w:hint="eastAsia" w:eastAsia="仿宋_GB2312" w:cs="Times New Roman"/>
          <w:color w:val="000000"/>
          <w:kern w:val="0"/>
          <w:sz w:val="32"/>
          <w:szCs w:val="32"/>
          <w:lang w:val="en-US" w:eastAsia="zh-CN" w:bidi="ar-SA"/>
        </w:rPr>
        <w:t>3</w:t>
      </w:r>
      <w:r>
        <w:rPr>
          <w:rFonts w:hint="default" w:ascii="Times New Roman" w:hAnsi="Times New Roman" w:eastAsia="仿宋_GB2312" w:cs="Times New Roman"/>
          <w:color w:val="000000"/>
          <w:kern w:val="0"/>
          <w:sz w:val="32"/>
          <w:szCs w:val="32"/>
          <w:lang w:val="en-US" w:eastAsia="zh-CN" w:bidi="ar-SA"/>
        </w:rPr>
        <w:t>年12月31日，</w:t>
      </w:r>
      <w:r>
        <w:rPr>
          <w:rFonts w:hint="eastAsia" w:eastAsia="仿宋_GB2312" w:cs="Times New Roman"/>
          <w:color w:val="000000"/>
          <w:kern w:val="0"/>
          <w:sz w:val="32"/>
          <w:szCs w:val="32"/>
          <w:lang w:val="en-US" w:eastAsia="zh-CN" w:bidi="ar-SA"/>
        </w:rPr>
        <w:t>昌吉</w:t>
      </w:r>
      <w:r>
        <w:rPr>
          <w:rFonts w:hint="default" w:ascii="Times New Roman" w:hAnsi="Times New Roman" w:eastAsia="仿宋_GB2312" w:cs="Times New Roman"/>
          <w:color w:val="000000"/>
          <w:kern w:val="0"/>
          <w:sz w:val="32"/>
          <w:szCs w:val="32"/>
          <w:lang w:val="en-US" w:eastAsia="zh-CN" w:bidi="ar-SA"/>
        </w:rPr>
        <w:t>州住房公积金管理中心未</w:t>
      </w:r>
      <w:r>
        <w:rPr>
          <w:rFonts w:hint="eastAsia" w:eastAsia="仿宋_GB2312" w:cs="Times New Roman"/>
          <w:color w:val="000000"/>
          <w:kern w:val="0"/>
          <w:sz w:val="32"/>
          <w:szCs w:val="32"/>
          <w:lang w:val="en-US" w:eastAsia="zh-CN" w:bidi="ar-SA"/>
        </w:rPr>
        <w:t>发</w:t>
      </w:r>
      <w:r>
        <w:rPr>
          <w:rFonts w:hint="default" w:ascii="Times New Roman" w:hAnsi="Times New Roman" w:eastAsia="仿宋_GB2312" w:cs="Times New Roman"/>
          <w:color w:val="000000"/>
          <w:kern w:val="0"/>
          <w:sz w:val="32"/>
          <w:szCs w:val="32"/>
          <w:lang w:val="en-US" w:eastAsia="zh-CN" w:bidi="ar-SA"/>
        </w:rPr>
        <w:t>生因政府信息公开申请行政复议、提起行政诉讼的情况。</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Fonts w:hint="default"/>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存在的主要问题及改进情况</w:t>
      </w:r>
    </w:p>
    <w:p>
      <w:pPr>
        <w:keepNext w:val="0"/>
        <w:keepLines w:val="0"/>
        <w:pageBreakBefore w:val="0"/>
        <w:widowControl/>
        <w:kinsoku/>
        <w:wordWrap/>
        <w:overflowPunct/>
        <w:topLinePunct w:val="0"/>
        <w:autoSpaceDE/>
        <w:autoSpaceDN/>
        <w:bidi w:val="0"/>
        <w:adjustRightInd/>
        <w:snapToGrid/>
        <w:spacing w:line="560" w:lineRule="exact"/>
        <w:ind w:firstLine="636" w:firstLineChars="199"/>
        <w:jc w:val="both"/>
        <w:textAlignment w:val="baseline"/>
        <w:rPr>
          <w:rFonts w:hint="eastAsia" w:ascii="仿宋_GB2312" w:hAnsi="仿宋_GB2312" w:eastAsia="仿宋_GB2312" w:cs="仿宋_GB2312"/>
          <w:color w:val="000000"/>
          <w:sz w:val="32"/>
          <w:szCs w:val="32"/>
          <w:lang w:val="en-US" w:eastAsia="zh-CN"/>
        </w:rPr>
      </w:pPr>
      <w:r>
        <w:rPr>
          <w:rFonts w:hint="default" w:ascii="Times New Roman" w:hAnsi="Times New Roman" w:eastAsia="仿宋_GB2312" w:cs="Times New Roman"/>
          <w:color w:val="000000"/>
          <w:sz w:val="32"/>
          <w:szCs w:val="32"/>
          <w:lang w:val="en-US" w:eastAsia="zh-CN"/>
        </w:rPr>
        <w:t>2023年</w:t>
      </w:r>
      <w:r>
        <w:rPr>
          <w:rFonts w:hint="eastAsia" w:ascii="Times New Roman" w:hAnsi="Times New Roman" w:eastAsia="仿宋_GB2312" w:cs="Times New Roman"/>
          <w:color w:val="000000"/>
          <w:sz w:val="32"/>
          <w:szCs w:val="32"/>
          <w:lang w:val="en-US" w:eastAsia="zh-CN"/>
        </w:rPr>
        <w:t>我</w:t>
      </w:r>
      <w:r>
        <w:rPr>
          <w:rFonts w:hint="default" w:ascii="Times New Roman" w:hAnsi="Times New Roman" w:eastAsia="仿宋_GB2312" w:cs="Times New Roman"/>
          <w:color w:val="000000"/>
          <w:sz w:val="32"/>
          <w:szCs w:val="32"/>
          <w:lang w:val="en-US" w:eastAsia="zh-CN"/>
        </w:rPr>
        <w:t>中心在主动宣传、服务创新等方面取得了一定成果，但对住房公积金信息公开工作深度和广度的认识方面仍待加强。2024年将从以下两个方面进行改进：一是不断加大主动公开力度，扩大主动公开的深度，增强住房公积金信息公开工作的主动性和预见性，提升住房公积金政策和业务整体公开水平。</w:t>
      </w:r>
      <w:r>
        <w:rPr>
          <w:rFonts w:hint="eastAsia" w:ascii="仿宋_GB2312" w:hAnsi="仿宋_GB2312" w:eastAsia="仿宋_GB2312" w:cs="仿宋_GB2312"/>
          <w:color w:val="000000"/>
          <w:sz w:val="32"/>
          <w:szCs w:val="32"/>
          <w:lang w:val="en-US" w:eastAsia="zh-CN"/>
        </w:rPr>
        <w:t>二是不断提升信息公开质量，拓展政务公开的广度和深度，推动实现便民利企、亮点纷呈、人民满意的目标。</w:t>
      </w:r>
    </w:p>
    <w:p>
      <w:pPr>
        <w:keepNext w:val="0"/>
        <w:keepLines w:val="0"/>
        <w:pageBreakBefore w:val="0"/>
        <w:widowControl/>
        <w:kinsoku/>
        <w:wordWrap/>
        <w:overflowPunct/>
        <w:topLinePunct w:val="0"/>
        <w:autoSpaceDE/>
        <w:autoSpaceDN/>
        <w:bidi w:val="0"/>
        <w:adjustRightInd/>
        <w:snapToGrid/>
        <w:spacing w:line="560" w:lineRule="exact"/>
        <w:ind w:firstLine="636" w:firstLineChars="199"/>
        <w:jc w:val="both"/>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六、其他需要报告的事项</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baseline"/>
        <w:rPr>
          <w:rFonts w:hint="eastAsia" w:ascii="Times New Roman" w:hAnsi="Times New Roman" w:eastAsia="仿宋_GB2312" w:cs="Times New Roman"/>
          <w:i w:val="0"/>
          <w:caps w:val="0"/>
          <w:color w:val="333333"/>
          <w:spacing w:val="0"/>
          <w:kern w:val="0"/>
          <w:sz w:val="32"/>
          <w:szCs w:val="32"/>
          <w:shd w:val="clear" w:fill="FFFFFF"/>
          <w:lang w:val="en-US" w:eastAsia="zh-CN" w:bidi="ar-SA"/>
        </w:rPr>
      </w:pPr>
      <w:r>
        <w:rPr>
          <w:rFonts w:hint="default" w:ascii="Times New Roman" w:hAnsi="Times New Roman" w:eastAsia="仿宋_GB2312" w:cs="Times New Roman"/>
          <w:i w:val="0"/>
          <w:caps w:val="0"/>
          <w:color w:val="333333"/>
          <w:spacing w:val="0"/>
          <w:sz w:val="32"/>
          <w:szCs w:val="32"/>
          <w:shd w:val="clear" w:fill="FFFFFF"/>
        </w:rPr>
        <w:t>州</w:t>
      </w:r>
      <w:r>
        <w:rPr>
          <w:rFonts w:hint="default" w:ascii="Times New Roman" w:hAnsi="Times New Roman" w:eastAsia="仿宋_GB2312" w:cs="Times New Roman"/>
          <w:i w:val="0"/>
          <w:caps w:val="0"/>
          <w:color w:val="333333"/>
          <w:spacing w:val="0"/>
          <w:sz w:val="32"/>
          <w:szCs w:val="32"/>
          <w:shd w:val="clear" w:fill="FFFFFF"/>
          <w:lang w:val="en-US" w:eastAsia="zh-CN"/>
        </w:rPr>
        <w:t>住房公积金管理中心</w:t>
      </w:r>
      <w:r>
        <w:rPr>
          <w:rFonts w:hint="default" w:ascii="Times New Roman" w:hAnsi="Times New Roman" w:eastAsia="仿宋_GB2312" w:cs="Times New Roman"/>
          <w:i w:val="0"/>
          <w:caps w:val="0"/>
          <w:color w:val="333333"/>
          <w:spacing w:val="0"/>
          <w:sz w:val="32"/>
          <w:szCs w:val="32"/>
          <w:shd w:val="clear" w:fill="FFFFFF"/>
        </w:rPr>
        <w:t>2023年</w:t>
      </w:r>
      <w:r>
        <w:rPr>
          <w:rFonts w:hint="eastAsia" w:ascii="Times New Roman" w:hAnsi="Times New Roman" w:eastAsia="仿宋_GB2312" w:cs="Times New Roman"/>
          <w:i w:val="0"/>
          <w:caps w:val="0"/>
          <w:color w:val="333333"/>
          <w:spacing w:val="0"/>
          <w:kern w:val="0"/>
          <w:sz w:val="32"/>
          <w:szCs w:val="32"/>
          <w:shd w:val="clear" w:fill="FFFFFF"/>
          <w:lang w:val="en-US" w:eastAsia="zh-CN" w:bidi="ar-SA"/>
        </w:rPr>
        <w:t>度未收取政府信息公开处理费。截至</w:t>
      </w:r>
      <w:r>
        <w:rPr>
          <w:rFonts w:hint="default" w:ascii="Times New Roman" w:hAnsi="Times New Roman" w:eastAsia="仿宋_GB2312" w:cs="Times New Roman"/>
          <w:i w:val="0"/>
          <w:caps w:val="0"/>
          <w:color w:val="333333"/>
          <w:spacing w:val="0"/>
          <w:kern w:val="0"/>
          <w:sz w:val="32"/>
          <w:szCs w:val="32"/>
          <w:shd w:val="clear" w:fill="FFFFFF"/>
          <w:lang w:val="en-US" w:eastAsia="zh-CN" w:bidi="ar-SA"/>
        </w:rPr>
        <w:t>2023</w:t>
      </w:r>
      <w:r>
        <w:rPr>
          <w:rFonts w:hint="eastAsia" w:ascii="Times New Roman" w:hAnsi="Times New Roman" w:eastAsia="仿宋_GB2312" w:cs="Times New Roman"/>
          <w:i w:val="0"/>
          <w:caps w:val="0"/>
          <w:color w:val="333333"/>
          <w:spacing w:val="0"/>
          <w:kern w:val="0"/>
          <w:sz w:val="32"/>
          <w:szCs w:val="32"/>
          <w:shd w:val="clear" w:fill="FFFFFF"/>
          <w:lang w:val="en-US" w:eastAsia="zh-CN" w:bidi="ar-SA"/>
        </w:rPr>
        <w:t>年</w:t>
      </w:r>
      <w:r>
        <w:rPr>
          <w:rFonts w:hint="default" w:ascii="Times New Roman" w:hAnsi="Times New Roman" w:eastAsia="仿宋_GB2312" w:cs="Times New Roman"/>
          <w:i w:val="0"/>
          <w:caps w:val="0"/>
          <w:color w:val="333333"/>
          <w:spacing w:val="0"/>
          <w:kern w:val="0"/>
          <w:sz w:val="32"/>
          <w:szCs w:val="32"/>
          <w:shd w:val="clear" w:fill="FFFFFF"/>
          <w:lang w:val="en-US" w:eastAsia="zh-CN" w:bidi="ar-SA"/>
        </w:rPr>
        <w:t>12</w:t>
      </w:r>
      <w:r>
        <w:rPr>
          <w:rFonts w:hint="eastAsia" w:ascii="Times New Roman" w:hAnsi="Times New Roman" w:eastAsia="仿宋_GB2312" w:cs="Times New Roman"/>
          <w:i w:val="0"/>
          <w:caps w:val="0"/>
          <w:color w:val="333333"/>
          <w:spacing w:val="0"/>
          <w:kern w:val="0"/>
          <w:sz w:val="32"/>
          <w:szCs w:val="32"/>
          <w:shd w:val="clear" w:fill="FFFFFF"/>
          <w:lang w:val="en-US" w:eastAsia="zh-CN" w:bidi="ar-SA"/>
        </w:rPr>
        <w:t>月</w:t>
      </w:r>
      <w:r>
        <w:rPr>
          <w:rFonts w:hint="default" w:ascii="Times New Roman" w:hAnsi="Times New Roman" w:eastAsia="仿宋_GB2312" w:cs="Times New Roman"/>
          <w:i w:val="0"/>
          <w:caps w:val="0"/>
          <w:color w:val="333333"/>
          <w:spacing w:val="0"/>
          <w:kern w:val="0"/>
          <w:sz w:val="32"/>
          <w:szCs w:val="32"/>
          <w:shd w:val="clear" w:fill="FFFFFF"/>
          <w:lang w:val="en-US" w:eastAsia="zh-CN" w:bidi="ar-SA"/>
        </w:rPr>
        <w:t>31</w:t>
      </w:r>
      <w:r>
        <w:rPr>
          <w:rFonts w:hint="eastAsia" w:ascii="Times New Roman" w:hAnsi="Times New Roman" w:eastAsia="仿宋_GB2312" w:cs="Times New Roman"/>
          <w:i w:val="0"/>
          <w:caps w:val="0"/>
          <w:color w:val="333333"/>
          <w:spacing w:val="0"/>
          <w:kern w:val="0"/>
          <w:sz w:val="32"/>
          <w:szCs w:val="32"/>
          <w:shd w:val="clear" w:fill="FFFFFF"/>
          <w:lang w:val="en-US" w:eastAsia="zh-CN" w:bidi="ar-SA"/>
        </w:rPr>
        <w:t>日，</w:t>
      </w:r>
      <w:r>
        <w:rPr>
          <w:rFonts w:hint="default" w:ascii="Times New Roman" w:hAnsi="Times New Roman" w:eastAsia="仿宋_GB2312" w:cs="Times New Roman"/>
          <w:i w:val="0"/>
          <w:caps w:val="0"/>
          <w:color w:val="333333"/>
          <w:spacing w:val="0"/>
          <w:sz w:val="32"/>
          <w:szCs w:val="32"/>
          <w:shd w:val="clear" w:fill="FFFFFF"/>
        </w:rPr>
        <w:t>州</w:t>
      </w:r>
      <w:r>
        <w:rPr>
          <w:rFonts w:hint="default" w:ascii="Times New Roman" w:hAnsi="Times New Roman" w:eastAsia="仿宋_GB2312" w:cs="Times New Roman"/>
          <w:i w:val="0"/>
          <w:caps w:val="0"/>
          <w:color w:val="333333"/>
          <w:spacing w:val="0"/>
          <w:sz w:val="32"/>
          <w:szCs w:val="32"/>
          <w:shd w:val="clear" w:fill="FFFFFF"/>
          <w:lang w:val="en-US" w:eastAsia="zh-CN"/>
        </w:rPr>
        <w:t>住房公积金管理中心</w:t>
      </w:r>
      <w:r>
        <w:rPr>
          <w:rFonts w:hint="eastAsia" w:ascii="Times New Roman" w:hAnsi="Times New Roman" w:eastAsia="仿宋_GB2312" w:cs="Times New Roman"/>
          <w:i w:val="0"/>
          <w:caps w:val="0"/>
          <w:color w:val="333333"/>
          <w:spacing w:val="0"/>
          <w:kern w:val="0"/>
          <w:sz w:val="32"/>
          <w:szCs w:val="32"/>
          <w:shd w:val="clear" w:fill="FFFFFF"/>
          <w:lang w:val="en-US" w:eastAsia="zh-CN" w:bidi="ar-SA"/>
        </w:rPr>
        <w:t>无其他需要报告的事项。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baseline"/>
        <w:rPr>
          <w:rFonts w:hint="default" w:ascii="Times New Roman" w:hAnsi="Times New Roman" w:eastAsia="仿宋_GB2312" w:cs="Times New Roman"/>
          <w:i w:val="0"/>
          <w:caps w:val="0"/>
          <w:color w:val="333333"/>
          <w:spacing w:val="0"/>
          <w:kern w:val="0"/>
          <w:sz w:val="32"/>
          <w:szCs w:val="32"/>
          <w:shd w:val="clear" w:fill="FFFFFF"/>
          <w:lang w:val="en-US" w:eastAsia="zh-CN" w:bidi="ar-SA"/>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baseline"/>
        <w:rPr>
          <w:rFonts w:hint="default" w:ascii="Times New Roman" w:hAnsi="Times New Roman" w:eastAsia="仿宋_GB2312" w:cs="Times New Roman"/>
          <w:color w:val="000000"/>
          <w:kern w:val="0"/>
          <w:sz w:val="32"/>
          <w:szCs w:val="32"/>
          <w:lang w:val="en-US" w:eastAsia="zh-CN" w:bidi="ar-SA"/>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baseline"/>
        <w:rPr>
          <w:rFonts w:hint="eastAsia" w:eastAsia="仿宋_GB2312" w:cs="Times New Roman"/>
          <w:color w:val="000000"/>
          <w:kern w:val="0"/>
          <w:sz w:val="32"/>
          <w:szCs w:val="32"/>
          <w:lang w:val="en-US" w:eastAsia="zh-CN" w:bidi="ar-SA"/>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3846" w:firstLineChars="1202"/>
        <w:textAlignment w:val="baseline"/>
        <w:rPr>
          <w:rFonts w:hint="eastAsia"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昌吉州住房公积金管理中心</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486" w:firstLineChars="1402"/>
        <w:textAlignment w:val="baseline"/>
        <w:rPr>
          <w:rFonts w:hint="default"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2024年1月30</w:t>
      </w:r>
      <w:bookmarkStart w:id="0" w:name="_GoBack"/>
      <w:bookmarkEnd w:id="0"/>
      <w:r>
        <w:rPr>
          <w:rFonts w:hint="eastAsia" w:eastAsia="仿宋_GB2312" w:cs="Times New Roman"/>
          <w:color w:val="000000"/>
          <w:kern w:val="0"/>
          <w:sz w:val="32"/>
          <w:szCs w:val="32"/>
          <w:lang w:val="en-US" w:eastAsia="zh-CN" w:bidi="ar-SA"/>
        </w:rPr>
        <w:t>日</w:t>
      </w:r>
    </w:p>
    <w:sectPr>
      <w:footerReference r:id="rId3" w:type="default"/>
      <w:pgSz w:w="11906" w:h="16838"/>
      <w:pgMar w:top="2098" w:right="1474" w:bottom="1984" w:left="1587" w:header="851" w:footer="1134" w:gutter="0"/>
      <w:pgNumType w:fmt="numberInDash"/>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0" w:leftChars="0" w:firstLine="0" w:firstLineChars="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ind w:left="0" w:leftChars="0" w:firstLine="0" w:firstLineChars="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5"/>
                      <w:ind w:left="0" w:leftChars="0" w:firstLine="0" w:firstLineChars="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A961E9"/>
    <w:rsid w:val="07BC31DD"/>
    <w:rsid w:val="33942947"/>
    <w:rsid w:val="4A2746A8"/>
    <w:rsid w:val="4B0167E3"/>
    <w:rsid w:val="4CFB3911"/>
    <w:rsid w:val="59A961E9"/>
    <w:rsid w:val="5EAE5D04"/>
    <w:rsid w:val="60525EEB"/>
    <w:rsid w:val="64543865"/>
    <w:rsid w:val="726C7E70"/>
    <w:rsid w:val="76920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51" w:lineRule="atLeast"/>
      <w:ind w:firstLine="419"/>
      <w:jc w:val="both"/>
      <w:textAlignment w:val="baseline"/>
    </w:pPr>
    <w:rPr>
      <w:rFonts w:ascii="Times New Roman" w:hAnsi="Times New Roman" w:eastAsia="宋体" w:cs="Times New Roman"/>
      <w:color w:val="000000"/>
      <w:sz w:val="21"/>
      <w:szCs w:val="22"/>
      <w:lang w:val="en-US" w:eastAsia="zh-CN" w:bidi="ar-SA"/>
    </w:rPr>
  </w:style>
  <w:style w:type="character" w:default="1" w:styleId="8">
    <w:name w:val="Default Paragraph Font"/>
    <w:semiHidden/>
    <w:qFormat/>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ody Text First Indent 2"/>
    <w:basedOn w:val="3"/>
    <w:unhideWhenUsed/>
    <w:qFormat/>
    <w:uiPriority w:val="0"/>
    <w:pPr>
      <w:spacing w:beforeLines="0" w:afterLines="0" w:line="560" w:lineRule="exact"/>
      <w:ind w:left="0" w:leftChars="0" w:firstLine="420" w:firstLineChars="200"/>
    </w:pPr>
    <w:rPr>
      <w:rFonts w:hint="default" w:eastAsia="仿宋_GB2312"/>
      <w:sz w:val="32"/>
    </w:rPr>
  </w:style>
  <w:style w:type="paragraph" w:styleId="3">
    <w:name w:val="Body Text Indent"/>
    <w:basedOn w:val="1"/>
    <w:unhideWhenUsed/>
    <w:qFormat/>
    <w:uiPriority w:val="99"/>
    <w:pPr>
      <w:spacing w:beforeLines="0" w:after="120" w:afterLines="0"/>
      <w:ind w:left="420" w:leftChars="200"/>
    </w:pPr>
    <w:rPr>
      <w:rFonts w:hint="default"/>
      <w:sz w:val="21"/>
    </w:rPr>
  </w:style>
  <w:style w:type="paragraph" w:styleId="4">
    <w:name w:val="Normal Indent"/>
    <w:basedOn w:val="1"/>
    <w:qFormat/>
    <w:uiPriority w:val="0"/>
    <w:pPr>
      <w:ind w:firstLine="420"/>
    </w:pPr>
  </w:style>
  <w:style w:type="paragraph" w:styleId="5">
    <w:name w:val="footer"/>
    <w:basedOn w:val="1"/>
    <w:qFormat/>
    <w:uiPriority w:val="0"/>
    <w:pPr>
      <w:tabs>
        <w:tab w:val="center" w:pos="4153"/>
        <w:tab w:val="right" w:pos="8306"/>
      </w:tabs>
      <w:snapToGrid w:val="0"/>
      <w:spacing w:line="240" w:lineRule="atLeast"/>
      <w:jc w:val="left"/>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2023-01-18T10:35:00Z</dcterms:created>
  <dc:creator>lenovo</dc:creator>
  <cp:lastModifiedBy>徐海珍</cp:lastModifiedBy>
  <cp:lastPrinted>2024-01-29T15:11:00Z</cp:lastPrinted>
  <dcterms:modified xsi:type="dcterms:W3CDTF">2024-01-30T05:18:12Z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