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w w:val="10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w w:val="10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w w:val="10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w w:val="10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w w:val="10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w w:val="10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w w:val="10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w w:val="10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w w:val="10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w w:val="100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b w:val="0"/>
          <w:bCs w:val="0"/>
          <w:color w:val="auto"/>
          <w:w w:val="100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w w:val="100"/>
          <w:highlight w:val="none"/>
        </w:rPr>
        <w:t>昌州发改项目〔20</w:t>
      </w:r>
      <w:r>
        <w:rPr>
          <w:rFonts w:hint="default" w:ascii="Times New Roman" w:hAnsi="Times New Roman" w:cs="Times New Roman"/>
          <w:color w:val="auto"/>
          <w:w w:val="100"/>
          <w:highlight w:val="none"/>
          <w:lang w:val="en-US" w:eastAsia="zh-CN"/>
        </w:rPr>
        <w:t>2</w:t>
      </w:r>
      <w:r>
        <w:rPr>
          <w:rFonts w:hint="eastAsia" w:ascii="Times New Roman" w:hAnsi="Times New Roman" w:cs="Times New Roman"/>
          <w:color w:val="auto"/>
          <w:w w:val="100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w w:val="100"/>
          <w:highlight w:val="none"/>
        </w:rPr>
        <w:t>〕</w:t>
      </w:r>
      <w:r>
        <w:rPr>
          <w:rFonts w:hint="eastAsia" w:ascii="Times New Roman" w:hAnsi="Times New Roman" w:cs="Times New Roman"/>
          <w:color w:val="auto"/>
          <w:w w:val="100"/>
          <w:highlight w:val="none"/>
          <w:lang w:val="en-US" w:eastAsia="zh-CN"/>
        </w:rPr>
        <w:t>68</w:t>
      </w:r>
      <w:r>
        <w:rPr>
          <w:rFonts w:hint="default" w:ascii="Times New Roman" w:hAnsi="Times New Roman" w:eastAsia="仿宋_GB2312" w:cs="Times New Roman"/>
          <w:color w:val="auto"/>
          <w:w w:val="100"/>
          <w:highlight w:val="none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微软雅黑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微软雅黑" w:cs="Times New Roman"/>
          <w:sz w:val="44"/>
          <w:szCs w:val="44"/>
          <w:lang w:val="en-US" w:eastAsia="zh-CN"/>
        </w:rPr>
        <w:t xml:space="preserve"> 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9"/>
        <w:rPr>
          <w:rFonts w:hint="default" w:ascii="Times New Roman" w:hAnsi="Times New Roman" w:eastAsia="微软雅黑" w:cs="Times New Roman"/>
          <w:b w:val="0"/>
          <w:bCs w:val="0"/>
          <w:color w:val="auto"/>
          <w:w w:val="100"/>
          <w:sz w:val="44"/>
          <w:szCs w:val="44"/>
        </w:rPr>
      </w:pPr>
      <w:r>
        <w:rPr>
          <w:rFonts w:hint="eastAsia" w:ascii="Times New Roman" w:hAnsi="Times New Roman" w:eastAsia="微软雅黑" w:cs="Times New Roman"/>
          <w:b w:val="0"/>
          <w:bCs w:val="0"/>
          <w:color w:val="auto"/>
          <w:w w:val="100"/>
          <w:sz w:val="44"/>
          <w:szCs w:val="44"/>
          <w:lang w:val="en-US" w:eastAsia="zh-CN"/>
        </w:rPr>
        <w:t>昌吉州发改委关于奇台县2025年玉米单产提升工程</w:t>
      </w:r>
      <w:r>
        <w:rPr>
          <w:rFonts w:hint="default" w:ascii="Times New Roman" w:hAnsi="Times New Roman" w:eastAsia="微软雅黑" w:cs="Times New Roman"/>
          <w:b w:val="0"/>
          <w:bCs w:val="0"/>
          <w:color w:val="auto"/>
          <w:w w:val="100"/>
          <w:sz w:val="44"/>
          <w:szCs w:val="44"/>
        </w:rPr>
        <w:t>初步设计的批复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outlineLvl w:val="9"/>
        <w:rPr>
          <w:rFonts w:hint="default" w:ascii="Times New Roman" w:hAnsi="Times New Roman" w:eastAsia="微软雅黑" w:cs="Times New Roman"/>
          <w:b w:val="0"/>
          <w:bCs w:val="0"/>
          <w:color w:val="auto"/>
          <w:w w:val="10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right="0" w:rightChars="0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>奇台县发展和改革委员会：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right="0" w:rightChars="0" w:firstLine="632" w:firstLineChars="200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>你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委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>《关于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上报奇台县202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年玉米单产提升工程初步设计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>报告的请示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》（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奇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eastAsia="zh-CN"/>
        </w:rPr>
        <w:t>发改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投资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〔202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〕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28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号）和昌吉州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农业农村局《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关于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奇台县2025年玉米单产提升工程初步设计的审核意见》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（昌州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农函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〔202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〕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21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号）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>均已收悉。经研究，现批复如下：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32" w:firstLineChars="200"/>
        <w:textAlignment w:val="auto"/>
        <w:rPr>
          <w:rFonts w:hint="default" w:ascii="Times New Roman" w:hAnsi="Times New Roman" w:eastAsia="黑体" w:cs="Times New Roman"/>
          <w:w w:val="1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w w:val="100"/>
          <w:sz w:val="32"/>
          <w:szCs w:val="32"/>
          <w:lang w:val="en-US" w:eastAsia="zh-CN"/>
        </w:rPr>
        <w:t>一、</w:t>
      </w:r>
      <w:r>
        <w:rPr>
          <w:rFonts w:hint="eastAsia" w:ascii="Times New Roman" w:eastAsia="黑体" w:cs="Times New Roman"/>
          <w:w w:val="100"/>
          <w:sz w:val="32"/>
          <w:szCs w:val="32"/>
          <w:lang w:val="en-US" w:eastAsia="zh-CN"/>
        </w:rPr>
        <w:t>项目概况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right="0" w:rightChars="0" w:firstLine="632" w:firstLineChars="200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1. 项目名称：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奇台县2025年玉米单产提升工程（项目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代码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：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2502-652325-20-01-161082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right="0" w:rightChars="0" w:firstLine="632" w:firstLineChars="200"/>
        <w:textAlignment w:val="auto"/>
        <w:outlineLvl w:val="9"/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2. 项目总投资4000万元，其中申请超长期特别国债3000万元，其他自有资金1000万元。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right="0" w:rightChars="0" w:firstLine="632" w:firstLineChars="200"/>
        <w:textAlignment w:val="auto"/>
        <w:outlineLvl w:val="9"/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3. 建设单位（法人）：奇台县农业农村局，负责项目的组织实施和日常管理。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right="0" w:rightChars="0" w:firstLine="632" w:firstLineChars="200"/>
        <w:textAlignment w:val="auto"/>
        <w:outlineLvl w:val="9"/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4. 项目日常监管责任单位：昌吉州农业农村局，负责项目的日常监管、现场核查和监督检查。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right="0" w:rightChars="0" w:firstLine="632" w:firstLineChars="200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5. 项目建设期限：2025年7月-2026年12月。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32" w:firstLineChars="200"/>
        <w:textAlignment w:val="auto"/>
        <w:rPr>
          <w:rFonts w:hint="default" w:ascii="Times New Roman" w:hAnsi="Times New Roman" w:eastAsia="黑体" w:cs="Times New Roman"/>
          <w:w w:val="1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w w:val="100"/>
          <w:sz w:val="32"/>
          <w:szCs w:val="32"/>
          <w:lang w:val="en-US" w:eastAsia="zh-CN"/>
        </w:rPr>
        <w:t>二、建设规模及</w:t>
      </w:r>
      <w:r>
        <w:rPr>
          <w:rFonts w:hint="eastAsia" w:ascii="Times New Roman" w:eastAsia="黑体" w:cs="Times New Roman"/>
          <w:w w:val="100"/>
          <w:sz w:val="32"/>
          <w:szCs w:val="32"/>
          <w:lang w:val="en-US" w:eastAsia="zh-CN"/>
        </w:rPr>
        <w:t>主要内容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right="0" w:rightChars="0" w:firstLine="632" w:firstLineChars="200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在奇台县4个乡镇建设玉米单产提升工程，共计面积10万亩。其中半截沟镇42494亩、老奇台镇20285亩、五马场乡10649亩和坎尔孜乡26572亩。主要建设内容为首部自动水肥一体化及配套附属设施，开展玉米全生育周期重点技术集成，推广玉米绿色防控技术。包括以下内容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60" w:lineRule="exact"/>
        <w:ind w:left="40" w:right="480" w:firstLine="632" w:firstLineChars="200"/>
        <w:jc w:val="left"/>
        <w:textAlignment w:val="auto"/>
        <w:outlineLvl w:val="9"/>
        <w:rPr>
          <w:rFonts w:hint="eastAsia" w:ascii="方正楷体_GB2312" w:hAnsi="方正楷体_GB2312" w:eastAsia="方正楷体_GB2312" w:cs="方正楷体_GB2312"/>
          <w:b/>
          <w:bCs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楷体_GB2312" w:hAnsi="方正楷体_GB2312" w:eastAsia="方正楷体_GB2312" w:cs="方正楷体_GB2312"/>
          <w:b/>
          <w:bCs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（一）水肥精准调控平台。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right="0" w:rightChars="0" w:firstLine="632" w:firstLineChars="200"/>
        <w:textAlignment w:val="auto"/>
        <w:outlineLvl w:val="9"/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调节型智能电动阀约12427套，自动过滤系统182套（全自动反冲洗网式过滤器68套和全自动反冲洗离心网式过滤器114套），固液两用自动水肥一体机201套，首部控制器66套，首部主干管压力传感器66套，首部主干管流量传感器66套，自动化灌溉控制管理平台（手机APP软件）1套。其中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right="0" w:rightChars="0" w:firstLine="632" w:firstLineChars="200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spacing w:val="0"/>
          <w:sz w:val="32"/>
          <w:szCs w:val="32"/>
          <w:lang w:val="en-US" w:eastAsia="zh-CN"/>
        </w:rPr>
        <w:t>1.半截沟镇：中葛根村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固液两用自动水肥一体机42套，全自动反冲洗网式过滤器42套，调节智能电动阀4337套，首部控制器42套，首部主干管压力传感器42套和首部主干管流量传感器42套。大庄子村固液两用自动水肥一体机31套，全自动反冲洗离心网式过滤器18套，调节智能电动阀1036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right="0" w:rightChars="0" w:firstLine="632" w:firstLineChars="200"/>
        <w:textAlignment w:val="auto"/>
        <w:outlineLvl w:val="9"/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spacing w:val="0"/>
          <w:sz w:val="32"/>
          <w:szCs w:val="32"/>
          <w:lang w:val="en-US" w:eastAsia="zh-CN"/>
        </w:rPr>
        <w:t>2.老奇台镇：牛王宫村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固液两用自动水肥一体机29套，全自动反冲洗网式过滤器26套，调节智能电动阀3067套，首部控制器24套，首部主干管压力传感器24套和首部主干管流量传感器24套。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right="0" w:rightChars="0" w:firstLine="632" w:firstLineChars="200"/>
        <w:textAlignment w:val="auto"/>
        <w:outlineLvl w:val="9"/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spacing w:val="0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方正仿宋_GBK" w:cs="Times New Roman"/>
          <w:b/>
          <w:bCs/>
          <w:spacing w:val="0"/>
          <w:sz w:val="32"/>
          <w:szCs w:val="32"/>
          <w:lang w:val="en-US" w:eastAsia="zh-CN"/>
        </w:rPr>
        <w:t>坎尔孜</w:t>
      </w:r>
      <w:r>
        <w:rPr>
          <w:rFonts w:hint="eastAsia" w:ascii="Times New Roman" w:hAnsi="Times New Roman" w:eastAsia="方正仿宋_GBK" w:cs="Times New Roman"/>
          <w:b/>
          <w:bCs/>
          <w:spacing w:val="0"/>
          <w:sz w:val="32"/>
          <w:szCs w:val="32"/>
          <w:lang w:val="en-US" w:eastAsia="zh-CN"/>
        </w:rPr>
        <w:t>乡：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固液两用自动水肥一体机75套，全自动反冲洗离心网式过滤器75套，调节智能电动阀2460套。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right="0" w:rightChars="0" w:firstLine="632" w:firstLineChars="200"/>
        <w:textAlignment w:val="auto"/>
        <w:outlineLvl w:val="9"/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spacing w:val="0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方正仿宋_GBK" w:cs="Times New Roman"/>
          <w:b/>
          <w:bCs/>
          <w:spacing w:val="0"/>
          <w:sz w:val="32"/>
          <w:szCs w:val="32"/>
          <w:lang w:val="en-US" w:eastAsia="zh-CN"/>
        </w:rPr>
        <w:t>五马场乡</w:t>
      </w:r>
      <w:r>
        <w:rPr>
          <w:rFonts w:hint="eastAsia" w:ascii="Times New Roman" w:hAnsi="Times New Roman" w:eastAsia="方正仿宋_GBK" w:cs="Times New Roman"/>
          <w:b/>
          <w:bCs/>
          <w:spacing w:val="0"/>
          <w:sz w:val="32"/>
          <w:szCs w:val="32"/>
          <w:lang w:val="en-US" w:eastAsia="zh-CN"/>
        </w:rPr>
        <w:t>：鸿鑫村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固液两用自动水肥一体机24套，全自动反冲洗离心网式过滤器21套，调节智能电动阀1527套。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right="0" w:rightChars="0" w:firstLine="632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5.自动化灌溉控制管理平台（手机APP软件）1套为各乡镇共用。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60" w:lineRule="exact"/>
        <w:ind w:left="40" w:right="480" w:firstLine="632" w:firstLineChars="200"/>
        <w:jc w:val="left"/>
        <w:textAlignment w:val="auto"/>
        <w:outlineLvl w:val="9"/>
        <w:rPr>
          <w:rFonts w:hint="eastAsia" w:ascii="方正楷体_GB2312" w:hAnsi="方正楷体_GB2312" w:eastAsia="方正楷体_GB2312" w:cs="方正楷体_GB2312"/>
          <w:b/>
          <w:bCs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方正楷体_GB2312" w:hAnsi="方正楷体_GB2312" w:eastAsia="方正楷体_GB2312" w:cs="方正楷体_GB2312"/>
          <w:b/>
          <w:bCs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  <w:t>（二）全生育期精准调控技术集成推广。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right="0" w:rightChars="0" w:firstLine="632" w:firstLineChars="200"/>
        <w:textAlignment w:val="auto"/>
        <w:outlineLvl w:val="9"/>
        <w:rPr>
          <w:rFonts w:hint="eastAsia" w:ascii="Times New Roman" w:hAnsi="Times New Roman" w:cs="Times New Roman"/>
          <w:color w:val="auto"/>
          <w:spacing w:val="0"/>
          <w:w w:val="10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对10万亩玉米单产提升工程进行优质种子、肥料等农资购置，导航单粒精量点播，滴灌设施购置，推广10万亩玉米水肥一体化精准调控技术、玉米密植高产栽培技术、病虫害统防统治技术、绿色除草技术、秸秆综合利用技术等。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32" w:firstLineChars="200"/>
        <w:textAlignment w:val="auto"/>
        <w:rPr>
          <w:rFonts w:hint="default" w:ascii="Times New Roman" w:hAnsi="Times New Roman" w:eastAsia="黑体" w:cs="Times New Roman"/>
          <w:w w:val="1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w w:val="100"/>
          <w:sz w:val="32"/>
          <w:szCs w:val="32"/>
          <w:lang w:val="en-US" w:eastAsia="zh-CN"/>
        </w:rPr>
        <w:t>三、工程概算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right="0" w:rightChars="0" w:firstLine="632" w:firstLineChars="200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总投资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4000万元，其中机电设备及安装工程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3000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万元，玉米农资采购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545.41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 xml:space="preserve"> 万元，工程建设其他费用2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85.59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万元，基本预备费169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万元。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32" w:firstLineChars="200"/>
        <w:textAlignment w:val="auto"/>
        <w:rPr>
          <w:rFonts w:hint="default" w:ascii="Times New Roman" w:hAnsi="Times New Roman" w:eastAsia="黑体" w:cs="Times New Roman"/>
          <w:w w:val="1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w w:val="100"/>
          <w:sz w:val="32"/>
          <w:szCs w:val="32"/>
          <w:lang w:val="en-US" w:eastAsia="zh-CN"/>
        </w:rPr>
        <w:t>四、工程建设有关要求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right="0" w:rightChars="0" w:firstLine="632" w:firstLineChars="200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（一）严格遵循基本建设程序，按照批准的初步设计报告和概算进行施工图设计，满足国家和自治区、州有关技术、安全、消防、节能和环保等要求。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right="0" w:rightChars="0" w:firstLine="632" w:firstLineChars="200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（二）严格执行项目法人责任制、招标投标制、工程监理制、合同管理制等项目管理制度，加快项目建设，确保工程质量。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right="0" w:rightChars="0" w:firstLine="632" w:firstLineChars="200"/>
        <w:textAlignment w:val="auto"/>
        <w:outlineLvl w:val="9"/>
        <w:rPr>
          <w:rFonts w:hint="default" w:ascii="Times New Roman" w:hAnsi="Times New Roman" w:eastAsia="仿宋_GB2312" w:cs="Times New Roman"/>
          <w:w w:val="1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（三）项目建成后，按照规定及时向审批部门申请组织竣工验收，确保项目尽早发挥效益。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1580" w:leftChars="200" w:hanging="948" w:hangingChars="300"/>
        <w:textAlignment w:val="auto"/>
        <w:rPr>
          <w:rFonts w:hint="default" w:ascii="Times New Roman" w:hAnsi="Times New Roman" w:eastAsia="仿宋_GB2312" w:cs="Times New Roman"/>
          <w:w w:val="1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right="0" w:rightChars="0" w:firstLine="632" w:firstLineChars="200"/>
        <w:textAlignment w:val="auto"/>
        <w:outlineLvl w:val="9"/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>附件：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奇台县202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年玉米单产提升工程总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>概算表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ind w:right="790"/>
        <w:jc w:val="center"/>
        <w:textAlignment w:val="auto"/>
        <w:outlineLvl w:val="9"/>
        <w:rPr>
          <w:rFonts w:hint="eastAsia" w:ascii="Times New Roman" w:hAnsi="Times New Roman" w:cs="Times New Roman"/>
          <w:w w:val="1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w w:val="100"/>
          <w:sz w:val="32"/>
          <w:szCs w:val="32"/>
          <w:lang w:val="en-US" w:eastAsia="zh-CN"/>
        </w:rPr>
        <w:t xml:space="preserve">            </w:t>
      </w:r>
      <w:r>
        <w:rPr>
          <w:rFonts w:hint="default" w:ascii="Times New Roman" w:hAnsi="Times New Roman" w:cs="Times New Roman"/>
          <w:w w:val="100"/>
          <w:sz w:val="32"/>
          <w:szCs w:val="32"/>
          <w:lang w:val="en-US" w:eastAsia="zh-CN"/>
        </w:rPr>
        <w:t xml:space="preserve">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ind w:right="79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w w:val="100"/>
          <w:sz w:val="32"/>
          <w:szCs w:val="32"/>
        </w:rPr>
      </w:pPr>
      <w:r>
        <w:rPr>
          <w:rFonts w:hint="eastAsia" w:ascii="Times New Roman" w:hAnsi="Times New Roman" w:cs="Times New Roman"/>
          <w:w w:val="100"/>
          <w:sz w:val="32"/>
          <w:szCs w:val="32"/>
          <w:lang w:val="en-US" w:eastAsia="zh-CN"/>
        </w:rPr>
        <w:t xml:space="preserve">                            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eastAsia="zh-CN"/>
        </w:rPr>
        <w:t>昌吉州发展和改革委员会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w w:val="1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w w:val="100"/>
          <w:sz w:val="32"/>
          <w:szCs w:val="32"/>
        </w:rPr>
        <w:t xml:space="preserve">                    </w:t>
      </w:r>
      <w:r>
        <w:rPr>
          <w:rFonts w:hint="default" w:ascii="Times New Roman" w:hAnsi="Times New Roman" w:eastAsia="仿宋_GB2312" w:cs="Times New Roman"/>
          <w:color w:val="auto"/>
          <w:w w:val="100"/>
          <w:sz w:val="32"/>
          <w:szCs w:val="32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color w:val="auto"/>
          <w:spacing w:val="20"/>
          <w:w w:val="100"/>
          <w:kern w:val="0"/>
          <w:sz w:val="32"/>
          <w:szCs w:val="32"/>
          <w:lang w:val="en-US" w:eastAsia="zh-CN" w:bidi="ar-SA"/>
        </w:rPr>
        <w:t xml:space="preserve">  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方正仿宋_GBK" w:cs="Times New Roman"/>
          <w:spacing w:val="0"/>
          <w:sz w:val="32"/>
          <w:szCs w:val="32"/>
          <w:lang w:val="en-US" w:eastAsia="zh-CN"/>
        </w:rPr>
        <w:t xml:space="preserve">日 </w:t>
      </w:r>
      <w:r>
        <w:rPr>
          <w:rFonts w:hint="default" w:ascii="Times New Roman" w:hAnsi="Times New Roman" w:eastAsia="仿宋_GB2312" w:cs="Times New Roman"/>
          <w:color w:val="auto"/>
          <w:spacing w:val="20"/>
          <w:w w:val="100"/>
          <w:kern w:val="0"/>
          <w:sz w:val="32"/>
          <w:szCs w:val="32"/>
          <w:lang w:val="en-US" w:eastAsia="zh-CN" w:bidi="ar-SA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790"/>
        <w:jc w:val="both"/>
        <w:textAlignment w:val="auto"/>
        <w:outlineLvl w:val="9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eastAsia" w:ascii="Times New Roman" w:hAnsi="Times New Roman" w:cs="Times New Roman"/>
          <w:lang w:eastAsia="zh-CN"/>
        </w:rPr>
        <w:t>（</w:t>
      </w:r>
      <w:r>
        <w:rPr>
          <w:rFonts w:hint="eastAsia" w:ascii="Times New Roman" w:hAnsi="Times New Roman" w:cs="Times New Roman"/>
          <w:lang w:val="en-US" w:eastAsia="zh-CN"/>
        </w:rPr>
        <w:t>此页无正文。）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790"/>
        <w:jc w:val="both"/>
        <w:textAlignment w:val="auto"/>
        <w:outlineLvl w:val="9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790"/>
        <w:jc w:val="both"/>
        <w:textAlignment w:val="auto"/>
        <w:outlineLvl w:val="9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790"/>
        <w:jc w:val="both"/>
        <w:textAlignment w:val="auto"/>
        <w:outlineLvl w:val="9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790"/>
        <w:jc w:val="both"/>
        <w:textAlignment w:val="auto"/>
        <w:outlineLvl w:val="9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790"/>
        <w:jc w:val="both"/>
        <w:textAlignment w:val="auto"/>
        <w:outlineLvl w:val="9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790"/>
        <w:jc w:val="both"/>
        <w:textAlignment w:val="auto"/>
        <w:outlineLvl w:val="9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790"/>
        <w:jc w:val="both"/>
        <w:textAlignment w:val="auto"/>
        <w:outlineLvl w:val="9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790"/>
        <w:jc w:val="both"/>
        <w:textAlignment w:val="auto"/>
        <w:outlineLvl w:val="9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790"/>
        <w:jc w:val="both"/>
        <w:textAlignment w:val="auto"/>
        <w:outlineLvl w:val="9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790"/>
        <w:jc w:val="both"/>
        <w:textAlignment w:val="auto"/>
        <w:outlineLvl w:val="9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790"/>
        <w:jc w:val="both"/>
        <w:textAlignment w:val="auto"/>
        <w:outlineLvl w:val="9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790"/>
        <w:jc w:val="both"/>
        <w:textAlignment w:val="auto"/>
        <w:outlineLvl w:val="9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790"/>
        <w:jc w:val="both"/>
        <w:textAlignment w:val="auto"/>
        <w:outlineLvl w:val="9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790"/>
        <w:jc w:val="both"/>
        <w:textAlignment w:val="auto"/>
        <w:outlineLvl w:val="9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790"/>
        <w:jc w:val="both"/>
        <w:textAlignment w:val="auto"/>
        <w:outlineLvl w:val="9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790"/>
        <w:jc w:val="both"/>
        <w:textAlignment w:val="auto"/>
        <w:outlineLvl w:val="9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790"/>
        <w:jc w:val="both"/>
        <w:textAlignment w:val="auto"/>
        <w:outlineLvl w:val="9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790"/>
        <w:jc w:val="both"/>
        <w:textAlignment w:val="auto"/>
        <w:outlineLvl w:val="9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790"/>
        <w:jc w:val="both"/>
        <w:textAlignment w:val="auto"/>
        <w:outlineLvl w:val="9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790"/>
        <w:jc w:val="both"/>
        <w:textAlignment w:val="auto"/>
        <w:outlineLvl w:val="9"/>
        <w:rPr>
          <w:rFonts w:hint="default" w:ascii="Times New Roman" w:hAnsi="Times New Roman" w:cs="Times New Roma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w w:val="100"/>
          <w:kern w:val="2"/>
          <w:sz w:val="32"/>
          <w:szCs w:val="20"/>
          <w:highlight w:val="none"/>
          <w:lang w:val="en-US" w:eastAsia="zh-CN" w:bidi="ar-SA"/>
        </w:rPr>
      </w:pPr>
      <w:r>
        <w:rPr>
          <w:rFonts w:hint="default" w:ascii="Times New Roman" w:hAnsi="Times New Roman" w:cs="Times New Roman"/>
          <w:w w:val="1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600700" cy="0"/>
                <wp:effectExtent l="0" t="9525" r="4445" b="1524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41pt;z-index:251660288;mso-width-relative:page;mso-height-relative:page;" filled="f" stroked="t" coordsize="21600,21600" o:allowincell="f" o:gfxdata="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MM4&#10;SvnPAAAAAgEAAA8AAAAAAAAAAQAgAAAAIgAAAGRycy9kb3ducmV2LnhtbFBLAQIUABQAAAAIAIdO&#10;4kDfhMEW8wEAAOUDAAAOAAAAAAAAAAEAIAAAAB4BAABkcnMvZTJvRG9jLnhtbFBLBQYAAAAABgAG&#10;AFkBAACDBQAAAAA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cs="Times New Roman"/>
          <w:w w:val="100"/>
          <w:sz w:val="28"/>
          <w:szCs w:val="28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w w:val="100"/>
          <w:kern w:val="2"/>
          <w:sz w:val="32"/>
          <w:szCs w:val="20"/>
          <w:highlight w:val="none"/>
          <w:lang w:val="en-US" w:eastAsia="zh-CN" w:bidi="ar-SA"/>
        </w:rPr>
        <w:t xml:space="preserve"> </w:t>
      </w:r>
      <w:r>
        <w:rPr>
          <w:rFonts w:hint="eastAsia" w:ascii="方正仿宋_GBK" w:hAnsi="方正仿宋_GBK" w:eastAsia="方正仿宋_GBK" w:cs="方正仿宋_GBK"/>
          <w:color w:val="auto"/>
          <w:w w:val="100"/>
          <w:kern w:val="2"/>
          <w:sz w:val="32"/>
          <w:szCs w:val="20"/>
          <w:highlight w:val="none"/>
          <w:lang w:val="en-US" w:eastAsia="zh-CN" w:bidi="ar-SA"/>
        </w:rPr>
        <w:t>抄送：昌吉州农业农村局，存档。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color w:val="auto"/>
          <w:w w:val="100"/>
          <w:kern w:val="2"/>
          <w:sz w:val="32"/>
          <w:szCs w:val="20"/>
          <w:highlight w:val="none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600700" cy="0"/>
                <wp:effectExtent l="0" t="4445" r="4445" b="762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41pt;z-index:251661312;mso-width-relative:page;mso-height-relative:page;" filled="f" stroked="t" coordsize="21600,21600" o:allowincell="f" o:gfxdata="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NLnrqLQAAAAAgEAAA8AAAAAAAAAAQAgAAAAIgAAAGRycy9kb3ducmV2LnhtbFBLAQIUABQAAAAI&#10;AIdO4kDU2NT+9QEAAOQDAAAOAAAAAAAAAAEAIAAAAB8BAABkcnMvZTJvRG9jLnhtbFBLBQYAAAAA&#10;BgAGAFkBAACG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color w:val="auto"/>
          <w:w w:val="100"/>
          <w:kern w:val="2"/>
          <w:sz w:val="32"/>
          <w:szCs w:val="20"/>
          <w:highlight w:val="none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396240</wp:posOffset>
                </wp:positionV>
                <wp:extent cx="5600700" cy="0"/>
                <wp:effectExtent l="0" t="9525" r="4445" b="1524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31.2pt;height:0pt;width:441pt;z-index:251662336;mso-width-relative:page;mso-height-relative:page;" filled="f" stroked="t" coordsize="21600,21600" o:allowincell="f" o:gfxdata="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ZfWzv9IAAAAGAQAADwAAAAAAAAABACAAAAAiAAAAZHJzL2Rvd25yZXYueG1sUEsBAhQAFAAA&#10;AAgAh07iQO0Ne8P1AQAA5QMAAA4AAAAAAAAAAQAgAAAAIQEAAGRycy9lMm9Eb2MueG1sUEsFBgAA&#10;AAAGAAYAWQEAAIgFAAAAAA=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_GB2312" w:cs="Times New Roman"/>
          <w:color w:val="auto"/>
          <w:w w:val="100"/>
          <w:kern w:val="2"/>
          <w:sz w:val="32"/>
          <w:szCs w:val="20"/>
          <w:highlight w:val="none"/>
          <w:lang w:val="en-US" w:eastAsia="zh-CN" w:bidi="ar-SA"/>
        </w:rPr>
        <w:t xml:space="preserve">  </w:t>
      </w:r>
      <w:r>
        <w:rPr>
          <w:rFonts w:hint="default" w:ascii="方正仿宋_GBK" w:hAnsi="方正仿宋_GBK" w:eastAsia="方正仿宋_GBK" w:cs="方正仿宋_GBK"/>
          <w:color w:val="auto"/>
          <w:w w:val="100"/>
          <w:kern w:val="2"/>
          <w:sz w:val="32"/>
          <w:szCs w:val="20"/>
          <w:highlight w:val="none"/>
          <w:lang w:val="en-US" w:eastAsia="zh-CN" w:bidi="ar-SA"/>
        </w:rPr>
        <w:t>昌吉州发展和改革委员会</w:t>
      </w:r>
      <w:r>
        <w:rPr>
          <w:rFonts w:hint="default" w:ascii="Times New Roman" w:hAnsi="Times New Roman" w:eastAsia="仿宋_GB2312" w:cs="Times New Roman"/>
          <w:color w:val="auto"/>
          <w:w w:val="100"/>
          <w:kern w:val="2"/>
          <w:sz w:val="32"/>
          <w:szCs w:val="20"/>
          <w:highlight w:val="none"/>
          <w:lang w:val="en-US" w:eastAsia="zh-CN" w:bidi="ar-SA"/>
        </w:rPr>
        <w:t xml:space="preserve">  </w:t>
      </w:r>
      <w:r>
        <w:rPr>
          <w:rFonts w:hint="default" w:ascii="Times New Roman" w:hAnsi="Times New Roman" w:cs="Times New Roman"/>
          <w:w w:val="100"/>
          <w:sz w:val="28"/>
          <w:szCs w:val="28"/>
        </w:rPr>
        <w:t xml:space="preserve">     </w:t>
      </w:r>
      <w:r>
        <w:rPr>
          <w:rFonts w:hint="default" w:ascii="Times New Roman" w:hAnsi="Times New Roman" w:cs="Times New Roman"/>
          <w:w w:val="100"/>
          <w:sz w:val="28"/>
          <w:szCs w:val="28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w w:val="100"/>
          <w:kern w:val="2"/>
          <w:sz w:val="32"/>
          <w:szCs w:val="20"/>
          <w:highlight w:val="none"/>
          <w:lang w:val="en-US" w:eastAsia="zh-CN" w:bidi="ar-SA"/>
        </w:rPr>
        <w:t xml:space="preserve"> </w:t>
      </w:r>
      <w:r>
        <w:rPr>
          <w:rFonts w:hint="default" w:ascii="Times New Roman" w:hAnsi="Times New Roman" w:eastAsia="方正仿宋_GBK" w:cs="Times New Roman"/>
          <w:color w:val="auto"/>
          <w:w w:val="100"/>
          <w:kern w:val="2"/>
          <w:sz w:val="32"/>
          <w:szCs w:val="20"/>
          <w:highlight w:val="none"/>
          <w:lang w:val="en-US" w:eastAsia="zh-CN" w:bidi="ar-SA"/>
        </w:rPr>
        <w:t>2025年5月10日印制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474" w:bottom="1418" w:left="1588" w:header="851" w:footer="992" w:gutter="0"/>
      <w:pgNumType w:fmt="decimal" w:start="1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421B14F-A2A5-4325-A628-21BE526C7349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0C0ACC45-01D3-49AE-8D0E-8E520EFF14F1}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164095A6-079C-411E-8A04-12E5E7360C6E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1D8E11E9-D388-4538-A356-7AC6214EB9C2}"/>
  </w:font>
  <w:font w:name="方正楷体_GB2312">
    <w:altName w:val="楷体_GB2312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5" w:fontKey="{25EBE91D-2285-438C-A8AD-43C56BB644BC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6" w:fontKey="{AED99455-C4EA-44D7-A9EB-128B2405A18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5MmYzNDJmNTQyOWQ3NjJjOTM3ZDdiYzA0ZmFiNzgifQ=="/>
    <w:docVar w:name="KSO_WPS_MARK_KEY" w:val="893ef9a6-5003-4a2a-af1e-ec757cb37266"/>
  </w:docVars>
  <w:rsids>
    <w:rsidRoot w:val="56154F7C"/>
    <w:rsid w:val="033B7F8A"/>
    <w:rsid w:val="047A39D5"/>
    <w:rsid w:val="060E2182"/>
    <w:rsid w:val="062C4CFE"/>
    <w:rsid w:val="06E15F8D"/>
    <w:rsid w:val="06FD10AC"/>
    <w:rsid w:val="0901696A"/>
    <w:rsid w:val="0B060A00"/>
    <w:rsid w:val="0B0A5387"/>
    <w:rsid w:val="0BAE147F"/>
    <w:rsid w:val="0ED272EC"/>
    <w:rsid w:val="10B2354A"/>
    <w:rsid w:val="16942A72"/>
    <w:rsid w:val="17A80B0E"/>
    <w:rsid w:val="17DC0AD8"/>
    <w:rsid w:val="183C3CE9"/>
    <w:rsid w:val="1855506B"/>
    <w:rsid w:val="18D75D47"/>
    <w:rsid w:val="19081158"/>
    <w:rsid w:val="19B80220"/>
    <w:rsid w:val="1B904B09"/>
    <w:rsid w:val="1C3109C5"/>
    <w:rsid w:val="1D86563F"/>
    <w:rsid w:val="1E004AF3"/>
    <w:rsid w:val="1ECD3D4C"/>
    <w:rsid w:val="1ED313A7"/>
    <w:rsid w:val="20315F13"/>
    <w:rsid w:val="20C47991"/>
    <w:rsid w:val="20E17407"/>
    <w:rsid w:val="217D1928"/>
    <w:rsid w:val="227E2C59"/>
    <w:rsid w:val="23720241"/>
    <w:rsid w:val="249E2DCB"/>
    <w:rsid w:val="25C665E0"/>
    <w:rsid w:val="285722AD"/>
    <w:rsid w:val="28C36E49"/>
    <w:rsid w:val="29D462E7"/>
    <w:rsid w:val="2BF13C2F"/>
    <w:rsid w:val="2C5F724D"/>
    <w:rsid w:val="2CF9552F"/>
    <w:rsid w:val="2CFE48F4"/>
    <w:rsid w:val="2E1A575D"/>
    <w:rsid w:val="302905F3"/>
    <w:rsid w:val="30AF3AD6"/>
    <w:rsid w:val="30B91AF4"/>
    <w:rsid w:val="33B91677"/>
    <w:rsid w:val="356340F2"/>
    <w:rsid w:val="35BA0910"/>
    <w:rsid w:val="3659216D"/>
    <w:rsid w:val="38B77302"/>
    <w:rsid w:val="3B0E7B24"/>
    <w:rsid w:val="3B2A5F9C"/>
    <w:rsid w:val="3EF26282"/>
    <w:rsid w:val="41AF2209"/>
    <w:rsid w:val="43E97FDC"/>
    <w:rsid w:val="44224F14"/>
    <w:rsid w:val="44284002"/>
    <w:rsid w:val="4583719D"/>
    <w:rsid w:val="46AD3C70"/>
    <w:rsid w:val="4AD5101F"/>
    <w:rsid w:val="4C246AFE"/>
    <w:rsid w:val="4C4874E2"/>
    <w:rsid w:val="4F251D5C"/>
    <w:rsid w:val="4F650FD1"/>
    <w:rsid w:val="4FDE1CCF"/>
    <w:rsid w:val="539C54B4"/>
    <w:rsid w:val="56154F7C"/>
    <w:rsid w:val="571D56BF"/>
    <w:rsid w:val="58D450AC"/>
    <w:rsid w:val="58DE398B"/>
    <w:rsid w:val="5D055B1F"/>
    <w:rsid w:val="5D5714B4"/>
    <w:rsid w:val="5D9C2921"/>
    <w:rsid w:val="5E396F2F"/>
    <w:rsid w:val="5E4312CD"/>
    <w:rsid w:val="5EBB50B3"/>
    <w:rsid w:val="5F0C4C0A"/>
    <w:rsid w:val="5F877286"/>
    <w:rsid w:val="6124629D"/>
    <w:rsid w:val="62001A0A"/>
    <w:rsid w:val="62D256AF"/>
    <w:rsid w:val="666D202F"/>
    <w:rsid w:val="68EF0FB9"/>
    <w:rsid w:val="69493650"/>
    <w:rsid w:val="698B3729"/>
    <w:rsid w:val="6AAC00DB"/>
    <w:rsid w:val="6B470842"/>
    <w:rsid w:val="6B5F1734"/>
    <w:rsid w:val="6C824BB5"/>
    <w:rsid w:val="6E8F44E5"/>
    <w:rsid w:val="6EC459BB"/>
    <w:rsid w:val="6FFC2A1E"/>
    <w:rsid w:val="702F4C5E"/>
    <w:rsid w:val="722722BD"/>
    <w:rsid w:val="73BC6784"/>
    <w:rsid w:val="73C123F6"/>
    <w:rsid w:val="74BC73C6"/>
    <w:rsid w:val="752F541A"/>
    <w:rsid w:val="75D66BD9"/>
    <w:rsid w:val="77603CC2"/>
    <w:rsid w:val="78437137"/>
    <w:rsid w:val="78746DE5"/>
    <w:rsid w:val="79865022"/>
    <w:rsid w:val="7A74131E"/>
    <w:rsid w:val="7AD93877"/>
    <w:rsid w:val="7D434B37"/>
    <w:rsid w:val="7E912F73"/>
    <w:rsid w:val="7EC1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rPr>
      <w:rFonts w:eastAsia="仿宋_GB2312"/>
      <w:sz w:val="32"/>
    </w:rPr>
  </w:style>
  <w:style w:type="paragraph" w:styleId="4">
    <w:name w:val="Body Text Indent"/>
    <w:basedOn w:val="1"/>
    <w:qFormat/>
    <w:uiPriority w:val="0"/>
    <w:pPr>
      <w:spacing w:line="580" w:lineRule="exact"/>
      <w:ind w:firstLine="645"/>
    </w:pPr>
    <w:rPr>
      <w:rFonts w:ascii="仿宋_GB2312" w:hAnsi="Times New Roman" w:eastAsia="仿宋_GB2312" w:cs="Times New Roman"/>
      <w:kern w:val="0"/>
      <w:sz w:val="32"/>
      <w:szCs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itle"/>
    <w:basedOn w:val="1"/>
    <w:next w:val="1"/>
    <w:qFormat/>
    <w:uiPriority w:val="0"/>
    <w:pPr>
      <w:spacing w:before="660" w:beforeLines="0" w:after="400" w:afterLines="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8">
    <w:name w:val="Body Text First Indent"/>
    <w:basedOn w:val="3"/>
    <w:qFormat/>
    <w:uiPriority w:val="0"/>
    <w:pPr>
      <w:ind w:firstLine="420" w:firstLineChars="100"/>
    </w:pPr>
  </w:style>
  <w:style w:type="paragraph" w:styleId="9">
    <w:name w:val="Body Text First Indent 2"/>
    <w:basedOn w:val="4"/>
    <w:next w:val="1"/>
    <w:qFormat/>
    <w:uiPriority w:val="0"/>
    <w:pPr>
      <w:ind w:firstLine="420" w:firstLineChars="200"/>
    </w:pPr>
  </w:style>
  <w:style w:type="paragraph" w:customStyle="1" w:styleId="12">
    <w:name w:val="List Paragraph"/>
    <w:basedOn w:val="1"/>
    <w:qFormat/>
    <w:uiPriority w:val="0"/>
    <w:pPr>
      <w:ind w:firstLine="420" w:firstLineChars="200"/>
    </w:pPr>
    <w:rPr>
      <w:szCs w:val="22"/>
    </w:rPr>
  </w:style>
  <w:style w:type="character" w:customStyle="1" w:styleId="13">
    <w:name w:val="font91"/>
    <w:basedOn w:val="11"/>
    <w:qFormat/>
    <w:uiPriority w:val="0"/>
    <w:rPr>
      <w:rFonts w:ascii="宋体" w:hAnsi="宋体" w:eastAsia="宋体" w:cs="宋体"/>
      <w:color w:val="000000"/>
      <w:sz w:val="18"/>
      <w:szCs w:val="18"/>
      <w:u w:val="none"/>
    </w:rPr>
  </w:style>
  <w:style w:type="character" w:customStyle="1" w:styleId="14">
    <w:name w:val="font101"/>
    <w:basedOn w:val="11"/>
    <w:qFormat/>
    <w:uiPriority w:val="0"/>
    <w:rPr>
      <w:rFonts w:ascii="宋体" w:hAnsi="宋体" w:eastAsia="宋体" w:cs="宋体"/>
      <w:color w:val="862800"/>
      <w:sz w:val="18"/>
      <w:szCs w:val="18"/>
      <w:u w:val="none"/>
    </w:rPr>
  </w:style>
  <w:style w:type="character" w:customStyle="1" w:styleId="15">
    <w:name w:val="font112"/>
    <w:basedOn w:val="11"/>
    <w:qFormat/>
    <w:uiPriority w:val="0"/>
    <w:rPr>
      <w:rFonts w:ascii="宋体" w:hAnsi="宋体" w:eastAsia="宋体" w:cs="宋体"/>
      <w:color w:val="820004"/>
      <w:sz w:val="18"/>
      <w:szCs w:val="18"/>
      <w:u w:val="none"/>
    </w:rPr>
  </w:style>
  <w:style w:type="character" w:customStyle="1" w:styleId="16">
    <w:name w:val="font121"/>
    <w:basedOn w:val="11"/>
    <w:qFormat/>
    <w:uiPriority w:val="0"/>
    <w:rPr>
      <w:rFonts w:ascii="宋体" w:hAnsi="宋体" w:eastAsia="宋体" w:cs="宋体"/>
      <w:color w:val="002895"/>
      <w:sz w:val="18"/>
      <w:szCs w:val="18"/>
      <w:u w:val="none"/>
    </w:rPr>
  </w:style>
  <w:style w:type="character" w:customStyle="1" w:styleId="17">
    <w:name w:val="font131"/>
    <w:basedOn w:val="11"/>
    <w:qFormat/>
    <w:uiPriority w:val="0"/>
    <w:rPr>
      <w:rFonts w:ascii="宋体" w:hAnsi="宋体" w:eastAsia="宋体" w:cs="宋体"/>
      <w:color w:val="807700"/>
      <w:sz w:val="18"/>
      <w:szCs w:val="18"/>
      <w:u w:val="none"/>
    </w:rPr>
  </w:style>
  <w:style w:type="character" w:customStyle="1" w:styleId="18">
    <w:name w:val="font11"/>
    <w:basedOn w:val="11"/>
    <w:qFormat/>
    <w:uiPriority w:val="0"/>
    <w:rPr>
      <w:rFonts w:ascii="宋体" w:hAnsi="宋体" w:eastAsia="宋体" w:cs="宋体"/>
      <w:color w:val="000000"/>
      <w:sz w:val="18"/>
      <w:szCs w:val="18"/>
      <w:u w:val="none"/>
    </w:rPr>
  </w:style>
  <w:style w:type="character" w:customStyle="1" w:styleId="19">
    <w:name w:val="font51"/>
    <w:basedOn w:val="11"/>
    <w:qFormat/>
    <w:uiPriority w:val="0"/>
    <w:rPr>
      <w:rFonts w:hint="default" w:ascii="Times New Roman" w:hAnsi="Times New Roman" w:cs="Times New Roman"/>
      <w:color w:val="000000"/>
      <w:sz w:val="32"/>
      <w:szCs w:val="32"/>
      <w:u w:val="none"/>
    </w:rPr>
  </w:style>
  <w:style w:type="character" w:customStyle="1" w:styleId="20">
    <w:name w:val="font71"/>
    <w:basedOn w:val="11"/>
    <w:qFormat/>
    <w:uiPriority w:val="0"/>
    <w:rPr>
      <w:rFonts w:hint="eastAsia" w:ascii="仿宋_GB2312" w:eastAsia="仿宋_GB2312" w:cs="仿宋_GB2312"/>
      <w:b/>
      <w:bCs/>
      <w:color w:val="000000"/>
      <w:sz w:val="21"/>
      <w:szCs w:val="21"/>
      <w:u w:val="none"/>
    </w:rPr>
  </w:style>
  <w:style w:type="character" w:customStyle="1" w:styleId="21">
    <w:name w:val="font31"/>
    <w:basedOn w:val="11"/>
    <w:qFormat/>
    <w:uiPriority w:val="0"/>
    <w:rPr>
      <w:rFonts w:ascii="方正仿宋_GB2312" w:hAnsi="方正仿宋_GB2312" w:eastAsia="方正仿宋_GB2312" w:cs="方正仿宋_GB2312"/>
      <w:b/>
      <w:bCs/>
      <w:color w:val="000000"/>
      <w:sz w:val="22"/>
      <w:szCs w:val="22"/>
      <w:u w:val="none"/>
    </w:rPr>
  </w:style>
  <w:style w:type="character" w:customStyle="1" w:styleId="22">
    <w:name w:val="font21"/>
    <w:basedOn w:val="11"/>
    <w:qFormat/>
    <w:uiPriority w:val="0"/>
    <w:rPr>
      <w:rFonts w:hint="default" w:ascii="Times New Roman" w:hAnsi="Times New Roman" w:cs="Times New Roman"/>
      <w:b/>
      <w:bCs/>
      <w:color w:val="000000"/>
      <w:sz w:val="22"/>
      <w:szCs w:val="22"/>
      <w:u w:val="none"/>
    </w:rPr>
  </w:style>
  <w:style w:type="character" w:customStyle="1" w:styleId="23">
    <w:name w:val="font41"/>
    <w:basedOn w:val="11"/>
    <w:qFormat/>
    <w:uiPriority w:val="0"/>
    <w:rPr>
      <w:rFonts w:hint="eastAsia" w:ascii="方正仿宋_GB2312" w:hAnsi="方正仿宋_GB2312" w:eastAsia="方正仿宋_GB2312" w:cs="方正仿宋_GB2312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1644</Words>
  <Characters>2040</Characters>
  <Lines>0</Lines>
  <Paragraphs>0</Paragraphs>
  <TotalTime>1</TotalTime>
  <ScaleCrop>false</ScaleCrop>
  <LinksUpToDate>false</LinksUpToDate>
  <CharactersWithSpaces>2195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2021-07-06T02:57:00Z</dcterms:created>
  <dc:creator>Administrator</dc:creator>
  <cp:lastModifiedBy>Administrator</cp:lastModifiedBy>
  <cp:lastPrinted>2025-05-19T02:36:00Z</cp:lastPrinted>
  <dcterms:modified xsi:type="dcterms:W3CDTF">2025-05-21T11:04:21Z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D4B5C13A915241E3A8CA3E166B063355_13</vt:lpwstr>
  </property>
  <property fmtid="{D5CDD505-2E9C-101B-9397-08002B2CF9AE}" pid="4" name="KSOTemplateDocerSaveRecord">
    <vt:lpwstr>eyJoZGlkIjoiOGJkNjZlNGU0Yzk4Zjc0NGE4ZjRlZjRkN2IwYTA0ZDkiLCJ1c2VySWQiOiI5MzcxNDU1MDUifQ==</vt:lpwstr>
  </property>
</Properties>
</file>