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CB735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方正小标宋_GBK" w:cs="Times New Roman"/>
          <w:spacing w:val="0"/>
          <w:kern w:val="0"/>
        </w:rPr>
      </w:pPr>
    </w:p>
    <w:p w14:paraId="77AE7F8A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cs="Times New Roman"/>
          <w:spacing w:val="0"/>
          <w:kern w:val="0"/>
        </w:rPr>
      </w:pPr>
    </w:p>
    <w:p w14:paraId="7381932B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cs="Times New Roman"/>
          <w:spacing w:val="0"/>
          <w:kern w:val="0"/>
        </w:rPr>
      </w:pPr>
    </w:p>
    <w:p w14:paraId="6F7EA367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cs="Times New Roman"/>
          <w:spacing w:val="0"/>
          <w:kern w:val="0"/>
        </w:rPr>
      </w:pPr>
    </w:p>
    <w:p w14:paraId="3EB9A8F9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cs="Times New Roman"/>
          <w:spacing w:val="0"/>
          <w:kern w:val="0"/>
        </w:rPr>
      </w:pPr>
    </w:p>
    <w:p w14:paraId="6A5543EA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cs="Times New Roman"/>
          <w:spacing w:val="0"/>
          <w:kern w:val="0"/>
        </w:rPr>
      </w:pPr>
    </w:p>
    <w:p w14:paraId="320B2463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pacing w:before="0" w:after="0" w:line="560" w:lineRule="exact"/>
        <w:textAlignment w:val="auto"/>
        <w:rPr>
          <w:rFonts w:hint="default" w:ascii="Times New Roman" w:hAnsi="Times New Roman" w:cs="Times New Roman"/>
          <w:spacing w:val="0"/>
          <w:kern w:val="0"/>
        </w:rPr>
      </w:pPr>
    </w:p>
    <w:p w14:paraId="0E9FFFEA">
      <w:pPr>
        <w:rPr>
          <w:rFonts w:hint="default" w:ascii="Times New Roman" w:hAnsi="Times New Roman" w:cs="Times New Roman"/>
        </w:rPr>
      </w:pPr>
    </w:p>
    <w:p w14:paraId="47B58CAF">
      <w:pPr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</w:rPr>
      </w:pPr>
    </w:p>
    <w:p w14:paraId="21AC4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highlight w:val="none"/>
        </w:rPr>
      </w:pPr>
    </w:p>
    <w:p w14:paraId="7F7F3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</w:rPr>
      </w:pPr>
    </w:p>
    <w:p w14:paraId="766F8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</w:rPr>
        <w:t>昌州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  <w:lang w:val="en-US" w:eastAsia="zh-CN"/>
        </w:rPr>
        <w:t>发改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</w:rPr>
        <w:t>项目〔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  <w:lang w:val="en-US" w:eastAsia="zh-CN"/>
        </w:rPr>
        <w:t>65</w:t>
      </w: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highlight w:val="none"/>
        </w:rPr>
        <w:t>号</w:t>
      </w:r>
    </w:p>
    <w:p w14:paraId="1891FA8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w w:val="100"/>
          <w:kern w:val="0"/>
          <w:sz w:val="44"/>
          <w:szCs w:val="44"/>
        </w:rPr>
      </w:pPr>
    </w:p>
    <w:p w14:paraId="7647627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昌吉州发改委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吉木萨尔县2025年玉米</w:t>
      </w:r>
    </w:p>
    <w:p w14:paraId="506F4EF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w w:val="1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单产提升工程初步设计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w w:val="100"/>
          <w:kern w:val="0"/>
          <w:sz w:val="44"/>
          <w:szCs w:val="44"/>
        </w:rPr>
        <w:t>的批复</w:t>
      </w:r>
    </w:p>
    <w:p w14:paraId="3D444E3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方正小标宋_GBK" w:cs="Times New Roman"/>
          <w:spacing w:val="0"/>
          <w:w w:val="100"/>
          <w:kern w:val="0"/>
          <w:sz w:val="44"/>
          <w:szCs w:val="44"/>
        </w:rPr>
      </w:pPr>
    </w:p>
    <w:p w14:paraId="1843B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吉木萨尔县发展和改革委员会：</w:t>
      </w:r>
    </w:p>
    <w:p w14:paraId="09C39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你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委《关于对吉木萨尔县2025年玉米单产提升工程初步设计进行批复的请示》（吉县发改〔2025〕154号）和昌吉州农业农村局《关于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&lt;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吉木萨尔县 2025年玉米单产提升工程初步设计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报告&gt;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审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查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意见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的函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》（昌州农函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〔202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号）均已收悉。经研究，现批复如下：</w:t>
      </w:r>
    </w:p>
    <w:p w14:paraId="318550E6"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  <w:t>项目</w:t>
      </w:r>
      <w:r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  <w:lang w:val="en-US" w:eastAsia="zh-CN"/>
        </w:rPr>
        <w:t>概况</w:t>
      </w:r>
    </w:p>
    <w:p w14:paraId="0F027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1.项目名称：吉木萨尔县2025年玉米单产提升工程（项目代码：2412-652327-20-02-265143）</w:t>
      </w:r>
    </w:p>
    <w:p w14:paraId="3C06B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项目总投资2000万元，其中申请超长期特别国债1500万元，其他自有资金500万元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。</w:t>
      </w:r>
    </w:p>
    <w:p w14:paraId="328EB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3.建设单位（法人）：吉木萨尔县农业农村局</w:t>
      </w:r>
    </w:p>
    <w:p w14:paraId="333AE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4.项目日常监管责任单位：昌吉州农业农村局</w:t>
      </w:r>
    </w:p>
    <w:p w14:paraId="1B834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5.项目建设期限：2025年7月-2026年12月</w:t>
      </w:r>
    </w:p>
    <w:p w14:paraId="79173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  <w:t>二、建设规模及内容</w:t>
      </w:r>
    </w:p>
    <w:p w14:paraId="3104E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在吉木萨尔县4个乡镇建设玉米单产提升工程，共计面积50000亩。其中：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二工镇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提升改造面积为33678亩、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老台乡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提升改造面积为3957亩、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庆阳湖乡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提升改造面积为5134亩和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北庭镇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提升改造面积为7231亩。主要包括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以下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内容。</w:t>
      </w:r>
    </w:p>
    <w:p w14:paraId="33A57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  <w:t>（一）主要设备。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配套安装智能自动水肥一体机78套；安装自动过滤系统14套；安装智能电磁阀6605套；配套建设首部主干管控制器、首部主干管流量传感器、首部主干管压力传感器各78套；配套建设土壤墒情监测站、虫情监测站、苗情监测站各8套。自动化灌溉控制管理平台（手机APP软件）1套。其中：</w:t>
      </w:r>
    </w:p>
    <w:p w14:paraId="57023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1. 二工镇：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配套安装智能自动水肥一体机51套；安装自动过滤系统8套；安装智能电磁阀4400套；配套建设首部主干管控制器、首部主干管流量传感器、首部主干管压力传感器各51套；配套建设土壤墒情监测站、虫情监测站、苗情监测站各8套。</w:t>
      </w:r>
    </w:p>
    <w:p w14:paraId="14BCB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2. 老台乡：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配套安装智能自动水肥一体机8套；配套安装智能电磁阀468套；配套建设首部主干管控制器、首部主干管流量传感器、首部主干管压力传感器各8套。</w:t>
      </w:r>
    </w:p>
    <w:p w14:paraId="31FEA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3. 庆阳湖乡：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配套安装智能自动水肥一体机7套；安装自动过滤系统2套；配套安装智能电磁阀591套；配套建设首部主干管控制器、首部主干管流量传感器、首部主干管压力传感器各7套。</w:t>
      </w:r>
    </w:p>
    <w:p w14:paraId="3042D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3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4. 北庭镇：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配套安装智能自动水肥一体机12套；安装自动过滤系统4套；配套安装智能电磁阀1146套；配套建设首部主干管控制器、首部主干管流量传感器、首部主干管压力传感器各12套。</w:t>
      </w:r>
    </w:p>
    <w:p w14:paraId="10FB1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5.自动化灌溉控制管理平台（手机APP软件）1套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为各乡镇共用。</w:t>
      </w:r>
    </w:p>
    <w:p w14:paraId="203871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jc w:val="left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2312" w:cs="Times New Roman"/>
          <w:b/>
          <w:bCs/>
          <w:sz w:val="32"/>
          <w:szCs w:val="32"/>
          <w:highlight w:val="none"/>
          <w:lang w:val="en-US" w:eastAsia="zh-CN"/>
        </w:rPr>
        <w:t>（二）全生育期精准调控技术集成推广。</w:t>
      </w:r>
    </w:p>
    <w:p w14:paraId="77712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万亩玉米单产提升工程进行优质种子、肥料等农资购置，推广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万亩玉米水肥一体化精准调控技术、玉米密植高产栽培技术、病虫害统防统治技术、绿色防控技术、秸秆综合利用技术等。</w:t>
      </w:r>
    </w:p>
    <w:p w14:paraId="727A208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  <w:highlight w:val="none"/>
        </w:rPr>
        <w:t>三、工程概算</w:t>
      </w:r>
    </w:p>
    <w:p w14:paraId="76364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总投资2000万元。其中工程费用1500万元，其他费用500万元（工程建设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zh-CN" w:eastAsia="zh-CN"/>
        </w:rPr>
        <w:t>其他费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142.79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zh-CN" w:eastAsia="zh-CN"/>
        </w:rPr>
        <w:t>万元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，基本预备费98.57万元，全生育期精准调控技术集成推广费248.64万元，自动化灌溉控制管理平台10万元）。</w:t>
      </w:r>
    </w:p>
    <w:p w14:paraId="3C5F435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kern w:val="0"/>
          <w:sz w:val="32"/>
          <w:szCs w:val="32"/>
        </w:rPr>
        <w:t>四、工程建设有关要求</w:t>
      </w:r>
    </w:p>
    <w:p w14:paraId="095D7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（一）严格遵循基本建设程序，按照批准的初步设计报告和概算进行施工图设计，满足国家和自治区有关技术、安全、消防、节能和环保等要求。</w:t>
      </w:r>
    </w:p>
    <w:p w14:paraId="0D1B1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（二）严格执行项目法人责任制、招标投标制、工程监理制、合同管理制等项目管理制度，加快项目建设，确保工程质量。</w:t>
      </w:r>
    </w:p>
    <w:p w14:paraId="26B76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（三）项目建成后，按照规定及时向审批部门申请组织竣工验收，确保项目尽早发挥效益。</w:t>
      </w:r>
    </w:p>
    <w:p w14:paraId="2666499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</w:rPr>
      </w:pPr>
    </w:p>
    <w:p w14:paraId="2E5F1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附件：吉木萨尔县2025年玉米单产提升工程总概算表</w:t>
      </w:r>
    </w:p>
    <w:p w14:paraId="6486F9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right="79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lang w:val="en-US" w:eastAsia="zh-CN"/>
        </w:rPr>
        <w:t xml:space="preserve">                            </w:t>
      </w:r>
    </w:p>
    <w:p w14:paraId="72F1F6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right="79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昌吉州发展和改革委员会</w:t>
      </w:r>
    </w:p>
    <w:p w14:paraId="3BC1F36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right="79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2025年5月1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日</w:t>
      </w:r>
    </w:p>
    <w:p w14:paraId="3586FE30">
      <w:pPr>
        <w:pStyle w:val="13"/>
        <w:jc w:val="both"/>
        <w:rPr>
          <w:rFonts w:hint="default" w:ascii="Times New Roman" w:hAnsi="Times New Roman" w:cs="Times New Roman"/>
        </w:rPr>
      </w:pPr>
    </w:p>
    <w:p w14:paraId="78A12C8F">
      <w:pPr>
        <w:pStyle w:val="13"/>
        <w:jc w:val="both"/>
        <w:rPr>
          <w:rFonts w:hint="default" w:ascii="Times New Roman" w:hAnsi="Times New Roman" w:eastAsia="方正仿宋_GBK" w:cs="Times New Roman"/>
          <w:b w:val="0"/>
          <w:bCs w:val="0"/>
          <w:snapToGrid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spacing w:val="0"/>
          <w:kern w:val="2"/>
          <w:sz w:val="32"/>
          <w:szCs w:val="32"/>
          <w:lang w:val="en-US" w:eastAsia="zh-CN" w:bidi="ar-SA"/>
        </w:rPr>
        <w:t>（此页无正文。）</w:t>
      </w:r>
    </w:p>
    <w:p w14:paraId="20A34AA8">
      <w:pPr>
        <w:pStyle w:val="13"/>
        <w:jc w:val="both"/>
        <w:rPr>
          <w:rFonts w:hint="default" w:ascii="Times New Roman" w:hAnsi="Times New Roman" w:cs="Times New Roman"/>
        </w:rPr>
      </w:pPr>
      <w:bookmarkStart w:id="0" w:name="_GoBack"/>
      <w:bookmarkEnd w:id="0"/>
    </w:p>
    <w:p w14:paraId="3EBB20FB">
      <w:pPr>
        <w:pStyle w:val="13"/>
        <w:jc w:val="both"/>
        <w:rPr>
          <w:rFonts w:hint="default" w:ascii="Times New Roman" w:hAnsi="Times New Roman" w:cs="Times New Roman"/>
        </w:rPr>
      </w:pPr>
    </w:p>
    <w:p w14:paraId="2C5CBAC6">
      <w:pPr>
        <w:pStyle w:val="13"/>
        <w:jc w:val="both"/>
        <w:rPr>
          <w:rFonts w:hint="default" w:ascii="Times New Roman" w:hAnsi="Times New Roman" w:cs="Times New Roman"/>
        </w:rPr>
      </w:pPr>
    </w:p>
    <w:p w14:paraId="01F375E8">
      <w:pPr>
        <w:pStyle w:val="13"/>
        <w:jc w:val="both"/>
        <w:rPr>
          <w:rFonts w:hint="default" w:ascii="Times New Roman" w:hAnsi="Times New Roman" w:cs="Times New Roman"/>
        </w:rPr>
      </w:pPr>
    </w:p>
    <w:p w14:paraId="18CBFBE9">
      <w:pPr>
        <w:pStyle w:val="13"/>
        <w:jc w:val="both"/>
        <w:rPr>
          <w:rFonts w:hint="default" w:ascii="Times New Roman" w:hAnsi="Times New Roman" w:cs="Times New Roman"/>
        </w:rPr>
      </w:pPr>
    </w:p>
    <w:p w14:paraId="2B9C03AE">
      <w:pPr>
        <w:pStyle w:val="13"/>
        <w:jc w:val="both"/>
        <w:rPr>
          <w:rFonts w:hint="default" w:ascii="Times New Roman" w:hAnsi="Times New Roman" w:cs="Times New Roman"/>
        </w:rPr>
      </w:pPr>
    </w:p>
    <w:p w14:paraId="06A00E4D">
      <w:pPr>
        <w:pStyle w:val="13"/>
        <w:jc w:val="both"/>
        <w:rPr>
          <w:rFonts w:hint="default" w:ascii="Times New Roman" w:hAnsi="Times New Roman" w:cs="Times New Roman"/>
        </w:rPr>
      </w:pPr>
    </w:p>
    <w:p w14:paraId="6D670A3F">
      <w:pPr>
        <w:pStyle w:val="13"/>
        <w:jc w:val="both"/>
        <w:rPr>
          <w:rFonts w:hint="default" w:ascii="Times New Roman" w:hAnsi="Times New Roman" w:cs="Times New Roman"/>
        </w:rPr>
      </w:pPr>
    </w:p>
    <w:p w14:paraId="1EECCA86">
      <w:pPr>
        <w:pStyle w:val="13"/>
        <w:jc w:val="both"/>
        <w:rPr>
          <w:rFonts w:hint="default" w:ascii="Times New Roman" w:hAnsi="Times New Roman" w:cs="Times New Roman"/>
        </w:rPr>
      </w:pPr>
    </w:p>
    <w:p w14:paraId="2B3B43CD">
      <w:pPr>
        <w:pStyle w:val="13"/>
        <w:jc w:val="both"/>
        <w:rPr>
          <w:rFonts w:hint="default" w:ascii="Times New Roman" w:hAnsi="Times New Roman" w:cs="Times New Roman"/>
        </w:rPr>
      </w:pPr>
    </w:p>
    <w:p w14:paraId="6F039998">
      <w:pPr>
        <w:pStyle w:val="13"/>
        <w:jc w:val="both"/>
        <w:rPr>
          <w:rFonts w:hint="default" w:ascii="Times New Roman" w:hAnsi="Times New Roman" w:cs="Times New Roman"/>
        </w:rPr>
      </w:pPr>
    </w:p>
    <w:p w14:paraId="465C9F85">
      <w:pPr>
        <w:pStyle w:val="13"/>
        <w:jc w:val="both"/>
        <w:rPr>
          <w:rFonts w:hint="default" w:ascii="Times New Roman" w:hAnsi="Times New Roman" w:cs="Times New Roman"/>
        </w:rPr>
      </w:pPr>
    </w:p>
    <w:p w14:paraId="130D2AE7">
      <w:pPr>
        <w:pStyle w:val="13"/>
        <w:jc w:val="both"/>
        <w:rPr>
          <w:rFonts w:hint="default" w:ascii="Times New Roman" w:hAnsi="Times New Roman" w:cs="Times New Roman"/>
        </w:rPr>
      </w:pPr>
    </w:p>
    <w:p w14:paraId="6523145B">
      <w:pPr>
        <w:pStyle w:val="13"/>
        <w:jc w:val="both"/>
        <w:rPr>
          <w:rFonts w:hint="default" w:ascii="Times New Roman" w:hAnsi="Times New Roman" w:cs="Times New Roman"/>
        </w:rPr>
      </w:pPr>
    </w:p>
    <w:p w14:paraId="7E614E5C">
      <w:pPr>
        <w:pStyle w:val="13"/>
        <w:jc w:val="both"/>
        <w:rPr>
          <w:rFonts w:hint="default" w:ascii="Times New Roman" w:hAnsi="Times New Roman" w:cs="Times New Roman"/>
        </w:rPr>
      </w:pPr>
    </w:p>
    <w:p w14:paraId="3A6CC8C1">
      <w:pPr>
        <w:pStyle w:val="13"/>
        <w:jc w:val="both"/>
        <w:rPr>
          <w:rFonts w:hint="default" w:ascii="Times New Roman" w:hAnsi="Times New Roman" w:cs="Times New Roman"/>
        </w:rPr>
      </w:pPr>
    </w:p>
    <w:p w14:paraId="0BF07197">
      <w:pPr>
        <w:pStyle w:val="13"/>
        <w:jc w:val="both"/>
        <w:rPr>
          <w:rFonts w:hint="default" w:ascii="Times New Roman" w:hAnsi="Times New Roman" w:cs="Times New Roman"/>
        </w:rPr>
      </w:pPr>
    </w:p>
    <w:p w14:paraId="5E6E43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w w:val="1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9525" r="0" b="1333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1pt;z-index:251660288;mso-width-relative:page;mso-height-relative:page;" filled="f" stroked="t" coordsize="21600,21600" o:allowincell="f" o:gfxdata="UEsDBAoAAAAAAIdO4kAAAAAAAAAAAAAAAAAEAAAAZHJzL1BLAwQUAAAACACHTuJAwzhK+c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D&#10;OEr5zwAAAAIBAAAPAAAAAAAAAAEAIAAAACIAAABkcnMvZG93bnJldi54bWxQSwECFAAUAAAACACH&#10;TuJAdEmmqfQBAADlAwAADgAAAAAAAAABACAAAAAeAQAAZHJzL2Uyb0RvYy54bWxQSwUGAAAAAAYA&#10;BgBZAQAAhA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w w:val="100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>抄送：昌吉州农业农村局。</w:t>
      </w:r>
    </w:p>
    <w:p w14:paraId="119E0C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4445" r="0" b="698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1pt;z-index:251661312;mso-width-relative:page;mso-height-relative:page;" filled="f" stroked="t" coordsize="21600,21600" o:allowincell="f" o:gfxdata="UEsDBAoAAAAAAIdO4kAAAAAAAAAAAAAAAAAEAAAAZHJzL1BLAwQUAAAACACHTuJA0ueuot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LnrqLQAAAAAgEAAA8AAAAAAAAAAQAgAAAAIgAAAGRycy9kb3ducmV2LnhtbFBLAQIUABQAAAAI&#10;AIdO4kDFs7CT9QEAAOQDAAAOAAAAAAAAAAEAIAAAAB8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600700" cy="0"/>
                <wp:effectExtent l="0" t="9525" r="0" b="1333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2pt;height:0pt;width:441pt;z-index:251662336;mso-width-relative:page;mso-height-relative:page;" filled="f" stroked="t" coordsize="21600,21600" o:allowincell="f" o:gfxdata="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fWzv9IAAAAGAQAADwAAAAAAAAABACAAAAAiAAAAZHJzL2Rvd25yZXYueG1sUEsBAhQAFAAA&#10;AAgAh07iQGPUGAz1AQAA5QMAAA4AAAAAAAAAAQAgAAAAIQEAAGRycy9lMm9Eb2MueG1sUEsFBgAA&#10;AAAGAAYAWQEAAIg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 xml:space="preserve">  </w:t>
      </w:r>
      <w:r>
        <w:rPr>
          <w:rFonts w:hint="default" w:ascii="方正仿宋_GBK" w:hAnsi="方正仿宋_GBK" w:eastAsia="方正仿宋_GBK" w:cs="方正仿宋_GBK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>昌吉州发展和改革委员会</w: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 xml:space="preserve">  </w:t>
      </w:r>
      <w:r>
        <w:rPr>
          <w:rFonts w:hint="default" w:ascii="Times New Roman" w:hAnsi="Times New Roman" w:cs="Times New Roman"/>
          <w:w w:val="100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w w:val="100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>2025年5月10日印制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305058-CBE2-4096-AC8B-E184FE692F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DBE3880-06E2-40C5-ABEC-9999020E245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ECD66303-7680-4265-9006-935A7862EC5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C6D52C4-9033-4BFA-A75D-FCAF364B186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C88A7FA6-2551-4BB8-8A80-CEF84382CD64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58857053-D9DA-4602-9FF7-D0801927E8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24D3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AFC1E7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AFC1E7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A37F3"/>
    <w:multiLevelType w:val="multilevel"/>
    <w:tmpl w:val="129A37F3"/>
    <w:lvl w:ilvl="0" w:tentative="0">
      <w:start w:val="1"/>
      <w:numFmt w:val="decimal"/>
      <w:lvlText w:val="第%1章 "/>
      <w:lvlJc w:val="left"/>
      <w:pPr>
        <w:ind w:left="6811" w:hanging="432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 "/>
      <w:lvlJc w:val="left"/>
      <w:pPr>
        <w:ind w:left="1284" w:hanging="575"/>
      </w:pPr>
      <w:rPr>
        <w:rFonts w:hint="default" w:ascii="宋体" w:hAnsi="宋体" w:eastAsia="宋体" w:cs="宋体"/>
        <w:color w:val="000000"/>
      </w:rPr>
    </w:lvl>
    <w:lvl w:ilvl="2" w:tentative="0">
      <w:start w:val="1"/>
      <w:numFmt w:val="decimal"/>
      <w:pStyle w:val="3"/>
      <w:lvlText w:val="  %1.%2.%3 "/>
      <w:lvlJc w:val="left"/>
      <w:pPr>
        <w:ind w:left="2705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2BCDFA55"/>
    <w:multiLevelType w:val="singleLevel"/>
    <w:tmpl w:val="2BCDFA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5MmYzNDJmNTQyOWQ3NjJjOTM3ZDdiYzA0ZmFiNzgifQ=="/>
    <w:docVar w:name="KSO_WPS_MARK_KEY" w:val="f877162f-1057-4a86-9378-56621b765f9b"/>
  </w:docVars>
  <w:rsids>
    <w:rsidRoot w:val="0D104B2F"/>
    <w:rsid w:val="00384B9C"/>
    <w:rsid w:val="003D3E43"/>
    <w:rsid w:val="00416146"/>
    <w:rsid w:val="00493E23"/>
    <w:rsid w:val="020A00CF"/>
    <w:rsid w:val="02F70D3E"/>
    <w:rsid w:val="03675EC4"/>
    <w:rsid w:val="03903429"/>
    <w:rsid w:val="042913CB"/>
    <w:rsid w:val="065B4E51"/>
    <w:rsid w:val="0700284C"/>
    <w:rsid w:val="0728596A"/>
    <w:rsid w:val="07A56D0C"/>
    <w:rsid w:val="07AB0349"/>
    <w:rsid w:val="082F17DF"/>
    <w:rsid w:val="08404F36"/>
    <w:rsid w:val="087A0092"/>
    <w:rsid w:val="087D1CE6"/>
    <w:rsid w:val="090E2DB6"/>
    <w:rsid w:val="09121B08"/>
    <w:rsid w:val="0A157CFC"/>
    <w:rsid w:val="0A626F9D"/>
    <w:rsid w:val="0BE978FB"/>
    <w:rsid w:val="0BFD57C4"/>
    <w:rsid w:val="0CA01C0E"/>
    <w:rsid w:val="0CC003F3"/>
    <w:rsid w:val="0D104B2F"/>
    <w:rsid w:val="0D3E654B"/>
    <w:rsid w:val="0DC57273"/>
    <w:rsid w:val="0E9D6C3E"/>
    <w:rsid w:val="0FD207B0"/>
    <w:rsid w:val="0FEC6C48"/>
    <w:rsid w:val="116E6670"/>
    <w:rsid w:val="1171483A"/>
    <w:rsid w:val="120B3256"/>
    <w:rsid w:val="14D2744A"/>
    <w:rsid w:val="15EC4007"/>
    <w:rsid w:val="17620A24"/>
    <w:rsid w:val="176C3651"/>
    <w:rsid w:val="17CB01DE"/>
    <w:rsid w:val="196B3D82"/>
    <w:rsid w:val="1B4147CA"/>
    <w:rsid w:val="1CAC2742"/>
    <w:rsid w:val="1D4330A6"/>
    <w:rsid w:val="1E6C3F37"/>
    <w:rsid w:val="21C117A0"/>
    <w:rsid w:val="22393108"/>
    <w:rsid w:val="226E2973"/>
    <w:rsid w:val="23225886"/>
    <w:rsid w:val="233851C9"/>
    <w:rsid w:val="24227A1A"/>
    <w:rsid w:val="248C5333"/>
    <w:rsid w:val="2516546E"/>
    <w:rsid w:val="265E0436"/>
    <w:rsid w:val="267B3AFC"/>
    <w:rsid w:val="273951A0"/>
    <w:rsid w:val="286E6AFD"/>
    <w:rsid w:val="28E03B41"/>
    <w:rsid w:val="2A3D30A9"/>
    <w:rsid w:val="2B585F6F"/>
    <w:rsid w:val="2C1D4AC2"/>
    <w:rsid w:val="2C242297"/>
    <w:rsid w:val="2D6A3FAE"/>
    <w:rsid w:val="2DE73286"/>
    <w:rsid w:val="2E493CAB"/>
    <w:rsid w:val="2E692241"/>
    <w:rsid w:val="2EDC467F"/>
    <w:rsid w:val="317258B0"/>
    <w:rsid w:val="32BF4B25"/>
    <w:rsid w:val="333F3281"/>
    <w:rsid w:val="35067E25"/>
    <w:rsid w:val="36392E40"/>
    <w:rsid w:val="399E7F77"/>
    <w:rsid w:val="3A175247"/>
    <w:rsid w:val="3A543CD0"/>
    <w:rsid w:val="3B3A265F"/>
    <w:rsid w:val="3BD258C9"/>
    <w:rsid w:val="3D37625E"/>
    <w:rsid w:val="3D76588E"/>
    <w:rsid w:val="3D7F0703"/>
    <w:rsid w:val="3E0E538C"/>
    <w:rsid w:val="3E175815"/>
    <w:rsid w:val="3F177A97"/>
    <w:rsid w:val="3F4B50B0"/>
    <w:rsid w:val="3FEB6F5A"/>
    <w:rsid w:val="414F3518"/>
    <w:rsid w:val="42293D69"/>
    <w:rsid w:val="432D26AE"/>
    <w:rsid w:val="43397FE2"/>
    <w:rsid w:val="45A007E6"/>
    <w:rsid w:val="45D95AA6"/>
    <w:rsid w:val="466E6C29"/>
    <w:rsid w:val="4A0F5F3A"/>
    <w:rsid w:val="4A69564B"/>
    <w:rsid w:val="4B0A55CE"/>
    <w:rsid w:val="4CA71E0F"/>
    <w:rsid w:val="4CBD57DA"/>
    <w:rsid w:val="4CDF7E46"/>
    <w:rsid w:val="4D3006A2"/>
    <w:rsid w:val="4D583754"/>
    <w:rsid w:val="4ED107D1"/>
    <w:rsid w:val="4F8B7E11"/>
    <w:rsid w:val="4F8E7D52"/>
    <w:rsid w:val="50030F33"/>
    <w:rsid w:val="50A85191"/>
    <w:rsid w:val="50E128C6"/>
    <w:rsid w:val="516D41DF"/>
    <w:rsid w:val="523F1387"/>
    <w:rsid w:val="53277E51"/>
    <w:rsid w:val="53F00A1C"/>
    <w:rsid w:val="584A33C5"/>
    <w:rsid w:val="585A72CA"/>
    <w:rsid w:val="58652CF8"/>
    <w:rsid w:val="58920647"/>
    <w:rsid w:val="592B2DB9"/>
    <w:rsid w:val="5B9B762E"/>
    <w:rsid w:val="5BF64864"/>
    <w:rsid w:val="5C090A3C"/>
    <w:rsid w:val="5C924AE1"/>
    <w:rsid w:val="5D58302D"/>
    <w:rsid w:val="5D887AAD"/>
    <w:rsid w:val="5DB306BF"/>
    <w:rsid w:val="5DC566E2"/>
    <w:rsid w:val="5E7E3DEB"/>
    <w:rsid w:val="5E8678A9"/>
    <w:rsid w:val="5E9163D5"/>
    <w:rsid w:val="5F78520D"/>
    <w:rsid w:val="60593336"/>
    <w:rsid w:val="60AB4FDD"/>
    <w:rsid w:val="60BD0BAC"/>
    <w:rsid w:val="628E4F7F"/>
    <w:rsid w:val="629354E8"/>
    <w:rsid w:val="62DF24F6"/>
    <w:rsid w:val="63041F5D"/>
    <w:rsid w:val="63FE69AC"/>
    <w:rsid w:val="648138CE"/>
    <w:rsid w:val="64E57B6C"/>
    <w:rsid w:val="65C37EAD"/>
    <w:rsid w:val="664B7C87"/>
    <w:rsid w:val="66680A54"/>
    <w:rsid w:val="66AA630F"/>
    <w:rsid w:val="66EE583A"/>
    <w:rsid w:val="67542D87"/>
    <w:rsid w:val="67A91325"/>
    <w:rsid w:val="68815DFE"/>
    <w:rsid w:val="68E5638C"/>
    <w:rsid w:val="691E364C"/>
    <w:rsid w:val="6C4179E6"/>
    <w:rsid w:val="6C7F4402"/>
    <w:rsid w:val="6CEA524D"/>
    <w:rsid w:val="6D512242"/>
    <w:rsid w:val="6D655CEE"/>
    <w:rsid w:val="6E445903"/>
    <w:rsid w:val="6EC22560"/>
    <w:rsid w:val="6FAD0271"/>
    <w:rsid w:val="7082034E"/>
    <w:rsid w:val="70C52041"/>
    <w:rsid w:val="72AE3C93"/>
    <w:rsid w:val="72FD3138"/>
    <w:rsid w:val="731C6E4F"/>
    <w:rsid w:val="73A66718"/>
    <w:rsid w:val="747F7F39"/>
    <w:rsid w:val="74F6722B"/>
    <w:rsid w:val="758A4FD0"/>
    <w:rsid w:val="789631FF"/>
    <w:rsid w:val="78C57641"/>
    <w:rsid w:val="7A29217F"/>
    <w:rsid w:val="7A923E9A"/>
    <w:rsid w:val="7AB61937"/>
    <w:rsid w:val="7C0B27F1"/>
    <w:rsid w:val="7DED1B13"/>
    <w:rsid w:val="7E2A1608"/>
    <w:rsid w:val="7E7365EF"/>
    <w:rsid w:val="7ED2187F"/>
    <w:rsid w:val="7F4F235A"/>
    <w:rsid w:val="7F7359D3"/>
    <w:rsid w:val="7FCB41CA"/>
    <w:rsid w:val="7FD6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firstLine="0" w:firstLineChars="0"/>
      <w:outlineLvl w:val="2"/>
    </w:pPr>
    <w:rPr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eastAsia="仿宋_GB2312"/>
      <w:sz w:val="32"/>
    </w:rPr>
  </w:style>
  <w:style w:type="paragraph" w:styleId="5">
    <w:name w:val="Body Text Indent"/>
    <w:basedOn w:val="1"/>
    <w:qFormat/>
    <w:uiPriority w:val="0"/>
    <w:pPr>
      <w:spacing w:line="580" w:lineRule="exact"/>
      <w:ind w:firstLine="645"/>
    </w:pPr>
    <w:rPr>
      <w:rFonts w:ascii="仿宋_GB2312" w:hAnsi="Times New Roman"/>
      <w:kern w:val="0"/>
      <w:szCs w:val="32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List"/>
    <w:basedOn w:val="1"/>
    <w:unhideWhenUsed/>
    <w:qFormat/>
    <w:uiPriority w:val="99"/>
    <w:pPr>
      <w:ind w:left="420" w:hanging="420" w:firstLineChars="0"/>
    </w:pPr>
    <w:rPr>
      <w:sz w:val="30"/>
      <w:szCs w:val="20"/>
    </w:rPr>
  </w:style>
  <w:style w:type="paragraph" w:styleId="10">
    <w:name w:val="Body Text First Indent"/>
    <w:basedOn w:val="4"/>
    <w:qFormat/>
    <w:uiPriority w:val="0"/>
    <w:pPr>
      <w:ind w:firstLine="420" w:firstLineChars="100"/>
    </w:pPr>
  </w:style>
  <w:style w:type="paragraph" w:customStyle="1" w:styleId="13">
    <w:name w:val="样式1"/>
    <w:basedOn w:val="6"/>
    <w:qFormat/>
    <w:uiPriority w:val="0"/>
    <w:pPr>
      <w:tabs>
        <w:tab w:val="left" w:pos="720"/>
      </w:tabs>
      <w:jc w:val="center"/>
    </w:pPr>
    <w:rPr>
      <w:rFonts w:ascii="宋体" w:hAnsi="宋体"/>
      <w:b/>
      <w:bCs/>
      <w:snapToGrid/>
      <w:kern w:val="2"/>
      <w:sz w:val="36"/>
    </w:rPr>
  </w:style>
  <w:style w:type="character" w:customStyle="1" w:styleId="14">
    <w:name w:val="font11"/>
    <w:basedOn w:val="12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5">
    <w:name w:val="font21"/>
    <w:basedOn w:val="1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customStyle="1" w:styleId="18">
    <w:name w:val="font111"/>
    <w:basedOn w:val="12"/>
    <w:qFormat/>
    <w:uiPriority w:val="0"/>
    <w:rPr>
      <w:rFonts w:hint="eastAsia" w:ascii="方正仿宋_GB2312" w:hAnsi="方正仿宋_GB2312" w:eastAsia="方正仿宋_GB2312" w:cs="方正仿宋_GB2312"/>
      <w:color w:val="000000"/>
      <w:sz w:val="18"/>
      <w:szCs w:val="18"/>
      <w:u w:val="none"/>
    </w:rPr>
  </w:style>
  <w:style w:type="character" w:customStyle="1" w:styleId="19">
    <w:name w:val="font81"/>
    <w:basedOn w:val="12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0">
    <w:name w:val="font122"/>
    <w:basedOn w:val="12"/>
    <w:qFormat/>
    <w:uiPriority w:val="0"/>
    <w:rPr>
      <w:rFonts w:hint="eastAsia" w:ascii="方正仿宋_GB2312" w:hAnsi="方正仿宋_GB2312" w:eastAsia="方正仿宋_GB2312" w:cs="方正仿宋_GB2312"/>
      <w:color w:val="000000"/>
      <w:sz w:val="16"/>
      <w:szCs w:val="16"/>
      <w:u w:val="none"/>
    </w:rPr>
  </w:style>
  <w:style w:type="character" w:customStyle="1" w:styleId="21">
    <w:name w:val="font91"/>
    <w:basedOn w:val="12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2">
    <w:name w:val="font41"/>
    <w:basedOn w:val="12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23">
    <w:name w:val="font51"/>
    <w:basedOn w:val="12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2"/>
      <w:szCs w:val="22"/>
      <w:u w:val="none"/>
    </w:rPr>
  </w:style>
  <w:style w:type="character" w:customStyle="1" w:styleId="24">
    <w:name w:val="font112"/>
    <w:basedOn w:val="12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25">
    <w:name w:val="font101"/>
    <w:basedOn w:val="12"/>
    <w:qFormat/>
    <w:uiPriority w:val="0"/>
    <w:rPr>
      <w:rFonts w:hint="eastAsia" w:ascii="方正仿宋_GB2312" w:hAnsi="方正仿宋_GB2312" w:eastAsia="方正仿宋_GB2312" w:cs="方正仿宋_GB2312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1645</Words>
  <Characters>2001</Characters>
  <Lines>0</Lines>
  <Paragraphs>0</Paragraphs>
  <TotalTime>0</TotalTime>
  <ScaleCrop>false</ScaleCrop>
  <LinksUpToDate>false</LinksUpToDate>
  <CharactersWithSpaces>2150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2024-05-28T02:49:00Z</dcterms:created>
  <dc:creator>福满多</dc:creator>
  <cp:lastModifiedBy>张子鸣</cp:lastModifiedBy>
  <cp:lastPrinted>2025-05-14T02:46:00Z</cp:lastPrinted>
  <dcterms:modified xsi:type="dcterms:W3CDTF">2025-05-19T02:40:00Z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897F0F01938E4EB2AE7A06B1F689616C_13</vt:lpwstr>
  </property>
  <property fmtid="{D5CDD505-2E9C-101B-9397-08002B2CF9AE}" pid="4" name="KSOTemplateDocerSaveRecord">
    <vt:lpwstr>eyJoZGlkIjoiOGJkNjZlNGU0Yzk4Zjc0NGE4ZjRlZjRkN2IwYTA0ZDkiLCJ1c2VySWQiOiI5MzcxNDU1MDUifQ==</vt:lpwstr>
  </property>
</Properties>
</file>