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5F88A">
      <w:pPr>
        <w:pageBreakBefore w:val="0"/>
        <w:kinsoku/>
        <w:overflowPunct/>
        <w:topLinePunct w:val="0"/>
        <w:autoSpaceDE/>
        <w:autoSpaceDN/>
        <w:bidi w:val="0"/>
        <w:adjustRightInd/>
        <w:spacing w:line="560" w:lineRule="exact"/>
        <w:textAlignment w:val="auto"/>
        <w:rPr>
          <w:rFonts w:hint="default" w:ascii="Times New Roman" w:hAnsi="Times New Roman" w:eastAsia="方正小标宋_GBK" w:cs="Times New Roman"/>
          <w:spacing w:val="0"/>
          <w:kern w:val="0"/>
        </w:rPr>
      </w:pPr>
    </w:p>
    <w:p w14:paraId="2217E966">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41FC676B">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5326600C">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0FD6FC48">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41864BA4">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76E14343">
      <w:pPr>
        <w:pStyle w:val="3"/>
        <w:pageBreakBefore w:val="0"/>
        <w:kinsoku/>
        <w:overflowPunct/>
        <w:topLinePunct w:val="0"/>
        <w:autoSpaceDE/>
        <w:autoSpaceDN/>
        <w:bidi w:val="0"/>
        <w:adjustRightInd/>
        <w:spacing w:before="0" w:after="0" w:line="560" w:lineRule="exact"/>
        <w:textAlignment w:val="auto"/>
        <w:rPr>
          <w:rFonts w:hint="default" w:ascii="Times New Roman" w:hAnsi="Times New Roman" w:cs="Times New Roman"/>
          <w:spacing w:val="0"/>
          <w:kern w:val="0"/>
        </w:rPr>
      </w:pPr>
    </w:p>
    <w:p w14:paraId="4E57FB66">
      <w:pPr>
        <w:rPr>
          <w:rFonts w:hint="default" w:ascii="Times New Roman" w:hAnsi="Times New Roman" w:cs="Times New Roman"/>
        </w:rPr>
      </w:pPr>
    </w:p>
    <w:p w14:paraId="351B68EE">
      <w:pPr>
        <w:pageBreakBefore w:val="0"/>
        <w:kinsoku/>
        <w:overflowPunct/>
        <w:topLinePunct w:val="0"/>
        <w:autoSpaceDE/>
        <w:autoSpaceDN/>
        <w:bidi w:val="0"/>
        <w:adjustRightInd/>
        <w:spacing w:line="560" w:lineRule="exact"/>
        <w:textAlignment w:val="auto"/>
        <w:rPr>
          <w:rFonts w:hint="default" w:ascii="Times New Roman" w:hAnsi="Times New Roman" w:cs="Times New Roman"/>
          <w:spacing w:val="0"/>
          <w:kern w:val="0"/>
        </w:rPr>
      </w:pPr>
    </w:p>
    <w:p w14:paraId="4217B110">
      <w:pPr>
        <w:pStyle w:val="12"/>
        <w:pageBreakBefore w:val="0"/>
        <w:kinsoku/>
        <w:overflowPunct/>
        <w:topLinePunct w:val="0"/>
        <w:autoSpaceDE/>
        <w:autoSpaceDN/>
        <w:bidi w:val="0"/>
        <w:adjustRightInd/>
        <w:spacing w:line="560" w:lineRule="exact"/>
        <w:textAlignment w:val="auto"/>
        <w:rPr>
          <w:rFonts w:hint="default" w:ascii="Times New Roman" w:hAnsi="Times New Roman" w:cs="Times New Roman"/>
          <w:spacing w:val="0"/>
          <w:kern w:val="0"/>
        </w:rPr>
      </w:pPr>
    </w:p>
    <w:p w14:paraId="6948218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spacing w:val="0"/>
          <w:w w:val="100"/>
          <w:kern w:val="0"/>
          <w:highlight w:val="none"/>
        </w:rPr>
      </w:pPr>
    </w:p>
    <w:p w14:paraId="2B98B05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spacing w:val="0"/>
          <w:w w:val="100"/>
          <w:kern w:val="0"/>
          <w:sz w:val="32"/>
          <w:szCs w:val="32"/>
          <w:highlight w:val="none"/>
        </w:rPr>
      </w:pPr>
    </w:p>
    <w:p w14:paraId="7C27CD0A">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Times New Roman" w:hAnsi="Times New Roman" w:eastAsia="仿宋_GB2312" w:cs="Times New Roman"/>
          <w:b w:val="0"/>
          <w:bCs w:val="0"/>
          <w:color w:val="auto"/>
          <w:spacing w:val="0"/>
          <w:w w:val="100"/>
          <w:kern w:val="0"/>
          <w:sz w:val="32"/>
          <w:szCs w:val="32"/>
          <w:highlight w:val="none"/>
        </w:rPr>
      </w:pPr>
      <w:r>
        <w:rPr>
          <w:rFonts w:hint="default" w:ascii="Times New Roman" w:hAnsi="Times New Roman" w:eastAsia="仿宋_GB2312" w:cs="Times New Roman"/>
          <w:spacing w:val="0"/>
          <w:w w:val="100"/>
          <w:kern w:val="0"/>
          <w:sz w:val="32"/>
          <w:szCs w:val="32"/>
          <w:highlight w:val="none"/>
        </w:rPr>
        <w:t>昌州发改项目〔</w:t>
      </w:r>
      <w:r>
        <w:rPr>
          <w:rFonts w:hint="default" w:ascii="Times New Roman" w:hAnsi="Times New Roman" w:eastAsia="仿宋_GB2312" w:cs="Times New Roman"/>
          <w:spacing w:val="0"/>
          <w:w w:val="100"/>
          <w:kern w:val="0"/>
          <w:sz w:val="32"/>
          <w:szCs w:val="32"/>
          <w:highlight w:val="none"/>
          <w:lang w:val="en-US" w:eastAsia="zh-CN"/>
        </w:rPr>
        <w:t>2025</w:t>
      </w:r>
      <w:r>
        <w:rPr>
          <w:rFonts w:hint="default" w:ascii="Times New Roman" w:hAnsi="Times New Roman" w:eastAsia="仿宋_GB2312" w:cs="Times New Roman"/>
          <w:spacing w:val="0"/>
          <w:w w:val="100"/>
          <w:kern w:val="0"/>
          <w:sz w:val="32"/>
          <w:szCs w:val="32"/>
          <w:highlight w:val="none"/>
        </w:rPr>
        <w:t>〕</w:t>
      </w:r>
      <w:r>
        <w:rPr>
          <w:rFonts w:hint="eastAsia" w:ascii="Times New Roman" w:hAnsi="Times New Roman" w:eastAsia="仿宋_GB2312" w:cs="Times New Roman"/>
          <w:spacing w:val="0"/>
          <w:w w:val="100"/>
          <w:kern w:val="0"/>
          <w:sz w:val="32"/>
          <w:szCs w:val="32"/>
          <w:highlight w:val="none"/>
          <w:lang w:val="en-US" w:eastAsia="zh-CN"/>
        </w:rPr>
        <w:t>32</w:t>
      </w:r>
      <w:bookmarkStart w:id="0" w:name="_GoBack"/>
      <w:bookmarkEnd w:id="0"/>
      <w:r>
        <w:rPr>
          <w:rFonts w:hint="default" w:ascii="Times New Roman" w:hAnsi="Times New Roman" w:eastAsia="仿宋_GB2312" w:cs="Times New Roman"/>
          <w:spacing w:val="0"/>
          <w:w w:val="100"/>
          <w:kern w:val="0"/>
          <w:sz w:val="32"/>
          <w:szCs w:val="32"/>
          <w:highlight w:val="none"/>
        </w:rPr>
        <w:t>号</w:t>
      </w:r>
    </w:p>
    <w:p w14:paraId="47AFAA9D">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b w:val="0"/>
          <w:bCs w:val="0"/>
          <w:color w:val="auto"/>
          <w:spacing w:val="0"/>
          <w:w w:val="100"/>
          <w:kern w:val="0"/>
          <w:sz w:val="44"/>
          <w:szCs w:val="44"/>
        </w:rPr>
      </w:pPr>
    </w:p>
    <w:p w14:paraId="24E67D90">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b w:val="0"/>
          <w:bCs w:val="0"/>
          <w:color w:val="auto"/>
          <w:spacing w:val="0"/>
          <w:w w:val="100"/>
          <w:kern w:val="0"/>
          <w:sz w:val="44"/>
          <w:szCs w:val="44"/>
          <w:lang w:val="en-US" w:eastAsia="zh-CN"/>
        </w:rPr>
      </w:pPr>
      <w:r>
        <w:rPr>
          <w:rFonts w:hint="default" w:ascii="Times New Roman" w:hAnsi="Times New Roman" w:eastAsia="方正小标宋简体" w:cs="Times New Roman"/>
          <w:sz w:val="44"/>
          <w:szCs w:val="44"/>
          <w:lang w:val="en-US" w:eastAsia="zh-CN"/>
        </w:rPr>
        <w:t>昌吉州发改委</w:t>
      </w:r>
      <w:r>
        <w:rPr>
          <w:rFonts w:hint="default" w:ascii="Times New Roman" w:hAnsi="Times New Roman" w:eastAsia="方正小标宋简体" w:cs="Times New Roman"/>
          <w:sz w:val="44"/>
          <w:szCs w:val="44"/>
        </w:rPr>
        <w:t>关于</w:t>
      </w:r>
      <w:r>
        <w:rPr>
          <w:rFonts w:hint="default" w:ascii="Times New Roman" w:hAnsi="Times New Roman" w:eastAsia="方正小标宋简体" w:cs="Times New Roman"/>
          <w:b w:val="0"/>
          <w:bCs w:val="0"/>
          <w:color w:val="auto"/>
          <w:spacing w:val="0"/>
          <w:w w:val="100"/>
          <w:kern w:val="0"/>
          <w:sz w:val="44"/>
          <w:szCs w:val="44"/>
          <w:lang w:val="en-US" w:eastAsia="zh-CN"/>
        </w:rPr>
        <w:t>昌吉州木垒县胡杨路提升</w:t>
      </w:r>
    </w:p>
    <w:p w14:paraId="4B9F1BDD">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b w:val="0"/>
          <w:bCs w:val="0"/>
          <w:color w:val="auto"/>
          <w:spacing w:val="0"/>
          <w:w w:val="100"/>
          <w:kern w:val="0"/>
          <w:sz w:val="44"/>
          <w:szCs w:val="44"/>
        </w:rPr>
      </w:pPr>
      <w:r>
        <w:rPr>
          <w:rFonts w:hint="default" w:ascii="Times New Roman" w:hAnsi="Times New Roman" w:eastAsia="方正小标宋简体" w:cs="Times New Roman"/>
          <w:b w:val="0"/>
          <w:bCs w:val="0"/>
          <w:color w:val="auto"/>
          <w:spacing w:val="0"/>
          <w:w w:val="100"/>
          <w:kern w:val="0"/>
          <w:sz w:val="44"/>
          <w:szCs w:val="44"/>
          <w:lang w:val="en-US" w:eastAsia="zh-CN"/>
        </w:rPr>
        <w:t>改造建设项目初步设计</w:t>
      </w:r>
      <w:r>
        <w:rPr>
          <w:rFonts w:hint="default" w:ascii="Times New Roman" w:hAnsi="Times New Roman" w:eastAsia="方正小标宋简体" w:cs="Times New Roman"/>
          <w:b w:val="0"/>
          <w:bCs w:val="0"/>
          <w:color w:val="auto"/>
          <w:spacing w:val="0"/>
          <w:w w:val="100"/>
          <w:kern w:val="0"/>
          <w:sz w:val="44"/>
          <w:szCs w:val="44"/>
        </w:rPr>
        <w:t>的批复</w:t>
      </w:r>
    </w:p>
    <w:p w14:paraId="20A9C48C">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pacing w:val="0"/>
          <w:w w:val="100"/>
          <w:kern w:val="0"/>
          <w:sz w:val="44"/>
          <w:szCs w:val="44"/>
        </w:rPr>
      </w:pPr>
    </w:p>
    <w:p w14:paraId="316449B1">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outlineLvl w:val="9"/>
        <w:rPr>
          <w:rFonts w:hint="default" w:ascii="Times New Roman" w:hAnsi="Times New Roman" w:eastAsia="仿宋_GB2312" w:cs="Times New Roman"/>
          <w:spacing w:val="0"/>
          <w:w w:val="100"/>
          <w:kern w:val="0"/>
          <w:sz w:val="32"/>
          <w:szCs w:val="32"/>
        </w:rPr>
      </w:pPr>
      <w:r>
        <w:rPr>
          <w:rFonts w:hint="default" w:ascii="Times New Roman" w:hAnsi="Times New Roman" w:eastAsia="仿宋_GB2312" w:cs="Times New Roman"/>
          <w:color w:val="auto"/>
          <w:spacing w:val="0"/>
          <w:w w:val="100"/>
          <w:kern w:val="0"/>
          <w:sz w:val="32"/>
          <w:szCs w:val="32"/>
          <w:highlight w:val="none"/>
          <w:lang w:val="en-US" w:eastAsia="zh-CN" w:bidi="ar-SA"/>
        </w:rPr>
        <w:t>木垒县发展和改革委员会</w:t>
      </w:r>
      <w:r>
        <w:rPr>
          <w:rFonts w:hint="default" w:ascii="Times New Roman" w:hAnsi="Times New Roman" w:eastAsia="仿宋_GB2312" w:cs="Times New Roman"/>
          <w:spacing w:val="0"/>
          <w:w w:val="100"/>
          <w:kern w:val="0"/>
          <w:sz w:val="32"/>
          <w:szCs w:val="32"/>
        </w:rPr>
        <w:t>：</w:t>
      </w:r>
    </w:p>
    <w:p w14:paraId="1B527515">
      <w:pPr>
        <w:keepNext w:val="0"/>
        <w:keepLines w:val="0"/>
        <w:pageBreakBefore w:val="0"/>
        <w:widowControl/>
        <w:suppressLineNumbers w:val="0"/>
        <w:kinsoku/>
        <w:wordWrap/>
        <w:overflowPunct/>
        <w:topLinePunct w:val="0"/>
        <w:autoSpaceDE/>
        <w:autoSpaceDN/>
        <w:bidi w:val="0"/>
        <w:adjustRightInd/>
        <w:snapToGrid/>
        <w:spacing w:line="520" w:lineRule="exact"/>
        <w:ind w:right="0" w:firstLine="640" w:firstLineChars="200"/>
        <w:jc w:val="both"/>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color w:val="auto"/>
          <w:spacing w:val="0"/>
          <w:w w:val="100"/>
          <w:kern w:val="0"/>
          <w:sz w:val="32"/>
          <w:szCs w:val="32"/>
        </w:rPr>
        <w:t>你</w:t>
      </w:r>
      <w:r>
        <w:rPr>
          <w:rFonts w:hint="default" w:ascii="Times New Roman" w:hAnsi="Times New Roman" w:eastAsia="仿宋_GB2312" w:cs="Times New Roman"/>
          <w:color w:val="auto"/>
          <w:spacing w:val="0"/>
          <w:w w:val="100"/>
          <w:kern w:val="0"/>
          <w:sz w:val="32"/>
          <w:szCs w:val="32"/>
          <w:lang w:val="en-US" w:eastAsia="zh-CN"/>
        </w:rPr>
        <w:t>委</w:t>
      </w:r>
      <w:r>
        <w:rPr>
          <w:rFonts w:hint="default" w:ascii="Times New Roman" w:hAnsi="Times New Roman" w:eastAsia="仿宋_GB2312" w:cs="Times New Roman"/>
          <w:color w:val="auto"/>
          <w:spacing w:val="0"/>
          <w:w w:val="100"/>
          <w:kern w:val="0"/>
          <w:sz w:val="32"/>
          <w:szCs w:val="32"/>
          <w:highlight w:val="none"/>
          <w:lang w:val="en-US" w:eastAsia="zh-CN" w:bidi="ar-SA"/>
        </w:rPr>
        <w:t>《关于</w:t>
      </w:r>
      <w:r>
        <w:rPr>
          <w:rFonts w:hint="default" w:ascii="Times New Roman" w:hAnsi="Times New Roman" w:eastAsia="仿宋_GB2312" w:cs="Times New Roman"/>
          <w:bCs/>
          <w:color w:val="auto"/>
          <w:sz w:val="32"/>
          <w:szCs w:val="32"/>
          <w:highlight w:val="none"/>
          <w:lang w:val="en-US" w:eastAsia="zh-CN"/>
        </w:rPr>
        <w:t>昌吉州木垒县胡杨路提升改造建设项目</w:t>
      </w:r>
      <w:r>
        <w:rPr>
          <w:rFonts w:hint="default" w:ascii="Times New Roman" w:hAnsi="Times New Roman" w:eastAsia="仿宋_GB2312" w:cs="Times New Roman"/>
          <w:color w:val="auto"/>
          <w:spacing w:val="0"/>
          <w:w w:val="100"/>
          <w:kern w:val="0"/>
          <w:sz w:val="32"/>
          <w:szCs w:val="32"/>
          <w:highlight w:val="none"/>
          <w:lang w:val="en-US" w:eastAsia="zh-CN" w:bidi="ar-SA"/>
        </w:rPr>
        <w:t>初步设计的请示》（木发改字〔2025〕51号）和</w:t>
      </w:r>
      <w:r>
        <w:rPr>
          <w:rFonts w:hint="default" w:ascii="Times New Roman" w:hAnsi="Times New Roman" w:eastAsia="仿宋_GB2312" w:cs="Times New Roman"/>
          <w:color w:val="auto"/>
          <w:spacing w:val="0"/>
          <w:w w:val="100"/>
          <w:kern w:val="0"/>
          <w:sz w:val="32"/>
          <w:szCs w:val="32"/>
          <w:lang w:val="en-US" w:eastAsia="zh-CN"/>
        </w:rPr>
        <w:t>昌吉州优化营商环境服务中心</w:t>
      </w:r>
      <w:r>
        <w:rPr>
          <w:rFonts w:hint="default" w:ascii="Times New Roman" w:hAnsi="Times New Roman" w:eastAsia="仿宋_GB2312" w:cs="Times New Roman"/>
          <w:color w:val="auto"/>
          <w:spacing w:val="0"/>
          <w:w w:val="100"/>
          <w:kern w:val="0"/>
          <w:sz w:val="32"/>
          <w:szCs w:val="32"/>
          <w:highlight w:val="none"/>
          <w:lang w:val="en-US" w:eastAsia="zh-CN" w:bidi="ar-SA"/>
        </w:rPr>
        <w:t>《关于&lt;</w:t>
      </w:r>
      <w:r>
        <w:rPr>
          <w:rFonts w:hint="default" w:ascii="Times New Roman" w:hAnsi="Times New Roman" w:eastAsia="仿宋_GB2312" w:cs="Times New Roman"/>
          <w:bCs/>
          <w:color w:val="auto"/>
          <w:sz w:val="32"/>
          <w:szCs w:val="32"/>
          <w:highlight w:val="none"/>
          <w:lang w:val="en-US" w:eastAsia="zh-CN"/>
        </w:rPr>
        <w:t>昌吉州木垒县胡杨路提升改造建设项目</w:t>
      </w:r>
      <w:r>
        <w:rPr>
          <w:rFonts w:hint="default" w:ascii="Times New Roman" w:hAnsi="Times New Roman" w:eastAsia="仿宋_GB2312" w:cs="Times New Roman"/>
          <w:color w:val="auto"/>
          <w:spacing w:val="0"/>
          <w:w w:val="100"/>
          <w:kern w:val="0"/>
          <w:sz w:val="32"/>
          <w:szCs w:val="32"/>
          <w:highlight w:val="none"/>
          <w:lang w:val="en-US" w:eastAsia="zh-CN" w:bidi="ar-SA"/>
        </w:rPr>
        <w:t>初步设计&gt;的评审意见》</w:t>
      </w:r>
      <w:r>
        <w:rPr>
          <w:rFonts w:hint="default" w:ascii="Times New Roman" w:hAnsi="Times New Roman" w:eastAsia="仿宋_GB2312" w:cs="Times New Roman"/>
          <w:color w:val="auto"/>
          <w:spacing w:val="0"/>
          <w:w w:val="100"/>
          <w:kern w:val="0"/>
          <w:sz w:val="32"/>
          <w:szCs w:val="32"/>
          <w:lang w:eastAsia="zh-CN"/>
        </w:rPr>
        <w:t>（</w:t>
      </w:r>
      <w:r>
        <w:rPr>
          <w:rFonts w:hint="default" w:ascii="Times New Roman" w:hAnsi="Times New Roman" w:eastAsia="仿宋_GB2312" w:cs="Times New Roman"/>
          <w:bCs/>
          <w:color w:val="auto"/>
          <w:spacing w:val="0"/>
          <w:kern w:val="0"/>
          <w:sz w:val="32"/>
          <w:szCs w:val="32"/>
        </w:rPr>
        <w:t>昌州</w:t>
      </w:r>
      <w:r>
        <w:rPr>
          <w:rFonts w:hint="default" w:ascii="Times New Roman" w:hAnsi="Times New Roman" w:eastAsia="仿宋_GB2312" w:cs="Times New Roman"/>
          <w:bCs/>
          <w:color w:val="auto"/>
          <w:spacing w:val="0"/>
          <w:kern w:val="0"/>
          <w:sz w:val="32"/>
          <w:szCs w:val="32"/>
          <w:lang w:eastAsia="zh-CN"/>
        </w:rPr>
        <w:t>营商</w:t>
      </w:r>
      <w:r>
        <w:rPr>
          <w:rFonts w:hint="default" w:ascii="Times New Roman" w:hAnsi="Times New Roman" w:eastAsia="仿宋_GB2312" w:cs="Times New Roman"/>
          <w:bCs/>
          <w:color w:val="auto"/>
          <w:spacing w:val="0"/>
          <w:kern w:val="0"/>
          <w:sz w:val="32"/>
          <w:szCs w:val="32"/>
        </w:rPr>
        <w:t>评字</w:t>
      </w:r>
      <w:r>
        <w:rPr>
          <w:rFonts w:hint="default" w:ascii="Times New Roman" w:hAnsi="Times New Roman" w:eastAsia="仿宋_GB2312" w:cs="Times New Roman"/>
          <w:color w:val="auto"/>
          <w:spacing w:val="0"/>
          <w:kern w:val="0"/>
          <w:sz w:val="32"/>
          <w:szCs w:val="32"/>
        </w:rPr>
        <w:t>〔202</w:t>
      </w:r>
      <w:r>
        <w:rPr>
          <w:rFonts w:hint="default" w:ascii="Times New Roman" w:hAnsi="Times New Roman" w:eastAsia="仿宋_GB2312" w:cs="Times New Roman"/>
          <w:color w:val="auto"/>
          <w:spacing w:val="0"/>
          <w:kern w:val="0"/>
          <w:sz w:val="32"/>
          <w:szCs w:val="32"/>
          <w:lang w:val="en-US" w:eastAsia="zh-CN"/>
        </w:rPr>
        <w:t>5</w:t>
      </w:r>
      <w:r>
        <w:rPr>
          <w:rFonts w:hint="default" w:ascii="Times New Roman" w:hAnsi="Times New Roman" w:eastAsia="仿宋_GB2312" w:cs="Times New Roman"/>
          <w:color w:val="auto"/>
          <w:spacing w:val="0"/>
          <w:kern w:val="0"/>
          <w:sz w:val="32"/>
          <w:szCs w:val="32"/>
        </w:rPr>
        <w:t>〕</w:t>
      </w:r>
      <w:r>
        <w:rPr>
          <w:rFonts w:hint="default" w:ascii="Times New Roman" w:hAnsi="Times New Roman" w:eastAsia="仿宋_GB2312" w:cs="Times New Roman"/>
          <w:color w:val="auto"/>
          <w:spacing w:val="0"/>
          <w:kern w:val="0"/>
          <w:sz w:val="32"/>
          <w:szCs w:val="32"/>
          <w:lang w:val="en-US" w:eastAsia="zh-CN"/>
        </w:rPr>
        <w:t>21</w:t>
      </w:r>
      <w:r>
        <w:rPr>
          <w:rFonts w:hint="default" w:ascii="Times New Roman" w:hAnsi="Times New Roman" w:eastAsia="仿宋_GB2312" w:cs="Times New Roman"/>
          <w:color w:val="auto"/>
          <w:spacing w:val="0"/>
          <w:kern w:val="0"/>
          <w:sz w:val="32"/>
          <w:szCs w:val="32"/>
        </w:rPr>
        <w:t>号</w:t>
      </w:r>
      <w:r>
        <w:rPr>
          <w:rFonts w:hint="default" w:ascii="Times New Roman" w:hAnsi="Times New Roman" w:eastAsia="仿宋_GB2312" w:cs="Times New Roman"/>
          <w:color w:val="auto"/>
          <w:spacing w:val="0"/>
          <w:w w:val="100"/>
          <w:kern w:val="0"/>
          <w:sz w:val="32"/>
          <w:szCs w:val="32"/>
          <w:lang w:eastAsia="zh-CN"/>
        </w:rPr>
        <w:t>）均已</w:t>
      </w:r>
      <w:r>
        <w:rPr>
          <w:rFonts w:hint="default" w:ascii="Times New Roman" w:hAnsi="Times New Roman" w:eastAsia="仿宋_GB2312" w:cs="Times New Roman"/>
          <w:color w:val="auto"/>
          <w:spacing w:val="0"/>
          <w:w w:val="100"/>
          <w:kern w:val="0"/>
          <w:sz w:val="32"/>
          <w:szCs w:val="32"/>
        </w:rPr>
        <w:t>收悉。经研究，现批复如下：</w:t>
      </w:r>
    </w:p>
    <w:p w14:paraId="1BC41F53">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firstLine="640" w:firstLineChars="200"/>
        <w:jc w:val="both"/>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lang w:val="en-US" w:eastAsia="zh-CN" w:bidi="ar-SA"/>
        </w:rPr>
        <w:t>一、</w:t>
      </w:r>
      <w:r>
        <w:rPr>
          <w:rFonts w:hint="default" w:ascii="Times New Roman" w:hAnsi="Times New Roman" w:eastAsia="黑体" w:cs="Times New Roman"/>
          <w:spacing w:val="0"/>
          <w:kern w:val="0"/>
          <w:sz w:val="32"/>
          <w:szCs w:val="32"/>
        </w:rPr>
        <w:t>项目名称</w:t>
      </w:r>
    </w:p>
    <w:p w14:paraId="4B525F60">
      <w:pPr>
        <w:pStyle w:val="5"/>
        <w:keepNext w:val="0"/>
        <w:keepLines w:val="0"/>
        <w:pageBreakBefore w:val="0"/>
        <w:widowControl w:val="0"/>
        <w:kinsoku/>
        <w:wordWrap/>
        <w:overflowPunct/>
        <w:topLinePunct w:val="0"/>
        <w:autoSpaceDE/>
        <w:autoSpaceDN/>
        <w:bidi w:val="0"/>
        <w:adjustRightInd/>
        <w:snapToGrid/>
        <w:spacing w:line="520" w:lineRule="exact"/>
        <w:ind w:right="0" w:firstLine="640" w:firstLineChars="200"/>
        <w:jc w:val="both"/>
        <w:textAlignment w:val="auto"/>
        <w:rPr>
          <w:rFonts w:hint="default" w:ascii="Times New Roman" w:hAnsi="Times New Roman" w:eastAsia="仿宋_GB2312" w:cs="Times New Roman"/>
          <w:snapToGrid w:val="0"/>
          <w:color w:val="000000"/>
          <w:spacing w:val="0"/>
          <w:kern w:val="0"/>
          <w:sz w:val="32"/>
          <w:szCs w:val="32"/>
          <w:lang w:val="en-US" w:eastAsia="zh-CN" w:bidi="ar"/>
        </w:rPr>
      </w:pPr>
      <w:r>
        <w:rPr>
          <w:rFonts w:hint="default" w:ascii="Times New Roman" w:hAnsi="Times New Roman" w:eastAsia="仿宋_GB2312" w:cs="Times New Roman"/>
          <w:bCs/>
          <w:color w:val="auto"/>
          <w:sz w:val="32"/>
          <w:szCs w:val="32"/>
          <w:highlight w:val="none"/>
          <w:lang w:val="en-US" w:eastAsia="zh-CN"/>
        </w:rPr>
        <w:t>昌吉州木垒县胡杨路提升改造建设项目</w:t>
      </w:r>
      <w:r>
        <w:rPr>
          <w:rFonts w:hint="default" w:ascii="Times New Roman" w:hAnsi="Times New Roman" w:eastAsia="仿宋_GB2312" w:cs="Times New Roman"/>
          <w:snapToGrid w:val="0"/>
          <w:color w:val="000000"/>
          <w:spacing w:val="0"/>
          <w:kern w:val="0"/>
          <w:sz w:val="32"/>
          <w:szCs w:val="32"/>
          <w:lang w:val="en-US" w:eastAsia="zh-CN" w:bidi="ar"/>
        </w:rPr>
        <w:t>（项目代码：2409-652328-04-01-153588）</w:t>
      </w:r>
    </w:p>
    <w:p w14:paraId="0167A622">
      <w:pPr>
        <w:keepNext w:val="0"/>
        <w:keepLines w:val="0"/>
        <w:pageBreakBefore w:val="0"/>
        <w:widowControl w:val="0"/>
        <w:kinsoku/>
        <w:overflowPunct/>
        <w:topLinePunct w:val="0"/>
        <w:autoSpaceDE/>
        <w:autoSpaceDN/>
        <w:bidi w:val="0"/>
        <w:adjustRightInd/>
        <w:snapToGrid/>
        <w:spacing w:line="520" w:lineRule="exact"/>
        <w:ind w:right="0" w:firstLine="640" w:firstLineChars="200"/>
        <w:jc w:val="both"/>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二、建设规模及内容</w:t>
      </w:r>
    </w:p>
    <w:p w14:paraId="2A1CA1C2">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sz w:val="32"/>
          <w:szCs w:val="32"/>
          <w:highlight w:val="none"/>
          <w:lang w:val="en-US" w:eastAsia="zh-CN"/>
        </w:rPr>
        <w:t>改建</w:t>
      </w:r>
      <w:r>
        <w:rPr>
          <w:rFonts w:hint="default" w:ascii="Times New Roman" w:hAnsi="Times New Roman" w:eastAsia="仿宋_GB2312" w:cs="Times New Roman"/>
          <w:color w:val="auto"/>
          <w:sz w:val="32"/>
          <w:szCs w:val="32"/>
          <w:highlight w:val="none"/>
          <w:lang w:val="zh-CN" w:eastAsia="zh-CN"/>
        </w:rPr>
        <w:t>胡杨路道路</w:t>
      </w:r>
      <w:r>
        <w:rPr>
          <w:rFonts w:hint="default" w:ascii="Times New Roman" w:hAnsi="Times New Roman" w:eastAsia="仿宋_GB2312" w:cs="Times New Roman"/>
          <w:color w:val="auto"/>
          <w:sz w:val="32"/>
          <w:szCs w:val="32"/>
          <w:highlight w:val="none"/>
          <w:lang w:val="en-US" w:eastAsia="zh-CN"/>
        </w:rPr>
        <w:t>总长为</w:t>
      </w:r>
      <w:r>
        <w:rPr>
          <w:rFonts w:hint="default" w:ascii="Times New Roman" w:hAnsi="Times New Roman" w:eastAsia="仿宋_GB2312" w:cs="Times New Roman"/>
          <w:bCs/>
          <w:color w:val="auto"/>
          <w:sz w:val="32"/>
          <w:szCs w:val="32"/>
          <w:lang w:val="en-US" w:eastAsia="zh-CN"/>
        </w:rPr>
        <w:t>4618.556</w:t>
      </w:r>
      <w:r>
        <w:rPr>
          <w:rFonts w:hint="default" w:ascii="Times New Roman" w:hAnsi="Times New Roman" w:eastAsia="仿宋_GB2312" w:cs="Times New Roman"/>
          <w:color w:val="auto"/>
          <w:sz w:val="32"/>
          <w:szCs w:val="32"/>
          <w:highlight w:val="none"/>
          <w:lang w:val="zh-CN" w:eastAsia="zh-CN"/>
        </w:rPr>
        <w:t>米，配套建设</w:t>
      </w:r>
      <w:r>
        <w:rPr>
          <w:rFonts w:hint="default" w:ascii="Times New Roman" w:hAnsi="Times New Roman" w:eastAsia="仿宋_GB2312" w:cs="Times New Roman"/>
          <w:color w:val="auto"/>
          <w:sz w:val="32"/>
          <w:szCs w:val="32"/>
          <w:highlight w:val="none"/>
          <w:lang w:val="en-US" w:eastAsia="zh-CN"/>
        </w:rPr>
        <w:t>人行道</w:t>
      </w:r>
      <w:r>
        <w:rPr>
          <w:rFonts w:hint="default" w:ascii="Times New Roman" w:hAnsi="Times New Roman" w:eastAsia="仿宋_GB2312" w:cs="Times New Roman"/>
          <w:color w:val="auto"/>
          <w:sz w:val="32"/>
          <w:szCs w:val="32"/>
          <w:highlight w:val="none"/>
          <w:lang w:val="zh-CN" w:eastAsia="zh-CN"/>
        </w:rPr>
        <w:t>等附属设施，包括</w:t>
      </w:r>
      <w:r>
        <w:rPr>
          <w:rFonts w:hint="default" w:ascii="Times New Roman" w:hAnsi="Times New Roman" w:eastAsia="仿宋_GB2312" w:cs="Times New Roman"/>
          <w:color w:val="auto"/>
          <w:sz w:val="32"/>
          <w:szCs w:val="32"/>
          <w:highlight w:val="none"/>
          <w:lang w:val="en-US" w:eastAsia="zh-CN"/>
        </w:rPr>
        <w:t>道路工程、路面排水工程、交通工程等。</w:t>
      </w:r>
    </w:p>
    <w:p w14:paraId="11D37269">
      <w:pPr>
        <w:keepNext w:val="0"/>
        <w:keepLines w:val="0"/>
        <w:pageBreakBefore w:val="0"/>
        <w:widowControl w:val="0"/>
        <w:kinsoku/>
        <w:wordWrap/>
        <w:overflowPunct/>
        <w:topLinePunct w:val="0"/>
        <w:autoSpaceDE/>
        <w:autoSpaceDN/>
        <w:bidi w:val="0"/>
        <w:adjustRightInd/>
        <w:snapToGrid/>
        <w:spacing w:line="520" w:lineRule="exact"/>
        <w:ind w:right="0" w:firstLine="643" w:firstLineChars="200"/>
        <w:jc w:val="both"/>
        <w:textAlignment w:val="auto"/>
        <w:rPr>
          <w:rFonts w:hint="default" w:ascii="Times New Roman" w:hAnsi="Times New Roman" w:eastAsia="楷体" w:cs="Times New Roman"/>
          <w:color w:val="auto"/>
          <w:sz w:val="32"/>
          <w:szCs w:val="32"/>
          <w:highlight w:val="none"/>
          <w:lang w:val="en-US" w:eastAsia="zh-CN"/>
        </w:rPr>
      </w:pPr>
      <w:r>
        <w:rPr>
          <w:rFonts w:hint="default" w:ascii="Times New Roman" w:hAnsi="Times New Roman" w:eastAsia="楷体" w:cs="Times New Roman"/>
          <w:b/>
          <w:bCs/>
          <w:snapToGrid w:val="0"/>
          <w:spacing w:val="0"/>
          <w:kern w:val="0"/>
          <w:sz w:val="32"/>
          <w:szCs w:val="32"/>
          <w:highlight w:val="none"/>
          <w:lang w:val="en-US" w:eastAsia="zh-CN"/>
        </w:rPr>
        <w:t>（一）道路及交通工程。</w:t>
      </w:r>
    </w:p>
    <w:p w14:paraId="22B01F99">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zh-CN" w:eastAsia="zh-CN"/>
        </w:rPr>
        <w:t>胡杨路道路总长为4618.556米，红线宽度为9-23米。其中K0+000-K4+185段长</w:t>
      </w:r>
      <w:r>
        <w:rPr>
          <w:rFonts w:hint="default" w:ascii="Times New Roman" w:hAnsi="Times New Roman" w:eastAsia="仿宋_GB2312" w:cs="Times New Roman"/>
          <w:color w:val="auto"/>
          <w:sz w:val="32"/>
          <w:szCs w:val="32"/>
          <w:highlight w:val="none"/>
          <w:lang w:val="en-US" w:eastAsia="zh-CN"/>
        </w:rPr>
        <w:t>4185</w:t>
      </w:r>
      <w:r>
        <w:rPr>
          <w:rFonts w:hint="default" w:ascii="Times New Roman" w:hAnsi="Times New Roman" w:eastAsia="仿宋_GB2312" w:cs="Times New Roman"/>
          <w:color w:val="auto"/>
          <w:sz w:val="32"/>
          <w:szCs w:val="32"/>
          <w:highlight w:val="none"/>
          <w:lang w:val="zh-CN" w:eastAsia="zh-CN"/>
        </w:rPr>
        <w:t>米，红线宽度为23米，机动车道宽16米，两侧人行道各3.5米</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zh-CN" w:eastAsia="zh-CN"/>
        </w:rPr>
        <w:t>K4+185-K4+460段长</w:t>
      </w:r>
      <w:r>
        <w:rPr>
          <w:rFonts w:hint="default" w:ascii="Times New Roman" w:hAnsi="Times New Roman" w:eastAsia="仿宋_GB2312" w:cs="Times New Roman"/>
          <w:color w:val="auto"/>
          <w:sz w:val="32"/>
          <w:szCs w:val="32"/>
          <w:highlight w:val="none"/>
          <w:lang w:val="en-US" w:eastAsia="zh-CN"/>
        </w:rPr>
        <w:t>275</w:t>
      </w:r>
      <w:r>
        <w:rPr>
          <w:rFonts w:hint="default" w:ascii="Times New Roman" w:hAnsi="Times New Roman" w:eastAsia="仿宋_GB2312" w:cs="Times New Roman"/>
          <w:color w:val="auto"/>
          <w:sz w:val="32"/>
          <w:szCs w:val="32"/>
          <w:highlight w:val="none"/>
          <w:lang w:val="zh-CN" w:eastAsia="zh-CN"/>
        </w:rPr>
        <w:t>米，红线宽度为11米，均为机动车道；K4+460-K4+618.556段长</w:t>
      </w:r>
      <w:r>
        <w:rPr>
          <w:rFonts w:hint="default" w:ascii="Times New Roman" w:hAnsi="Times New Roman" w:eastAsia="仿宋_GB2312" w:cs="Times New Roman"/>
          <w:color w:val="auto"/>
          <w:sz w:val="32"/>
          <w:szCs w:val="32"/>
          <w:highlight w:val="none"/>
          <w:lang w:val="en-US" w:eastAsia="zh-CN"/>
        </w:rPr>
        <w:t>158.556</w:t>
      </w:r>
      <w:r>
        <w:rPr>
          <w:rFonts w:hint="default" w:ascii="Times New Roman" w:hAnsi="Times New Roman" w:eastAsia="仿宋_GB2312" w:cs="Times New Roman"/>
          <w:color w:val="auto"/>
          <w:sz w:val="32"/>
          <w:szCs w:val="32"/>
          <w:highlight w:val="none"/>
          <w:lang w:val="zh-CN" w:eastAsia="zh-CN"/>
        </w:rPr>
        <w:t>米，红线宽度为9米，均为机动车道。</w:t>
      </w:r>
      <w:r>
        <w:rPr>
          <w:rFonts w:hint="default" w:ascii="Times New Roman" w:hAnsi="Times New Roman" w:eastAsia="仿宋_GB2312" w:cs="Times New Roman"/>
          <w:color w:val="auto"/>
          <w:sz w:val="32"/>
          <w:szCs w:val="32"/>
          <w:highlight w:val="none"/>
          <w:lang w:val="en-US" w:eastAsia="zh-CN"/>
        </w:rPr>
        <w:t>交通工程包含导向箭头114个，共348平方米；纵向标线3399平方米；零星标线444平方米。</w:t>
      </w:r>
    </w:p>
    <w:p w14:paraId="6E325BDC">
      <w:pPr>
        <w:keepNext w:val="0"/>
        <w:keepLines w:val="0"/>
        <w:pageBreakBefore w:val="0"/>
        <w:widowControl w:val="0"/>
        <w:kinsoku/>
        <w:wordWrap/>
        <w:overflowPunct/>
        <w:topLinePunct w:val="0"/>
        <w:autoSpaceDE/>
        <w:autoSpaceDN/>
        <w:bidi w:val="0"/>
        <w:adjustRightInd/>
        <w:snapToGrid/>
        <w:spacing w:line="520" w:lineRule="exact"/>
        <w:ind w:right="0" w:firstLine="643" w:firstLineChars="200"/>
        <w:jc w:val="both"/>
        <w:textAlignment w:val="auto"/>
        <w:rPr>
          <w:rFonts w:hint="default" w:ascii="Times New Roman" w:hAnsi="Times New Roman" w:eastAsia="楷体" w:cs="Times New Roman"/>
          <w:b/>
          <w:bCs/>
          <w:snapToGrid w:val="0"/>
          <w:spacing w:val="0"/>
          <w:kern w:val="0"/>
          <w:sz w:val="32"/>
          <w:szCs w:val="32"/>
          <w:highlight w:val="none"/>
          <w:lang w:val="en-US" w:eastAsia="zh-CN"/>
        </w:rPr>
      </w:pPr>
      <w:r>
        <w:rPr>
          <w:rFonts w:hint="default" w:ascii="Times New Roman" w:hAnsi="Times New Roman" w:eastAsia="楷体" w:cs="Times New Roman"/>
          <w:b/>
          <w:bCs/>
          <w:snapToGrid w:val="0"/>
          <w:spacing w:val="0"/>
          <w:kern w:val="0"/>
          <w:sz w:val="32"/>
          <w:szCs w:val="32"/>
          <w:highlight w:val="none"/>
          <w:lang w:val="en-US" w:eastAsia="zh-CN"/>
        </w:rPr>
        <w:t>（二）预埋管线工程。</w:t>
      </w:r>
    </w:p>
    <w:p w14:paraId="0A4C401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z w:val="32"/>
          <w:szCs w:val="32"/>
          <w:highlight w:val="none"/>
          <w:lang w:val="en-US" w:eastAsia="zh-CN"/>
        </w:rPr>
        <w:t>1.管线通道：胡杨路7处道路交叉口设有D600钢筋砼圆管涵。第一个和第七个交叉路口各并排铺设1根，中间五个交叉路口各并排埋设2根，累计铺设24根，单根长度为红线宽度+2米，总长度315米；管线通道两头砌筑检查井24座。</w:t>
      </w:r>
    </w:p>
    <w:p w14:paraId="7B709C8C">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2.钢套管：胡杨路7处道路交叉口设D159镀锌钢套管，铺设方式同管线通道，累计铺设24根，单根长度同管线通道长度；且套管两头砌筑手孔井24个。</w:t>
      </w:r>
    </w:p>
    <w:p w14:paraId="026FAF15">
      <w:pPr>
        <w:keepNext w:val="0"/>
        <w:keepLines w:val="0"/>
        <w:pageBreakBefore w:val="0"/>
        <w:widowControl w:val="0"/>
        <w:kinsoku/>
        <w:wordWrap/>
        <w:overflowPunct/>
        <w:topLinePunct w:val="0"/>
        <w:autoSpaceDE/>
        <w:autoSpaceDN/>
        <w:bidi w:val="0"/>
        <w:adjustRightInd/>
        <w:snapToGrid/>
        <w:spacing w:line="520" w:lineRule="exact"/>
        <w:ind w:right="0" w:firstLine="643" w:firstLineChars="200"/>
        <w:jc w:val="both"/>
        <w:textAlignment w:val="auto"/>
        <w:rPr>
          <w:rFonts w:hint="default" w:ascii="Times New Roman" w:hAnsi="Times New Roman" w:eastAsia="楷体" w:cs="Times New Roman"/>
          <w:b/>
          <w:bCs/>
          <w:snapToGrid w:val="0"/>
          <w:spacing w:val="0"/>
          <w:kern w:val="0"/>
          <w:sz w:val="32"/>
          <w:szCs w:val="32"/>
          <w:highlight w:val="none"/>
          <w:lang w:val="en-US" w:eastAsia="zh-CN"/>
        </w:rPr>
      </w:pPr>
      <w:r>
        <w:rPr>
          <w:rFonts w:hint="default" w:ascii="Times New Roman" w:hAnsi="Times New Roman" w:eastAsia="楷体" w:cs="Times New Roman"/>
          <w:b/>
          <w:bCs/>
          <w:snapToGrid w:val="0"/>
          <w:spacing w:val="0"/>
          <w:kern w:val="0"/>
          <w:sz w:val="32"/>
          <w:szCs w:val="32"/>
          <w:highlight w:val="none"/>
          <w:lang w:val="en-US" w:eastAsia="zh-CN"/>
        </w:rPr>
        <w:t>（三）路面排水工程。</w:t>
      </w:r>
    </w:p>
    <w:p w14:paraId="2BE844B3">
      <w:pPr>
        <w:keepNext w:val="0"/>
        <w:keepLines w:val="0"/>
        <w:pageBreakBefore w:val="0"/>
        <w:numPr>
          <w:ilvl w:val="0"/>
          <w:numId w:val="0"/>
        </w:numPr>
        <w:kinsoku/>
        <w:wordWrap/>
        <w:overflowPunct/>
        <w:topLinePunct w:val="0"/>
        <w:autoSpaceDE/>
        <w:autoSpaceDN/>
        <w:bidi w:val="0"/>
        <w:adjustRightInd/>
        <w:snapToGrid/>
        <w:spacing w:line="520" w:lineRule="exact"/>
        <w:ind w:right="0" w:firstLine="640" w:firstLineChars="200"/>
        <w:jc w:val="both"/>
        <w:textAlignment w:val="auto"/>
        <w:rPr>
          <w:rFonts w:hint="default" w:ascii="Times New Roman" w:hAnsi="Times New Roman" w:eastAsia="楷体_GB2312" w:cs="Times New Roman"/>
          <w:b/>
          <w:bCs/>
          <w:snapToGrid w:val="0"/>
          <w:color w:val="000000"/>
          <w:spacing w:val="0"/>
          <w:kern w:val="0"/>
          <w:sz w:val="32"/>
          <w:szCs w:val="32"/>
          <w:lang w:val="en-US" w:eastAsia="zh-CN" w:bidi="ar"/>
        </w:rPr>
      </w:pPr>
      <w:r>
        <w:rPr>
          <w:rFonts w:hint="default" w:ascii="Times New Roman" w:hAnsi="Times New Roman" w:eastAsia="仿宋_GB2312" w:cs="Times New Roman"/>
          <w:color w:val="auto"/>
          <w:sz w:val="32"/>
          <w:szCs w:val="32"/>
          <w:highlight w:val="none"/>
          <w:lang w:val="en-US" w:eastAsia="zh-CN"/>
        </w:rPr>
        <w:t>新建路面排水DN300Ⅱ级钢筋混凝土管线，长度2467米。新建单篦式雨水口及雨水井108座。</w:t>
      </w:r>
    </w:p>
    <w:p w14:paraId="29DBAA87">
      <w:pPr>
        <w:pStyle w:val="5"/>
        <w:keepNext w:val="0"/>
        <w:keepLines w:val="0"/>
        <w:pageBreakBefore w:val="0"/>
        <w:widowControl w:val="0"/>
        <w:kinsoku/>
        <w:overflowPunct/>
        <w:topLinePunct w:val="0"/>
        <w:autoSpaceDE/>
        <w:autoSpaceDN/>
        <w:bidi w:val="0"/>
        <w:adjustRightInd/>
        <w:snapToGrid/>
        <w:spacing w:line="520" w:lineRule="exact"/>
        <w:ind w:right="0" w:firstLine="640" w:firstLineChars="200"/>
        <w:jc w:val="both"/>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三、工程概算</w:t>
      </w:r>
    </w:p>
    <w:p w14:paraId="76364FA9">
      <w:pPr>
        <w:pStyle w:val="5"/>
        <w:keepNext w:val="0"/>
        <w:keepLines w:val="0"/>
        <w:pageBreakBefore w:val="0"/>
        <w:widowControl w:val="0"/>
        <w:kinsoku/>
        <w:overflowPunct/>
        <w:topLinePunct w:val="0"/>
        <w:autoSpaceDE/>
        <w:autoSpaceDN/>
        <w:bidi w:val="0"/>
        <w:adjustRightInd/>
        <w:snapToGrid/>
        <w:spacing w:line="520" w:lineRule="exact"/>
        <w:ind w:right="0" w:firstLine="640" w:firstLineChars="200"/>
        <w:jc w:val="both"/>
        <w:textAlignment w:val="auto"/>
        <w:rPr>
          <w:rFonts w:hint="default" w:ascii="Times New Roman" w:hAnsi="Times New Roman" w:eastAsia="仿宋_GB2312" w:cs="Times New Roman"/>
          <w:b w:val="0"/>
          <w:bCs w:val="0"/>
          <w:color w:val="auto"/>
          <w:spacing w:val="0"/>
          <w:kern w:val="0"/>
          <w:sz w:val="32"/>
          <w:szCs w:val="32"/>
          <w:lang w:val="en-US" w:eastAsia="zh-CN"/>
        </w:rPr>
      </w:pPr>
      <w:r>
        <w:rPr>
          <w:rFonts w:hint="default" w:ascii="Times New Roman" w:hAnsi="Times New Roman" w:eastAsia="仿宋_GB2312" w:cs="Times New Roman"/>
          <w:color w:val="auto"/>
          <w:sz w:val="32"/>
          <w:szCs w:val="32"/>
          <w:highlight w:val="none"/>
        </w:rPr>
        <w:t>总投资</w:t>
      </w:r>
      <w:r>
        <w:rPr>
          <w:rFonts w:hint="default" w:ascii="Times New Roman" w:hAnsi="Times New Roman" w:eastAsia="仿宋_GB2312" w:cs="Times New Roman"/>
          <w:color w:val="auto"/>
          <w:sz w:val="32"/>
          <w:szCs w:val="32"/>
          <w:highlight w:val="none"/>
          <w:lang w:val="en-US" w:eastAsia="zh-CN"/>
        </w:rPr>
        <w:t>2998.36</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spacing w:val="0"/>
          <w:kern w:val="2"/>
          <w:sz w:val="32"/>
          <w:szCs w:val="32"/>
          <w:highlight w:val="none"/>
          <w:lang w:val="en-US" w:eastAsia="zh-CN" w:bidi="ar-SA"/>
        </w:rPr>
        <w:t>（含中央预算内资金2100万元）。</w:t>
      </w:r>
      <w:r>
        <w:rPr>
          <w:rFonts w:hint="default" w:ascii="Times New Roman" w:hAnsi="Times New Roman" w:eastAsia="仿宋_GB2312" w:cs="Times New Roman"/>
          <w:color w:val="auto"/>
          <w:sz w:val="32"/>
          <w:szCs w:val="32"/>
          <w:highlight w:val="none"/>
          <w:lang w:val="en-US" w:eastAsia="zh-CN"/>
        </w:rPr>
        <w:t>其中</w:t>
      </w:r>
      <w:r>
        <w:rPr>
          <w:rFonts w:hint="default" w:ascii="Times New Roman" w:hAnsi="Times New Roman" w:eastAsia="仿宋_GB2312" w:cs="Times New Roman"/>
          <w:color w:val="auto"/>
          <w:sz w:val="32"/>
          <w:szCs w:val="32"/>
          <w:highlight w:val="none"/>
        </w:rPr>
        <w:t>工程费用</w:t>
      </w:r>
      <w:r>
        <w:rPr>
          <w:rFonts w:hint="default" w:ascii="Times New Roman" w:hAnsi="Times New Roman" w:eastAsia="仿宋_GB2312" w:cs="Times New Roman"/>
          <w:color w:val="auto"/>
          <w:sz w:val="32"/>
          <w:szCs w:val="32"/>
          <w:highlight w:val="none"/>
          <w:lang w:val="en-US" w:eastAsia="zh-CN"/>
        </w:rPr>
        <w:t>2711.83万</w:t>
      </w:r>
      <w:r>
        <w:rPr>
          <w:rFonts w:hint="default" w:ascii="Times New Roman" w:hAnsi="Times New Roman" w:eastAsia="仿宋_GB2312" w:cs="Times New Roman"/>
          <w:color w:val="auto"/>
          <w:sz w:val="32"/>
          <w:szCs w:val="32"/>
          <w:highlight w:val="none"/>
        </w:rPr>
        <w:t>元，工程建设</w:t>
      </w:r>
      <w:r>
        <w:rPr>
          <w:rFonts w:hint="default" w:ascii="Times New Roman" w:hAnsi="Times New Roman" w:eastAsia="仿宋_GB2312" w:cs="Times New Roman"/>
          <w:color w:val="auto"/>
          <w:sz w:val="32"/>
          <w:szCs w:val="32"/>
          <w:highlight w:val="none"/>
          <w:lang w:val="zh-CN" w:eastAsia="zh-CN"/>
        </w:rPr>
        <w:t>其他费</w:t>
      </w:r>
      <w:r>
        <w:rPr>
          <w:rFonts w:hint="default" w:ascii="Times New Roman" w:hAnsi="Times New Roman" w:eastAsia="仿宋_GB2312" w:cs="Times New Roman"/>
          <w:color w:val="auto"/>
          <w:sz w:val="32"/>
          <w:szCs w:val="32"/>
          <w:highlight w:val="none"/>
          <w:lang w:val="en-US" w:eastAsia="zh-CN"/>
        </w:rPr>
        <w:t>199.2</w:t>
      </w:r>
      <w:r>
        <w:rPr>
          <w:rFonts w:hint="default" w:ascii="Times New Roman" w:hAnsi="Times New Roman" w:eastAsia="仿宋_GB2312" w:cs="Times New Roman"/>
          <w:color w:val="auto"/>
          <w:sz w:val="32"/>
          <w:szCs w:val="32"/>
          <w:highlight w:val="none"/>
          <w:lang w:val="zh-CN" w:eastAsia="zh-CN"/>
        </w:rPr>
        <w:t>万元</w:t>
      </w:r>
      <w:r>
        <w:rPr>
          <w:rFonts w:hint="default" w:ascii="Times New Roman" w:hAnsi="Times New Roman" w:eastAsia="仿宋_GB2312" w:cs="Times New Roman"/>
          <w:color w:val="auto"/>
          <w:sz w:val="32"/>
          <w:szCs w:val="32"/>
          <w:highlight w:val="none"/>
        </w:rPr>
        <w:t>，基本预备费</w:t>
      </w:r>
      <w:r>
        <w:rPr>
          <w:rFonts w:hint="default" w:ascii="Times New Roman" w:hAnsi="Times New Roman" w:eastAsia="仿宋_GB2312" w:cs="Times New Roman"/>
          <w:color w:val="auto"/>
          <w:sz w:val="32"/>
          <w:szCs w:val="32"/>
          <w:highlight w:val="none"/>
          <w:lang w:val="en-US" w:eastAsia="zh-CN"/>
        </w:rPr>
        <w:t>87.33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p>
    <w:p w14:paraId="3D5B1ED4">
      <w:pPr>
        <w:pStyle w:val="5"/>
        <w:keepNext w:val="0"/>
        <w:keepLines w:val="0"/>
        <w:pageBreakBefore w:val="0"/>
        <w:widowControl w:val="0"/>
        <w:kinsoku/>
        <w:overflowPunct/>
        <w:topLinePunct w:val="0"/>
        <w:autoSpaceDE/>
        <w:autoSpaceDN/>
        <w:bidi w:val="0"/>
        <w:adjustRightInd/>
        <w:snapToGrid/>
        <w:spacing w:line="520" w:lineRule="exact"/>
        <w:ind w:right="0" w:firstLine="640" w:firstLineChars="200"/>
        <w:jc w:val="both"/>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四、工程建设有关要求</w:t>
      </w:r>
    </w:p>
    <w:p w14:paraId="108920FD">
      <w:pPr>
        <w:pStyle w:val="5"/>
        <w:keepNext w:val="0"/>
        <w:keepLines w:val="0"/>
        <w:pageBreakBefore w:val="0"/>
        <w:widowControl w:val="0"/>
        <w:kinsoku/>
        <w:overflowPunct/>
        <w:topLinePunct w:val="0"/>
        <w:autoSpaceDE/>
        <w:autoSpaceDN/>
        <w:bidi w:val="0"/>
        <w:adjustRightInd/>
        <w:snapToGrid/>
        <w:spacing w:line="520" w:lineRule="exact"/>
        <w:ind w:right="0" w:firstLine="640" w:firstLineChars="200"/>
        <w:jc w:val="both"/>
        <w:textAlignment w:val="auto"/>
        <w:rPr>
          <w:rFonts w:hint="default" w:ascii="Times New Roman" w:hAnsi="Times New Roman" w:eastAsia="仿宋_GB2312" w:cs="Times New Roman"/>
          <w:b w:val="0"/>
          <w:bCs w:val="0"/>
          <w:color w:val="auto"/>
          <w:spacing w:val="0"/>
          <w:kern w:val="0"/>
          <w:sz w:val="32"/>
          <w:szCs w:val="32"/>
          <w:lang w:val="en-US" w:eastAsia="zh-CN" w:bidi="ar-SA"/>
        </w:rPr>
      </w:pPr>
      <w:r>
        <w:rPr>
          <w:rFonts w:hint="default" w:ascii="Times New Roman" w:hAnsi="Times New Roman" w:eastAsia="仿宋_GB2312" w:cs="Times New Roman"/>
          <w:b w:val="0"/>
          <w:bCs w:val="0"/>
          <w:color w:val="auto"/>
          <w:spacing w:val="0"/>
          <w:kern w:val="0"/>
          <w:sz w:val="32"/>
          <w:szCs w:val="32"/>
          <w:lang w:val="en-US" w:eastAsia="zh-CN" w:bidi="ar-SA"/>
        </w:rPr>
        <w:t>（一）严格遵循基本建设程序，按照批准的初步设计报告和概算进行施工图设计，满足国家和自治区有关技术、安全、消防、节能和环保等要求。</w:t>
      </w:r>
    </w:p>
    <w:p w14:paraId="56C4ACCE">
      <w:pPr>
        <w:pStyle w:val="5"/>
        <w:keepNext w:val="0"/>
        <w:keepLines w:val="0"/>
        <w:pageBreakBefore w:val="0"/>
        <w:widowControl w:val="0"/>
        <w:kinsoku/>
        <w:overflowPunct/>
        <w:topLinePunct w:val="0"/>
        <w:autoSpaceDE/>
        <w:autoSpaceDN/>
        <w:bidi w:val="0"/>
        <w:adjustRightInd/>
        <w:snapToGrid/>
        <w:spacing w:line="520" w:lineRule="exact"/>
        <w:ind w:right="0" w:firstLine="640" w:firstLineChars="200"/>
        <w:jc w:val="both"/>
        <w:textAlignment w:val="auto"/>
        <w:rPr>
          <w:rFonts w:hint="default" w:ascii="Times New Roman" w:hAnsi="Times New Roman" w:eastAsia="仿宋_GB2312" w:cs="Times New Roman"/>
          <w:b w:val="0"/>
          <w:bCs w:val="0"/>
          <w:color w:val="auto"/>
          <w:spacing w:val="0"/>
          <w:kern w:val="0"/>
          <w:sz w:val="32"/>
          <w:szCs w:val="32"/>
          <w:lang w:val="en-US" w:eastAsia="zh-CN" w:bidi="ar-SA"/>
        </w:rPr>
      </w:pPr>
      <w:r>
        <w:rPr>
          <w:rFonts w:hint="default" w:ascii="Times New Roman" w:hAnsi="Times New Roman" w:eastAsia="仿宋_GB2312" w:cs="Times New Roman"/>
          <w:b w:val="0"/>
          <w:bCs w:val="0"/>
          <w:color w:val="auto"/>
          <w:spacing w:val="0"/>
          <w:kern w:val="0"/>
          <w:sz w:val="32"/>
          <w:szCs w:val="32"/>
          <w:lang w:val="en-US" w:eastAsia="zh-CN" w:bidi="ar-SA"/>
        </w:rPr>
        <w:t>（二）严格执行项目法人责任制、招标投标制、工程监理制、合同管理制等项目管理制度，加快项目建设，确保工程质量。</w:t>
      </w:r>
    </w:p>
    <w:p w14:paraId="249E9203">
      <w:pPr>
        <w:pStyle w:val="5"/>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rFonts w:hint="default" w:ascii="Times New Roman" w:hAnsi="Times New Roman" w:eastAsia="仿宋_GB2312" w:cs="Times New Roman"/>
          <w:spacing w:val="0"/>
          <w:w w:val="100"/>
          <w:kern w:val="0"/>
          <w:sz w:val="32"/>
          <w:szCs w:val="32"/>
        </w:rPr>
      </w:pPr>
      <w:r>
        <w:rPr>
          <w:rFonts w:hint="default" w:ascii="Times New Roman" w:hAnsi="Times New Roman" w:eastAsia="仿宋_GB2312" w:cs="Times New Roman"/>
          <w:b w:val="0"/>
          <w:bCs w:val="0"/>
          <w:color w:val="auto"/>
          <w:spacing w:val="0"/>
          <w:kern w:val="0"/>
          <w:sz w:val="32"/>
          <w:szCs w:val="32"/>
          <w:lang w:val="en-US" w:eastAsia="zh-CN" w:bidi="ar-SA"/>
        </w:rPr>
        <w:t>（三）按照自治区住建厅、发改委和财政厅联合印发</w:t>
      </w:r>
      <w:r>
        <w:rPr>
          <w:rFonts w:hint="default" w:ascii="Times New Roman" w:hAnsi="Times New Roman" w:eastAsia="仿宋_GB2312" w:cs="Times New Roman"/>
          <w:snapToGrid w:val="0"/>
          <w:color w:val="000000"/>
          <w:spacing w:val="0"/>
          <w:kern w:val="0"/>
          <w:sz w:val="32"/>
          <w:szCs w:val="32"/>
          <w:lang w:val="en-US" w:eastAsia="zh-CN" w:bidi="ar"/>
        </w:rPr>
        <w:t>《关于印发&lt;关于在房屋建筑和市政基础设施工程中推行施工过程结算的实施意见&gt;的通知》（新建规</w:t>
      </w:r>
      <w:r>
        <w:rPr>
          <w:rFonts w:hint="default" w:ascii="Times New Roman" w:hAnsi="Times New Roman" w:eastAsia="仿宋_GB2312" w:cs="Times New Roman"/>
          <w:spacing w:val="16"/>
          <w:sz w:val="32"/>
          <w:szCs w:val="32"/>
        </w:rPr>
        <w:t>〔202</w:t>
      </w:r>
      <w:r>
        <w:rPr>
          <w:rFonts w:hint="default" w:ascii="Times New Roman" w:hAnsi="Times New Roman" w:eastAsia="仿宋_GB2312" w:cs="Times New Roman"/>
          <w:spacing w:val="16"/>
          <w:sz w:val="32"/>
          <w:szCs w:val="32"/>
          <w:lang w:val="en-US" w:eastAsia="zh-CN"/>
        </w:rPr>
        <w:t>3</w:t>
      </w:r>
      <w:r>
        <w:rPr>
          <w:rFonts w:hint="default" w:ascii="Times New Roman" w:hAnsi="Times New Roman" w:eastAsia="仿宋_GB2312" w:cs="Times New Roman"/>
          <w:spacing w:val="16"/>
          <w:sz w:val="32"/>
          <w:szCs w:val="32"/>
        </w:rPr>
        <w:t>〕</w:t>
      </w:r>
      <w:r>
        <w:rPr>
          <w:rFonts w:hint="default" w:ascii="Times New Roman" w:hAnsi="Times New Roman" w:eastAsia="仿宋_GB2312" w:cs="Times New Roman"/>
          <w:spacing w:val="16"/>
          <w:sz w:val="32"/>
          <w:szCs w:val="32"/>
          <w:lang w:val="en-US" w:eastAsia="zh-CN"/>
        </w:rPr>
        <w:t>11号</w:t>
      </w:r>
      <w:r>
        <w:rPr>
          <w:rFonts w:hint="default" w:ascii="Times New Roman" w:hAnsi="Times New Roman" w:eastAsia="仿宋_GB2312" w:cs="Times New Roman"/>
          <w:snapToGrid w:val="0"/>
          <w:color w:val="000000"/>
          <w:spacing w:val="0"/>
          <w:kern w:val="0"/>
          <w:sz w:val="32"/>
          <w:szCs w:val="32"/>
          <w:lang w:val="en-US" w:eastAsia="zh-CN" w:bidi="ar"/>
        </w:rPr>
        <w:t>）的相关要求实施过程结算，</w:t>
      </w:r>
      <w:r>
        <w:rPr>
          <w:rFonts w:hint="default" w:ascii="Times New Roman" w:hAnsi="Times New Roman" w:eastAsia="仿宋_GB2312" w:cs="Times New Roman"/>
          <w:b w:val="0"/>
          <w:bCs w:val="0"/>
          <w:color w:val="auto"/>
          <w:spacing w:val="0"/>
          <w:kern w:val="0"/>
          <w:sz w:val="32"/>
          <w:szCs w:val="32"/>
          <w:lang w:val="en-US" w:eastAsia="zh-CN" w:bidi="ar-SA"/>
        </w:rPr>
        <w:t>进一步加强房屋建筑和市政基础设施工程施工过程结算管理，缩短竣工结算周期，从源头上根治拖欠工程款和农民工工资问题，优化营商环境</w:t>
      </w:r>
      <w:r>
        <w:rPr>
          <w:rFonts w:hint="default" w:ascii="Times New Roman" w:hAnsi="Times New Roman" w:eastAsia="仿宋_GB2312" w:cs="Times New Roman"/>
          <w:snapToGrid w:val="0"/>
          <w:color w:val="000000"/>
          <w:spacing w:val="0"/>
          <w:kern w:val="0"/>
          <w:sz w:val="32"/>
          <w:szCs w:val="32"/>
          <w:lang w:val="en-US" w:eastAsia="zh-CN" w:bidi="ar"/>
        </w:rPr>
        <w:t>。</w:t>
      </w:r>
    </w:p>
    <w:p w14:paraId="33AE922A">
      <w:pPr>
        <w:pStyle w:val="5"/>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rFonts w:hint="default" w:ascii="Times New Roman" w:hAnsi="Times New Roman" w:eastAsia="仿宋_GB2312" w:cs="Times New Roman"/>
          <w:snapToGrid w:val="0"/>
          <w:color w:val="000000"/>
          <w:spacing w:val="0"/>
          <w:kern w:val="0"/>
          <w:sz w:val="32"/>
          <w:szCs w:val="32"/>
          <w:lang w:val="en-US" w:eastAsia="zh-CN" w:bidi="ar"/>
        </w:rPr>
      </w:pPr>
      <w:r>
        <w:rPr>
          <w:rFonts w:hint="default" w:ascii="Times New Roman" w:hAnsi="Times New Roman" w:eastAsia="仿宋_GB2312" w:cs="Times New Roman"/>
          <w:snapToGrid w:val="0"/>
          <w:color w:val="000000"/>
          <w:spacing w:val="0"/>
          <w:kern w:val="0"/>
          <w:sz w:val="32"/>
          <w:szCs w:val="32"/>
          <w:lang w:val="en-US" w:eastAsia="zh-CN" w:bidi="ar"/>
        </w:rPr>
        <w:t>（四）</w:t>
      </w:r>
      <w:r>
        <w:rPr>
          <w:rFonts w:hint="default" w:ascii="Times New Roman" w:hAnsi="Times New Roman" w:eastAsia="仿宋_GB2312" w:cs="Times New Roman"/>
          <w:b w:val="0"/>
          <w:bCs w:val="0"/>
          <w:color w:val="auto"/>
          <w:spacing w:val="0"/>
          <w:kern w:val="0"/>
          <w:sz w:val="32"/>
          <w:szCs w:val="32"/>
          <w:lang w:val="en-US" w:eastAsia="zh-CN" w:bidi="ar-SA"/>
        </w:rPr>
        <w:t>项目建成后，按照规定及时向审批部门申请组织竣工验收，确保项目尽早发挥效益。</w:t>
      </w:r>
    </w:p>
    <w:p w14:paraId="2E86BD1B">
      <w:pPr>
        <w:pStyle w:val="5"/>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rFonts w:hint="default" w:ascii="Times New Roman" w:hAnsi="Times New Roman" w:eastAsia="仿宋_GB2312" w:cs="Times New Roman"/>
          <w:spacing w:val="0"/>
          <w:w w:val="100"/>
          <w:kern w:val="0"/>
          <w:sz w:val="32"/>
          <w:szCs w:val="32"/>
        </w:rPr>
      </w:pPr>
    </w:p>
    <w:p w14:paraId="286A4423">
      <w:pPr>
        <w:pStyle w:val="5"/>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rFonts w:hint="default" w:ascii="Times New Roman" w:hAnsi="Times New Roman" w:eastAsia="仿宋_GB2312" w:cs="Times New Roman"/>
          <w:snapToGrid w:val="0"/>
          <w:color w:val="000000"/>
          <w:spacing w:val="0"/>
          <w:kern w:val="0"/>
          <w:sz w:val="32"/>
          <w:szCs w:val="32"/>
          <w:lang w:val="en-US" w:eastAsia="zh-CN" w:bidi="ar"/>
        </w:rPr>
      </w:pPr>
      <w:r>
        <w:rPr>
          <w:rFonts w:hint="default" w:ascii="Times New Roman" w:hAnsi="Times New Roman" w:eastAsia="仿宋_GB2312" w:cs="Times New Roman"/>
          <w:snapToGrid w:val="0"/>
          <w:color w:val="000000"/>
          <w:spacing w:val="0"/>
          <w:kern w:val="0"/>
          <w:sz w:val="32"/>
          <w:szCs w:val="32"/>
          <w:lang w:val="en-US" w:eastAsia="zh-CN" w:bidi="ar"/>
        </w:rPr>
        <w:t>附件：</w:t>
      </w:r>
      <w:r>
        <w:rPr>
          <w:rFonts w:hint="default" w:ascii="Times New Roman" w:hAnsi="Times New Roman" w:eastAsia="仿宋_GB2312" w:cs="Times New Roman"/>
          <w:bCs/>
          <w:color w:val="auto"/>
          <w:sz w:val="32"/>
          <w:szCs w:val="32"/>
          <w:highlight w:val="none"/>
          <w:lang w:val="en-US" w:eastAsia="zh-CN"/>
        </w:rPr>
        <w:t>昌吉州木垒县胡杨路提升改造建设项目</w:t>
      </w:r>
      <w:r>
        <w:rPr>
          <w:rFonts w:hint="default" w:ascii="Times New Roman" w:hAnsi="Times New Roman" w:eastAsia="仿宋_GB2312" w:cs="Times New Roman"/>
          <w:snapToGrid w:val="0"/>
          <w:color w:val="000000"/>
          <w:spacing w:val="0"/>
          <w:kern w:val="0"/>
          <w:sz w:val="32"/>
          <w:szCs w:val="32"/>
          <w:lang w:val="en-US" w:eastAsia="zh-CN" w:bidi="ar"/>
        </w:rPr>
        <w:t>总概算表</w:t>
      </w:r>
    </w:p>
    <w:p w14:paraId="7EEF10C5">
      <w:pPr>
        <w:keepNext w:val="0"/>
        <w:keepLines w:val="0"/>
        <w:pageBreakBefore w:val="0"/>
        <w:widowControl w:val="0"/>
        <w:kinsoku/>
        <w:wordWrap w:val="0"/>
        <w:overflowPunct/>
        <w:topLinePunct w:val="0"/>
        <w:autoSpaceDE/>
        <w:autoSpaceDN/>
        <w:bidi w:val="0"/>
        <w:adjustRightInd/>
        <w:snapToGrid/>
        <w:spacing w:line="520" w:lineRule="exact"/>
        <w:ind w:right="0" w:firstLine="640" w:firstLineChars="200"/>
        <w:jc w:val="both"/>
        <w:textAlignment w:val="auto"/>
        <w:outlineLvl w:val="9"/>
        <w:rPr>
          <w:rFonts w:hint="default" w:ascii="Times New Roman" w:hAnsi="Times New Roman" w:eastAsia="仿宋_GB2312" w:cs="Times New Roman"/>
          <w:spacing w:val="0"/>
          <w:w w:val="100"/>
          <w:kern w:val="0"/>
          <w:sz w:val="32"/>
          <w:szCs w:val="32"/>
          <w:lang w:val="en-US" w:eastAsia="zh-CN"/>
        </w:rPr>
      </w:pPr>
    </w:p>
    <w:p w14:paraId="40E6EAA6">
      <w:pPr>
        <w:keepNext w:val="0"/>
        <w:keepLines w:val="0"/>
        <w:pageBreakBefore w:val="0"/>
        <w:widowControl w:val="0"/>
        <w:kinsoku/>
        <w:wordWrap w:val="0"/>
        <w:overflowPunct/>
        <w:topLinePunct w:val="0"/>
        <w:autoSpaceDE/>
        <w:autoSpaceDN/>
        <w:bidi w:val="0"/>
        <w:adjustRightInd/>
        <w:snapToGrid/>
        <w:spacing w:line="520" w:lineRule="exact"/>
        <w:ind w:right="0" w:firstLine="640" w:firstLineChars="200"/>
        <w:jc w:val="both"/>
        <w:textAlignment w:val="auto"/>
        <w:outlineLvl w:val="9"/>
        <w:rPr>
          <w:rFonts w:hint="default" w:ascii="Times New Roman" w:hAnsi="Times New Roman" w:eastAsia="仿宋_GB2312" w:cs="Times New Roman"/>
          <w:spacing w:val="0"/>
          <w:w w:val="100"/>
          <w:kern w:val="0"/>
          <w:sz w:val="32"/>
          <w:szCs w:val="32"/>
          <w:lang w:val="en-US" w:eastAsia="zh-CN"/>
        </w:rPr>
      </w:pPr>
    </w:p>
    <w:p w14:paraId="6E3E4BCC">
      <w:pPr>
        <w:keepNext w:val="0"/>
        <w:keepLines w:val="0"/>
        <w:pageBreakBefore w:val="0"/>
        <w:widowControl w:val="0"/>
        <w:kinsoku/>
        <w:wordWrap w:val="0"/>
        <w:overflowPunct/>
        <w:topLinePunct w:val="0"/>
        <w:autoSpaceDE/>
        <w:autoSpaceDN/>
        <w:bidi w:val="0"/>
        <w:adjustRightInd/>
        <w:snapToGrid/>
        <w:spacing w:line="520" w:lineRule="exact"/>
        <w:ind w:right="0" w:firstLine="640" w:firstLineChars="200"/>
        <w:jc w:val="both"/>
        <w:textAlignment w:val="auto"/>
        <w:outlineLvl w:val="9"/>
        <w:rPr>
          <w:rFonts w:hint="default" w:ascii="Times New Roman" w:hAnsi="Times New Roman" w:eastAsia="仿宋_GB2312" w:cs="Times New Roman"/>
          <w:spacing w:val="0"/>
          <w:w w:val="100"/>
          <w:kern w:val="0"/>
          <w:sz w:val="32"/>
          <w:szCs w:val="32"/>
          <w:lang w:val="en-US" w:eastAsia="zh-CN"/>
        </w:rPr>
      </w:pPr>
    </w:p>
    <w:p w14:paraId="198A9046">
      <w:pPr>
        <w:keepNext w:val="0"/>
        <w:keepLines w:val="0"/>
        <w:pageBreakBefore w:val="0"/>
        <w:widowControl w:val="0"/>
        <w:kinsoku/>
        <w:wordWrap w:val="0"/>
        <w:overflowPunct/>
        <w:topLinePunct w:val="0"/>
        <w:autoSpaceDE/>
        <w:autoSpaceDN/>
        <w:bidi w:val="0"/>
        <w:adjustRightInd/>
        <w:snapToGrid/>
        <w:spacing w:line="520" w:lineRule="exact"/>
        <w:ind w:right="0" w:firstLine="640" w:firstLineChars="200"/>
        <w:jc w:val="right"/>
        <w:textAlignment w:val="auto"/>
        <w:outlineLvl w:val="9"/>
        <w:rPr>
          <w:rFonts w:hint="default" w:ascii="Times New Roman" w:hAnsi="Times New Roman" w:eastAsia="仿宋_GB2312" w:cs="Times New Roman"/>
          <w:spacing w:val="0"/>
          <w:w w:val="100"/>
          <w:kern w:val="0"/>
          <w:sz w:val="32"/>
          <w:szCs w:val="32"/>
        </w:rPr>
      </w:pPr>
      <w:r>
        <w:rPr>
          <w:rFonts w:hint="default" w:ascii="Times New Roman" w:hAnsi="Times New Roman" w:eastAsia="仿宋_GB2312" w:cs="Times New Roman"/>
          <w:spacing w:val="0"/>
          <w:w w:val="100"/>
          <w:kern w:val="0"/>
          <w:sz w:val="32"/>
          <w:szCs w:val="32"/>
        </w:rPr>
        <w:t>昌吉州发展和改革委员会</w:t>
      </w:r>
    </w:p>
    <w:p w14:paraId="7AE4B419">
      <w:pPr>
        <w:keepNext w:val="0"/>
        <w:keepLines w:val="0"/>
        <w:pageBreakBefore w:val="0"/>
        <w:widowControl w:val="0"/>
        <w:kinsoku/>
        <w:wordWrap/>
        <w:overflowPunct/>
        <w:topLinePunct w:val="0"/>
        <w:autoSpaceDE/>
        <w:autoSpaceDN/>
        <w:bidi w:val="0"/>
        <w:adjustRightInd/>
        <w:snapToGrid/>
        <w:spacing w:line="520" w:lineRule="exact"/>
        <w:ind w:right="0" w:firstLine="640" w:firstLineChars="200"/>
        <w:jc w:val="center"/>
        <w:textAlignment w:val="auto"/>
        <w:outlineLvl w:val="9"/>
        <w:rPr>
          <w:rFonts w:hint="default" w:ascii="Times New Roman" w:hAnsi="Times New Roman" w:eastAsia="仿宋_GB2312" w:cs="Times New Roman"/>
          <w:spacing w:val="0"/>
          <w:w w:val="100"/>
          <w:kern w:val="0"/>
          <w:sz w:val="32"/>
          <w:szCs w:val="32"/>
          <w:lang w:eastAsia="zh-CN"/>
        </w:rPr>
      </w:pPr>
      <w:r>
        <w:rPr>
          <w:rFonts w:hint="eastAsia" w:ascii="Times New Roman" w:hAnsi="Times New Roman" w:eastAsia="仿宋_GB2312" w:cs="Times New Roman"/>
          <w:spacing w:val="0"/>
          <w:w w:val="100"/>
          <w:kern w:val="0"/>
          <w:sz w:val="32"/>
          <w:szCs w:val="32"/>
          <w:lang w:val="en-US" w:eastAsia="zh-CN"/>
        </w:rPr>
        <w:t xml:space="preserve">                               </w:t>
      </w:r>
      <w:r>
        <w:rPr>
          <w:rFonts w:hint="default" w:ascii="Times New Roman" w:hAnsi="Times New Roman" w:eastAsia="仿宋_GB2312" w:cs="Times New Roman"/>
          <w:spacing w:val="0"/>
          <w:w w:val="100"/>
          <w:kern w:val="0"/>
          <w:sz w:val="32"/>
          <w:szCs w:val="32"/>
        </w:rPr>
        <w:t>20</w:t>
      </w:r>
      <w:r>
        <w:rPr>
          <w:rFonts w:hint="default" w:ascii="Times New Roman" w:hAnsi="Times New Roman" w:eastAsia="仿宋_GB2312" w:cs="Times New Roman"/>
          <w:spacing w:val="0"/>
          <w:w w:val="100"/>
          <w:kern w:val="0"/>
          <w:sz w:val="32"/>
          <w:szCs w:val="32"/>
          <w:lang w:val="en-US" w:eastAsia="zh-CN"/>
        </w:rPr>
        <w:t>25</w:t>
      </w:r>
      <w:r>
        <w:rPr>
          <w:rFonts w:hint="default" w:ascii="Times New Roman" w:hAnsi="Times New Roman" w:eastAsia="仿宋_GB2312" w:cs="Times New Roman"/>
          <w:spacing w:val="0"/>
          <w:w w:val="100"/>
          <w:kern w:val="0"/>
          <w:sz w:val="32"/>
          <w:szCs w:val="32"/>
        </w:rPr>
        <w:t>年</w:t>
      </w:r>
      <w:r>
        <w:rPr>
          <w:rFonts w:hint="default" w:ascii="Times New Roman" w:hAnsi="Times New Roman" w:eastAsia="仿宋_GB2312" w:cs="Times New Roman"/>
          <w:spacing w:val="0"/>
          <w:w w:val="100"/>
          <w:kern w:val="0"/>
          <w:sz w:val="32"/>
          <w:szCs w:val="32"/>
          <w:lang w:val="en-US" w:eastAsia="zh-CN"/>
        </w:rPr>
        <w:t>4</w:t>
      </w:r>
      <w:r>
        <w:rPr>
          <w:rFonts w:hint="default" w:ascii="Times New Roman" w:hAnsi="Times New Roman" w:eastAsia="仿宋_GB2312" w:cs="Times New Roman"/>
          <w:spacing w:val="0"/>
          <w:w w:val="100"/>
          <w:kern w:val="0"/>
          <w:sz w:val="32"/>
          <w:szCs w:val="32"/>
        </w:rPr>
        <w:t>月</w:t>
      </w:r>
      <w:r>
        <w:rPr>
          <w:rFonts w:hint="eastAsia" w:ascii="Times New Roman" w:hAnsi="Times New Roman" w:eastAsia="仿宋_GB2312" w:cs="Times New Roman"/>
          <w:spacing w:val="0"/>
          <w:w w:val="100"/>
          <w:kern w:val="0"/>
          <w:sz w:val="32"/>
          <w:szCs w:val="32"/>
          <w:lang w:val="en-US" w:eastAsia="zh-CN"/>
        </w:rPr>
        <w:t>10</w:t>
      </w:r>
      <w:r>
        <w:rPr>
          <w:rFonts w:hint="default" w:ascii="Times New Roman" w:hAnsi="Times New Roman" w:eastAsia="仿宋_GB2312" w:cs="Times New Roman"/>
          <w:spacing w:val="0"/>
          <w:w w:val="100"/>
          <w:kern w:val="0"/>
          <w:sz w:val="32"/>
          <w:szCs w:val="32"/>
        </w:rPr>
        <w:t>日</w:t>
      </w:r>
    </w:p>
    <w:p w14:paraId="3718C0D2">
      <w:pPr>
        <w:pStyle w:val="2"/>
        <w:numPr>
          <w:ilvl w:val="2"/>
          <w:numId w:val="0"/>
        </w:numPr>
        <w:rPr>
          <w:rFonts w:hint="default" w:ascii="Times New Roman" w:hAnsi="Times New Roman" w:cs="Times New Roman" w:eastAsiaTheme="minorEastAsia"/>
          <w:lang w:val="en-US" w:eastAsia="zh-CN"/>
        </w:rPr>
      </w:pPr>
    </w:p>
    <w:p w14:paraId="1054EC64">
      <w:pPr>
        <w:pStyle w:val="12"/>
        <w:jc w:val="both"/>
        <w:rPr>
          <w:rFonts w:hint="default" w:ascii="Times New Roman" w:hAnsi="Times New Roman" w:cs="Times New Roman"/>
        </w:rPr>
      </w:pPr>
    </w:p>
    <w:p w14:paraId="1C70645D">
      <w:pPr>
        <w:pStyle w:val="12"/>
        <w:jc w:val="both"/>
        <w:rPr>
          <w:rFonts w:hint="default" w:ascii="Times New Roman" w:hAnsi="Times New Roman" w:cs="Times New Roman"/>
        </w:rPr>
      </w:pPr>
    </w:p>
    <w:p w14:paraId="0F7D6483">
      <w:pPr>
        <w:pStyle w:val="12"/>
        <w:jc w:val="both"/>
        <w:rPr>
          <w:rFonts w:hint="default" w:ascii="Times New Roman" w:hAnsi="Times New Roman" w:cs="Times New Roman"/>
        </w:rPr>
      </w:pPr>
    </w:p>
    <w:p w14:paraId="19F018A7">
      <w:pPr>
        <w:pStyle w:val="12"/>
        <w:jc w:val="both"/>
        <w:rPr>
          <w:rFonts w:hint="default" w:ascii="Times New Roman" w:hAnsi="Times New Roman" w:cs="Times New Roman"/>
        </w:rPr>
      </w:pPr>
    </w:p>
    <w:p w14:paraId="39E8F18C">
      <w:pPr>
        <w:pStyle w:val="12"/>
        <w:jc w:val="both"/>
        <w:rPr>
          <w:rFonts w:hint="default" w:ascii="Times New Roman" w:hAnsi="Times New Roman" w:eastAsia="仿宋_GB2312" w:cs="Times New Roman"/>
          <w:b w:val="0"/>
          <w:bCs w:val="0"/>
          <w:snapToGrid/>
          <w:color w:val="auto"/>
          <w:w w:val="100"/>
          <w:kern w:val="2"/>
          <w:sz w:val="32"/>
          <w:szCs w:val="20"/>
          <w:highlight w:val="none"/>
          <w:lang w:val="en-US" w:eastAsia="zh-CN" w:bidi="ar-SA"/>
        </w:rPr>
      </w:pPr>
      <w:r>
        <w:rPr>
          <w:rFonts w:hint="eastAsia" w:ascii="Times New Roman" w:hAnsi="Times New Roman" w:eastAsia="仿宋_GB2312" w:cs="Times New Roman"/>
          <w:b w:val="0"/>
          <w:bCs w:val="0"/>
          <w:snapToGrid/>
          <w:color w:val="auto"/>
          <w:w w:val="100"/>
          <w:kern w:val="2"/>
          <w:sz w:val="32"/>
          <w:szCs w:val="20"/>
          <w:highlight w:val="none"/>
          <w:lang w:val="en-US" w:eastAsia="zh-CN" w:bidi="ar-SA"/>
        </w:rPr>
        <w:t>（此页无正文）</w:t>
      </w:r>
    </w:p>
    <w:p w14:paraId="6555BD01">
      <w:pPr>
        <w:pStyle w:val="12"/>
        <w:jc w:val="both"/>
        <w:rPr>
          <w:rFonts w:hint="default" w:ascii="Times New Roman" w:hAnsi="Times New Roman" w:cs="Times New Roman"/>
        </w:rPr>
      </w:pPr>
    </w:p>
    <w:p w14:paraId="4F146406">
      <w:pPr>
        <w:pStyle w:val="12"/>
        <w:jc w:val="both"/>
        <w:rPr>
          <w:rFonts w:hint="default" w:ascii="Times New Roman" w:hAnsi="Times New Roman" w:cs="Times New Roman"/>
        </w:rPr>
      </w:pPr>
    </w:p>
    <w:p w14:paraId="0ACCB4B6">
      <w:pPr>
        <w:pStyle w:val="12"/>
        <w:jc w:val="both"/>
        <w:rPr>
          <w:rFonts w:hint="default" w:ascii="Times New Roman" w:hAnsi="Times New Roman" w:cs="Times New Roman"/>
        </w:rPr>
      </w:pPr>
    </w:p>
    <w:p w14:paraId="116003EC">
      <w:pPr>
        <w:pStyle w:val="12"/>
        <w:jc w:val="both"/>
        <w:rPr>
          <w:rFonts w:hint="default" w:ascii="Times New Roman" w:hAnsi="Times New Roman" w:cs="Times New Roman"/>
        </w:rPr>
      </w:pPr>
    </w:p>
    <w:p w14:paraId="1D088C39">
      <w:pPr>
        <w:pStyle w:val="12"/>
        <w:jc w:val="both"/>
        <w:rPr>
          <w:rFonts w:hint="default" w:ascii="Times New Roman" w:hAnsi="Times New Roman" w:cs="Times New Roman"/>
        </w:rPr>
      </w:pPr>
    </w:p>
    <w:p w14:paraId="0AFA9A2A">
      <w:pPr>
        <w:pStyle w:val="12"/>
        <w:jc w:val="both"/>
        <w:rPr>
          <w:rFonts w:hint="default" w:ascii="Times New Roman" w:hAnsi="Times New Roman" w:cs="Times New Roman"/>
        </w:rPr>
      </w:pPr>
    </w:p>
    <w:p w14:paraId="59A35D21">
      <w:pPr>
        <w:pStyle w:val="12"/>
        <w:jc w:val="both"/>
        <w:rPr>
          <w:rFonts w:hint="default" w:ascii="Times New Roman" w:hAnsi="Times New Roman" w:cs="Times New Roman"/>
        </w:rPr>
      </w:pPr>
    </w:p>
    <w:p w14:paraId="3B765B61">
      <w:pPr>
        <w:pStyle w:val="12"/>
        <w:jc w:val="both"/>
        <w:rPr>
          <w:rFonts w:hint="default" w:ascii="Times New Roman" w:hAnsi="Times New Roman" w:cs="Times New Roman"/>
        </w:rPr>
      </w:pPr>
    </w:p>
    <w:p w14:paraId="6758AFB1">
      <w:pPr>
        <w:pStyle w:val="12"/>
        <w:jc w:val="both"/>
        <w:rPr>
          <w:rFonts w:hint="default" w:ascii="Times New Roman" w:hAnsi="Times New Roman" w:cs="Times New Roman"/>
        </w:rPr>
      </w:pPr>
    </w:p>
    <w:p w14:paraId="795F9693">
      <w:pPr>
        <w:pStyle w:val="12"/>
        <w:jc w:val="both"/>
        <w:rPr>
          <w:rFonts w:hint="default" w:ascii="Times New Roman" w:hAnsi="Times New Roman" w:cs="Times New Roman"/>
        </w:rPr>
      </w:pPr>
    </w:p>
    <w:p w14:paraId="3DD8A74E">
      <w:pPr>
        <w:pStyle w:val="12"/>
        <w:jc w:val="both"/>
        <w:rPr>
          <w:rFonts w:hint="default" w:ascii="Times New Roman" w:hAnsi="Times New Roman" w:cs="Times New Roman"/>
        </w:rPr>
      </w:pPr>
    </w:p>
    <w:p w14:paraId="2D8F333C">
      <w:pPr>
        <w:pStyle w:val="12"/>
        <w:jc w:val="both"/>
        <w:rPr>
          <w:rFonts w:hint="default" w:ascii="Times New Roman" w:hAnsi="Times New Roman" w:cs="Times New Roman"/>
        </w:rPr>
      </w:pPr>
    </w:p>
    <w:p w14:paraId="0D1DF887">
      <w:pPr>
        <w:pStyle w:val="12"/>
        <w:jc w:val="both"/>
        <w:rPr>
          <w:rFonts w:hint="default" w:ascii="Times New Roman" w:hAnsi="Times New Roman" w:cs="Times New Roman"/>
        </w:rPr>
      </w:pPr>
    </w:p>
    <w:p w14:paraId="5DD7121C">
      <w:pPr>
        <w:pStyle w:val="12"/>
        <w:jc w:val="both"/>
        <w:rPr>
          <w:rFonts w:hint="default" w:ascii="Times New Roman" w:hAnsi="Times New Roman" w:cs="Times New Roman"/>
        </w:rPr>
      </w:pPr>
    </w:p>
    <w:p w14:paraId="42B97713">
      <w:pPr>
        <w:pStyle w:val="12"/>
        <w:jc w:val="both"/>
        <w:rPr>
          <w:rFonts w:hint="default" w:ascii="Times New Roman" w:hAnsi="Times New Roman" w:cs="Times New Roman"/>
        </w:rPr>
      </w:pPr>
    </w:p>
    <w:p w14:paraId="6B40485A">
      <w:pPr>
        <w:pStyle w:val="12"/>
        <w:jc w:val="both"/>
        <w:rPr>
          <w:rFonts w:hint="default" w:ascii="Times New Roman" w:hAnsi="Times New Roman" w:cs="Times New Roman"/>
        </w:rPr>
      </w:pPr>
    </w:p>
    <w:p w14:paraId="2214CE6E">
      <w:pPr>
        <w:pStyle w:val="12"/>
        <w:jc w:val="both"/>
        <w:rPr>
          <w:rFonts w:hint="default" w:ascii="Times New Roman" w:hAnsi="Times New Roman" w:cs="Times New Roman"/>
        </w:rPr>
      </w:pPr>
    </w:p>
    <w:p w14:paraId="219CBC77">
      <w:pPr>
        <w:pStyle w:val="12"/>
        <w:jc w:val="both"/>
        <w:rPr>
          <w:rFonts w:hint="default" w:ascii="Times New Roman" w:hAnsi="Times New Roman" w:cs="Times New Roman"/>
        </w:rPr>
      </w:pPr>
    </w:p>
    <w:p w14:paraId="64A2E6DD">
      <w:pPr>
        <w:pStyle w:val="12"/>
        <w:jc w:val="both"/>
        <w:rPr>
          <w:rFonts w:hint="default" w:ascii="Times New Roman" w:hAnsi="Times New Roman" w:cs="Times New Roman"/>
        </w:rPr>
      </w:pPr>
    </w:p>
    <w:p w14:paraId="49467B09">
      <w:pPr>
        <w:keepNext w:val="0"/>
        <w:keepLines w:val="0"/>
        <w:pageBreakBefore w:val="0"/>
        <w:widowControl w:val="0"/>
        <w:kinsoku/>
        <w:overflowPunct/>
        <w:topLinePunct w:val="0"/>
        <w:autoSpaceDE/>
        <w:autoSpaceDN/>
        <w:bidi w:val="0"/>
        <w:adjustRightInd/>
        <w:snapToGrid/>
        <w:spacing w:line="560" w:lineRule="exact"/>
        <w:ind w:firstLine="280" w:firstLineChars="100"/>
        <w:jc w:val="both"/>
        <w:textAlignment w:val="auto"/>
        <w:rPr>
          <w:rFonts w:hint="default" w:ascii="Times New Roman" w:hAnsi="Times New Roman" w:eastAsia="仿宋_GB2312" w:cs="Times New Roman"/>
          <w:color w:val="auto"/>
          <w:w w:val="100"/>
          <w:kern w:val="2"/>
          <w:sz w:val="32"/>
          <w:szCs w:val="20"/>
          <w:highlight w:val="none"/>
          <w:lang w:val="en-US" w:eastAsia="zh-CN" w:bidi="ar-SA"/>
        </w:rPr>
      </w:pPr>
      <w:r>
        <w:rPr>
          <w:rFonts w:hint="default" w:ascii="Times New Roman" w:hAnsi="Times New Roman" w:cs="Times New Roman"/>
          <w:w w:val="100"/>
          <w:sz w:val="28"/>
          <w:szCs w:val="28"/>
        </w:rPr>
        <mc:AlternateContent>
          <mc:Choice Requires="wps">
            <w:drawing>
              <wp:anchor distT="0" distB="0" distL="114300" distR="114300" simplePos="0" relativeHeight="251660288" behindDoc="0" locked="0" layoutInCell="0" allowOverlap="1">
                <wp:simplePos x="0" y="0"/>
                <wp:positionH relativeFrom="column">
                  <wp:posOffset>63500</wp:posOffset>
                </wp:positionH>
                <wp:positionV relativeFrom="paragraph">
                  <wp:posOffset>12700</wp:posOffset>
                </wp:positionV>
                <wp:extent cx="5600700" cy="0"/>
                <wp:effectExtent l="0" t="9525" r="0" b="13335"/>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pt;margin-top:1pt;height:0pt;width:441pt;z-index:251660288;mso-width-relative:page;mso-height-relative:page;" filled="f" stroked="t" coordsize="21600,21600" o:allowincell="f" o:gfxdata="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m5cEnRAAAABgEAAA8AAAAAAAAAAQAgAAAAIgAAAGRycy9kb3ducmV2LnhtbFBLAQIUABQAAAAI&#10;AIdO4kB0Saap9AEAAOUDAAAOAAAAAAAAAAEAIAAAACABAABkcnMvZTJvRG9jLnhtbFBLBQYAAAAA&#10;BgAGAFkBAACGBQ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w:t>抄送：昌吉州住房和城乡建设局。</w:t>
      </w:r>
    </w:p>
    <w:p w14:paraId="798CAE77">
      <w:pPr>
        <w:keepNext w:val="0"/>
        <w:keepLines w:val="0"/>
        <w:pageBreakBefore w:val="0"/>
        <w:widowControl w:val="0"/>
        <w:kinsoku/>
        <w:overflowPunct/>
        <w:topLinePunct w:val="0"/>
        <w:autoSpaceDE/>
        <w:autoSpaceDN/>
        <w:bidi w:val="0"/>
        <w:adjustRightInd/>
        <w:snapToGrid/>
        <w:spacing w:line="560" w:lineRule="exact"/>
        <w:ind w:firstLine="320" w:firstLineChars="100"/>
        <w:jc w:val="both"/>
        <w:textAlignment w:val="auto"/>
        <w:rPr>
          <w:rFonts w:hint="default" w:ascii="Times New Roman" w:hAnsi="Times New Roman" w:eastAsia="仿宋_GB2312" w:cs="Times New Roman"/>
          <w:spacing w:val="0"/>
          <w:w w:val="100"/>
          <w:kern w:val="0"/>
          <w:sz w:val="32"/>
          <w:szCs w:val="32"/>
          <w:lang w:val="en-US" w:eastAsia="zh-CN"/>
        </w:rPr>
      </w:pP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1312" behindDoc="0" locked="0" layoutInCell="0" allowOverlap="1">
                <wp:simplePos x="0" y="0"/>
                <wp:positionH relativeFrom="column">
                  <wp:posOffset>63500</wp:posOffset>
                </wp:positionH>
                <wp:positionV relativeFrom="paragraph">
                  <wp:posOffset>12700</wp:posOffset>
                </wp:positionV>
                <wp:extent cx="5600700" cy="0"/>
                <wp:effectExtent l="0" t="4445" r="0" b="6985"/>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pt;margin-top:1pt;height:0pt;width:441pt;z-index:251661312;mso-width-relative:page;mso-height-relative:page;" filled="f" stroked="t" coordsize="21600,21600" o:allowincell="f" o:gfxdata="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6kWr4dIAAAAGAQAADwAAAAAAAAABACAAAAAiAAAAZHJzL2Rvd25yZXYueG1sUEsBAhQAFAAA&#10;AAgAh07iQMWzsJP1AQAA5AMAAA4AAAAAAAAAAQAgAAAAIQEAAGRycy9lMm9Eb2MueG1sUEsFBgAA&#10;AAAGAAYAWQEAAIgFA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2336" behindDoc="0" locked="0" layoutInCell="0" allowOverlap="1">
                <wp:simplePos x="0" y="0"/>
                <wp:positionH relativeFrom="column">
                  <wp:posOffset>63500</wp:posOffset>
                </wp:positionH>
                <wp:positionV relativeFrom="paragraph">
                  <wp:posOffset>408940</wp:posOffset>
                </wp:positionV>
                <wp:extent cx="5600700" cy="0"/>
                <wp:effectExtent l="0" t="9525" r="0" b="13335"/>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pt;margin-top:32.2pt;height:0pt;width:441pt;z-index:251662336;mso-width-relative:page;mso-height-relative:page;" filled="f" stroked="t" coordsize="21600,21600" o:allowincell="f" o:gfxdata="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hYcWj1AAAAAgBAAAPAAAAAAAAAAEAIAAAACIAAABkcnMvZG93bnJldi54bWxQSwECFAAU&#10;AAAACACHTuJAY9QYDPUBAADlAwAADgAAAAAAAAABACAAAAAjAQAAZHJzL2Uyb0RvYy54bWxQSwUG&#10;AAAAAAYABgBZAQAAigU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w:t>昌吉州发展和改革委员会</w:t>
      </w:r>
      <w:r>
        <w:rPr>
          <w:rFonts w:hint="eastAsia" w:ascii="Times New Roman" w:hAnsi="Times New Roman" w:eastAsia="仿宋_GB2312" w:cs="Times New Roman"/>
          <w:color w:val="auto"/>
          <w:w w:val="100"/>
          <w:kern w:val="2"/>
          <w:sz w:val="32"/>
          <w:szCs w:val="20"/>
          <w:highlight w:val="none"/>
          <w:lang w:val="en-US" w:eastAsia="zh-CN" w:bidi="ar-SA"/>
        </w:rPr>
        <w:t xml:space="preserve">           </w:t>
      </w:r>
      <w:r>
        <w:rPr>
          <w:rFonts w:hint="default" w:ascii="Times New Roman" w:hAnsi="Times New Roman" w:eastAsia="仿宋_GB2312" w:cs="Times New Roman"/>
          <w:color w:val="auto"/>
          <w:w w:val="100"/>
          <w:kern w:val="2"/>
          <w:sz w:val="32"/>
          <w:szCs w:val="20"/>
          <w:highlight w:val="none"/>
          <w:lang w:val="en-US" w:eastAsia="zh-CN" w:bidi="ar-SA"/>
        </w:rPr>
        <w:t>202</w:t>
      </w:r>
      <w:r>
        <w:rPr>
          <w:rFonts w:hint="default" w:ascii="Times New Roman" w:hAnsi="Times New Roman" w:cs="Times New Roman"/>
          <w:color w:val="auto"/>
          <w:w w:val="100"/>
          <w:kern w:val="2"/>
          <w:sz w:val="32"/>
          <w:szCs w:val="20"/>
          <w:highlight w:val="none"/>
          <w:lang w:val="en-US" w:eastAsia="zh-CN" w:bidi="ar-SA"/>
        </w:rPr>
        <w:t>5</w:t>
      </w:r>
      <w:r>
        <w:rPr>
          <w:rFonts w:hint="default" w:ascii="Times New Roman" w:hAnsi="Times New Roman" w:eastAsia="仿宋_GB2312" w:cs="Times New Roman"/>
          <w:color w:val="auto"/>
          <w:w w:val="100"/>
          <w:kern w:val="2"/>
          <w:sz w:val="32"/>
          <w:szCs w:val="20"/>
          <w:highlight w:val="none"/>
          <w:lang w:val="en-US" w:eastAsia="zh-CN" w:bidi="ar-SA"/>
        </w:rPr>
        <w:t>年</w:t>
      </w:r>
      <w:r>
        <w:rPr>
          <w:rFonts w:hint="default" w:ascii="Times New Roman" w:hAnsi="Times New Roman" w:cs="Times New Roman"/>
          <w:color w:val="auto"/>
          <w:w w:val="100"/>
          <w:kern w:val="2"/>
          <w:sz w:val="32"/>
          <w:szCs w:val="20"/>
          <w:highlight w:val="none"/>
          <w:lang w:val="en-US" w:eastAsia="zh-CN" w:bidi="ar-SA"/>
        </w:rPr>
        <w:t>4</w:t>
      </w:r>
      <w:r>
        <w:rPr>
          <w:rFonts w:hint="default" w:ascii="Times New Roman" w:hAnsi="Times New Roman" w:eastAsia="仿宋_GB2312" w:cs="Times New Roman"/>
          <w:color w:val="auto"/>
          <w:w w:val="100"/>
          <w:kern w:val="2"/>
          <w:sz w:val="32"/>
          <w:szCs w:val="20"/>
          <w:highlight w:val="none"/>
          <w:lang w:val="en-US" w:eastAsia="zh-CN" w:bidi="ar-SA"/>
        </w:rPr>
        <w:t>月</w:t>
      </w:r>
      <w:r>
        <w:rPr>
          <w:rFonts w:hint="eastAsia" w:ascii="Times New Roman" w:hAnsi="Times New Roman" w:cs="Times New Roman"/>
          <w:color w:val="auto"/>
          <w:w w:val="100"/>
          <w:kern w:val="2"/>
          <w:sz w:val="32"/>
          <w:szCs w:val="20"/>
          <w:highlight w:val="none"/>
          <w:lang w:val="en-US" w:eastAsia="zh-CN" w:bidi="ar-SA"/>
        </w:rPr>
        <w:t>10</w:t>
      </w:r>
      <w:r>
        <w:rPr>
          <w:rFonts w:hint="default" w:ascii="Times New Roman" w:hAnsi="Times New Roman" w:eastAsia="仿宋_GB2312" w:cs="Times New Roman"/>
          <w:color w:val="auto"/>
          <w:w w:val="100"/>
          <w:kern w:val="2"/>
          <w:sz w:val="32"/>
          <w:szCs w:val="20"/>
          <w:highlight w:val="none"/>
          <w:lang w:val="en-US" w:eastAsia="zh-CN" w:bidi="ar-SA"/>
        </w:rPr>
        <w:t>日印制</w:t>
      </w:r>
    </w:p>
    <w:sectPr>
      <w:footerReference r:id="rId3" w:type="default"/>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5DC243-6EE3-452D-AC33-2C29E27A7E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514465A1-9656-4097-875F-98F2FE38469C}"/>
  </w:font>
  <w:font w:name="方正仿宋_GB2312">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4937DB0B-4981-439E-A307-84C9B8717662}"/>
  </w:font>
  <w:font w:name="方正小标宋简体">
    <w:panose1 w:val="03000509000000000000"/>
    <w:charset w:val="86"/>
    <w:family w:val="auto"/>
    <w:pitch w:val="default"/>
    <w:sig w:usb0="00000001" w:usb1="080E0000" w:usb2="00000000" w:usb3="00000000" w:csb0="00040000" w:csb1="00000000"/>
    <w:embedRegular r:id="rId4" w:fontKey="{03181ADB-3812-4D2D-A376-09E18DA3C28D}"/>
  </w:font>
  <w:font w:name="楷体">
    <w:panose1 w:val="02010609060101010101"/>
    <w:charset w:val="86"/>
    <w:family w:val="auto"/>
    <w:pitch w:val="default"/>
    <w:sig w:usb0="800002BF" w:usb1="38CF7CFA" w:usb2="00000016" w:usb3="00000000" w:csb0="00040001" w:csb1="00000000"/>
    <w:embedRegular r:id="rId5" w:fontKey="{A28B79E5-7C9B-4325-BB8B-42FA83352A4E}"/>
  </w:font>
  <w:font w:name="楷体_GB2312">
    <w:panose1 w:val="02010609030101010101"/>
    <w:charset w:val="86"/>
    <w:family w:val="auto"/>
    <w:pitch w:val="default"/>
    <w:sig w:usb0="00000001" w:usb1="080E0000" w:usb2="00000000" w:usb3="00000000" w:csb0="00040000" w:csb1="00000000"/>
    <w:embedRegular r:id="rId6" w:fontKey="{9206CF03-6C46-48E4-ADBE-850B543A91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8163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6ECA3">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B6ECA3">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A37F3"/>
    <w:multiLevelType w:val="multilevel"/>
    <w:tmpl w:val="129A37F3"/>
    <w:lvl w:ilvl="0" w:tentative="0">
      <w:start w:val="1"/>
      <w:numFmt w:val="decimal"/>
      <w:lvlText w:val="第%1章 "/>
      <w:lvlJc w:val="left"/>
      <w:pPr>
        <w:ind w:left="6811" w:hanging="432"/>
      </w:pPr>
      <w:rPr>
        <w:rFonts w:hint="default" w:ascii="宋体" w:hAnsi="宋体" w:eastAsia="宋体" w:cs="宋体"/>
      </w:rPr>
    </w:lvl>
    <w:lvl w:ilvl="1" w:tentative="0">
      <w:start w:val="1"/>
      <w:numFmt w:val="decimal"/>
      <w:lvlText w:val="%1.%2 "/>
      <w:lvlJc w:val="left"/>
      <w:pPr>
        <w:ind w:left="1284" w:hanging="575"/>
      </w:pPr>
      <w:rPr>
        <w:rFonts w:hint="default" w:ascii="宋体" w:hAnsi="宋体" w:eastAsia="宋体" w:cs="宋体"/>
        <w:color w:val="000000"/>
      </w:rPr>
    </w:lvl>
    <w:lvl w:ilvl="2" w:tentative="0">
      <w:start w:val="1"/>
      <w:numFmt w:val="decimal"/>
      <w:pStyle w:val="2"/>
      <w:lvlText w:val="  %1.%2.%3 "/>
      <w:lvlJc w:val="left"/>
      <w:pPr>
        <w:ind w:left="0" w:hanging="720"/>
      </w:pPr>
      <w:rPr>
        <w:rFonts w:hint="default" w:ascii="宋体" w:hAnsi="宋体" w:eastAsia="宋体" w:cs="宋体"/>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ZTU2ZjgwYmE5ODJjNGEyYWI2MmZmZjI5NjFkZDgifQ=="/>
  </w:docVars>
  <w:rsids>
    <w:rsidRoot w:val="0D104B2F"/>
    <w:rsid w:val="00D17A3F"/>
    <w:rsid w:val="0136557F"/>
    <w:rsid w:val="02580FFA"/>
    <w:rsid w:val="02F70D3E"/>
    <w:rsid w:val="03675EC4"/>
    <w:rsid w:val="03903429"/>
    <w:rsid w:val="039C4AE5"/>
    <w:rsid w:val="03D864AB"/>
    <w:rsid w:val="03E56DE9"/>
    <w:rsid w:val="042913CB"/>
    <w:rsid w:val="061F5C71"/>
    <w:rsid w:val="068858E7"/>
    <w:rsid w:val="06B70F10"/>
    <w:rsid w:val="0700284C"/>
    <w:rsid w:val="0722013F"/>
    <w:rsid w:val="0728596A"/>
    <w:rsid w:val="07AB0349"/>
    <w:rsid w:val="08404F36"/>
    <w:rsid w:val="087A0092"/>
    <w:rsid w:val="090E2DB6"/>
    <w:rsid w:val="09121B08"/>
    <w:rsid w:val="0A626F9D"/>
    <w:rsid w:val="0BE978FB"/>
    <w:rsid w:val="0BFD57C4"/>
    <w:rsid w:val="0CA01C0E"/>
    <w:rsid w:val="0CC003F3"/>
    <w:rsid w:val="0D104B2F"/>
    <w:rsid w:val="0D3E654B"/>
    <w:rsid w:val="0E9D6C3E"/>
    <w:rsid w:val="0FEC6C48"/>
    <w:rsid w:val="116E6670"/>
    <w:rsid w:val="1171483A"/>
    <w:rsid w:val="1490621D"/>
    <w:rsid w:val="14D2744A"/>
    <w:rsid w:val="15EC4007"/>
    <w:rsid w:val="17620A24"/>
    <w:rsid w:val="176C3651"/>
    <w:rsid w:val="18027B12"/>
    <w:rsid w:val="1813218C"/>
    <w:rsid w:val="191044B0"/>
    <w:rsid w:val="1BE818F3"/>
    <w:rsid w:val="1CAC2742"/>
    <w:rsid w:val="1D4330A6"/>
    <w:rsid w:val="1E6C3F37"/>
    <w:rsid w:val="21C117A0"/>
    <w:rsid w:val="23225886"/>
    <w:rsid w:val="248C5333"/>
    <w:rsid w:val="2516546E"/>
    <w:rsid w:val="265E0436"/>
    <w:rsid w:val="26EE4083"/>
    <w:rsid w:val="273951A0"/>
    <w:rsid w:val="27A40A21"/>
    <w:rsid w:val="286E6AFD"/>
    <w:rsid w:val="28E03B41"/>
    <w:rsid w:val="2A0724FA"/>
    <w:rsid w:val="2A1A518F"/>
    <w:rsid w:val="2B585F6F"/>
    <w:rsid w:val="2C1D4AC2"/>
    <w:rsid w:val="2C242297"/>
    <w:rsid w:val="2D213AC2"/>
    <w:rsid w:val="2D6A3FAE"/>
    <w:rsid w:val="2E493CAB"/>
    <w:rsid w:val="2E5C29D4"/>
    <w:rsid w:val="2E692241"/>
    <w:rsid w:val="2EC53A55"/>
    <w:rsid w:val="2EDC467F"/>
    <w:rsid w:val="2F4B5DEA"/>
    <w:rsid w:val="317258B0"/>
    <w:rsid w:val="32BF4B25"/>
    <w:rsid w:val="34B773A5"/>
    <w:rsid w:val="37F654A4"/>
    <w:rsid w:val="394A76A4"/>
    <w:rsid w:val="3A014237"/>
    <w:rsid w:val="3A175247"/>
    <w:rsid w:val="3A543CD0"/>
    <w:rsid w:val="3ADF06DA"/>
    <w:rsid w:val="3B2C1924"/>
    <w:rsid w:val="3BD258C9"/>
    <w:rsid w:val="3D37625E"/>
    <w:rsid w:val="3D76588E"/>
    <w:rsid w:val="3E175815"/>
    <w:rsid w:val="3F177A97"/>
    <w:rsid w:val="3FEB6F5A"/>
    <w:rsid w:val="414F3518"/>
    <w:rsid w:val="42E32AEB"/>
    <w:rsid w:val="432D26AE"/>
    <w:rsid w:val="45A007E6"/>
    <w:rsid w:val="45D95AA6"/>
    <w:rsid w:val="481A7B4E"/>
    <w:rsid w:val="49C62E47"/>
    <w:rsid w:val="4A0F5F3A"/>
    <w:rsid w:val="4A69564B"/>
    <w:rsid w:val="4B0A55CE"/>
    <w:rsid w:val="4C384ACC"/>
    <w:rsid w:val="4CBD57DA"/>
    <w:rsid w:val="4CDF7E46"/>
    <w:rsid w:val="4CF02200"/>
    <w:rsid w:val="4D583754"/>
    <w:rsid w:val="4E600FAC"/>
    <w:rsid w:val="4E6363FE"/>
    <w:rsid w:val="4EFD11A8"/>
    <w:rsid w:val="4F8B7E11"/>
    <w:rsid w:val="4F8E7D52"/>
    <w:rsid w:val="4F9F566B"/>
    <w:rsid w:val="50A85191"/>
    <w:rsid w:val="516D41DF"/>
    <w:rsid w:val="523F1387"/>
    <w:rsid w:val="52B60E3C"/>
    <w:rsid w:val="531B40A9"/>
    <w:rsid w:val="53277E51"/>
    <w:rsid w:val="53B45DCB"/>
    <w:rsid w:val="53F00A1C"/>
    <w:rsid w:val="58193DAF"/>
    <w:rsid w:val="585A72CA"/>
    <w:rsid w:val="58652CF8"/>
    <w:rsid w:val="588369E7"/>
    <w:rsid w:val="58920647"/>
    <w:rsid w:val="592B2DB9"/>
    <w:rsid w:val="5A6B0F6B"/>
    <w:rsid w:val="5AC54117"/>
    <w:rsid w:val="5B6339F0"/>
    <w:rsid w:val="5B9B762E"/>
    <w:rsid w:val="5BF64864"/>
    <w:rsid w:val="5C090A3C"/>
    <w:rsid w:val="5D58302D"/>
    <w:rsid w:val="5D887AAD"/>
    <w:rsid w:val="5DB306BF"/>
    <w:rsid w:val="5E7E3DEB"/>
    <w:rsid w:val="5FA97E40"/>
    <w:rsid w:val="60593336"/>
    <w:rsid w:val="60AB4FDD"/>
    <w:rsid w:val="61761C78"/>
    <w:rsid w:val="628E4F7F"/>
    <w:rsid w:val="63041F5D"/>
    <w:rsid w:val="642C7DAC"/>
    <w:rsid w:val="648138CE"/>
    <w:rsid w:val="6590741F"/>
    <w:rsid w:val="65A6025F"/>
    <w:rsid w:val="66680A54"/>
    <w:rsid w:val="66EE583A"/>
    <w:rsid w:val="67542D87"/>
    <w:rsid w:val="67A91325"/>
    <w:rsid w:val="68815DFE"/>
    <w:rsid w:val="68E5638C"/>
    <w:rsid w:val="691E364C"/>
    <w:rsid w:val="69552D22"/>
    <w:rsid w:val="6AC50223"/>
    <w:rsid w:val="6ACB72E2"/>
    <w:rsid w:val="6AD024B2"/>
    <w:rsid w:val="6C4179E6"/>
    <w:rsid w:val="6C7F4402"/>
    <w:rsid w:val="6C8744D5"/>
    <w:rsid w:val="6CEA524D"/>
    <w:rsid w:val="6D512242"/>
    <w:rsid w:val="6E445903"/>
    <w:rsid w:val="6F247E11"/>
    <w:rsid w:val="6FAD0271"/>
    <w:rsid w:val="70593033"/>
    <w:rsid w:val="7082034E"/>
    <w:rsid w:val="70C52041"/>
    <w:rsid w:val="72AE3C93"/>
    <w:rsid w:val="72FD3138"/>
    <w:rsid w:val="731C55D6"/>
    <w:rsid w:val="73A66718"/>
    <w:rsid w:val="74F6722B"/>
    <w:rsid w:val="77843214"/>
    <w:rsid w:val="789631FF"/>
    <w:rsid w:val="78C57641"/>
    <w:rsid w:val="78DF4BA6"/>
    <w:rsid w:val="79052133"/>
    <w:rsid w:val="792E168A"/>
    <w:rsid w:val="79AE5107"/>
    <w:rsid w:val="79FC7092"/>
    <w:rsid w:val="7A29217F"/>
    <w:rsid w:val="7AB61937"/>
    <w:rsid w:val="7C0B27F1"/>
    <w:rsid w:val="7DED1B13"/>
    <w:rsid w:val="7E2A1608"/>
    <w:rsid w:val="7E7365EF"/>
    <w:rsid w:val="7ED2187F"/>
    <w:rsid w:val="7F133170"/>
    <w:rsid w:val="7F4F235A"/>
    <w:rsid w:val="7FCB41CA"/>
    <w:rsid w:val="7FD65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2">
    <w:name w:val="heading 3"/>
    <w:basedOn w:val="1"/>
    <w:next w:val="1"/>
    <w:unhideWhenUsed/>
    <w:qFormat/>
    <w:uiPriority w:val="0"/>
    <w:pPr>
      <w:keepNext/>
      <w:keepLines/>
      <w:numPr>
        <w:ilvl w:val="2"/>
        <w:numId w:val="1"/>
      </w:numPr>
      <w:spacing w:before="260" w:after="260" w:line="413" w:lineRule="auto"/>
      <w:ind w:firstLine="0" w:firstLineChars="0"/>
      <w:outlineLvl w:val="2"/>
    </w:pPr>
    <w:rPr>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eastAsia="仿宋_GB2312"/>
      <w:sz w:val="32"/>
    </w:rPr>
  </w:style>
  <w:style w:type="paragraph" w:styleId="5">
    <w:name w:val="Body Text Indent"/>
    <w:basedOn w:val="1"/>
    <w:qFormat/>
    <w:uiPriority w:val="0"/>
    <w:pPr>
      <w:spacing w:line="580" w:lineRule="exact"/>
      <w:ind w:firstLine="645"/>
    </w:pPr>
    <w:rPr>
      <w:rFonts w:ascii="仿宋_GB2312" w:hAnsi="Times New Roman"/>
      <w:kern w:val="0"/>
      <w:szCs w:val="32"/>
    </w:rPr>
  </w:style>
  <w:style w:type="paragraph" w:styleId="6">
    <w:name w:val="Plain Text"/>
    <w:basedOn w:val="1"/>
    <w:qFormat/>
    <w:uiPriority w:val="0"/>
    <w:rPr>
      <w:rFonts w:ascii="宋体" w:hAnsi="Courier New" w:eastAsia="宋体"/>
      <w:kern w:val="2"/>
      <w:sz w:val="21"/>
      <w:lang w:val="en-US" w:eastAsia="zh-CN" w:bidi="ar-SA"/>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4"/>
    <w:qFormat/>
    <w:uiPriority w:val="0"/>
    <w:pPr>
      <w:ind w:firstLine="420" w:firstLineChars="100"/>
    </w:pPr>
  </w:style>
  <w:style w:type="paragraph" w:customStyle="1" w:styleId="12">
    <w:name w:val="样式1"/>
    <w:basedOn w:val="6"/>
    <w:qFormat/>
    <w:uiPriority w:val="0"/>
    <w:pPr>
      <w:tabs>
        <w:tab w:val="left" w:pos="720"/>
      </w:tabs>
      <w:jc w:val="center"/>
    </w:pPr>
    <w:rPr>
      <w:rFonts w:ascii="宋体" w:hAnsi="宋体"/>
      <w:b/>
      <w:bCs/>
      <w:snapToGrid/>
      <w:kern w:val="2"/>
      <w:sz w:val="36"/>
    </w:rPr>
  </w:style>
  <w:style w:type="character" w:customStyle="1" w:styleId="13">
    <w:name w:val="font11"/>
    <w:basedOn w:val="11"/>
    <w:qFormat/>
    <w:uiPriority w:val="0"/>
    <w:rPr>
      <w:rFonts w:hint="eastAsia" w:ascii="宋体" w:hAnsi="宋体" w:eastAsia="宋体" w:cs="宋体"/>
      <w:b/>
      <w:bCs/>
      <w:color w:val="000000"/>
      <w:sz w:val="18"/>
      <w:szCs w:val="18"/>
      <w:u w:val="none"/>
    </w:rPr>
  </w:style>
  <w:style w:type="character" w:customStyle="1" w:styleId="14">
    <w:name w:val="font21"/>
    <w:basedOn w:val="11"/>
    <w:autoRedefine/>
    <w:qFormat/>
    <w:uiPriority w:val="0"/>
    <w:rPr>
      <w:rFonts w:hint="eastAsia" w:ascii="宋体" w:hAnsi="宋体" w:eastAsia="宋体" w:cs="宋体"/>
      <w:color w:val="000000"/>
      <w:sz w:val="18"/>
      <w:szCs w:val="18"/>
      <w:u w:val="none"/>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Times New Roman" w:hAnsi="Times New Roman" w:eastAsia="Times New Roman" w:cs="Times New Roman"/>
      <w:sz w:val="22"/>
      <w:szCs w:val="22"/>
      <w:lang w:val="en-US" w:eastAsia="en-US" w:bidi="ar-SA"/>
    </w:rPr>
  </w:style>
  <w:style w:type="character" w:customStyle="1" w:styleId="17">
    <w:name w:val="font111"/>
    <w:basedOn w:val="11"/>
    <w:qFormat/>
    <w:uiPriority w:val="0"/>
    <w:rPr>
      <w:rFonts w:hint="eastAsia" w:ascii="方正仿宋_GB2312" w:hAnsi="方正仿宋_GB2312" w:eastAsia="方正仿宋_GB2312" w:cs="方正仿宋_GB2312"/>
      <w:color w:val="000000"/>
      <w:sz w:val="18"/>
      <w:szCs w:val="18"/>
      <w:u w:val="none"/>
    </w:rPr>
  </w:style>
  <w:style w:type="character" w:customStyle="1" w:styleId="18">
    <w:name w:val="font81"/>
    <w:basedOn w:val="11"/>
    <w:qFormat/>
    <w:uiPriority w:val="0"/>
    <w:rPr>
      <w:rFonts w:hint="default" w:ascii="Times New Roman" w:hAnsi="Times New Roman" w:cs="Times New Roman"/>
      <w:color w:val="000000"/>
      <w:sz w:val="18"/>
      <w:szCs w:val="18"/>
      <w:u w:val="none"/>
    </w:rPr>
  </w:style>
  <w:style w:type="character" w:customStyle="1" w:styleId="19">
    <w:name w:val="font122"/>
    <w:basedOn w:val="11"/>
    <w:qFormat/>
    <w:uiPriority w:val="0"/>
    <w:rPr>
      <w:rFonts w:hint="eastAsia" w:ascii="方正仿宋_GB2312" w:hAnsi="方正仿宋_GB2312" w:eastAsia="方正仿宋_GB2312" w:cs="方正仿宋_GB2312"/>
      <w:color w:val="000000"/>
      <w:sz w:val="16"/>
      <w:szCs w:val="16"/>
      <w:u w:val="none"/>
    </w:rPr>
  </w:style>
  <w:style w:type="character" w:customStyle="1" w:styleId="20">
    <w:name w:val="font91"/>
    <w:basedOn w:val="11"/>
    <w:qFormat/>
    <w:uiPriority w:val="0"/>
    <w:rPr>
      <w:rFonts w:hint="default" w:ascii="Times New Roman" w:hAnsi="Times New Roman" w:cs="Times New Roman"/>
      <w:color w:val="000000"/>
      <w:sz w:val="16"/>
      <w:szCs w:val="16"/>
      <w:u w:val="none"/>
    </w:rPr>
  </w:style>
  <w:style w:type="character" w:customStyle="1" w:styleId="21">
    <w:name w:val="font41"/>
    <w:basedOn w:val="11"/>
    <w:qFormat/>
    <w:uiPriority w:val="0"/>
    <w:rPr>
      <w:rFonts w:hint="default" w:ascii="Times New Roman" w:hAnsi="Times New Roman" w:cs="Times New Roman"/>
      <w:b/>
      <w:bCs/>
      <w:color w:val="000000"/>
      <w:sz w:val="22"/>
      <w:szCs w:val="22"/>
      <w:u w:val="none"/>
    </w:rPr>
  </w:style>
  <w:style w:type="character" w:customStyle="1" w:styleId="22">
    <w:name w:val="font51"/>
    <w:basedOn w:val="11"/>
    <w:qFormat/>
    <w:uiPriority w:val="0"/>
    <w:rPr>
      <w:rFonts w:hint="eastAsia" w:ascii="方正仿宋_GB2312" w:hAnsi="方正仿宋_GB2312" w:eastAsia="方正仿宋_GB2312" w:cs="方正仿宋_GB2312"/>
      <w:b/>
      <w:bCs/>
      <w:color w:val="000000"/>
      <w:sz w:val="22"/>
      <w:szCs w:val="22"/>
      <w:u w:val="none"/>
    </w:rPr>
  </w:style>
  <w:style w:type="character" w:customStyle="1" w:styleId="23">
    <w:name w:val="font112"/>
    <w:basedOn w:val="11"/>
    <w:qFormat/>
    <w:uiPriority w:val="0"/>
    <w:rPr>
      <w:rFonts w:hint="default" w:ascii="Times New Roman" w:hAnsi="Times New Roman" w:cs="Times New Roman"/>
      <w:color w:val="000000"/>
      <w:sz w:val="16"/>
      <w:szCs w:val="16"/>
      <w:u w:val="none"/>
    </w:rPr>
  </w:style>
  <w:style w:type="character" w:customStyle="1" w:styleId="24">
    <w:name w:val="font101"/>
    <w:basedOn w:val="11"/>
    <w:qFormat/>
    <w:uiPriority w:val="0"/>
    <w:rPr>
      <w:rFonts w:hint="eastAsia" w:ascii="方正仿宋_GB2312" w:hAnsi="方正仿宋_GB2312" w:eastAsia="方正仿宋_GB2312" w:cs="方正仿宋_GB2312"/>
      <w:color w:val="000000"/>
      <w:sz w:val="16"/>
      <w:szCs w:val="16"/>
      <w:u w:val="none"/>
    </w:rPr>
  </w:style>
  <w:style w:type="character" w:customStyle="1" w:styleId="25">
    <w:name w:val="font31"/>
    <w:basedOn w:val="11"/>
    <w:qFormat/>
    <w:uiPriority w:val="0"/>
    <w:rPr>
      <w:rFonts w:ascii="宋体" w:hAnsi="宋体" w:eastAsia="宋体" w:cs="宋体"/>
      <w:b/>
      <w:bCs/>
      <w:color w:val="000000"/>
      <w:sz w:val="18"/>
      <w:szCs w:val="18"/>
      <w:u w:val="none"/>
    </w:rPr>
  </w:style>
  <w:style w:type="character" w:customStyle="1" w:styleId="26">
    <w:name w:val="font71"/>
    <w:basedOn w:val="11"/>
    <w:qFormat/>
    <w:uiPriority w:val="0"/>
    <w:rPr>
      <w:rFonts w:hint="eastAsia" w:ascii="方正仿宋_GB2312" w:hAnsi="方正仿宋_GB2312" w:eastAsia="方正仿宋_GB2312" w:cs="方正仿宋_GB2312"/>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1066</Words>
  <Characters>1240</Characters>
  <Lines>0</Lines>
  <Paragraphs>0</Paragraphs>
  <TotalTime>16</TotalTime>
  <ScaleCrop>false</ScaleCrop>
  <LinksUpToDate>false</LinksUpToDate>
  <CharactersWithSpaces>1285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2024-05-28T02:49:00Z</dcterms:created>
  <dc:creator>福满多</dc:creator>
  <cp:lastModifiedBy>张子鸣</cp:lastModifiedBy>
  <cp:lastPrinted>2025-04-07T12:47:00Z</cp:lastPrinted>
  <dcterms:modified xsi:type="dcterms:W3CDTF">2025-04-14T02:34:17Z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48165D42BC184784BCE29A04C2E752FA_13</vt:lpwstr>
  </property>
  <property fmtid="{D5CDD505-2E9C-101B-9397-08002B2CF9AE}" pid="4" name="KSOTemplateDocerSaveRecord">
    <vt:lpwstr>eyJoZGlkIjoiOGJkNjZlNGU0Yzk4Zjc0NGE4ZjRlZjRkN2IwYTA0ZDkiLCJ1c2VySWQiOiI5MzcxNDU1MDUifQ==</vt:lpwstr>
  </property>
</Properties>
</file>