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C6F53">
      <w:bookmarkStart w:id="0" w:name="_GoBack"/>
      <w:bookmarkEnd w:id="0"/>
    </w:p>
    <w:p w14:paraId="5153BCA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4A07DC9D">
      <w:pPr>
        <w:spacing w:line="540" w:lineRule="exact"/>
        <w:jc w:val="center"/>
        <w:rPr>
          <w:rFonts w:ascii="华文中宋" w:hAnsi="华文中宋" w:eastAsia="华文中宋" w:cs="宋体"/>
          <w:b/>
          <w:kern w:val="0"/>
          <w:sz w:val="52"/>
          <w:szCs w:val="52"/>
        </w:rPr>
      </w:pPr>
    </w:p>
    <w:p w14:paraId="4667FA0D">
      <w:pPr>
        <w:spacing w:line="540" w:lineRule="exact"/>
        <w:jc w:val="center"/>
        <w:rPr>
          <w:rFonts w:ascii="华文中宋" w:hAnsi="华文中宋" w:eastAsia="华文中宋" w:cs="宋体"/>
          <w:b/>
          <w:kern w:val="0"/>
          <w:sz w:val="52"/>
          <w:szCs w:val="52"/>
        </w:rPr>
      </w:pPr>
    </w:p>
    <w:p w14:paraId="390D720E">
      <w:pPr>
        <w:spacing w:line="540" w:lineRule="exact"/>
        <w:jc w:val="center"/>
        <w:rPr>
          <w:rFonts w:ascii="华文中宋" w:hAnsi="华文中宋" w:eastAsia="华文中宋" w:cs="宋体"/>
          <w:b/>
          <w:kern w:val="0"/>
          <w:sz w:val="52"/>
          <w:szCs w:val="52"/>
        </w:rPr>
      </w:pPr>
    </w:p>
    <w:p w14:paraId="3E4CB5FA">
      <w:pPr>
        <w:spacing w:line="540" w:lineRule="exact"/>
        <w:jc w:val="center"/>
        <w:rPr>
          <w:rFonts w:ascii="华文中宋" w:hAnsi="华文中宋" w:eastAsia="华文中宋" w:cs="宋体"/>
          <w:b/>
          <w:kern w:val="0"/>
          <w:sz w:val="52"/>
          <w:szCs w:val="52"/>
        </w:rPr>
      </w:pPr>
    </w:p>
    <w:p w14:paraId="758DE8B7">
      <w:pPr>
        <w:spacing w:line="540" w:lineRule="exact"/>
        <w:jc w:val="center"/>
        <w:rPr>
          <w:rFonts w:ascii="华文中宋" w:hAnsi="华文中宋" w:eastAsia="华文中宋" w:cs="宋体"/>
          <w:b/>
          <w:kern w:val="0"/>
          <w:sz w:val="52"/>
          <w:szCs w:val="52"/>
        </w:rPr>
      </w:pPr>
    </w:p>
    <w:p w14:paraId="3092F1F2">
      <w:pPr>
        <w:spacing w:line="540" w:lineRule="exact"/>
        <w:jc w:val="center"/>
        <w:rPr>
          <w:rFonts w:ascii="华文中宋" w:hAnsi="华文中宋" w:eastAsia="华文中宋" w:cs="宋体"/>
          <w:b/>
          <w:kern w:val="0"/>
          <w:sz w:val="52"/>
          <w:szCs w:val="52"/>
        </w:rPr>
      </w:pPr>
    </w:p>
    <w:p w14:paraId="1295597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B4C167B">
      <w:pPr>
        <w:spacing w:line="540" w:lineRule="exact"/>
        <w:jc w:val="center"/>
        <w:rPr>
          <w:rFonts w:ascii="华文中宋" w:hAnsi="华文中宋" w:eastAsia="华文中宋" w:cs="宋体"/>
          <w:b/>
          <w:kern w:val="0"/>
          <w:sz w:val="52"/>
          <w:szCs w:val="52"/>
        </w:rPr>
      </w:pPr>
    </w:p>
    <w:p w14:paraId="6F75216D">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32A0703A">
      <w:pPr>
        <w:spacing w:line="540" w:lineRule="exact"/>
        <w:jc w:val="both"/>
        <w:rPr>
          <w:rFonts w:hAnsi="宋体" w:eastAsia="仿宋_GB2312" w:cs="宋体"/>
          <w:kern w:val="0"/>
          <w:sz w:val="30"/>
          <w:szCs w:val="30"/>
        </w:rPr>
      </w:pPr>
    </w:p>
    <w:p w14:paraId="08A4F7F1">
      <w:pPr>
        <w:spacing w:line="540" w:lineRule="exact"/>
        <w:jc w:val="center"/>
        <w:rPr>
          <w:rFonts w:hAnsi="宋体" w:eastAsia="仿宋_GB2312" w:cs="宋体"/>
          <w:kern w:val="0"/>
          <w:sz w:val="30"/>
          <w:szCs w:val="30"/>
        </w:rPr>
      </w:pPr>
    </w:p>
    <w:p w14:paraId="33692930">
      <w:pPr>
        <w:spacing w:line="540" w:lineRule="exact"/>
        <w:jc w:val="center"/>
        <w:rPr>
          <w:rFonts w:hAnsi="宋体" w:eastAsia="仿宋_GB2312" w:cs="宋体"/>
          <w:kern w:val="0"/>
          <w:sz w:val="30"/>
          <w:szCs w:val="30"/>
        </w:rPr>
      </w:pPr>
    </w:p>
    <w:p w14:paraId="30D29250">
      <w:pPr>
        <w:spacing w:line="540" w:lineRule="exact"/>
        <w:jc w:val="center"/>
        <w:rPr>
          <w:rFonts w:hAnsi="宋体" w:eastAsia="仿宋_GB2312" w:cs="宋体"/>
          <w:kern w:val="0"/>
          <w:sz w:val="30"/>
          <w:szCs w:val="30"/>
        </w:rPr>
      </w:pPr>
    </w:p>
    <w:p w14:paraId="600CFDC3">
      <w:pPr>
        <w:spacing w:line="540" w:lineRule="exact"/>
        <w:rPr>
          <w:rFonts w:hAnsi="宋体" w:eastAsia="仿宋_GB2312" w:cs="宋体"/>
          <w:kern w:val="0"/>
          <w:sz w:val="30"/>
          <w:szCs w:val="30"/>
        </w:rPr>
      </w:pPr>
    </w:p>
    <w:p w14:paraId="25DB15C3">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BDCAFFB">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老龄专项业务经费</w:t>
      </w:r>
    </w:p>
    <w:p w14:paraId="07C62E71">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昌吉回族自治州老年人老干部活动中心</w:t>
      </w:r>
    </w:p>
    <w:p w14:paraId="1BBDB0F5">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昌吉回族自治州老年人老干部活动中心</w:t>
      </w:r>
    </w:p>
    <w:p w14:paraId="27FC032F">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程麟淞</w:t>
      </w:r>
    </w:p>
    <w:p w14:paraId="6D9A7466">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2025年05月14日</w:t>
      </w:r>
    </w:p>
    <w:p w14:paraId="79FE9F5F">
      <w:pPr>
        <w:spacing w:line="700" w:lineRule="exact"/>
        <w:ind w:firstLine="708" w:firstLineChars="236"/>
        <w:jc w:val="left"/>
        <w:rPr>
          <w:rFonts w:hAnsi="宋体" w:eastAsia="仿宋_GB2312" w:cs="宋体"/>
          <w:kern w:val="0"/>
          <w:sz w:val="30"/>
          <w:szCs w:val="30"/>
        </w:rPr>
      </w:pPr>
    </w:p>
    <w:p w14:paraId="41245F92">
      <w:pPr>
        <w:spacing w:line="540" w:lineRule="exact"/>
        <w:rPr>
          <w:rStyle w:val="19"/>
          <w:rFonts w:ascii="黑体" w:hAnsi="黑体" w:eastAsia="黑体"/>
          <w:b w:val="0"/>
          <w:spacing w:val="-4"/>
          <w:sz w:val="32"/>
          <w:szCs w:val="32"/>
        </w:rPr>
      </w:pPr>
    </w:p>
    <w:p w14:paraId="6049FA19">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077647BD">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1E22B1F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关于自治州党委老干部局所属事业单位机构编制调整有关事宜的通知》昌州党机编发〔2019〕25号文件要求，昌吉州老年人老干部活动中心负责为州府所在地60岁以上老年人和老干部活动及老年群团组织提供服务，负责组织开展各类学习及文化、体育、娱乐、健康活动。承担州直商贸系统离退休干部及遗孀、精简人员的服务管理工作。州老年(老干部）大学的具体教学等日常工作。活动中心大楼已建成多年且5处外活动场所大部分设施老旧，许多地方急需维修及购置设施，通过对老旧场所进行维修改造，添置文化活动设施，更新学习资料、活动设备，州老年(老干部）大学增加新颖课程，为保障各涉老社团工作、各类活动正常开展，老同志能在中心积极开展各类活动参加学习志愿奉献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（1）项目名称：老龄专项业务经费项目（以下简称“该项目”或“项目”）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项目计划于2024年对昌吉州老年人老干部活动中心大楼内各处活动室、活动设施开展维护保养工作，用以维持昌吉州老年人老干部活动中心全年正常运转，为州府所在地60岁以上老年人和老干部活动及老年群团组织提供服务，提升老年人老干部精神文化生活；促进老同志身心健康，增强幸福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实施主体：昌吉州老年人老干部活动中心。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实施时间：本项目实施周期为2024年1月至2024年12月。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我单位高度重视项目绩效管理工作，年初根据单位职能及工作计划，按照“量入为出，收支平衡”的原则，科学编制部门预算。在实施过程中严格按照《中华人民共和国预算法》《中华人民共和国预算法实施条例》规定分配本单位资金，做到项目支出预算与部门履职年度重点工作相匹配，体现了重要性原则，并将绩效方法融入预算各项流程，严格按照政策要求，切实实现预算编制有目标，确保资金分配与绩效目标一致性，实现预算绩效全覆盖。同时，根据项目绩效管理办法及单位相关项目管理制度的规定，对项目的实施进行了监督管理，确保项目正常运转发挥效益。通过项目实施，做好2024年昌吉州老年人老干部活动中心大楼内各处活动室、活动设施的维护保养工作，开展州老年(老干部）大学的具体教学等日常工作，为州府所在地60岁以上老年人和老干部活动及老年群团组织提供服务，提升老年人老干部精神文化生活；促进老同志身心健康，增强幸福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昌州党机编发〔2019〕25号文件精神，昌吉州老年人老干部活动中心负责为州府所在地60岁以上老年人和老干部活动及老年群团组织提供服务管理，负责组织开展各类学习及文化、体育、娱乐、健康活动。承担州直商贸系统离退休干部及遗孀、精简人员的服务管理工作。州老年大学的具体教学等日常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昌吉州老年人老干部活动中心：无下属预算单位，无内设科室。编制人数为16人，其中：行政人员编制0人、工勤0人、参公16人、事业编制0人。实有在职人数15人，其中：行政在职0人、工勤2人、参公7人、事业在职6人。离退休人员12人，其中：行政退休人员5人、事业退休7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本项目预算安排总额为49.58万元，资金来源为本级部门预算（地方政府专项，其中：财政资金49.58万元，其他资金0.00万元，2024年实际收到预算资金49.58万元，预算资金到位率为100%。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截至2024年12月31日，本项目实际支付资金49.58万元，预算执行率100%。本项目资金主要用于支付活动室维修费费用14.80万元、老龄专项业务经费预算支出费用34.78万元。</w:t>
      </w:r>
    </w:p>
    <w:p w14:paraId="3B174FFD">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5900CA3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加强活动中心各项建设，确保各项活动能够正常开展，缴纳各活动室水电网费、维修维护各活动室、电梯和消防设施维修维护、进行活动中心绿化、安检设备、监控设备购置，以及消杀用品购置、确保各活动室正常运转。保障活动室正常运转；保障活动室全年正常开放时间，保障活动中心各设备安全正常运转；提升老年人老干部精神文化生活；促进老同志身心健康，增强幸福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“保障活动室正常运转个数”指标，预期指标值为“&gt;=5个”；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“每周保障活动室正常开放时间”指标，预期指标值为“&gt;=5天”；</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“保障设施维护活动室数量”指标，预期指标值为“&gt;=5个”；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“活动中心各设备安全正常运转率”指标，预期指标值为“&gt;=95%”；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“活动室维修费”指标，预期指标值为“&lt;=14.80万元”；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“老龄专项业务经费预算支出”指标，预期指标值为“&lt;=34.78万元”；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“持续增强老同志幸福感”指标，预期指标值为“持续增强”；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“持续提升老年人老干部精神文化生活”指标，预期指标值为“持续提升”；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“老年人老干部满意度”指标，预期指标值为“&gt;=90%”。</w:t>
      </w:r>
    </w:p>
    <w:p w14:paraId="34C9CB0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69D40300">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46C3D94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（一）绩效评价的目的、对象和范围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关于加强和规范昌吉州本级项目支出全过程预算绩效管理结果应用的通知》（昌州财预〔2023〕3号）文件精神，我单位针对老龄专项业务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此次我单位根据《财政支出绩效评价管理暂行办法》（财预〔2020〕10号）文件要求实施评价工作，本次评价对象为老龄专项业务经费项目，评价核心为项目资金、项目产出、项目效益。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69850741">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2D50F5A5">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自治州财政支出绩效评价管理暂行办法》的通知）（昌州财预〔2018〕171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33DEC37">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17A3C5DB">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自治州财政支出绩效评价管理暂行办法》的通知）（昌州财预〔2018〕171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1C88672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063C100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完成了保障5各活动室正常运转，每周保障活动室正常开放5天，保障5个活动室设施维护，通过对活动中心老旧场所进行维修改造，添置文化活动设施，更新学习资料、活动设备，增加新颖课程，为保障各涉老社团工作、各类活动正常开展，进一步丰富老同志精神文化生活，得到广大老同志的一致好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100.00分，绩效评级为“优”。综合评价结论如下：本项目共设置三级指标数量20个，实现三级指标数量20个，总体完成率为100.00%。项目决策类指标共设置6个，满分指标6个，得分率100.00%；过程管理类指标共设置5个，满分指标5个，得分率100.00%；项目产出类指标共设置6个，满分指标6个，得分率100.00%；项目效益类指标共设置2个，满分指标2个，得分率100.00%；项目满意度类指标共设置1个，满分指标1个，得分率100.00%。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100.00% 100.00% 100.00% 100.00% 100.00% 100.00%</w:t>
      </w:r>
    </w:p>
    <w:p w14:paraId="51178BDE">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7ECB11C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27979513">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项目决策类指标由3个二级指标和6个三级指标构成，权重分21.00分，实际得分21.00分。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中央办公厅印发《关于加强新时代离退休干部党的建设工作的意见》《2024年自治区老干部工作要点》中的内容，符合行业发展规划和政策要求；本项目立项符合《关于自治州党委老干部局所属事业单位机构编制调整有关事宜的通知》中职责范围中的“活动中心为州府所在地60岁以上老年人和老干部活动及老年群团组织提供服务管理，负责组织开展各类学习及文化、体育、娱乐、健康活动。承担州直商贸系统离退休干部及遗孀、精简人员的服务管理工作。州老年大学的具体教学等日常工作。”属于我单位履职所需；根据《财政资金直接支付申请书》，本项目资金性质为“公共财政预算”“2080503离退休人员管理机构”经济分类为“商品和服务支出”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中央办公厅印发《关于加强新时代离退休干部党的建设工作的意见》《2024年自治区老干部工作要点》文件要求实施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为加强活动中心各项建设，确保各项活动能够正常开展，缴纳各活动室水电网费、维修维护各活动室、电梯和消防设施维修维护、进行活动中心绿化、安检设备、监控设备购置，以及消杀用品购置、确保各活动室正常运转。保障活动室正常运转；保障活动室全年正常开放时间，保障活动中心各设备安全正常运转；提升老年人老干部精神文化生活；促进老同志身心健康，增强幸福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负责缴纳5处活动场所的水费，电费，邮电费，办公耗材费用等。活动中心大楼已建成多年且5处活动场所大部分老旧，许多地方急需维修及购置设施，通过对老旧场所进行维修改造，添置文化活动设施，改善老同志活动环境。随着近些年活动场所老同志越来越多，对各项需求也越来越高，在消防安全、维稳保障、场地配备、学习资料更新等方面，都与满足老年人老干部美好生活的需要有差距。为更新学习资料、活动设备，增加新颖课程，为保障各涉老社团工作、各类活动正常开展，老同志能在中心快乐的开展各类活动参加学习志愿奉献等。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完成了保障5各活动室正常运转，每周保障活动室正常开放5天，保障5个活动室设施维护，通过对活动中心老旧场所进行维修改造，添置文化活动设施，更新学习资料、活动设备，增加新颖课程，为保障各涉老社团工作、各类活动正常开展，进一步丰富老同志精神文化生活，得到广大老同志的一致好评，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④该项目批复的预算金额为49.58万元，《项目支出绩效目标表》中预算金额为49.58万元，预算确定的项目资金与预算确定的项目投资额相匹配。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5个，三级指标9个，定量指标7个，定性指标2个，指标量化率为77.78%，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保障活动室正常运转个数”“每周保障活动室正常开放时间”“保障设施维护活动室数量”，三级指标的年度指标值与年度绩效目标中任务数一致，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本项目通过以往年度昌吉回族自治州老年人老干部活动中心维修保养工作与老年大学教学课程开展工作的实际执行情况，综合考虑本年度情况，综合编制预算，即预算编制较科学且经过论证；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支付活动中心各项目常工作开支，支付老年大学教学课程费用，支付活动中心活动室及活动设备的维修维护费，项目实际内容为预算申请内容一致，预算申请与《老龄专项业务经费项目实施方案》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49.58万元，我单位在预算申请中严格按照项目实施内容及测算标准进行核算，其中：活动室维修费费用14.80万元、老龄专项业务经费预算支出费用34.78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关于申请老龄专项业务经费项目资金的请示》和《老龄专项业务经费项目实施方案》为依据进行资金分配，预算资金分配依据充分。根据《关于下达昌吉州本级预算单位2024年部门预算的通知》（昌州财预〔2024〕1号）文件，本项目实际到位资金49.58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综上所述，本指标满分为2.00分，根据评分标准得2.00分，本项目资金分配合理。</w:t>
      </w:r>
      <w:r>
        <w:rPr>
          <w:rStyle w:val="19"/>
          <w:rFonts w:hint="eastAsia" w:ascii="楷体" w:hAnsi="楷体" w:eastAsia="楷体"/>
          <w:b w:val="0"/>
          <w:bCs w:val="0"/>
          <w:spacing w:val="-4"/>
          <w:sz w:val="32"/>
          <w:szCs w:val="32"/>
        </w:rPr>
        <w:tab/>
      </w:r>
    </w:p>
    <w:p w14:paraId="0DA391BA">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4F42CFB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（二）项目过程情况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项目过程管理类指标由2个二级指标和5个三级指标构成，权重分19.00分，实际得分19.00分。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本项目预算资金为49.58万元，其中：财政安排资金49.58万元，其他资金0万元，实际到位资金49.58万元，资金到位率=（49.58/49.58）×100.00%=100.00%。得分=（100.00%-60.00%）/（1-60.00%）×4.00=4.00分。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本项目实际支出资金49.58万元，预算执行率=（49.58/49.58）×100.00%=100.00%；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项目已完成，总体完成率为101.82%；</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得分=（100.00%-60.00%）/（1-60.00%）×权重=100.00%×5.00=5.00分。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昌吉州老年人老干部活动中心预算管理制度》《昌吉州老年人老干部活动中心财务收支和报销管理制度》，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昌吉州老年人老干部活动中心预算管理制度》《昌吉州老年人老干部活动中心财务收支和报销管理制度》《昌吉州老年人老干部活动中心预算绩效管理制度》《昌吉州老年人老干部活动中心政府采购业务管理制度》《昌吉州老年人老干部活动中心合同管理制度》，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昌吉州老年人老干部活动中心预算管理制度》《昌吉州老年人老干部活动中心财务收支和报销管理制度》《昌吉州老年人老干部活动中心预算绩效管理制度》《昌吉州老年人老干部活动中心部门决算管理制度》《昌吉州老年人老干部活动中心政府采购业务管理制度》《昌吉州老年人老干部活动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②经现场查证项目合同书、验收评审表、财务支付凭证等资料齐全并及时归档。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③该项目存在调整，调整手续齐全。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老龄专项业务经费项目工作领导小组，由王虹任组长，负责项目的组织工作；刘宣麟任副组长，负责项目的实施工作；组员包括：陆乔、肖翔、郑英、王振勇、米吉提·力提甫、刘臻，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综上所述，本指标满分为4.00分，根据评分标准得4.00分，本项目所建立制度执行有效。</w:t>
      </w:r>
    </w:p>
    <w:p w14:paraId="0EA4161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51ECDC3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项目产出类指标由3个二级指标和6个三级指标构成，权重分30.00分，实际得分30.00分。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“保障活动室正常运转个数”指标：预期指标值为“≥5个”，实际完成指标值为“=5个”，指标完成率为100.00%。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“每周保障活动室正常开放时间”指标：预期指标值为“≥5天”，实际完成指标值为“=5天”，指标完成率为100.00%。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“保障设施维护活动室数量”指标：预期指标值为“≥5个”，实际完成指标值为“=5个”，指标完成率为100.00%。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“活动中心各设备安全正常运转率”指标：预期指标值为“≥95%”，实际完成指标值为“100.00”，指标完成率为105.26%。</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“活动室维修费”指标：预期指标值为“&lt;=14.80万元”，实际完成指标值为“=14.80万元”，指标完成率为100.00%。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“老龄专项业务经费预算支出”指标：预期指标值为“&lt;=34.78万元”，实际完成指标值为“=34.78万元”，指标完成率为100.00%。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09212C8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1446903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项目效益类指标由1个二级指标和2个三级指标构成，权重分20.00分，实际得分20.00分。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“持续增强老同志幸福感”指标：预期指标值为“持续增强”，实际完成指标值为“达到预期指标”，指标完成率为100.00%。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“持续提升老年人老干部精神文化生活”指标：预期指标值为“持续提升”，实际完成指标值为“达到预期指标”，指标完成率为100.00%。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26051397">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项目满意度类指标由1个二级指标和1个三级指标构成，权重分10.00分，实际得分10.00分。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“老年人老干部满意度”指标：预期指标值为“&gt;=90%”，实际完成指标值为“=100.00%”，指标完成率为111.11%。</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本项目年初预算资金总额为50.00万元，全年预算数为49.58万元，全年执行数为49.58万元，预算执行率为100.00%。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本项目共设置三级指标数量20个，满分指标数量20个，扣分指标数量0个，经分析计算所有三级指标完成率得出，本项目总体完成率为100.82%。</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项目预算执行率与总体完成率之间的偏差为0.82%。主要偏差原因是：活动中心各设备安全正常运转率指标、老年人老干部满意度指标由于年初对全年工作谨慎估计，指标值设置低于最终业绩值，导致两个指标完成率超过100%。</w:t>
      </w:r>
    </w:p>
    <w:p w14:paraId="2009185A">
      <w:pPr>
        <w:spacing w:line="540" w:lineRule="exact"/>
        <w:ind w:firstLine="567"/>
        <w:rPr>
          <w:rStyle w:val="19"/>
          <w:rFonts w:hint="eastAsia" w:ascii="楷体" w:hAnsi="楷体" w:eastAsia="楷体"/>
          <w:b w:val="0"/>
          <w:bCs w:val="0"/>
          <w:spacing w:val="-4"/>
          <w:sz w:val="32"/>
          <w:szCs w:val="32"/>
        </w:rPr>
      </w:pPr>
    </w:p>
    <w:p w14:paraId="51C73AE3">
      <w:pPr>
        <w:spacing w:line="540" w:lineRule="exact"/>
        <w:ind w:firstLine="567"/>
        <w:rPr>
          <w:rStyle w:val="19"/>
          <w:rFonts w:ascii="楷体" w:hAnsi="楷体" w:eastAsia="楷体"/>
          <w:spacing w:val="-4"/>
          <w:sz w:val="32"/>
          <w:szCs w:val="32"/>
        </w:rPr>
      </w:pPr>
    </w:p>
    <w:p w14:paraId="69AEC146">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76B69456">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1、着力凝心铸魂，聚焦离退休干部政治建设有提高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抓好老年（老干部）大学政治思想教育。开展思政进课堂开学第一课和银耀庭州大讲堂，邀请州党校、昌吉开放大学讲师围绕党纪学题教育、铸牢中华民族共同体意识、党的二十届三中全会精神等内容开展专题讲座4场次，参加人数达1000余人次，确保老干部队伍政治坚定、思想常新。二是坚持政治为要。始终把深学笃用习近平新时代中国特色社会主义思想作为首要政治任务，积极开展“三会一课”及主题党日活动，以沉浸式学习让老年大学思政教育更加鲜活、立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2、深化银耀庭州品牌，聚焦离退休干部阵地拓展有实效</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开展“银发聚力”行动，推动老年教育提质扩面。一是探索拓展，一校多点。依托社区文化阵地，建立老年（老干部）大学示范教学点3个，实行“同步教学、同步管理”，不断拓展老年教育办学空间。在昌吉厚德康养家园设置教学点，开展声乐、书法、绘画课程送教活动，把教学点办到老同志家门口，打通老年教育</w:t>
      </w:r>
      <w:r>
        <w:rPr>
          <w:rStyle w:val="19"/>
          <w:rFonts w:hint="eastAsia" w:ascii="楷体" w:hAnsi="楷体" w:eastAsia="楷体"/>
          <w:b w:val="0"/>
          <w:bCs w:val="0"/>
          <w:spacing w:val="-4"/>
          <w:sz w:val="32"/>
          <w:szCs w:val="32"/>
          <w:lang w:eastAsia="zh-CN"/>
        </w:rPr>
        <w:t>“最后一公里”</w:t>
      </w:r>
      <w:r>
        <w:rPr>
          <w:rStyle w:val="19"/>
          <w:rFonts w:hint="eastAsia" w:ascii="楷体" w:hAnsi="楷体" w:eastAsia="楷体"/>
          <w:b w:val="0"/>
          <w:bCs w:val="0"/>
          <w:spacing w:val="-4"/>
          <w:sz w:val="32"/>
          <w:szCs w:val="32"/>
        </w:rPr>
        <w:t>。二是资源共享，联合办学。联合州科协组织开展科技知识讲座、才艺展示等共学共乐活动。与昌吉开放大学建立教学基地，开展日常教学交流，实现师资互用、招生互通、信息互连，共同推进老年教育实现新发展，2024年全年联合招生50个班次2000余名学员。通过采取专题辅导、老党员宣讲、信息化平台推送等多种方式，充分发挥学员党员先锋模范作用，不断提升学员自我服务管理能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开展“银晖闪光”行动，推动老干部志愿服务出色出彩。发挥各领域老年同志专业特长，引导老同志结合党纪学题教育、民族团结教育、主题党日活动等与志愿服务活动紧密融合，有效提升离退休干部投身志愿服务活动的积极性。开展助力乡村振兴送文化下乡系列活动，为木垒县双湾村驻村工作队、昌吉市域广大群众送去春联3000幅。组织保健协会、老年文化艺术协会、老干部书画协会等志愿服务团队，先后赴“馕文化产业园”、奇台景区、昌吉市警苑社区、嘉顺社区等开展送文化、送书画、义诊等活动，让银发力量既是志愿服务的参与者，也是受益者，不断提升银耀庭州老干部志愿服务队品牌形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(二)存在的问题及原因分析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经过全体干部职工一年的团结努力，活动中心各项工作实现了质的提升，但对标新时代老干部工作要求和标准，我们仍然存在一些问题，主要体现在以下两方面：</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在推动州老年（老干部）大学提档升级方面还存在短板。一方面教学管理力量薄弱，虽然建立临时党支部以加强自我管理，但是无专职人员，在落实管理上还有待提高。另一方面，由于州老年（老干部）大学收费机制不畅通，目前学员实行免费学习，现有经费在加强师资力量上、学员学习效果上都无法得到充足保障，导致教学设施不足、办学能力有限。二是在安全管理和服务保障方面还有待加强。活动中心不仅承担州老年（老干部）大学日常教学、组织老同志开展正能量活动，还管理5处外活动场所，工作任务重，临时性工作多，现有工作人员力量明显不足，且缺乏专业应急救护人员，现有2名应急救护人员均属于物业管理，流动性较大。</w:t>
      </w:r>
    </w:p>
    <w:p w14:paraId="439E109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3B1F439E">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昌吉州老年人老干部活动中心工作着力探索教育教学体制改革，统筹推进政治引领、银龄聚力、阵地建设等工作，不断推动昌吉州老干事业高质量发展，为建设典范地州贡献银发力量。 今后，为达到新时代老干部工作要求和标准几点建议：（一）强化政治引领，纵深推进离退休干部党的建设。一是始终把深学笃用习近平新时代中国特色社会主义思想作为首要政治任务，重点抓好老年（老干部）大学政治思想教育。充分发挥红色教育展厅、离退休干部政治生活馆等阵地“红色”教育能量，持续提升各老年社团（协会）全面系统学习新时代党的创新理论水平。二是探索“党建+老年教育”工作模式，深化课程思政理念，通过创新银龄大讲堂、交流课堂、户外课堂、云课堂等思政课方式，不断引导教师充分挖掘专业课程中的思政元素，着力推动老年教育与思政教育深度融合。（二）聚焦教育改革，着力推动教育教学高质量发展。全力推动州老年（老干部）大学改革。一是建立健全老年（老干部）大学体制机制建设，借鉴先进地区管理经验，积极探索实行低额收取学费机制，不断完善课程体系，力争增加10个教学班，充分释放老年（老干部）大学资源能量。积极对接争取加入中国老年大学协会，推进标准化示范校建设。二是完善老年大学开班仪式、创新“开学第一课”教学方式，实行分级授课，建立输入输出机制，根本性解决“老生出不去、新生进不来”的问题，以全方位、全过程闭环式管理促进教育教学规范化管理。（三）坚持守正创新，积极探索“时间银行”互助养老模式。引入内地“时间银行”等较为先进的互助式养老、养老志愿服务模式，通过积分制管理开展“低龄存时间、高龄取服务”试点工作，鼓励各老年社团身体健康的低龄老人积极参与志愿服务，充分发挥行业领域特长、个人专长等优势，为高龄老人提供亲情化、个性化、多样化的服务，以获取志愿者高龄段关怀需求优先享受等互助养老服务，以点带面推广“时间银行”互助养老模式从养老机构向社区全覆盖，与时俱进推进新时代老年事业健康发展。</w:t>
      </w:r>
    </w:p>
    <w:p w14:paraId="34F8C239">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084ADD1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14:paraId="35C98C11">
      <w:pPr>
        <w:spacing w:line="540" w:lineRule="exact"/>
        <w:ind w:firstLine="567"/>
        <w:rPr>
          <w:rStyle w:val="19"/>
          <w:rFonts w:ascii="仿宋" w:hAnsi="仿宋" w:eastAsia="仿宋"/>
          <w:b w:val="0"/>
          <w:spacing w:val="-4"/>
          <w:sz w:val="32"/>
          <w:szCs w:val="32"/>
        </w:rPr>
      </w:pPr>
    </w:p>
    <w:p w14:paraId="719F3240">
      <w:pPr>
        <w:spacing w:line="540" w:lineRule="exact"/>
        <w:ind w:firstLine="567"/>
        <w:rPr>
          <w:rStyle w:val="19"/>
          <w:rFonts w:ascii="仿宋" w:hAnsi="仿宋" w:eastAsia="仿宋"/>
          <w:b w:val="0"/>
          <w:spacing w:val="-4"/>
          <w:sz w:val="32"/>
          <w:szCs w:val="32"/>
        </w:rPr>
      </w:pPr>
    </w:p>
    <w:p w14:paraId="18D2A9BC">
      <w:pPr>
        <w:spacing w:line="540" w:lineRule="exact"/>
        <w:ind w:firstLine="567"/>
        <w:rPr>
          <w:rStyle w:val="19"/>
          <w:rFonts w:ascii="仿宋" w:hAnsi="仿宋" w:eastAsia="仿宋"/>
          <w:b w:val="0"/>
          <w:spacing w:val="-4"/>
          <w:sz w:val="32"/>
          <w:szCs w:val="32"/>
        </w:rPr>
      </w:pPr>
    </w:p>
    <w:p w14:paraId="16B0119D">
      <w:pPr>
        <w:spacing w:line="540" w:lineRule="exact"/>
        <w:ind w:firstLine="567"/>
        <w:rPr>
          <w:rStyle w:val="19"/>
          <w:rFonts w:ascii="仿宋" w:hAnsi="仿宋" w:eastAsia="仿宋"/>
          <w:b w:val="0"/>
          <w:spacing w:val="-4"/>
          <w:sz w:val="32"/>
          <w:szCs w:val="32"/>
        </w:rPr>
      </w:pPr>
    </w:p>
    <w:p w14:paraId="3751A7E7">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B159BA5-E96D-404C-8C0B-A6B551C699D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DF4EE3E-018D-4A01-AC9C-E6A5F0E3861A}"/>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5A0169EB-6F94-4AA1-A20B-F15F9747DA88}"/>
  </w:font>
  <w:font w:name="华文中宋">
    <w:panose1 w:val="02010600040101010101"/>
    <w:charset w:val="86"/>
    <w:family w:val="auto"/>
    <w:pitch w:val="default"/>
    <w:sig w:usb0="00000287" w:usb1="080F0000" w:usb2="00000000" w:usb3="00000000" w:csb0="0004009F" w:csb1="DFD70000"/>
    <w:embedRegular r:id="rId4" w:fontKey="{C4D39270-4110-4C33-94E9-D82D3A3F8740}"/>
  </w:font>
  <w:font w:name="方正小标宋_GBK">
    <w:panose1 w:val="02000000000000000000"/>
    <w:charset w:val="86"/>
    <w:family w:val="script"/>
    <w:pitch w:val="default"/>
    <w:sig w:usb0="A00002BF" w:usb1="38CF7CFA" w:usb2="00082016" w:usb3="00000000" w:csb0="00040001" w:csb1="00000000"/>
    <w:embedRegular r:id="rId5" w:fontKey="{053E3D44-28E3-47A8-AE69-16246F99B234}"/>
  </w:font>
  <w:font w:name="仿宋_GB2312">
    <w:altName w:val="仿宋"/>
    <w:panose1 w:val="00000000000000000000"/>
    <w:charset w:val="86"/>
    <w:family w:val="modern"/>
    <w:pitch w:val="default"/>
    <w:sig w:usb0="00000000" w:usb1="00000000" w:usb2="00000010" w:usb3="00000000" w:csb0="00040000" w:csb1="00000000"/>
    <w:embedRegular r:id="rId6" w:fontKey="{5E2AB3ED-A53E-48D4-AAE2-B4AD001FA29F}"/>
  </w:font>
  <w:font w:name="楷体">
    <w:panose1 w:val="02010609060101010101"/>
    <w:charset w:val="86"/>
    <w:family w:val="modern"/>
    <w:pitch w:val="default"/>
    <w:sig w:usb0="800002BF" w:usb1="38CF7CFA" w:usb2="00000016" w:usb3="00000000" w:csb0="00040001" w:csb1="00000000"/>
    <w:embedRegular r:id="rId7" w:fontKey="{D7728686-14BC-4373-802D-8B9896E5FD5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D476484">
        <w:pPr>
          <w:pStyle w:val="12"/>
          <w:jc w:val="center"/>
        </w:pPr>
        <w:r>
          <w:fldChar w:fldCharType="begin"/>
        </w:r>
        <w:r>
          <w:instrText xml:space="preserve">PAGE   \* MERGEFORMAT</w:instrText>
        </w:r>
        <w:r>
          <w:fldChar w:fldCharType="separate"/>
        </w:r>
        <w:r>
          <w:rPr>
            <w:lang w:val="zh-CN"/>
          </w:rPr>
          <w:t>2</w:t>
        </w:r>
        <w:r>
          <w:fldChar w:fldCharType="end"/>
        </w:r>
      </w:p>
    </w:sdtContent>
  </w:sdt>
  <w:p w14:paraId="2EE9989E">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2BA21478"/>
    <w:rsid w:val="4878023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90e3bd6e-27f3-49f8-ac54-25f98433e1ed}">
  <ds:schemaRefs/>
</ds:datastoreItem>
</file>

<file path=docProps/app.xml><?xml version="1.0" encoding="utf-8"?>
<Properties xmlns="http://schemas.openxmlformats.org/officeDocument/2006/extended-properties" xmlns:vt="http://schemas.openxmlformats.org/officeDocument/2006/docPropsVTypes">
  <Template>Normal.dotm</Template>
  <Pages>31</Pages>
  <Words>16575</Words>
  <Characters>17582</Characters>
  <Lines>4</Lines>
  <Paragraphs>1</Paragraphs>
  <TotalTime>7</TotalTime>
  <ScaleCrop>false</ScaleCrop>
  <LinksUpToDate>false</LinksUpToDate>
  <CharactersWithSpaces>17625</CharactersWithSpaces>
  <Application>WPS Office_12.1.0.26890_F1E327BC-269C-435d-A152-05C5408002CA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小麦啾</cp:lastModifiedBy>
  <cp:lastPrinted>2018-12-31T10:56:00Z</cp:lastPrinted>
  <dcterms:modified xsi:type="dcterms:W3CDTF">2026-06-01T08:44:17Z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2052-12.1.0.26890</vt:lpwstr>
  </property>
  <property fmtid="{D5CDD505-2E9C-101B-9397-08002B2CF9AE}" pid="3" name="ICV">
    <vt:lpwstr>86A4BE803B594D54BB30BEB283D7FDDD_13</vt:lpwstr>
  </property>
  <property fmtid="{D5CDD505-2E9C-101B-9397-08002B2CF9AE}" pid="4" name="KSOTemplateDocerSaveRecord">
    <vt:lpwstr>eyJoZGlkIjoiZGZmMjg3MDQ2MzExNDk0OWY5M2UwNzBmOWViMDBkMGMiLCJ1c2VySWQiOiIzMjQ5NjUzODcifQ==</vt:lpwstr>
  </property>
</Properties>
</file>