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3F1D2">
      <w:pPr>
        <w:spacing w:line="54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667532F2">
      <w:pPr>
        <w:spacing w:line="540" w:lineRule="exact"/>
        <w:jc w:val="center"/>
        <w:rPr>
          <w:rFonts w:ascii="华文中宋" w:hAnsi="华文中宋" w:eastAsia="华文中宋" w:cs="宋体"/>
          <w:b/>
          <w:kern w:val="0"/>
          <w:sz w:val="52"/>
          <w:szCs w:val="52"/>
        </w:rPr>
      </w:pPr>
    </w:p>
    <w:p w14:paraId="60E28952">
      <w:pPr>
        <w:spacing w:line="540" w:lineRule="exact"/>
        <w:jc w:val="center"/>
        <w:rPr>
          <w:rFonts w:ascii="华文中宋" w:hAnsi="华文中宋" w:eastAsia="华文中宋" w:cs="宋体"/>
          <w:b/>
          <w:kern w:val="0"/>
          <w:sz w:val="52"/>
          <w:szCs w:val="52"/>
        </w:rPr>
      </w:pPr>
    </w:p>
    <w:p w14:paraId="66C7436D">
      <w:pPr>
        <w:spacing w:line="540" w:lineRule="exact"/>
        <w:jc w:val="center"/>
        <w:rPr>
          <w:rFonts w:ascii="华文中宋" w:hAnsi="华文中宋" w:eastAsia="华文中宋" w:cs="宋体"/>
          <w:b/>
          <w:kern w:val="0"/>
          <w:sz w:val="52"/>
          <w:szCs w:val="52"/>
        </w:rPr>
      </w:pPr>
    </w:p>
    <w:p w14:paraId="61EBFBB4">
      <w:pPr>
        <w:spacing w:line="540" w:lineRule="exact"/>
        <w:jc w:val="center"/>
        <w:rPr>
          <w:rFonts w:ascii="华文中宋" w:hAnsi="华文中宋" w:eastAsia="华文中宋" w:cs="宋体"/>
          <w:b/>
          <w:kern w:val="0"/>
          <w:sz w:val="52"/>
          <w:szCs w:val="52"/>
        </w:rPr>
      </w:pPr>
    </w:p>
    <w:p w14:paraId="70F78DE8">
      <w:pPr>
        <w:spacing w:line="540" w:lineRule="exact"/>
        <w:jc w:val="center"/>
        <w:rPr>
          <w:rFonts w:ascii="华文中宋" w:hAnsi="华文中宋" w:eastAsia="华文中宋" w:cs="宋体"/>
          <w:b/>
          <w:kern w:val="0"/>
          <w:sz w:val="52"/>
          <w:szCs w:val="52"/>
        </w:rPr>
      </w:pPr>
    </w:p>
    <w:p w14:paraId="12B5F84E">
      <w:pPr>
        <w:spacing w:line="540" w:lineRule="exact"/>
        <w:jc w:val="center"/>
        <w:rPr>
          <w:rFonts w:ascii="华文中宋" w:hAnsi="华文中宋" w:eastAsia="华文中宋" w:cs="宋体"/>
          <w:b/>
          <w:kern w:val="0"/>
          <w:sz w:val="52"/>
          <w:szCs w:val="52"/>
        </w:rPr>
      </w:pPr>
    </w:p>
    <w:p w14:paraId="0FBCCBFC">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4B6CB8F7">
      <w:pPr>
        <w:spacing w:line="540" w:lineRule="exact"/>
        <w:jc w:val="center"/>
        <w:rPr>
          <w:rFonts w:ascii="华文中宋" w:hAnsi="华文中宋" w:eastAsia="华文中宋" w:cs="宋体"/>
          <w:b/>
          <w:kern w:val="0"/>
          <w:sz w:val="52"/>
          <w:szCs w:val="52"/>
        </w:rPr>
      </w:pPr>
    </w:p>
    <w:p w14:paraId="5654FDEE">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038CD0E4">
      <w:pPr>
        <w:spacing w:line="540" w:lineRule="exact"/>
        <w:jc w:val="center"/>
        <w:rPr>
          <w:rFonts w:hAnsi="宋体" w:eastAsia="仿宋_GB2312" w:cs="宋体"/>
          <w:kern w:val="0"/>
          <w:sz w:val="30"/>
          <w:szCs w:val="30"/>
        </w:rPr>
      </w:pPr>
    </w:p>
    <w:p w14:paraId="48EAAC0D">
      <w:pPr>
        <w:spacing w:line="540" w:lineRule="exact"/>
        <w:jc w:val="center"/>
        <w:rPr>
          <w:rFonts w:hAnsi="宋体" w:eastAsia="仿宋_GB2312" w:cs="宋体"/>
          <w:kern w:val="0"/>
          <w:sz w:val="30"/>
          <w:szCs w:val="30"/>
        </w:rPr>
      </w:pPr>
    </w:p>
    <w:p w14:paraId="26784542">
      <w:pPr>
        <w:spacing w:line="540" w:lineRule="exact"/>
        <w:jc w:val="center"/>
        <w:rPr>
          <w:rFonts w:hAnsi="宋体" w:eastAsia="仿宋_GB2312" w:cs="宋体"/>
          <w:kern w:val="0"/>
          <w:sz w:val="30"/>
          <w:szCs w:val="30"/>
        </w:rPr>
      </w:pPr>
    </w:p>
    <w:p w14:paraId="143DB556">
      <w:pPr>
        <w:spacing w:line="540" w:lineRule="exact"/>
        <w:jc w:val="center"/>
        <w:rPr>
          <w:rFonts w:hAnsi="宋体" w:eastAsia="仿宋_GB2312" w:cs="宋体"/>
          <w:kern w:val="0"/>
          <w:sz w:val="30"/>
          <w:szCs w:val="30"/>
        </w:rPr>
      </w:pPr>
    </w:p>
    <w:p w14:paraId="108ECA64">
      <w:pPr>
        <w:spacing w:line="540" w:lineRule="exact"/>
        <w:jc w:val="center"/>
        <w:rPr>
          <w:rFonts w:hAnsi="宋体" w:eastAsia="仿宋_GB2312" w:cs="宋体"/>
          <w:kern w:val="0"/>
          <w:sz w:val="30"/>
          <w:szCs w:val="30"/>
        </w:rPr>
      </w:pPr>
    </w:p>
    <w:p w14:paraId="51F85E4A">
      <w:pPr>
        <w:spacing w:line="540" w:lineRule="exact"/>
        <w:jc w:val="center"/>
        <w:rPr>
          <w:rFonts w:hAnsi="宋体" w:eastAsia="仿宋_GB2312" w:cs="宋体"/>
          <w:kern w:val="0"/>
          <w:sz w:val="30"/>
          <w:szCs w:val="30"/>
        </w:rPr>
      </w:pPr>
    </w:p>
    <w:p w14:paraId="5B0BD915">
      <w:pPr>
        <w:spacing w:line="540" w:lineRule="exact"/>
        <w:rPr>
          <w:rFonts w:hAnsi="宋体" w:eastAsia="仿宋_GB2312" w:cs="宋体"/>
          <w:kern w:val="0"/>
          <w:sz w:val="30"/>
          <w:szCs w:val="30"/>
        </w:rPr>
      </w:pPr>
    </w:p>
    <w:p w14:paraId="34D4CCC0">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14E28055">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2023年中央动物防疫等补助经费</w:t>
      </w:r>
    </w:p>
    <w:p w14:paraId="7140CDD6">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昌吉回族自治州动物疾病预防控制中心</w:t>
      </w:r>
    </w:p>
    <w:p w14:paraId="78F6BFEB">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昌吉回族自治州动物疾病预防控制中心</w:t>
      </w:r>
    </w:p>
    <w:p w14:paraId="5D679AF0">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蒲文兵、张再超</w:t>
      </w:r>
    </w:p>
    <w:p w14:paraId="46D54691">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2024年04月09日</w:t>
      </w:r>
    </w:p>
    <w:p w14:paraId="624B0F36">
      <w:pPr>
        <w:spacing w:line="700" w:lineRule="exact"/>
        <w:ind w:firstLine="708" w:firstLineChars="236"/>
        <w:jc w:val="left"/>
        <w:rPr>
          <w:rFonts w:hAnsi="宋体" w:eastAsia="仿宋_GB2312" w:cs="宋体"/>
          <w:kern w:val="0"/>
          <w:sz w:val="30"/>
          <w:szCs w:val="30"/>
        </w:rPr>
      </w:pPr>
    </w:p>
    <w:p w14:paraId="02E51D15">
      <w:pPr>
        <w:spacing w:line="540" w:lineRule="exact"/>
        <w:rPr>
          <w:rStyle w:val="18"/>
          <w:rFonts w:ascii="黑体" w:hAnsi="黑体" w:eastAsia="黑体"/>
          <w:b w:val="0"/>
          <w:spacing w:val="-4"/>
          <w:sz w:val="32"/>
          <w:szCs w:val="32"/>
        </w:rPr>
      </w:pPr>
    </w:p>
    <w:p w14:paraId="7719E322">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05707077">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34FAB08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（一）项目概况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切实做好2023年我州重大动物疫病强制免疫工作，加强重大动物疫病疫苗管理，确保重大动物疫病防控工作有效开展，根据《关于做好2023年度重大动物疫病疫苗招标采购工作的指导意见》（新防重办字[2022]25号）、《关于提前下达2023年中央动物防疫等补助经费预算的通知》（昌州财发[2022]61号）中“强制免疫是重大动物疫病防控的重要基础性工作，为进一步加强重大动物疫病强制免疫疫苗监管工作，确保疫苗质量，构筑有效免疫屏障”的文件精神，我中心制定了《2023年昌吉州动物疫苗招标采购项目实施方案》，我中心严格按照采购实施方案开展疫苗招标采购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（1）项目名称：2023年中央动物防疫等补助经费项目（以下简称“该项目”或“项目”）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（2）项目主要内容：由州动物疫苗招标采购工作领导小组根据动物疫病防控需求、疫苗储备和疫苗免疫效果监测确定2023年我州动物疫苗采购的品种和数量。</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实施主体：昌吉州动物疾病预防控制中心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根据《关于做好2023年度重大动物疫病疫苗招标采购工作的指导意见》（新防重办字[2022]25号）、《关于提前下达2023年中央动物防疫等补助经费预算的通知》（昌州财发[2022]61号）以及州农业农村局《2023年昌吉州重大动物疫病疫苗采购工作方案》，制订了《2023年昌吉州动物疫苗招标采购实施方案》。实施方案确定后，组织分配工作任务，由中心领导集体会议审议通过，报请局党组批准同意后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（一）本采购项目经</w:t>
      </w:r>
      <w:r>
        <w:rPr>
          <w:rStyle w:val="18"/>
          <w:rFonts w:hint="eastAsia" w:ascii="楷体" w:hAnsi="楷体" w:eastAsia="楷体"/>
          <w:b w:val="0"/>
          <w:bCs w:val="0"/>
          <w:spacing w:val="-4"/>
          <w:sz w:val="32"/>
          <w:szCs w:val="32"/>
          <w:lang w:eastAsia="zh-CN"/>
        </w:rPr>
        <w:t>州农业农村局</w:t>
      </w:r>
      <w:r>
        <w:rPr>
          <w:rStyle w:val="18"/>
          <w:rFonts w:hint="eastAsia" w:ascii="楷体" w:hAnsi="楷体" w:eastAsia="楷体"/>
          <w:b w:val="0"/>
          <w:bCs w:val="0"/>
          <w:spacing w:val="-4"/>
          <w:sz w:val="32"/>
          <w:szCs w:val="32"/>
        </w:rPr>
        <w:t>批准后，由中心择优选择一家招标代理机构，委托招标代理机构组织公开招标采购工作。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按照“公开、公平、公正”的原则，在保证疫苗质量、免疫效果和售后服务的前提下，采取以疫苗生产企业投标价格不高于上一年度自治区疫苗中标参考价为标准的综合评分法，确定此次疫苗供应企业及疫苗价格。</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（三）州农业农村局对采购全过程进行监督。执行招标程序与招标纪律的监督，对不符合招标管理规定、未按程序招标的，督促其改正，发现有严重违规、违纪的，立即中止其相应资格。</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（四）投标人资格条件。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1.须为农业农村部验收通过的疫苗定点企业，具有农业农村部颁发的授权书或所投疫苗兽药产品文号批件。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2.具有《中华人民共和国兽药生产许可证》和《中华人民共和国兽药GMP证书》。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3.所投疫苗具有中国兽医药品监察所或其委托的相关部门检测合格检测报告。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我州共采购各类动物疫苗2428.15万头份，其中重组禽流感病毒（H5+H7）三价灭活疫苗：765.6万毫升、牛羊口蹄疫O-A型二价灭活疫苗：822.4万头份、猪口蹄疫O型合成肽疫苗：47.5万毫升、A19布氏菌病活疫苗：14.43万头份、M5布氏菌病活疫苗：91.6万头份、小反刍兽疫活疫苗：414.7万头份、羊棘球蚴病基因工程亚单位疫苗：24.5万头份、犬驱虫药吡喹酮咀嚼片：27万片、羊常见病疫苗（气肿疽、羊痘等4种疫苗）：220.42万头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动物疾病预防控制中心主要职责是负责全州动物防疫、动物疫情的监测、预警预报，动物防疫体系指导；畜牧兽医技术推广服务；种畜禽生产、经营监督管理；畜禽品种改良；动物疾病诊疗事故的鉴定和技术仲裁服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动物疾病预防控制中心是公益一类事业单位，机构规格为副处级，核定事业编制31人，领导职数4人（主任、书记各1人，副主任2人），2023年末实有人数30人，退休23人。内设6个科室，分别是：办公室、疫病监测科、防疫科、种畜禽管理科、布病防治科、畜牧兽医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1254.32万元，资金来源为《关于提前下达2023年中央动物防疫等补助经费预算的通知》（昌州财农[2022]61号）文件，其中：财政资金1254.32万元，其他资金0.00万元，2023年实际收到预算资金1254.32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截至2023年12月31日，本项目实际支付资金1227.72万元，预算执行率97.88%。项目资金主要用于采购疫苗费用1069.17万元，其他补助及差旅费158.55万元。</w:t>
      </w:r>
    </w:p>
    <w:p w14:paraId="55691FD3">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738A68E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（二）项目绩效目标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禽流感疫苗、口蹄疫疫苗和小反刍兽疫等疫苗一批，采购防疫物资一批；全面推进规模化场先打后补工作的开展，确保2025年政采苗退出市场；确保无纸化防疫平台运行、数据运用和领导决策分析等；全年完成动物疫病防控血清学、病原学样品监测3万份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“强制免疫病种应免畜禽的免疫密度”指标，预期指标为大于等于90.00%；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“完成包虫病疫区犬的驱虫数量”指标，预期指标值为大于等于8万条次；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“中央财政补助经费使用率”指标，预期指标值为等于100.00%；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“依法对重大动物疫情处置率”指标，预期指标值为等于100.00%；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“免疫质量和免疫效果（除布病外其他强制免疫病种的平均免疫抗体合格率）”指标，预期指标值为大于等于70.00%。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④成本指标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（2）项目效益目标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“口蹄疫、高致病性禽流感、布病、包虫病等优先防治防治病种防治工作是否保障”指标，预期指标值为有效确保；</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“资金使用重大违规违纪问题”指标，预期指标值为无。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“有无大规模随意抛弃畜禽事件”指标，预期指标值为无。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（3）相关满意度目标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“养殖场户满意度”指标，预期指标值为大于等于90.00%。</w:t>
      </w:r>
    </w:p>
    <w:p w14:paraId="5271C748">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3CFB7204">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6298F5B1">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关于印发&lt;项目支出绩效评价管理办法&gt;的通知》（财预〔2020〕10号）以及自治区财政厅《自治区财政支出绩效评价管理暂行办法》（新财预〔2018〕189号）等文件规定本次评价对象为2023年中央动物防疫等补助经费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(5)《关于做好2023年度重大动物疫病疫苗招标采购工作的指导意见》（新防重办字[2022]25号）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(6)《关于提前下达2023年中央动物防疫等补助经费预算的通知》（昌州财发[2022]61号）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(7)《2023年昌吉州重大动物疫病疫苗采购工作方案》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(8)《2023年昌吉州动物疫苗招标采购项目实施方案》</w:t>
      </w:r>
    </w:p>
    <w:p w14:paraId="6B8375C2">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477E4C9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指标体系根据财政部《关于印发&lt;项目支出绩效评价管理办法&gt;的通知》（财预〔2020〕10号）、自治区财政厅《自治区财政支出绩效评价管理暂行办法》（新财预〔2018〕189号）等文件要求，结合本项目特点，在与专家组充分协商的基础上，评价工作组细化了该项目的绩效评价指标体系（详见附表1）：</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一级指标为：决策、过程、产出、效益。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二级指标为：项目立项、绩效目标、资金投入、资金管理、组织实施、产出数量、产出质量、产出时效、产出成本、项目效益。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级指标为：立项依据充分性、立项程序规范性、绩效目标合理性、绩效指标明确性、预算编制科学性、资金分配合理性、资金到位率、预算执行率、资金使用合规性、管理制度健全性、制度执行有效性、实际完成率、质量达标率、完成及时性、成本节约率、社会效益、生态效益、可持续影响、服务对象满意度。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5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5C926207">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2D17A15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（三）绩效评价工作过程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26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杨海峰（昌吉州动物疾病预防控制中心单位党组副书记，主任）任评价组组长，绩效评价工作职责为检查项目绩效指标完成情况、审定项目支出绩效评价结果及项目支出绩效评价报告。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成文栋（昌吉州动物疾病预防控制中心单位党组成员）任评价组副组长，绩效评价工作职责为组织和协调项目工作人员采取实地调查、资料检查等方式，核实项目绩效指标完成情况；组织受益对象对项目工作进行评价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刘雪玲（昌吉州动物疾病预防控制中心办公室副主任）任评价组成员，负责项目资金管理工作。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2024年3月27日-4月30日，评价工作进入实施阶段。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经调研了解，该项目主要受益群体包括养殖户。我们根据绩效评价目标和绩效指标体系，设计满意度调查问卷进行问卷调查，其中养殖户受益对象共选取样本100人，共发放问卷70份，最终收回66份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2024年4月10日-4月20日，评价小组按照绩效评价的原则和规范，对取得的资料进行审查核实，对采集的数据进行分析，按照绩效评价指标评分表逐项进行打分、分析、汇总各方评价结果。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2024年4月20日-4月30日，评价小组撰写绩效评价报告，按照新疆维吾尔自治区财政绩效管理信息系统绩效评价模块中统一格式和文本框架撰写绩效评价报告并提交审核。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117AFBDF">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02D57F6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了强制免疫病种应免畜禽的免疫密度达到99.165%、包虫病疫区犬的驱虫数量10.2883万条次、依法对重大动物疫情处置率达到100%、免疫质量和免疫效果（除布病外其他强制免疫病种的平均免疫抗体合格率）达到90.13%的产出目标，发挥了有效确保口蹄疫、高致病性禽流感、布病、包虫病等优先防治病种防治工作及无资金使用重大违规违纪问题的良好社会效益。但在实施过程中也存在一些不足：通过政府采购节省了项目资金，资金存在结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20个，实现三级指标数量17个，总体完成率为85.00%。最终评分结果：总分为99.19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项目决策类指标共设置6个，满分指标5个，得分率97.14%；</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过程管理类指标共设置5个，满分指标4个，得分率99.44%；</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项目产出类指标共设置6个，满分指标5个，得分率99.65%；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项目效益类指标共设置4个，满分指标4个，得分率100.00%。</w:t>
      </w:r>
    </w:p>
    <w:p w14:paraId="6864ABFD">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5C8BB730">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14EA478F">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项目决策类指标由3个二级指标和6个三级指标构成，权重分21.00分，实际得分20.40分。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关于做好2023年度重大动物疫病疫苗招标采购工作的指导意见》（新防重办字[2022]25号）“强制免疫是重大动物疫病防控的重要基础性工作，为进一步加强重大动物疫病强制免疫疫苗监管工作，确保疫苗质量，构筑有效免疫屏障”的文件精神，符合行业发展规划和政策要求；本项目立项符合《昌吉回族自治州动物疾病预防控制中心单位配置内设机构和人员编制规定》中职责范围中的“负责动物防疫、动物疫情的检测，预警预报，动物防疫体系指导工作。”，属于我单位履职所需；根据《财政资金直接支付申请书》，本项目资金性质为“公共财政预算”功能分类为“2130108病虫害控制”经济分类为“30218专用材料费”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做好2023年度重大动物疫病疫苗招标采购工作的指导意见》（新防重办字[2022]25号）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采购禽流感疫苗、口蹄疫疫苗和小反刍兽疫等疫苗一批，采购防疫物资一批；全面推进规模化场先打后补工作的开展，确保2025年政采苗退出市场；确保无纸化防疫平台运行、数据运用和领导决策分析等；全年完成动物疫病防控血清学、病原学样品监测3万份次。”；本项目实际工作内容为：进行重大动物疫苗的采购、贮藏、保管及运输，昌吉州动物疾病预防控制中心负责疫苗的贮藏、保管运输及调拨各县市，建立健全疫苗出入库制度。对各县市进行两次重大动物疫病集中监测，及时报送监测结果报告。绩效目标与实际工作内容一致，两者具有相关性;本项目按照绩效目标完成了数量指标、质量指标、时效指标、成本指标，有效保障了口蹄疫、高致病性禽流感、布病、包虫病等优先防治病种防治工作顺利开展，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3个，二级指标5个，三级指标9个，定量指标6个，定性指标3个，指标量化率为66.67%，量化率未达70.00%，根据评分标准扣0.60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综上所述，本指标满分为3.00分，根据评分标准得2.40分，本项目所设置绩效指标较明确。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本项目根据《关于做好2023年度重大动物疫病疫苗招标采购工作的指导意见》（新防重办字[2022]25号）</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州农业农村局《2023年昌吉州重大动物疫病疫苗采购工作方案》制订《2023年昌吉州动物疫苗招标采购项目实施方案》，即预算编制较科学且经过论证；预算申请内容为动物疫苗招标采购，项目实际内容为动物疫苗招标采购，预算申请与《2023年昌吉州动物疫苗招标采购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本项目预算申请资金1254.32万元，本项目预算额度测算依据充分，严格按照标准编制，预算确定资金量与实际工作任务相匹配；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提前下达2023年中央动物防疫等补助经费预算的通知》（昌州财发〔2022〕61号）、《关于提前下达2023年自治区动物防疫补助资金预算的通知》（昌州财发〔2022〕61号）、《关于提前下达2022年中央动物防疫等补助经费预算的通知》（昌州财发〔2021〕76号）和《2023年昌吉州动物疫苗招标采购工作项目实施方案》为依据进行资金分配，预算资金分配依据充分。根据《关于提前下达2023年中央动物防疫等补助经费预算的通知》（昌州财发〔2022〕61号）、《关于提前下达2023年自治区动物防疫补助资金预算的通知》（昌州财发〔2022〕61号）、《关于提前下达2022年中央动物防疫等补助经费预算的通知》（昌州财发〔2021〕76号）文件显示，本项目实际到位资金1254.32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09890CB3">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26D3BFEF">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项目过程管理类指标由2个二级指标和5个三级指标构成，权重分20.00分，实际得分19.89分。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本项目预算资金为1254.32万元，其中：中央财政安排资金1018.6万元，其他资金235.7251万元，实际到位资金1254.32万元，资金到位率=（实际到位资金/预算资金）×100.00%=100%得分=资金到位率*分值=100%*4=4分。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本项目实际支出资金1227.72万元，预算执行率=（实际支出资金/实际到位资金）×100.00%=97.88%。得分=预算执行率*分值=97.88%*5=4.89分。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综上所述，本指标满分为5.00分，根据评分标准得4.89分，本项目资金分配合理。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动物疾病预防控制中心单位资金管理办法》《中昂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项目过程管理类指标由2个二级指标和5个三级指标构成，权重分19.00分，实际得分18.89分。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1254.32万元，其中：中央财政安排资金1254.32万元，其他资金0.00万元，实际到位资金1254.32万元，资金到位率=（实际到位资金/预算资金）×100.00%=（1254.32/1254.32）×100.00%=100%得分=资金到位率*分值=100%*3.00=3.00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本项目实际支出资金1227.72万元，预算执行率=（实际支出资金/实际到位资金）×100.00%=（1227.72/1254.32）×100.00%=97.88%。得分=预算执行率*分值=97.88%*5.00=4.89分。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综上所述，本指标满分为5.00分，根据评分标准得4.89分，本项目资金分配合理。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动物疾病预防控制中心单位资金管理办法》《中央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绩效评价管理制度》《预算业务相关制度》《昌吉州动物疾控中心财务管理制度》《昌吉州动物疾控中心支出管理制度》《昌吉州动物疾控中心项目管理办法》，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项目实施评价工作领导小组，由防疫科科长蒲文兵任组长，负责项目的组织工作；米拉别克任副组长，负责项目的实施工作；组员包括：刘景难，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5D4CE4B5">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25217E4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（三）项目产出情况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项目产出类指标由4个二级指标和5个三级指标构成，权重分30.0分，实际得分29.89分。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“强制免疫病种应免畜禽的免疫密度”指标，预期指标值为“大于等于90%”，根据2023年动物防疫工作总结可知，实际畜禽免疫密度为99.165%，指标完成率为100.00%。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综上所述，本指标满分为7.00分，根据评分标准得7.00分。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“完成包虫病疫区犬的驱虫数量”指标，预期指标值为“大于等于8万条次”,根据免疫密度说明可知，实际完成犬驱虫数量10.2883万条次，指标完成率为100.00%。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综上所述，本指标满分为8.00分，根据评分标准得8.00分。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“中央财政补助经费使用率”指标，预期指标值为“等于100.00%”，根据中央动物防疫补助资金支出明细可知，实际执行率97.88%，指标完成率为97.88%。资金执行存在偏差原因为通过政府采购节约了项目资金。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综上所述，本指标满分为5.00分，根据评分标准得4.89分。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“依法对重大动物疫情处置率”指标，预期指标值为“等于100%”，根据2023年防疫工作总结可知，实际处置率为100%，指标完成率为100.00%。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免疫质量和免疫效果（除布病外其他强制免疫病种的平均免疫抗体合格率）”指标，预期指标值为“大于等于70%”，根据2023年动物疫病监测及流行病学调查分析评估报告（上半年、下半年）可知，实际平均免疫抗体合格率为90.13%，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p>
    <w:p w14:paraId="36C1DA19">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79EE4C6F">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（四）项目效益情况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项目效益类指标由3个二级指标和4个三级指标构成，权重分30.00分，实际得分30.00分。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“口蹄疫、高致病性禽流感、布病、包虫病等优先防治病种工作是否保障”指标，预期指标值为“有效确保”，根据2023防疫工作总结可知，实际完成值为“有效确保”，指标完成率为100.00%。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“资金使用重大违规违纪问题”指标，预期指标值为“无”，根据2023防疫工作总结可知，实际完成值为“无”，指标完成率为100.00%。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综上所述，本指标满分为7.00分，根据评分标准得7.00分。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“有无大规模随意抛弃畜禽事件”指标，预期指标值为“无”，根据2023防疫工作总结可知，实际完成值为“无”，指标完成率为100.00%。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综上所述，本指标满分为7.00分，根据评分标准得7.00分。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“养殖场户满意度”指标，预期指标值为“大于等于90.00%”，根据问卷调查统计结果可知，实际完成值为养殖户满意度达100.00%，指标完成率为100.00%。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43FDCAA5">
      <w:pPr>
        <w:spacing w:line="540" w:lineRule="exact"/>
        <w:ind w:firstLine="567"/>
        <w:rPr>
          <w:rStyle w:val="18"/>
          <w:rFonts w:ascii="楷体" w:hAnsi="楷体" w:eastAsia="楷体"/>
          <w:spacing w:val="-4"/>
          <w:sz w:val="32"/>
          <w:szCs w:val="32"/>
        </w:rPr>
      </w:pPr>
    </w:p>
    <w:p w14:paraId="2EB1A9DF">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66A64E3D">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2023年中央动物防疫项目预算金额1254.32万元，实际到位1254.32万元，实际支出1227.72万元，预算执行率为97.88%。</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本项目共设置三级指标数量9个，满分指标数量8个，扣分指标数量1个，经分析计算所有三级指标完成率得出，本项目总体完成率为99.76%。</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综上所述本项目预算执行进度与总体完成进度之间的偏差为1.88%。主要偏差原因是：通过政府采购节省项目资金导致结余。</w:t>
      </w:r>
    </w:p>
    <w:p w14:paraId="520B60A7">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24A384EF">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1.聚焦重点任务，推动项目工作落地落实</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有效推进项目工作开展，提高财政资金使用效益，项目领导小组进一步强化项目意识，县财政局建立了奖励扶助专户，建立健全奖励扶助经费管理制度，督促实施单位严格实行“三专”管理，即设专户、建专帐、定专人，明确责任和时间节点，一项一项抓好具体落实，确保了项目按时保质完成，保障了项目效益发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2.坚持问题导向，加强执行监控，提高资金效益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3.强化绩效目标刚性约束，及时对项目进行跟踪问效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按季度上报目标任务进展情况，分管领导督促业务科室积极开展动物防疫检查、集中监测等工作，春、秋两季指导县市开展动物防疫工作；日常由科室领导、分管领导根据业务考核指标对全州各县市进行检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在项目经费的支持下，州动物疾病预防控制中心及时将各类疫苗保质保量的配送至各县市，保障了动物防疫工作的顺利开展，且州级实验室进一步加大了病原学检测，全面掌握了我州重大动物疫病免疫情况，及时了解了动物防疫的薄弱环节，及时掌握了疫情动态，为消除疫情隐患，发布预警预报提供了科学的数据支撑，极大的提高了我州重大动物疫病防控的预警预报能力，有效为养殖场（户）增收提供技术保障，有效提高养殖效益，保障我州畜牧业快速、稳定、健康发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1.部分乡镇对防疫工作重视程度不够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县市人民政府属地管理责任落实不到位，未将重大动物疫病防疫工作纳入重要议事议程，对畜牧业“两大安全”重要性认识不足，“重生产，轻安全”的思想依然存在。二是乡镇级防疫工作无人监管，部分乡镇领导不够重视，特别是畜牧兽医专业人员的设置、办公场所、人员数量和仪器设备等都落实不到位，各乡镇人员调动频繁，人员编制满负荷，现有专业技术人员老龄化严重。三是县市动物防疫专项资金缺乏，部分县市本级未安排动物防疫资金，仅靠中央、自治区、州本级下拨资金，用于重大动物疫病防控资金少之又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2.防疫意识淡薄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我州规模化养殖程度不高，仅有畜禽规模养殖场326家，中小散养户占较大比例，主动防疫意识不强，引发动物疫病风险较高。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3.项目支出绩效评价存在局限，客观性有待加强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02FBE04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2C7F822B">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 xml:space="preserve"> 1.加强领导，落实属地管理责任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将动物防疫工作纳入安全生产工作考核指标中，实行党政同责，过程化管理，目标化考核，加大权重分值，对不作为、慢作为、乱作为等行为，导致严重后果的，依法依规追责问责。二是县市人民政府要落实动物防疫工作属地管理责任，加强动物防疫体系和能力建设，每年专题研究和安排部署重大动物疫病防控工作不少于2次，专题调研活动不少于1次。三是健全动物防疫经费保障机制，各县市要将动物防疫经费纳入县级财政预算，足额保障动物防疫、检疫检测、监督执法和应急处置等工作正常开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2.强化宣传，营造良好防疫氛围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面开展“昌吉州千名农业科技人才服务乡村振兴行动”，充分利用畜牧兽医专家技术服务团下基层，通过集中培训座谈、现场操作演示、互动答疑和信息咨询等灵活多样的服务形式，开展动物疫病防控知识宣传和服务指导，充分发挥专家技术效能最大化，更加灵活的服务于基层，解决技术难题和基层困难，为群众办实事好事。同时，通过给农牧民发放动物疫病防治、人畜共患病防控和致广大农牧民的一封信等宣传资料，提高广大群众防疫意识和群众知晓率，营造群防群控的良好氛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3.扎实推进档案规范化建设，提升档案管理水平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p>
    <w:p w14:paraId="71170DFC">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760CE62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6F34ED05">
      <w:pPr>
        <w:spacing w:line="540" w:lineRule="exact"/>
        <w:ind w:firstLine="567"/>
        <w:rPr>
          <w:rStyle w:val="18"/>
          <w:rFonts w:ascii="仿宋" w:hAnsi="仿宋" w:eastAsia="仿宋"/>
          <w:b w:val="0"/>
          <w:spacing w:val="-4"/>
          <w:sz w:val="32"/>
          <w:szCs w:val="32"/>
        </w:rPr>
      </w:pPr>
    </w:p>
    <w:p w14:paraId="7619FD9D">
      <w:pPr>
        <w:spacing w:line="540" w:lineRule="exact"/>
        <w:ind w:firstLine="567"/>
        <w:rPr>
          <w:rStyle w:val="18"/>
          <w:rFonts w:ascii="仿宋" w:hAnsi="仿宋" w:eastAsia="仿宋"/>
          <w:b w:val="0"/>
          <w:spacing w:val="-4"/>
          <w:sz w:val="32"/>
          <w:szCs w:val="32"/>
        </w:rPr>
      </w:pPr>
    </w:p>
    <w:p w14:paraId="2D21C52C">
      <w:pPr>
        <w:spacing w:line="540" w:lineRule="exact"/>
        <w:ind w:firstLine="567"/>
        <w:rPr>
          <w:rStyle w:val="18"/>
          <w:rFonts w:ascii="仿宋" w:hAnsi="仿宋" w:eastAsia="仿宋"/>
          <w:b w:val="0"/>
          <w:spacing w:val="-4"/>
          <w:sz w:val="32"/>
          <w:szCs w:val="32"/>
        </w:rPr>
      </w:pPr>
    </w:p>
    <w:p w14:paraId="61F94BA6">
      <w:pPr>
        <w:spacing w:line="540" w:lineRule="exact"/>
        <w:ind w:firstLine="567"/>
        <w:rPr>
          <w:rStyle w:val="18"/>
          <w:rFonts w:ascii="仿宋" w:hAnsi="仿宋" w:eastAsia="仿宋"/>
          <w:b w:val="0"/>
          <w:spacing w:val="-4"/>
          <w:sz w:val="32"/>
          <w:szCs w:val="32"/>
        </w:rPr>
      </w:pPr>
    </w:p>
    <w:p w14:paraId="4F73A71B">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069963-9148-4212-B1EF-64A883AB9B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DD7E4BB-B002-400F-9B80-8A0654AD21B7}"/>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20D4E99A-5339-4D41-817B-8FD761B4873E}"/>
  </w:font>
  <w:font w:name="华文中宋">
    <w:panose1 w:val="02010600040101010101"/>
    <w:charset w:val="86"/>
    <w:family w:val="auto"/>
    <w:pitch w:val="default"/>
    <w:sig w:usb0="00000287" w:usb1="080F0000" w:usb2="00000000" w:usb3="00000000" w:csb0="0004009F" w:csb1="DFD70000"/>
    <w:embedRegular r:id="rId4" w:fontKey="{EFDECE16-8779-4D56-B109-090FCEFF1192}"/>
  </w:font>
  <w:font w:name="方正小标宋_GBK">
    <w:panose1 w:val="02000000000000000000"/>
    <w:charset w:val="86"/>
    <w:family w:val="script"/>
    <w:pitch w:val="default"/>
    <w:sig w:usb0="A00002BF" w:usb1="38CF7CFA" w:usb2="00082016" w:usb3="00000000" w:csb0="00040001" w:csb1="00000000"/>
    <w:embedRegular r:id="rId5" w:fontKey="{EEBE1AE1-157C-4610-90FF-E8DCAFE9D78D}"/>
  </w:font>
  <w:font w:name="仿宋_GB2312">
    <w:altName w:val="仿宋"/>
    <w:panose1 w:val="00000000000000000000"/>
    <w:charset w:val="86"/>
    <w:family w:val="modern"/>
    <w:pitch w:val="default"/>
    <w:sig w:usb0="00000000" w:usb1="00000000" w:usb2="00000010" w:usb3="00000000" w:csb0="00040000" w:csb1="00000000"/>
    <w:embedRegular r:id="rId6" w:fontKey="{C4EDEC0F-D5E2-4407-B692-E17D1B42A508}"/>
  </w:font>
  <w:font w:name="楷体">
    <w:panose1 w:val="02010609060101010101"/>
    <w:charset w:val="86"/>
    <w:family w:val="modern"/>
    <w:pitch w:val="default"/>
    <w:sig w:usb0="800002BF" w:usb1="38CF7CFA" w:usb2="00000016" w:usb3="00000000" w:csb0="00040001" w:csb1="00000000"/>
    <w:embedRegular r:id="rId7" w:fontKey="{C933466E-5603-4EB6-B0DD-14CA213000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CF86503">
        <w:pPr>
          <w:pStyle w:val="12"/>
          <w:jc w:val="center"/>
        </w:pPr>
        <w:r>
          <w:fldChar w:fldCharType="begin"/>
        </w:r>
        <w:r>
          <w:instrText xml:space="preserve">PAGE   \* MERGEFORMAT</w:instrText>
        </w:r>
        <w:r>
          <w:fldChar w:fldCharType="separate"/>
        </w:r>
        <w:r>
          <w:rPr>
            <w:lang w:val="zh-CN"/>
          </w:rPr>
          <w:t>2</w:t>
        </w:r>
        <w:r>
          <w:fldChar w:fldCharType="end"/>
        </w:r>
      </w:p>
    </w:sdtContent>
  </w:sdt>
  <w:p w14:paraId="6A68B795">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44030C8"/>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12615</Words>
  <Characters>13749</Characters>
  <Lines>4</Lines>
  <Paragraphs>1</Paragraphs>
  <TotalTime>2</TotalTime>
  <ScaleCrop>false</ScaleCrop>
  <LinksUpToDate>false</LinksUpToDate>
  <CharactersWithSpaces>13766</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小麦啾</cp:lastModifiedBy>
  <cp:lastPrinted>2018-12-31T10:56:00Z</cp:lastPrinted>
  <dcterms:modified xsi:type="dcterms:W3CDTF">2026-04-01T09:09:05Z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C734C92AAAF24344A0E4232D8EB3359B</vt:lpwstr>
  </property>
  <property fmtid="{D5CDD505-2E9C-101B-9397-08002B2CF9AE}" pid="4" name="KSOTemplateDocerSaveRecord">
    <vt:lpwstr>eyJoZGlkIjoiZGZmMjg3MDQ2MzExNDk0OWY5M2UwNzBmOWViMDBkMGMiLCJ1c2VySWQiOiIzMjQ5NjUzODcifQ==</vt:lpwstr>
  </property>
</Properties>
</file>