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7EB04AC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bookmarkStart w:id="0" w:name="_GoBack"/>
      <w:r>
        <w:rPr>
          <w:rFonts w:hint="eastAsia" w:ascii="方正小标宋_GBK" w:hAnsi="宋体" w:eastAsia="方正小标宋_GBK"/>
          <w:sz w:val="44"/>
          <w:szCs w:val="44"/>
          <w:highlight w:val="none"/>
          <w:lang w:val="en-US" w:eastAsia="zh-CN"/>
        </w:rPr>
        <w:t>中共昌吉回族自治州委员会社会工作部</w:t>
      </w:r>
    </w:p>
    <w:bookmarkEnd w:id="0"/>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1FB7C5D">
      <w:r>
        <w:br w:type="page"/>
      </w:r>
    </w:p>
    <w:p w14:paraId="262E1C12">
      <w:pPr>
        <w:spacing w:line="640" w:lineRule="exact"/>
        <w:jc w:val="center"/>
        <w:outlineLvl w:val="1"/>
      </w:pPr>
      <w:r>
        <w:rPr>
          <w:rFonts w:ascii="黑体" w:hAnsi="黑体" w:eastAsia="黑体"/>
          <w:sz w:val="32"/>
        </w:rPr>
        <w:t>第一部分 单位概况</w:t>
      </w:r>
    </w:p>
    <w:p w14:paraId="09E88D06">
      <w:pPr>
        <w:spacing w:line="640" w:lineRule="exact"/>
        <w:ind w:firstLine="640"/>
        <w:jc w:val="both"/>
        <w:outlineLvl w:val="2"/>
      </w:pPr>
      <w:r>
        <w:rPr>
          <w:rFonts w:ascii="黑体" w:hAnsi="黑体" w:eastAsia="黑体"/>
          <w:sz w:val="32"/>
        </w:rPr>
        <w:t>一、主要职能</w:t>
      </w:r>
    </w:p>
    <w:p w14:paraId="0566ED29">
      <w:pPr>
        <w:spacing w:line="580" w:lineRule="exact"/>
        <w:ind w:firstLine="640"/>
        <w:jc w:val="both"/>
      </w:pPr>
      <w:r>
        <w:rPr>
          <w:rFonts w:ascii="仿宋_GB2312" w:hAnsi="仿宋_GB2312" w:eastAsia="仿宋_GB2312"/>
          <w:sz w:val="32"/>
        </w:rPr>
        <w:t>本单位主要职能SM不予公开。</w:t>
      </w:r>
    </w:p>
    <w:p w14:paraId="2E1C7CEC">
      <w:pPr>
        <w:spacing w:line="640" w:lineRule="exact"/>
        <w:ind w:firstLine="640"/>
        <w:jc w:val="both"/>
        <w:outlineLvl w:val="2"/>
      </w:pPr>
      <w:r>
        <w:rPr>
          <w:rFonts w:ascii="黑体" w:hAnsi="黑体" w:eastAsia="黑体"/>
          <w:sz w:val="32"/>
        </w:rPr>
        <w:t>二、机构设置及人员情况</w:t>
      </w:r>
    </w:p>
    <w:p w14:paraId="70A5A2C1">
      <w:pPr>
        <w:spacing w:line="580" w:lineRule="exact"/>
        <w:ind w:firstLine="640"/>
        <w:jc w:val="both"/>
      </w:pPr>
      <w:r>
        <w:rPr>
          <w:rFonts w:ascii="仿宋_GB2312" w:hAnsi="仿宋_GB2312" w:eastAsia="仿宋_GB2312"/>
          <w:sz w:val="32"/>
        </w:rPr>
        <w:t>中共昌吉回族自治州委员会社会工作部2024年度，实有人数12人，其中：在职人员12人，增加12人；离休人员0人，增加0人；退休人员0人,增加0人。</w:t>
      </w:r>
    </w:p>
    <w:p w14:paraId="6F382BE2">
      <w:pPr>
        <w:spacing w:line="580" w:lineRule="exact"/>
        <w:ind w:firstLine="640"/>
        <w:jc w:val="both"/>
      </w:pPr>
      <w:r>
        <w:rPr>
          <w:rFonts w:ascii="仿宋_GB2312" w:hAnsi="仿宋_GB2312" w:eastAsia="仿宋_GB2312"/>
          <w:sz w:val="32"/>
        </w:rPr>
        <w:t>中共昌吉回族自治州委员会社会工作部无下属预算单位，下设4个科室，分别是：办公室（干部科）、党建引领基层治理和基层政权建设科、社会工作服务和志愿服务科、两企三新党建和行业协会商会科。</w:t>
      </w:r>
    </w:p>
    <w:p w14:paraId="15A279E5">
      <w:r>
        <w:br w:type="page"/>
      </w:r>
    </w:p>
    <w:p w14:paraId="46A037A9">
      <w:pPr>
        <w:spacing w:line="240" w:lineRule="auto"/>
        <w:jc w:val="center"/>
        <w:outlineLvl w:val="1"/>
      </w:pPr>
      <w:r>
        <w:rPr>
          <w:rFonts w:ascii="黑体" w:hAnsi="黑体" w:eastAsia="黑体"/>
          <w:sz w:val="32"/>
        </w:rPr>
        <w:t>第二部分 部门决算情况说明</w:t>
      </w:r>
    </w:p>
    <w:p w14:paraId="79ABF53F">
      <w:pPr>
        <w:spacing w:line="640" w:lineRule="exact"/>
        <w:ind w:firstLine="640"/>
        <w:jc w:val="both"/>
        <w:outlineLvl w:val="2"/>
      </w:pPr>
      <w:r>
        <w:rPr>
          <w:rFonts w:ascii="黑体" w:hAnsi="黑体" w:eastAsia="黑体"/>
          <w:sz w:val="32"/>
        </w:rPr>
        <w:t>一、收入支出决算总体情况说明</w:t>
      </w:r>
    </w:p>
    <w:p w14:paraId="770A54DB">
      <w:pPr>
        <w:spacing w:line="580" w:lineRule="exact"/>
        <w:ind w:firstLine="640"/>
        <w:jc w:val="both"/>
      </w:pPr>
      <w:r>
        <w:rPr>
          <w:rFonts w:ascii="仿宋_GB2312" w:hAnsi="仿宋_GB2312" w:eastAsia="仿宋_GB2312"/>
          <w:b/>
          <w:sz w:val="32"/>
        </w:rPr>
        <w:t>2024年度收入总计121.39万元，</w:t>
      </w:r>
      <w:r>
        <w:rPr>
          <w:rFonts w:ascii="仿宋_GB2312" w:hAnsi="仿宋_GB2312" w:eastAsia="仿宋_GB2312"/>
          <w:b w:val="0"/>
          <w:sz w:val="32"/>
        </w:rPr>
        <w:t>其中：本年收入合计121.39万元，使用非财政拨款结余（含专用结余）0.00万元，年初结转和结余0.00万元。</w:t>
      </w:r>
    </w:p>
    <w:p w14:paraId="1037E217">
      <w:pPr>
        <w:spacing w:line="580" w:lineRule="exact"/>
        <w:ind w:firstLine="640"/>
        <w:jc w:val="both"/>
      </w:pPr>
      <w:r>
        <w:rPr>
          <w:rFonts w:ascii="仿宋_GB2312" w:hAnsi="仿宋_GB2312" w:eastAsia="仿宋_GB2312"/>
          <w:b/>
          <w:sz w:val="32"/>
        </w:rPr>
        <w:t>2024年度支出总计121.39万元，</w:t>
      </w:r>
      <w:r>
        <w:rPr>
          <w:rFonts w:ascii="仿宋_GB2312" w:hAnsi="仿宋_GB2312" w:eastAsia="仿宋_GB2312"/>
          <w:b w:val="0"/>
          <w:sz w:val="32"/>
        </w:rPr>
        <w:t>其中：本年支出合计121.39万元，结余分配0.00万元，年末结转和结余0.00万元。</w:t>
      </w:r>
    </w:p>
    <w:p w14:paraId="204410DE">
      <w:pPr>
        <w:spacing w:line="580" w:lineRule="exact"/>
        <w:ind w:firstLine="640"/>
        <w:jc w:val="both"/>
      </w:pPr>
      <w:r>
        <w:rPr>
          <w:rFonts w:ascii="仿宋_GB2312" w:hAnsi="仿宋_GB2312" w:eastAsia="仿宋_GB2312"/>
          <w:b w:val="0"/>
          <w:sz w:val="32"/>
        </w:rPr>
        <w:t>收入支出总体与上年相比，增加121.39万元，增长100.00%，主要原因是：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7DB685F4">
      <w:pPr>
        <w:spacing w:line="640" w:lineRule="exact"/>
        <w:ind w:firstLine="640"/>
        <w:jc w:val="both"/>
        <w:outlineLvl w:val="2"/>
      </w:pPr>
      <w:r>
        <w:rPr>
          <w:rFonts w:ascii="黑体" w:hAnsi="黑体" w:eastAsia="黑体"/>
          <w:sz w:val="32"/>
        </w:rPr>
        <w:t>二、收入决算情况说明</w:t>
      </w:r>
    </w:p>
    <w:p w14:paraId="5D5215D6">
      <w:pPr>
        <w:spacing w:line="580" w:lineRule="exact"/>
        <w:ind w:firstLine="640"/>
        <w:jc w:val="both"/>
      </w:pPr>
      <w:r>
        <w:rPr>
          <w:rFonts w:ascii="仿宋_GB2312" w:hAnsi="仿宋_GB2312" w:eastAsia="仿宋_GB2312"/>
          <w:b/>
          <w:sz w:val="32"/>
        </w:rPr>
        <w:t>本年收入121.39万元，</w:t>
      </w:r>
      <w:r>
        <w:rPr>
          <w:rFonts w:ascii="仿宋_GB2312" w:hAnsi="仿宋_GB2312" w:eastAsia="仿宋_GB2312"/>
          <w:b w:val="0"/>
          <w:sz w:val="32"/>
        </w:rPr>
        <w:t>其中：财政拨款收入121.39万元，占100.00%；上级补助收入0.00万元，占0.00%；事业收入0.00万元，占0.00%；经营收入0.00万元，占0.00%；附属单位上缴收入0.00万元，占0.00%；其他收入0.00万元，占0.00%。</w:t>
      </w:r>
    </w:p>
    <w:p w14:paraId="4C23B38A">
      <w:pPr>
        <w:spacing w:line="640" w:lineRule="exact"/>
        <w:ind w:firstLine="640"/>
        <w:jc w:val="both"/>
        <w:outlineLvl w:val="2"/>
      </w:pPr>
      <w:r>
        <w:rPr>
          <w:rFonts w:ascii="黑体" w:hAnsi="黑体" w:eastAsia="黑体"/>
          <w:sz w:val="32"/>
        </w:rPr>
        <w:t>三、支出决算情况说明</w:t>
      </w:r>
    </w:p>
    <w:p w14:paraId="3237BC75">
      <w:pPr>
        <w:spacing w:line="580" w:lineRule="exact"/>
        <w:ind w:firstLine="640"/>
        <w:jc w:val="both"/>
      </w:pPr>
      <w:r>
        <w:rPr>
          <w:rFonts w:ascii="仿宋_GB2312" w:hAnsi="仿宋_GB2312" w:eastAsia="仿宋_GB2312"/>
          <w:b/>
          <w:sz w:val="32"/>
        </w:rPr>
        <w:t>本年支出121.39万元，</w:t>
      </w:r>
      <w:r>
        <w:rPr>
          <w:rFonts w:ascii="仿宋_GB2312" w:hAnsi="仿宋_GB2312" w:eastAsia="仿宋_GB2312"/>
          <w:b w:val="0"/>
          <w:sz w:val="32"/>
        </w:rPr>
        <w:t>其中：基本支出53.30万元，占43.91%；项目支出68.09万元，占56.09%；上缴上级支出0.00万元，占0.00%；经营支出0.00万元，占0.00%；对附属单位补助支出0.00万元，占0.00%。</w:t>
      </w:r>
    </w:p>
    <w:p w14:paraId="72734D64">
      <w:pPr>
        <w:spacing w:line="640" w:lineRule="exact"/>
        <w:ind w:firstLine="640"/>
        <w:jc w:val="both"/>
        <w:outlineLvl w:val="2"/>
      </w:pPr>
      <w:r>
        <w:rPr>
          <w:rFonts w:ascii="黑体" w:hAnsi="黑体" w:eastAsia="黑体"/>
          <w:sz w:val="32"/>
        </w:rPr>
        <w:t>四、财政拨款收入支出决算总体情况说明</w:t>
      </w:r>
    </w:p>
    <w:p w14:paraId="4C121666">
      <w:pPr>
        <w:spacing w:line="580" w:lineRule="exact"/>
        <w:ind w:firstLine="640"/>
        <w:jc w:val="both"/>
      </w:pPr>
      <w:r>
        <w:rPr>
          <w:rFonts w:ascii="仿宋_GB2312" w:hAnsi="仿宋_GB2312" w:eastAsia="仿宋_GB2312"/>
          <w:b/>
          <w:sz w:val="32"/>
        </w:rPr>
        <w:t>2024年度财政拨款收入总计121.39万元，</w:t>
      </w:r>
      <w:r>
        <w:rPr>
          <w:rFonts w:ascii="仿宋_GB2312" w:hAnsi="仿宋_GB2312" w:eastAsia="仿宋_GB2312"/>
          <w:b w:val="0"/>
          <w:sz w:val="32"/>
        </w:rPr>
        <w:t>其中：年初财政拨款结转和结余0.00万元，本年财政拨款收入121.39万元。</w:t>
      </w:r>
      <w:r>
        <w:rPr>
          <w:rFonts w:ascii="仿宋_GB2312" w:hAnsi="仿宋_GB2312" w:eastAsia="仿宋_GB2312"/>
          <w:b/>
          <w:sz w:val="32"/>
        </w:rPr>
        <w:t>财政拨款支出总计121.39万元，</w:t>
      </w:r>
      <w:r>
        <w:rPr>
          <w:rFonts w:ascii="仿宋_GB2312" w:hAnsi="仿宋_GB2312" w:eastAsia="仿宋_GB2312"/>
          <w:b w:val="0"/>
          <w:sz w:val="32"/>
        </w:rPr>
        <w:t>其中：年末财政拨款结转和结余0.00万元，本年财政拨款支出121.39万元。</w:t>
      </w:r>
    </w:p>
    <w:p w14:paraId="11F01E6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增加121.39万元，增长100.00%，主要原因是：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r>
        <w:rPr>
          <w:rFonts w:ascii="仿宋_GB2312" w:hAnsi="仿宋_GB2312" w:eastAsia="仿宋_GB2312"/>
          <w:b/>
          <w:sz w:val="32"/>
        </w:rPr>
        <w:t>与年初预算相比，</w:t>
      </w:r>
      <w:r>
        <w:rPr>
          <w:rFonts w:ascii="仿宋_GB2312" w:hAnsi="仿宋_GB2312" w:eastAsia="仿宋_GB2312"/>
          <w:b w:val="0"/>
          <w:sz w:val="32"/>
        </w:rPr>
        <w:t>年初预算数0.00万元，决算数121.39万元，预决算差异率100.00%，主要原因是：年中追加人员工资、社保、公积金基数调增部分资金，年中追加州党委社会工作部开办经费，导致预决算存在差异。</w:t>
      </w:r>
    </w:p>
    <w:p w14:paraId="16D6C7C2">
      <w:pPr>
        <w:spacing w:line="640" w:lineRule="exact"/>
        <w:ind w:firstLine="640"/>
        <w:jc w:val="both"/>
        <w:outlineLvl w:val="2"/>
      </w:pPr>
      <w:r>
        <w:rPr>
          <w:rFonts w:ascii="黑体" w:hAnsi="黑体" w:eastAsia="黑体"/>
          <w:sz w:val="32"/>
        </w:rPr>
        <w:t>五、一般公共预算财政拨款支出决算情况说明</w:t>
      </w:r>
    </w:p>
    <w:p w14:paraId="0ED1E370">
      <w:pPr>
        <w:spacing w:line="640" w:lineRule="exact"/>
        <w:ind w:firstLine="640"/>
        <w:jc w:val="both"/>
        <w:outlineLvl w:val="3"/>
      </w:pPr>
      <w:r>
        <w:rPr>
          <w:rFonts w:ascii="楷体_GB2312" w:hAnsi="楷体_GB2312" w:eastAsia="楷体_GB2312"/>
          <w:b/>
          <w:sz w:val="32"/>
        </w:rPr>
        <w:t>（一）一般公共预算财政拨款支出决算总体情况</w:t>
      </w:r>
    </w:p>
    <w:p w14:paraId="0BAA1935">
      <w:pPr>
        <w:spacing w:line="580" w:lineRule="exact"/>
        <w:ind w:firstLine="640"/>
        <w:jc w:val="both"/>
      </w:pPr>
      <w:r>
        <w:rPr>
          <w:rFonts w:ascii="仿宋_GB2312" w:hAnsi="仿宋_GB2312" w:eastAsia="仿宋_GB2312"/>
          <w:b/>
          <w:sz w:val="32"/>
        </w:rPr>
        <w:t>2024年度一般公共预算财政拨款支出121.39万元，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增加121.39万元，增长100.00%，主要原因是：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r>
        <w:rPr>
          <w:rFonts w:ascii="仿宋_GB2312" w:hAnsi="仿宋_GB2312" w:eastAsia="仿宋_GB2312"/>
          <w:b/>
          <w:sz w:val="32"/>
        </w:rPr>
        <w:t>与年初预算相比,</w:t>
      </w:r>
      <w:r>
        <w:rPr>
          <w:rFonts w:ascii="仿宋_GB2312" w:hAnsi="仿宋_GB2312" w:eastAsia="仿宋_GB2312"/>
          <w:b w:val="0"/>
          <w:sz w:val="32"/>
        </w:rPr>
        <w:t>年初预算数0.00万元，决算数121.39万元，预决算差异率100.00%，主要原因是：年中追加人员工资、社保、公积金基数调增部分资金，年中追加州党委社会工作部开办经费，导致预决算存在差异。</w:t>
      </w:r>
    </w:p>
    <w:p w14:paraId="2765A6D9">
      <w:pPr>
        <w:spacing w:line="640" w:lineRule="exact"/>
        <w:ind w:firstLine="640"/>
        <w:jc w:val="both"/>
        <w:outlineLvl w:val="3"/>
      </w:pPr>
      <w:r>
        <w:rPr>
          <w:rFonts w:ascii="楷体_GB2312" w:hAnsi="楷体_GB2312" w:eastAsia="楷体_GB2312"/>
          <w:b/>
          <w:sz w:val="32"/>
        </w:rPr>
        <w:t>（二）一般公共预算财政拨款支出决算结构情况</w:t>
      </w:r>
    </w:p>
    <w:p w14:paraId="3993C119">
      <w:pPr>
        <w:spacing w:line="580" w:lineRule="exact"/>
        <w:ind w:firstLine="640"/>
        <w:jc w:val="both"/>
      </w:pPr>
      <w:r>
        <w:rPr>
          <w:rFonts w:ascii="仿宋_GB2312" w:hAnsi="仿宋_GB2312" w:eastAsia="仿宋_GB2312"/>
          <w:b w:val="0"/>
          <w:sz w:val="32"/>
        </w:rPr>
        <w:t>1.一般公共服务支出(类)106.86万元,占88.03%。</w:t>
      </w:r>
    </w:p>
    <w:p w14:paraId="74A23A76">
      <w:pPr>
        <w:spacing w:line="580" w:lineRule="exact"/>
        <w:ind w:firstLine="640"/>
        <w:jc w:val="both"/>
      </w:pPr>
      <w:r>
        <w:rPr>
          <w:rFonts w:ascii="仿宋_GB2312" w:hAnsi="仿宋_GB2312" w:eastAsia="仿宋_GB2312"/>
          <w:b w:val="0"/>
          <w:sz w:val="32"/>
        </w:rPr>
        <w:t>2.社会保障和就业支出(类)7.50万元,占6.18%。</w:t>
      </w:r>
    </w:p>
    <w:p w14:paraId="6741044C">
      <w:pPr>
        <w:spacing w:line="580" w:lineRule="exact"/>
        <w:ind w:firstLine="640"/>
        <w:jc w:val="both"/>
      </w:pPr>
      <w:r>
        <w:rPr>
          <w:rFonts w:ascii="仿宋_GB2312" w:hAnsi="仿宋_GB2312" w:eastAsia="仿宋_GB2312"/>
          <w:b w:val="0"/>
          <w:sz w:val="32"/>
        </w:rPr>
        <w:t>3.卫生健康支出(类)2.67万元,占2.20%。</w:t>
      </w:r>
    </w:p>
    <w:p w14:paraId="7475D9E8">
      <w:pPr>
        <w:spacing w:line="580" w:lineRule="exact"/>
        <w:ind w:firstLine="640"/>
        <w:jc w:val="both"/>
      </w:pPr>
      <w:r>
        <w:rPr>
          <w:rFonts w:ascii="仿宋_GB2312" w:hAnsi="仿宋_GB2312" w:eastAsia="仿宋_GB2312"/>
          <w:b w:val="0"/>
          <w:sz w:val="32"/>
        </w:rPr>
        <w:t>4.住房保障支出(类)4.36万元,占3.59%。</w:t>
      </w:r>
    </w:p>
    <w:p w14:paraId="7EB0341B">
      <w:pPr>
        <w:spacing w:line="640" w:lineRule="exact"/>
        <w:ind w:firstLine="640"/>
        <w:jc w:val="both"/>
        <w:outlineLvl w:val="3"/>
      </w:pPr>
      <w:r>
        <w:rPr>
          <w:rFonts w:ascii="楷体_GB2312" w:hAnsi="楷体_GB2312" w:eastAsia="楷体_GB2312"/>
          <w:b/>
          <w:sz w:val="32"/>
        </w:rPr>
        <w:t>（三）一般公共预算财政拨款支出决算具体情况</w:t>
      </w:r>
    </w:p>
    <w:p w14:paraId="75A7D00F">
      <w:pPr>
        <w:spacing w:line="580" w:lineRule="exact"/>
        <w:ind w:firstLine="640"/>
        <w:jc w:val="both"/>
      </w:pPr>
      <w:r>
        <w:rPr>
          <w:rFonts w:ascii="仿宋_GB2312" w:hAnsi="仿宋_GB2312" w:eastAsia="仿宋_GB2312"/>
          <w:b w:val="0"/>
          <w:sz w:val="32"/>
        </w:rPr>
        <w:t>1.一般公共服务支出(类)社会工作事务(款)行政运行(项):支出决算数为38.76万元，比上年决算增加38.76万元，增长100.00%,主要原因是：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395C0640">
      <w:pPr>
        <w:spacing w:line="580" w:lineRule="exact"/>
        <w:ind w:firstLine="640"/>
        <w:jc w:val="both"/>
      </w:pPr>
      <w:r>
        <w:rPr>
          <w:rFonts w:ascii="仿宋_GB2312" w:hAnsi="仿宋_GB2312" w:eastAsia="仿宋_GB2312"/>
          <w:b w:val="0"/>
          <w:sz w:val="32"/>
        </w:rPr>
        <w:t>2.一般公共服务支出(类)社会工作事务(款)一般行政管理事务(项):支出决算数为68.09万元，比上年决算增加68.09万元，增长100.00%,主要原因是：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388F6581">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3.社会保障和就业支出(类)行政事业单位养老支出(款)机关事业单位基本养老保险缴费支出(项):支出决算数为5.00万元，比上年决算增加5.00万元，增长100.00%,主要原因是：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4ABBF240">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4.社会保障和就业支出(类)行政事业单位养老支出(款)机关事业单位职业年金缴费支出(项):支出决算数为2.50万元，比上年决算增加2.50万元，增长100.00%,主要原因是：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2B40F22A">
      <w:pPr>
        <w:spacing w:line="580" w:lineRule="exact"/>
        <w:ind w:firstLine="640"/>
        <w:jc w:val="both"/>
      </w:pPr>
      <w:r>
        <w:rPr>
          <w:rFonts w:ascii="仿宋_GB2312" w:hAnsi="仿宋_GB2312" w:eastAsia="仿宋_GB2312"/>
          <w:b w:val="0"/>
          <w:sz w:val="32"/>
        </w:rPr>
        <w:t>5.卫生健康支出(类)行政事业单位医疗(款)行政单位医疗(项):支出决算数为2.52万元，比上年决算增加2.52万元，增长100.00%,主要原因是：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383EB5A2">
      <w:pPr>
        <w:spacing w:line="580" w:lineRule="exact"/>
        <w:ind w:firstLine="640"/>
        <w:jc w:val="both"/>
      </w:pPr>
      <w:r>
        <w:rPr>
          <w:rFonts w:ascii="仿宋_GB2312" w:hAnsi="仿宋_GB2312" w:eastAsia="仿宋_GB2312"/>
          <w:b w:val="0"/>
          <w:sz w:val="32"/>
        </w:rPr>
        <w:t>6.卫生健康支出(类)行政事业单位医疗(款)公务员医疗补助(项):支出决算数为0.16万元，比上年决算增加0.16万元，增长100.00%,主要原因是：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20DA2902">
      <w:pPr>
        <w:spacing w:line="580" w:lineRule="exact"/>
        <w:ind w:firstLine="640"/>
        <w:jc w:val="both"/>
      </w:pPr>
      <w:r>
        <w:rPr>
          <w:rFonts w:ascii="仿宋_GB2312" w:hAnsi="仿宋_GB2312" w:eastAsia="仿宋_GB2312"/>
          <w:b w:val="0"/>
          <w:sz w:val="32"/>
        </w:rPr>
        <w:t>7.住房保障支出(类)住房改革支出(款)住房公积金(项):支出决算数为4.36万元，比上年决算增加4.36万元，增长100.00%,主要原因是：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w:t>
      </w:r>
    </w:p>
    <w:p w14:paraId="73A6BAC8">
      <w:pPr>
        <w:spacing w:line="640" w:lineRule="exact"/>
        <w:ind w:firstLine="640"/>
        <w:jc w:val="both"/>
        <w:outlineLvl w:val="2"/>
      </w:pPr>
      <w:r>
        <w:rPr>
          <w:rFonts w:ascii="黑体" w:hAnsi="黑体" w:eastAsia="黑体"/>
          <w:sz w:val="32"/>
        </w:rPr>
        <w:t>六、一般公共预算财政拨款基本支出决算情况说明</w:t>
      </w:r>
    </w:p>
    <w:p w14:paraId="7EE93166">
      <w:pPr>
        <w:spacing w:line="580" w:lineRule="exact"/>
        <w:ind w:firstLine="640"/>
        <w:jc w:val="both"/>
      </w:pPr>
      <w:r>
        <w:rPr>
          <w:rFonts w:ascii="仿宋_GB2312" w:hAnsi="仿宋_GB2312" w:eastAsia="仿宋_GB2312"/>
          <w:b w:val="0"/>
          <w:sz w:val="32"/>
        </w:rPr>
        <w:t>2024年度一般公共预算财政拨款基本支出53.30万元，其中：</w:t>
      </w:r>
      <w:r>
        <w:rPr>
          <w:rFonts w:ascii="仿宋_GB2312" w:hAnsi="仿宋_GB2312" w:eastAsia="仿宋_GB2312"/>
          <w:b/>
          <w:sz w:val="32"/>
        </w:rPr>
        <w:t>人员经费53.30万元，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w:t>
      </w:r>
    </w:p>
    <w:p w14:paraId="0371CCF2">
      <w:pPr>
        <w:spacing w:line="580" w:lineRule="exact"/>
        <w:ind w:firstLine="640"/>
        <w:jc w:val="both"/>
      </w:pPr>
      <w:r>
        <w:rPr>
          <w:rFonts w:ascii="仿宋_GB2312" w:hAnsi="仿宋_GB2312" w:eastAsia="仿宋_GB2312"/>
          <w:b/>
          <w:sz w:val="32"/>
        </w:rPr>
        <w:t>公用经费0.00万元，</w:t>
      </w:r>
      <w:r>
        <w:rPr>
          <w:rFonts w:ascii="仿宋_GB2312" w:hAnsi="仿宋_GB2312" w:eastAsia="仿宋_GB2312"/>
          <w:b w:val="0"/>
          <w:sz w:val="32"/>
        </w:rPr>
        <w:t>包括：无公用经费。</w:t>
      </w:r>
    </w:p>
    <w:p w14:paraId="4EE3C7B3">
      <w:pPr>
        <w:spacing w:line="640" w:lineRule="exact"/>
        <w:ind w:firstLine="640"/>
        <w:jc w:val="both"/>
        <w:outlineLvl w:val="2"/>
      </w:pPr>
      <w:r>
        <w:rPr>
          <w:rFonts w:ascii="黑体" w:hAnsi="黑体" w:eastAsia="黑体"/>
          <w:sz w:val="32"/>
        </w:rPr>
        <w:t>七、政府性基金预算财政拨款收入支出决算情况说明</w:t>
      </w:r>
    </w:p>
    <w:p w14:paraId="39733722">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45D3972">
      <w:pPr>
        <w:spacing w:line="640" w:lineRule="exact"/>
        <w:ind w:firstLine="640"/>
        <w:jc w:val="both"/>
        <w:outlineLvl w:val="2"/>
      </w:pPr>
      <w:r>
        <w:rPr>
          <w:rFonts w:ascii="黑体" w:hAnsi="黑体" w:eastAsia="黑体"/>
          <w:sz w:val="32"/>
        </w:rPr>
        <w:t>八、国有资本经营预算财政拨款收入支出决算情况说明</w:t>
      </w:r>
    </w:p>
    <w:p w14:paraId="08E69CE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82AE536">
      <w:pPr>
        <w:spacing w:line="640" w:lineRule="exact"/>
        <w:ind w:firstLine="640"/>
        <w:jc w:val="both"/>
        <w:outlineLvl w:val="2"/>
      </w:pPr>
      <w:r>
        <w:rPr>
          <w:rFonts w:ascii="黑体" w:hAnsi="黑体" w:eastAsia="黑体"/>
          <w:sz w:val="32"/>
        </w:rPr>
        <w:t>九、财政拨款“三公”经费支出决算情况说明</w:t>
      </w:r>
    </w:p>
    <w:p w14:paraId="02477CB3">
      <w:pPr>
        <w:spacing w:line="580" w:lineRule="exact"/>
        <w:ind w:firstLine="640"/>
        <w:jc w:val="both"/>
      </w:pPr>
      <w:r>
        <w:rPr>
          <w:rFonts w:ascii="仿宋_GB2312" w:hAnsi="仿宋_GB2312" w:eastAsia="仿宋_GB2312"/>
          <w:b/>
          <w:sz w:val="32"/>
        </w:rPr>
        <w:t>2024年度财政拨款“三公”经费支出0.80万元，</w:t>
      </w:r>
      <w:r>
        <w:rPr>
          <w:rFonts w:ascii="仿宋_GB2312" w:hAnsi="仿宋_GB2312" w:eastAsia="仿宋_GB2312"/>
          <w:b w:val="0"/>
          <w:sz w:val="32"/>
        </w:rPr>
        <w:t>比上年增加0.80万元，增长100.00%，主要原因是：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其中：因公出国（境）费支出0.00万元，占0.00%，比上年增加0.00万元，增长0.00%，主要原因是：2024年未安排因公出国（境）费支出。公务用车购置及运行维护费支出0.80万元，占100.00%，比上年增加0.80万元，增长100.00%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是2024年9月新成立的单位，无上年数据。公务接待费支出0.00万元，占0.00%，比上年增加0.00万元，增长0.00%，主要原因是：2024年未安排公务接待费支出。</w:t>
      </w:r>
    </w:p>
    <w:p w14:paraId="5902FDF7">
      <w:pPr>
        <w:spacing w:line="580" w:lineRule="exact"/>
        <w:ind w:firstLine="640"/>
        <w:jc w:val="both"/>
      </w:pPr>
      <w:r>
        <w:rPr>
          <w:rFonts w:ascii="仿宋_GB2312" w:hAnsi="仿宋_GB2312" w:eastAsia="仿宋_GB2312"/>
          <w:b/>
          <w:sz w:val="32"/>
        </w:rPr>
        <w:t>具体情况如下：</w:t>
      </w:r>
    </w:p>
    <w:p w14:paraId="00E3636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750BD9B">
      <w:pPr>
        <w:spacing w:line="580" w:lineRule="exact"/>
        <w:ind w:firstLine="640"/>
        <w:jc w:val="both"/>
      </w:pPr>
      <w:r>
        <w:rPr>
          <w:rFonts w:ascii="仿宋_GB2312" w:hAnsi="仿宋_GB2312" w:eastAsia="仿宋_GB2312"/>
          <w:b w:val="0"/>
          <w:sz w:val="32"/>
        </w:rPr>
        <w:t>公务用车购置及运行维护费0.80万元，其中：公务用车购置费0.00万元，公务用车运行维护费0.80万元。公务用车运行维护费开支内容包括车辆加油费、维修费、保险费、审车费、过路费等。公务用车购置数0辆，公务用车保有量1辆。国有资产占用情况中固定资产车辆0辆，与公务用车保有量差异原因是：机关事务管理局临时调用车辆，费用由本单位支付。</w:t>
      </w:r>
    </w:p>
    <w:p w14:paraId="44A798B6">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6B1062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0.80万元，决算数0.80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0.80万元，决算数0.80万元，预决算差异率0.00%，主要原因是：严格按照预算执行，预决算无差异。公务接待费全年预算数0.00万元，决算数0.00万元，预决算差异率0.00%，主要原因是：本单位无公务接待费。</w:t>
      </w:r>
    </w:p>
    <w:p w14:paraId="5ACBD69C">
      <w:pPr>
        <w:spacing w:line="640" w:lineRule="exact"/>
        <w:ind w:firstLine="640"/>
        <w:jc w:val="both"/>
        <w:outlineLvl w:val="2"/>
      </w:pPr>
      <w:r>
        <w:rPr>
          <w:rFonts w:ascii="黑体" w:hAnsi="黑体" w:eastAsia="黑体"/>
          <w:sz w:val="32"/>
        </w:rPr>
        <w:t>十、其他重要事项的情况说明</w:t>
      </w:r>
    </w:p>
    <w:p w14:paraId="26E62BAC">
      <w:pPr>
        <w:spacing w:line="640" w:lineRule="exact"/>
        <w:ind w:firstLine="640"/>
        <w:jc w:val="both"/>
        <w:outlineLvl w:val="3"/>
      </w:pPr>
      <w:r>
        <w:rPr>
          <w:rFonts w:ascii="楷体_GB2312" w:hAnsi="楷体_GB2312" w:eastAsia="楷体_GB2312"/>
          <w:b/>
          <w:sz w:val="32"/>
        </w:rPr>
        <w:t>（一）机关运行经费及公用经费支出情况</w:t>
      </w:r>
    </w:p>
    <w:p w14:paraId="41E97DEF">
      <w:pPr>
        <w:spacing w:line="580" w:lineRule="exact"/>
        <w:ind w:firstLine="640"/>
        <w:jc w:val="both"/>
      </w:pPr>
      <w:r>
        <w:rPr>
          <w:rFonts w:ascii="仿宋_GB2312" w:hAnsi="仿宋_GB2312" w:eastAsia="仿宋_GB2312"/>
          <w:b w:val="0"/>
          <w:sz w:val="32"/>
        </w:rPr>
        <w:t>2024年度中共昌吉回族自治州委员会社会工作部（行政单位和参照公务员法管理事业单位）机关运行经费支出0.00万元，比上年增加0.00万元，增长0.00%，主要原因是：</w:t>
      </w:r>
      <w:r>
        <w:rPr>
          <w:rFonts w:hint="eastAsia" w:ascii="仿宋_GB2312" w:hAnsi="仿宋_GB2312" w:eastAsia="仿宋_GB2312"/>
          <w:b w:val="0"/>
          <w:sz w:val="32"/>
          <w:lang w:eastAsia="zh-CN"/>
        </w:rPr>
        <w:t>2024年未安排</w:t>
      </w:r>
      <w:r>
        <w:rPr>
          <w:rFonts w:ascii="仿宋_GB2312" w:hAnsi="仿宋_GB2312" w:eastAsia="仿宋_GB2312"/>
          <w:b w:val="0"/>
          <w:sz w:val="32"/>
        </w:rPr>
        <w:t>机关运行经费支出。</w:t>
      </w:r>
    </w:p>
    <w:p w14:paraId="008DEB84">
      <w:pPr>
        <w:spacing w:line="640" w:lineRule="exact"/>
        <w:ind w:firstLine="640"/>
        <w:jc w:val="both"/>
        <w:outlineLvl w:val="3"/>
      </w:pPr>
      <w:r>
        <w:rPr>
          <w:rFonts w:ascii="楷体_GB2312" w:hAnsi="楷体_GB2312" w:eastAsia="楷体_GB2312"/>
          <w:b/>
          <w:sz w:val="32"/>
        </w:rPr>
        <w:t>（二）政府采购情况</w:t>
      </w:r>
    </w:p>
    <w:p w14:paraId="54F6829F">
      <w:pPr>
        <w:spacing w:line="580" w:lineRule="exact"/>
        <w:ind w:firstLine="640"/>
        <w:jc w:val="both"/>
      </w:pPr>
      <w:r>
        <w:rPr>
          <w:rFonts w:ascii="仿宋_GB2312" w:hAnsi="仿宋_GB2312" w:eastAsia="仿宋_GB2312"/>
          <w:b w:val="0"/>
          <w:sz w:val="32"/>
        </w:rPr>
        <w:t>2024年度政府采购支出总额49.52万元，其中：政府采购货物支出36.35万元、政府采购工程支出0.00万元、政府采购服务支出13.16万元。</w:t>
      </w:r>
    </w:p>
    <w:p w14:paraId="5A804994">
      <w:pPr>
        <w:spacing w:line="580" w:lineRule="exact"/>
        <w:ind w:firstLine="640"/>
        <w:jc w:val="both"/>
      </w:pPr>
      <w:r>
        <w:rPr>
          <w:rFonts w:ascii="仿宋_GB2312" w:hAnsi="仿宋_GB2312" w:eastAsia="仿宋_GB2312"/>
          <w:b w:val="0"/>
          <w:sz w:val="32"/>
        </w:rPr>
        <w:t>授予中小企业合同金额49.52万元，占政府采购支出总额的100.00%，其中：授予小微企业合同金额49.52万元，占政府采购支出总额的100.00%。</w:t>
      </w:r>
    </w:p>
    <w:p w14:paraId="24158C2D">
      <w:pPr>
        <w:spacing w:line="640" w:lineRule="exact"/>
        <w:ind w:firstLine="640"/>
        <w:jc w:val="both"/>
        <w:outlineLvl w:val="3"/>
      </w:pPr>
      <w:r>
        <w:rPr>
          <w:rFonts w:ascii="楷体_GB2312" w:hAnsi="楷体_GB2312" w:eastAsia="楷体_GB2312"/>
          <w:b/>
          <w:sz w:val="32"/>
        </w:rPr>
        <w:t>（三）国有资产占用情况说明</w:t>
      </w:r>
    </w:p>
    <w:p w14:paraId="4DA18ABA">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3DF11075">
      <w:pPr>
        <w:spacing w:line="640" w:lineRule="exact"/>
        <w:ind w:firstLine="640"/>
        <w:jc w:val="both"/>
        <w:outlineLvl w:val="2"/>
      </w:pPr>
      <w:r>
        <w:rPr>
          <w:rFonts w:ascii="黑体" w:hAnsi="黑体" w:eastAsia="黑体"/>
          <w:sz w:val="32"/>
        </w:rPr>
        <w:t>十一、预算绩效的情况说明</w:t>
      </w:r>
    </w:p>
    <w:p w14:paraId="437FC5B6">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121.39万元，实际执行总额121.39万元；预算绩效评价项目1个，全年预算数68.09万元，全年执行数68.09万元。预算绩效管理取得的成效：</w:t>
      </w:r>
      <w:r>
        <w:rPr>
          <w:rFonts w:hint="eastAsia" w:ascii="仿宋_GB2312" w:hAnsi="Times New Roman" w:eastAsia="仿宋_GB2312" w:cs="Times New Roman"/>
          <w:color w:val="auto"/>
          <w:spacing w:val="0"/>
          <w:kern w:val="2"/>
          <w:sz w:val="32"/>
          <w:szCs w:val="32"/>
          <w:highlight w:val="none"/>
          <w:lang w:val="en-US" w:eastAsia="zh-CN" w:bidi="ar-SA"/>
        </w:rPr>
        <w:t>一是确保资金的高效使用，切实发挥财政资金的使用效果。二是严格按照工作职责和相关文件依据，确保专款专用。三是严格控制资金的流出方向，确保资金的合规性</w:t>
      </w:r>
      <w:r>
        <w:rPr>
          <w:rFonts w:ascii="仿宋_GB2312" w:hAnsi="仿宋_GB2312" w:eastAsia="仿宋_GB2312"/>
          <w:b w:val="0"/>
          <w:sz w:val="32"/>
        </w:rPr>
        <w:t>。发现的问题及原因：一是财务管理制度有待完善。</w:t>
      </w:r>
      <w:r>
        <w:rPr>
          <w:rFonts w:hint="eastAsia" w:ascii="仿宋_GB2312" w:hAnsi="仿宋_GB2312" w:eastAsia="仿宋_GB2312"/>
          <w:b w:val="0"/>
          <w:sz w:val="32"/>
          <w:lang w:eastAsia="zh-CN"/>
        </w:rPr>
        <w:t>本单位</w:t>
      </w:r>
      <w:r>
        <w:rPr>
          <w:rFonts w:ascii="仿宋_GB2312" w:hAnsi="仿宋_GB2312" w:eastAsia="仿宋_GB2312"/>
          <w:b w:val="0"/>
          <w:sz w:val="32"/>
        </w:rPr>
        <w:t>为2024年新组建单位，目前执行的财务管理制度多为参考通用规范和兄弟单位经验初步搭建。在实际运行过程中，暴露出诸多与单位业务实际不契合的问题。在费用报销、资金支付等环节缺乏明确引导，制度中对财务监督、风险防控的细节规定不够细化，难以有效防范财务风险。二是预算管理精准度不足。由于是新成立单位，在预算编制时，对各项工作任务的复杂性和资金需求预估不够准确。部分项目预算编制缺乏充分的调研和论证，存在预算金额不够精准的现象。在预算执行过程中，对预算调整的管控不够严格，导致预算的刚性约束作用未能充分发挥，难以实现对资金的高效配置和精准使用。下一步改进措施：</w:t>
      </w:r>
      <w:r>
        <w:rPr>
          <w:rFonts w:hint="default" w:ascii="仿宋_GB2312" w:hAnsi="Times New Roman" w:eastAsia="仿宋_GB2312" w:cs="Times New Roman"/>
          <w:color w:val="auto"/>
          <w:spacing w:val="0"/>
          <w:kern w:val="2"/>
          <w:sz w:val="32"/>
          <w:szCs w:val="32"/>
          <w:highlight w:val="none"/>
          <w:lang w:val="en-US" w:eastAsia="zh-CN" w:bidi="ar-SA"/>
        </w:rPr>
        <w:t>一是加强学习，进一步明确如何参照考核体系，科学合理设定绩效目标，充分发挥预算绩效管理工作效用。二是财务上会计核算要更加详细，为本单位各项工作的开展、总结、评估提供有效数据资料支撑,为各项业务工作更好</w:t>
      </w:r>
      <w:r>
        <w:rPr>
          <w:rFonts w:hint="eastAsia" w:ascii="仿宋_GB2312" w:hAnsi="Times New Roman" w:eastAsia="仿宋_GB2312" w:cs="Times New Roman"/>
          <w:color w:val="auto"/>
          <w:spacing w:val="0"/>
          <w:kern w:val="2"/>
          <w:sz w:val="32"/>
          <w:szCs w:val="32"/>
          <w:highlight w:val="none"/>
          <w:lang w:val="en-US" w:eastAsia="zh-CN" w:bidi="ar-SA"/>
        </w:rPr>
        <w:t>地</w:t>
      </w:r>
      <w:r>
        <w:rPr>
          <w:rFonts w:hint="default" w:ascii="仿宋_GB2312" w:hAnsi="Times New Roman" w:eastAsia="仿宋_GB2312" w:cs="Times New Roman"/>
          <w:color w:val="auto"/>
          <w:spacing w:val="0"/>
          <w:kern w:val="2"/>
          <w:sz w:val="32"/>
          <w:szCs w:val="32"/>
          <w:highlight w:val="none"/>
          <w:lang w:val="en-US" w:eastAsia="zh-CN" w:bidi="ar-SA"/>
        </w:rPr>
        <w:t>开展提供帮助。三是从源头上</w:t>
      </w:r>
      <w:r>
        <w:rPr>
          <w:rFonts w:hint="eastAsia" w:ascii="仿宋_GB2312" w:hAnsi="Times New Roman" w:eastAsia="仿宋_GB2312" w:cs="Times New Roman"/>
          <w:color w:val="auto"/>
          <w:spacing w:val="0"/>
          <w:kern w:val="2"/>
          <w:sz w:val="32"/>
          <w:szCs w:val="32"/>
          <w:highlight w:val="none"/>
          <w:lang w:val="en-US" w:eastAsia="zh-CN" w:bidi="ar-SA"/>
        </w:rPr>
        <w:t>强化</w:t>
      </w:r>
      <w:r>
        <w:rPr>
          <w:rFonts w:hint="default" w:ascii="仿宋_GB2312" w:hAnsi="Times New Roman" w:eastAsia="仿宋_GB2312" w:cs="Times New Roman"/>
          <w:color w:val="auto"/>
          <w:spacing w:val="0"/>
          <w:kern w:val="2"/>
          <w:sz w:val="32"/>
          <w:szCs w:val="32"/>
          <w:highlight w:val="none"/>
          <w:lang w:val="en-US" w:eastAsia="zh-CN" w:bidi="ar-SA"/>
        </w:rPr>
        <w:t>专项资金预算管理，实行专项资金预算管理，结合单位实际,按轻重缓急统筹安排编制预算,提高预算编制科学性和合理性，优化资金结构</w:t>
      </w:r>
      <w:r>
        <w:rPr>
          <w:rFonts w:ascii="仿宋_GB2312" w:hAnsi="仿宋_GB2312" w:eastAsia="仿宋_GB2312"/>
          <w:b w:val="0"/>
          <w:sz w:val="32"/>
        </w:rPr>
        <w:t>。具体附整体支出绩效自评表，项目支出绩效自评表和评价报告。</w:t>
      </w:r>
    </w:p>
    <w:p w14:paraId="47410B5E">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9A298B4">
        <w:tblPrEx>
          <w:tblCellMar>
            <w:top w:w="0" w:type="dxa"/>
            <w:left w:w="108" w:type="dxa"/>
            <w:bottom w:w="0" w:type="dxa"/>
            <w:right w:w="108" w:type="dxa"/>
          </w:tblCellMar>
        </w:tblPrEx>
        <w:tc>
          <w:tcPr>
            <w:tcW w:w="8847" w:type="dxa"/>
            <w:gridSpan w:val="9"/>
            <w:vAlign w:val="center"/>
          </w:tcPr>
          <w:p w14:paraId="51947FAA">
            <w:pPr>
              <w:jc w:val="center"/>
            </w:pPr>
            <w:r>
              <w:rPr>
                <w:rFonts w:ascii="宋体" w:hAnsi="宋体" w:eastAsia="宋体"/>
                <w:sz w:val="24"/>
              </w:rPr>
              <w:t>单位整体支出绩效自评表</w:t>
            </w:r>
          </w:p>
        </w:tc>
      </w:tr>
      <w:tr w14:paraId="153685D4">
        <w:tblPrEx>
          <w:tblCellMar>
            <w:top w:w="0" w:type="dxa"/>
            <w:left w:w="108" w:type="dxa"/>
            <w:bottom w:w="0" w:type="dxa"/>
            <w:right w:w="108" w:type="dxa"/>
          </w:tblCellMar>
        </w:tblPrEx>
        <w:tc>
          <w:tcPr>
            <w:tcW w:w="8847" w:type="dxa"/>
            <w:gridSpan w:val="9"/>
            <w:vAlign w:val="center"/>
          </w:tcPr>
          <w:p w14:paraId="52CDED2F">
            <w:pPr>
              <w:jc w:val="center"/>
            </w:pPr>
            <w:r>
              <w:rPr>
                <w:rFonts w:ascii="宋体" w:hAnsi="宋体" w:eastAsia="宋体"/>
                <w:sz w:val="24"/>
              </w:rPr>
              <w:t>（2024年度）</w:t>
            </w:r>
          </w:p>
        </w:tc>
      </w:tr>
      <w:tr w14:paraId="7A0F0C3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30F69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A050FB4">
            <w:pPr>
              <w:jc w:val="center"/>
            </w:pPr>
            <w:r>
              <w:rPr>
                <w:rFonts w:ascii="宋体" w:hAnsi="宋体" w:eastAsia="宋体"/>
                <w:sz w:val="16"/>
              </w:rPr>
              <w:t>中共昌吉回族自治州委员会社会工作部</w:t>
            </w:r>
          </w:p>
        </w:tc>
      </w:tr>
      <w:tr w14:paraId="63AF3D4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B11D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6F85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6B70D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4A060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B867C7">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C3FF0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C4E7F3">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014147">
            <w:pPr>
              <w:jc w:val="center"/>
            </w:pPr>
            <w:r>
              <w:rPr>
                <w:rFonts w:ascii="宋体" w:hAnsi="宋体" w:eastAsia="宋体"/>
                <w:sz w:val="16"/>
              </w:rPr>
              <w:t>得分</w:t>
            </w:r>
          </w:p>
        </w:tc>
      </w:tr>
      <w:tr w14:paraId="66DD24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21E98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E51A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41ED2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DEC80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C373E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B0D7D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7F56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E0A46C">
            <w:pPr>
              <w:jc w:val="center"/>
            </w:pPr>
            <w:r>
              <w:rPr>
                <w:rFonts w:ascii="宋体" w:hAnsi="宋体" w:eastAsia="宋体"/>
                <w:sz w:val="16"/>
              </w:rPr>
              <w:t>-</w:t>
            </w:r>
          </w:p>
        </w:tc>
      </w:tr>
      <w:tr w14:paraId="27EE419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2508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4F7C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CCFB39">
            <w:pPr>
              <w:jc w:val="center"/>
            </w:pPr>
            <w:r>
              <w:rPr>
                <w:rFonts w:ascii="宋体" w:hAnsi="宋体" w:eastAsia="宋体"/>
                <w:sz w:val="16"/>
              </w:rPr>
              <w:t>121.39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08F7D">
            <w:pPr>
              <w:jc w:val="center"/>
            </w:pPr>
            <w:r>
              <w:rPr>
                <w:rFonts w:ascii="宋体" w:hAnsi="宋体" w:eastAsia="宋体"/>
                <w:sz w:val="16"/>
              </w:rPr>
              <w:t>121.39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CB7873">
            <w:pPr>
              <w:jc w:val="center"/>
            </w:pPr>
            <w:r>
              <w:rPr>
                <w:rFonts w:ascii="宋体" w:hAnsi="宋体" w:eastAsia="宋体"/>
                <w:sz w:val="16"/>
              </w:rPr>
              <w:t>121.39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10992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BD92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F0B28B">
            <w:pPr>
              <w:jc w:val="center"/>
            </w:pPr>
            <w:r>
              <w:rPr>
                <w:rFonts w:ascii="宋体" w:hAnsi="宋体" w:eastAsia="宋体"/>
                <w:sz w:val="16"/>
              </w:rPr>
              <w:t>-</w:t>
            </w:r>
          </w:p>
        </w:tc>
      </w:tr>
      <w:tr w14:paraId="73A534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2B424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2FDF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37D59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842D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EA9D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7D3E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D8805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CA7B7">
            <w:pPr>
              <w:jc w:val="center"/>
            </w:pPr>
            <w:r>
              <w:rPr>
                <w:rFonts w:ascii="宋体" w:hAnsi="宋体" w:eastAsia="宋体"/>
                <w:sz w:val="16"/>
              </w:rPr>
              <w:t>-</w:t>
            </w:r>
          </w:p>
        </w:tc>
      </w:tr>
      <w:tr w14:paraId="6D2EA41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F3723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53EE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E064FD">
            <w:pPr>
              <w:jc w:val="center"/>
            </w:pPr>
            <w:r>
              <w:rPr>
                <w:rFonts w:ascii="宋体" w:hAnsi="宋体" w:eastAsia="宋体"/>
                <w:sz w:val="16"/>
              </w:rPr>
              <w:t>121.39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DD005">
            <w:pPr>
              <w:jc w:val="center"/>
            </w:pPr>
            <w:r>
              <w:rPr>
                <w:rFonts w:ascii="宋体" w:hAnsi="宋体" w:eastAsia="宋体"/>
                <w:sz w:val="16"/>
              </w:rPr>
              <w:t>121.39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1B9AA5">
            <w:pPr>
              <w:jc w:val="center"/>
            </w:pPr>
            <w:r>
              <w:rPr>
                <w:rFonts w:ascii="宋体" w:hAnsi="宋体" w:eastAsia="宋体"/>
                <w:sz w:val="16"/>
              </w:rPr>
              <w:t>121.39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7041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EEB5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643C3">
            <w:pPr>
              <w:jc w:val="center"/>
            </w:pPr>
            <w:r>
              <w:rPr>
                <w:rFonts w:ascii="宋体" w:hAnsi="宋体" w:eastAsia="宋体"/>
                <w:sz w:val="16"/>
              </w:rPr>
              <w:t>10</w:t>
            </w:r>
          </w:p>
        </w:tc>
      </w:tr>
      <w:tr w14:paraId="15AF4D8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EF591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F9F120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B847D6">
            <w:pPr>
              <w:jc w:val="center"/>
            </w:pPr>
            <w:r>
              <w:rPr>
                <w:rFonts w:ascii="宋体" w:hAnsi="宋体" w:eastAsia="宋体"/>
                <w:sz w:val="16"/>
              </w:rPr>
              <w:t>实际完成情况</w:t>
            </w:r>
          </w:p>
        </w:tc>
      </w:tr>
      <w:tr w14:paraId="64DBBB9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1C961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A9374FB">
            <w:pPr>
              <w:jc w:val="both"/>
            </w:pPr>
            <w:r>
              <w:rPr>
                <w:rFonts w:ascii="宋体" w:hAnsi="宋体" w:eastAsia="宋体"/>
                <w:sz w:val="16"/>
              </w:rPr>
              <w:t>2024年，昌吉州党委社会工作部将坚持以习近平新时代中国特色社会主义思想为指导，深入学习贯彻习近平总书记关于社会工作的重要论述和重要指示批示精神，认真贯彻落实中央社会工作会议各项部署，研究制定《昌吉州规范办理人民建议和群众困难诉求工作规则（试行）》，主办《人民建议和群众困难诉求办理专报》96期，受理人民建议和群众困难诉求11.6万余件，每月办结率达90%以上；持续开展“社区万能章”“村章乡管”乱象治理“回头看”，印发《关于进一步加强基层群众性自治组织减负工作的通知》，以清单化管理明晰（社区）工作事项、机制挂牌、证明等事项，推动基层治理“小马拉大车”措施落实落地。进一步研究完善“两新”工委《工作规则》《委员单位职责》，着力优化“两新”工委运行机制和各项制度，理清9个行业综合党委（党总支）运行情况，构建更加畅通的工作格局。推动实施“三新”组织党组织孵化三年攻坚计划，持续实施“两新”组织发展党员“火种计划”，不断增强党在新兴领域的号召力凝聚力影响力。开展全州社会工作专业人才摸底，建立闵昌两地社会工作服务协同发展机制，选派社会工作者参加全国“三区”社会工作人才支持计划，引导社会工作从业人员参加全国职业水平考试，加强社会工作专业人才激励保障，督促县市落实社区工作者获得社会工作职业资格补贴政策，推动新时代社会工作高质量发展。</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53F356">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121.39万元，全年执行数为121.39万元，总预算执行率为100.00%。2024年，昌吉州党委社会工作部认真贯彻落实中央社会工作会议各项部署，研究制定了《昌吉州规范办理人民建议和群众困难诉求工作规则（试行）》，主办《人民建议和群众困难诉求办理专报》150余期，每月人民建议和群众困难诉求办结率达90%以上；开展“社区万能章”“村章乡管”乱象治理“回头看”，印发《关于进一步加强基层群众性自治组织减负工作的通知》，以清单化管理明晰（社区）工作事项、机制挂牌、证明等事项，推动基层治理“小马拉大车”措施落实落地。进一步研究完善“两新”工委《工作规则》《委员单位职责》，着力优化“两新”工委运行机制和各项制度，理清9个行业综合党委（党总支）运行情况，工作格局更加畅通。实施“三新”组织党组织孵化三年攻坚计划，持续实施“两新”组织发展党员“火种计划”，不断提高党组织覆盖率和发展党员人数，进一步增强党在新兴领域的号召力凝聚力影响力。开展全州社会工作专业人才摸底，建立闵昌两地社会工作服务协同发展机制，选派社会工作者参加全国“三区”社会工作人才支持计划，引导社会工作从业人员参加全国职业水平考试，对部分参加考试人员进行培训，进一步加强社会工作专业人才激励保障，督促县市落实社区工作者获得社会工作职业资格补贴政策，推动新时代社会工作高质量发展。</w:t>
            </w:r>
          </w:p>
        </w:tc>
      </w:tr>
      <w:tr w14:paraId="7BB4D70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E5DB9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A9DD1">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3D37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A06D9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CB966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FA02B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41529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6FA3F">
            <w:pPr>
              <w:jc w:val="center"/>
            </w:pPr>
            <w:r>
              <w:rPr>
                <w:rFonts w:ascii="宋体" w:hAnsi="宋体" w:eastAsia="宋体"/>
                <w:sz w:val="16"/>
              </w:rPr>
              <w:t>得分</w:t>
            </w:r>
          </w:p>
        </w:tc>
      </w:tr>
      <w:tr w14:paraId="15C92DC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A28CE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1F406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3B630">
            <w:pPr>
              <w:jc w:val="center"/>
            </w:pPr>
            <w:r>
              <w:rPr>
                <w:rFonts w:ascii="宋体" w:hAnsi="宋体" w:eastAsia="宋体"/>
                <w:sz w:val="16"/>
              </w:rPr>
              <w:t>办理人民建议和群众困难诉求办理专报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50A982">
            <w:pPr>
              <w:jc w:val="center"/>
            </w:pPr>
            <w:r>
              <w:rPr>
                <w:rFonts w:ascii="宋体" w:hAnsi="宋体" w:eastAsia="宋体"/>
                <w:sz w:val="16"/>
              </w:rPr>
              <w:t>&gt;=105期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DB02D4">
            <w:pPr>
              <w:jc w:val="center"/>
            </w:pPr>
            <w:r>
              <w:rPr>
                <w:rFonts w:ascii="宋体" w:hAnsi="宋体" w:eastAsia="宋体"/>
                <w:sz w:val="16"/>
              </w:rPr>
              <w:t>专报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A09000">
            <w:pPr>
              <w:jc w:val="center"/>
            </w:pPr>
            <w:r>
              <w:rPr>
                <w:rFonts w:ascii="宋体" w:hAnsi="宋体" w:eastAsia="宋体"/>
                <w:sz w:val="16"/>
              </w:rPr>
              <w:t>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A054A4">
            <w:pPr>
              <w:jc w:val="center"/>
            </w:pPr>
            <w:r>
              <w:rPr>
                <w:rFonts w:ascii="宋体" w:hAnsi="宋体" w:eastAsia="宋体"/>
                <w:sz w:val="16"/>
              </w:rPr>
              <w:t>105期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D33FA">
            <w:pPr>
              <w:jc w:val="center"/>
            </w:pPr>
            <w:r>
              <w:rPr>
                <w:rFonts w:ascii="宋体" w:hAnsi="宋体" w:eastAsia="宋体"/>
                <w:sz w:val="16"/>
              </w:rPr>
              <w:t>40</w:t>
            </w:r>
          </w:p>
        </w:tc>
      </w:tr>
      <w:tr w14:paraId="297F7B6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F2E90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34D2E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1AA2FB">
            <w:pPr>
              <w:jc w:val="center"/>
            </w:pPr>
            <w:r>
              <w:rPr>
                <w:rFonts w:ascii="宋体" w:hAnsi="宋体" w:eastAsia="宋体"/>
                <w:sz w:val="16"/>
              </w:rPr>
              <w:t>县市调研次数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B285A7">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9A5E2">
            <w:pPr>
              <w:jc w:val="center"/>
            </w:pPr>
            <w:r>
              <w:rPr>
                <w:rFonts w:ascii="宋体" w:hAnsi="宋体" w:eastAsia="宋体"/>
                <w:sz w:val="16"/>
              </w:rPr>
              <w:t>县市调研方案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FE5AD">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CAAD02">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1D9C6">
            <w:pPr>
              <w:jc w:val="center"/>
            </w:pPr>
            <w:r>
              <w:rPr>
                <w:rFonts w:ascii="宋体" w:hAnsi="宋体" w:eastAsia="宋体"/>
                <w:sz w:val="16"/>
              </w:rPr>
              <w:t>20</w:t>
            </w:r>
          </w:p>
        </w:tc>
      </w:tr>
      <w:tr w14:paraId="4AFFAA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6193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9ED24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1EE60">
            <w:pPr>
              <w:jc w:val="center"/>
            </w:pPr>
            <w:r>
              <w:rPr>
                <w:rFonts w:ascii="宋体" w:hAnsi="宋体" w:eastAsia="宋体"/>
                <w:sz w:val="16"/>
              </w:rPr>
              <w:t>举办业务培训班次数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2876DF">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2A2F3F">
            <w:pPr>
              <w:jc w:val="center"/>
            </w:pPr>
            <w:r>
              <w:rPr>
                <w:rFonts w:ascii="宋体" w:hAnsi="宋体" w:eastAsia="宋体"/>
                <w:sz w:val="16"/>
              </w:rPr>
              <w:t>培训班方案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317DD">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55752F">
            <w:pPr>
              <w:jc w:val="center"/>
            </w:pPr>
            <w:r>
              <w:rPr>
                <w:rFonts w:ascii="宋体" w:hAnsi="宋体" w:eastAsia="宋体"/>
                <w:sz w:val="16"/>
              </w:rPr>
              <w:t>1期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4075C">
            <w:pPr>
              <w:jc w:val="center"/>
            </w:pPr>
            <w:r>
              <w:rPr>
                <w:rFonts w:ascii="宋体" w:hAnsi="宋体" w:eastAsia="宋体"/>
                <w:sz w:val="16"/>
              </w:rPr>
              <w:t>30</w:t>
            </w:r>
          </w:p>
        </w:tc>
      </w:tr>
    </w:tbl>
    <w:p w14:paraId="732EA9CB">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607"/>
        <w:gridCol w:w="630"/>
      </w:tblGrid>
      <w:tr w14:paraId="311FAD0F">
        <w:tblPrEx>
          <w:tblCellMar>
            <w:top w:w="0" w:type="dxa"/>
            <w:left w:w="108" w:type="dxa"/>
            <w:bottom w:w="0" w:type="dxa"/>
            <w:right w:w="108" w:type="dxa"/>
          </w:tblCellMar>
        </w:tblPrEx>
        <w:tc>
          <w:tcPr>
            <w:tcW w:w="8848" w:type="dxa"/>
            <w:gridSpan w:val="14"/>
            <w:vAlign w:val="center"/>
          </w:tcPr>
          <w:p w14:paraId="1CE14FDE">
            <w:pPr>
              <w:jc w:val="center"/>
            </w:pPr>
            <w:r>
              <w:rPr>
                <w:rFonts w:ascii="宋体" w:hAnsi="宋体" w:eastAsia="宋体"/>
                <w:sz w:val="24"/>
              </w:rPr>
              <w:t>项目支出绩效自评表</w:t>
            </w:r>
          </w:p>
        </w:tc>
      </w:tr>
      <w:tr w14:paraId="6CB24B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7025A1">
            <w:pPr>
              <w:jc w:val="center"/>
            </w:pPr>
            <w:r>
              <w:rPr>
                <w:rFonts w:ascii="宋体" w:hAnsi="宋体" w:eastAsia="宋体"/>
                <w:sz w:val="24"/>
              </w:rPr>
              <w:t>(2024年度)</w:t>
            </w:r>
          </w:p>
        </w:tc>
      </w:tr>
      <w:tr w14:paraId="124D3A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810F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57A09B">
            <w:pPr>
              <w:jc w:val="center"/>
            </w:pPr>
            <w:r>
              <w:rPr>
                <w:rFonts w:ascii="宋体" w:hAnsi="宋体" w:eastAsia="宋体"/>
                <w:sz w:val="16"/>
              </w:rPr>
              <w:t>州党委社会工作部开办经费</w:t>
            </w:r>
          </w:p>
        </w:tc>
      </w:tr>
      <w:tr w14:paraId="7938E8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F369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28C0B7">
            <w:pPr>
              <w:jc w:val="center"/>
            </w:pPr>
            <w:r>
              <w:rPr>
                <w:rFonts w:ascii="宋体" w:hAnsi="宋体" w:eastAsia="宋体"/>
                <w:sz w:val="16"/>
              </w:rPr>
              <w:t>中共昌吉回族自治州委员会社会工作部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42DB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0508EA">
            <w:pPr>
              <w:jc w:val="center"/>
            </w:pPr>
            <w:r>
              <w:rPr>
                <w:rFonts w:ascii="宋体" w:hAnsi="宋体" w:eastAsia="宋体"/>
                <w:sz w:val="16"/>
              </w:rPr>
              <w:t>中共昌吉回族自治州委员会社会工作部</w:t>
            </w:r>
          </w:p>
        </w:tc>
      </w:tr>
      <w:tr w14:paraId="0017F4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4616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B9F6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FA4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07D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2BE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58C27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7304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941D0">
            <w:pPr>
              <w:jc w:val="center"/>
            </w:pPr>
            <w:r>
              <w:rPr>
                <w:rFonts w:ascii="宋体" w:hAnsi="宋体" w:eastAsia="宋体"/>
                <w:sz w:val="16"/>
              </w:rPr>
              <w:t>得分</w:t>
            </w:r>
          </w:p>
        </w:tc>
      </w:tr>
      <w:tr w14:paraId="6E2DB8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9EF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CF5D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A6544">
            <w:pPr>
              <w:jc w:val="center"/>
            </w:pPr>
            <w:r>
              <w:rPr>
                <w:rFonts w:ascii="宋体" w:hAnsi="宋体" w:eastAsia="宋体"/>
                <w:sz w:val="16"/>
              </w:rPr>
              <w:t>68.09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1DC0C">
            <w:pPr>
              <w:jc w:val="center"/>
            </w:pPr>
            <w:r>
              <w:rPr>
                <w:rFonts w:ascii="宋体" w:hAnsi="宋体" w:eastAsia="宋体"/>
                <w:sz w:val="16"/>
              </w:rPr>
              <w:t>68.09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6831F">
            <w:pPr>
              <w:jc w:val="center"/>
            </w:pPr>
            <w:r>
              <w:rPr>
                <w:rFonts w:ascii="宋体" w:hAnsi="宋体" w:eastAsia="宋体"/>
                <w:sz w:val="16"/>
              </w:rPr>
              <w:t>68.09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ED2DD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7CB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8251F">
            <w:pPr>
              <w:jc w:val="center"/>
            </w:pPr>
            <w:r>
              <w:rPr>
                <w:rFonts w:ascii="宋体" w:hAnsi="宋体" w:eastAsia="宋体"/>
                <w:sz w:val="16"/>
              </w:rPr>
              <w:t>10.00</w:t>
            </w:r>
          </w:p>
        </w:tc>
      </w:tr>
      <w:tr w14:paraId="14E8F1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CB2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066A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2901E">
            <w:pPr>
              <w:jc w:val="center"/>
            </w:pPr>
            <w:r>
              <w:rPr>
                <w:rFonts w:ascii="宋体" w:hAnsi="宋体" w:eastAsia="宋体"/>
                <w:sz w:val="16"/>
              </w:rPr>
              <w:t>68.09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A42D5">
            <w:pPr>
              <w:jc w:val="center"/>
            </w:pPr>
            <w:r>
              <w:rPr>
                <w:rFonts w:ascii="宋体" w:hAnsi="宋体" w:eastAsia="宋体"/>
                <w:sz w:val="16"/>
              </w:rPr>
              <w:t>68.09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EE20F">
            <w:pPr>
              <w:jc w:val="center"/>
            </w:pPr>
            <w:r>
              <w:rPr>
                <w:rFonts w:ascii="宋体" w:hAnsi="宋体" w:eastAsia="宋体"/>
                <w:sz w:val="16"/>
              </w:rPr>
              <w:t>68.09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97E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ECF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7EF1">
            <w:pPr>
              <w:jc w:val="center"/>
            </w:pPr>
            <w:r>
              <w:rPr>
                <w:rFonts w:ascii="宋体" w:hAnsi="宋体" w:eastAsia="宋体"/>
                <w:sz w:val="16"/>
              </w:rPr>
              <w:t>—</w:t>
            </w:r>
          </w:p>
        </w:tc>
      </w:tr>
      <w:tr w14:paraId="783FE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F35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26F6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1A12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612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A4D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1EB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557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DB758">
            <w:pPr>
              <w:jc w:val="center"/>
            </w:pPr>
            <w:r>
              <w:rPr>
                <w:rFonts w:ascii="宋体" w:hAnsi="宋体" w:eastAsia="宋体"/>
                <w:sz w:val="16"/>
              </w:rPr>
              <w:t>—</w:t>
            </w:r>
          </w:p>
        </w:tc>
      </w:tr>
      <w:tr w14:paraId="55623B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2AF94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52B94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C6764B">
            <w:pPr>
              <w:jc w:val="center"/>
            </w:pPr>
            <w:r>
              <w:rPr>
                <w:rFonts w:ascii="宋体" w:hAnsi="宋体" w:eastAsia="宋体"/>
                <w:sz w:val="16"/>
              </w:rPr>
              <w:t>实际完成情况</w:t>
            </w:r>
          </w:p>
        </w:tc>
      </w:tr>
      <w:tr w14:paraId="3FAE6A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8EB6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A49409">
            <w:pPr>
              <w:jc w:val="both"/>
            </w:pPr>
            <w:r>
              <w:rPr>
                <w:rFonts w:ascii="宋体" w:hAnsi="宋体" w:eastAsia="宋体"/>
                <w:sz w:val="16"/>
              </w:rPr>
              <w:t>在12月10日前至少完成2批次办公设备购置工作，购置设备要全部验收合格，满足12名干部日常办公需求，确保工作正常运转。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3E6DC6">
            <w:pPr>
              <w:jc w:val="both"/>
            </w:pPr>
            <w:r>
              <w:rPr>
                <w:rFonts w:hint="eastAsia" w:ascii="宋体" w:hAnsi="宋体"/>
                <w:sz w:val="16"/>
                <w:lang w:eastAsia="zh-CN"/>
              </w:rPr>
              <w:t>截至</w:t>
            </w:r>
            <w:r>
              <w:rPr>
                <w:rFonts w:ascii="宋体" w:hAnsi="宋体" w:eastAsia="宋体"/>
                <w:sz w:val="16"/>
              </w:rPr>
              <w:t>202</w:t>
            </w:r>
            <w:r>
              <w:rPr>
                <w:rFonts w:hint="eastAsia" w:ascii="宋体" w:hAnsi="宋体"/>
                <w:sz w:val="16"/>
                <w:lang w:val="en-US" w:eastAsia="zh-CN"/>
              </w:rPr>
              <w:t>4</w:t>
            </w:r>
            <w:r>
              <w:rPr>
                <w:rFonts w:ascii="宋体" w:hAnsi="宋体" w:eastAsia="宋体"/>
                <w:sz w:val="16"/>
              </w:rPr>
              <w:t>年12月31日，该项目实际完成：办公设备购置2批，保障人员12人，2024年11月21日前完成设备采购，支付办公设备购置费38.79万元，保障机关运行支出29.3万元，设备采购合格率达100%，干部满意度达100%，通过该项目的实施，提升了职工工作的积极性和工作</w:t>
            </w:r>
            <w:r>
              <w:rPr>
                <w:rFonts w:hint="eastAsia" w:ascii="宋体" w:hAnsi="宋体"/>
                <w:sz w:val="16"/>
                <w:lang w:eastAsia="zh-CN"/>
              </w:rPr>
              <w:t>质量</w:t>
            </w:r>
            <w:r>
              <w:rPr>
                <w:rFonts w:ascii="宋体" w:hAnsi="宋体" w:eastAsia="宋体"/>
                <w:sz w:val="16"/>
              </w:rPr>
              <w:t>，促进了各项业务工作正常开展。</w:t>
            </w:r>
          </w:p>
        </w:tc>
      </w:tr>
      <w:tr w14:paraId="38F4A6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627E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A1D4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4FDF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22E3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6965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9BFC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0BEE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C433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98A0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C88B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8817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767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375B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DEFC3">
            <w:pPr>
              <w:jc w:val="center"/>
            </w:pPr>
            <w:r>
              <w:rPr>
                <w:rFonts w:ascii="宋体" w:hAnsi="宋体" w:eastAsia="宋体"/>
                <w:sz w:val="16"/>
              </w:rPr>
              <w:t>偏差原因分析及改进措施</w:t>
            </w:r>
          </w:p>
        </w:tc>
      </w:tr>
      <w:tr w14:paraId="1B51FA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3AC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0E9D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47B5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57F1">
            <w:pPr>
              <w:jc w:val="center"/>
            </w:pPr>
            <w:r>
              <w:rPr>
                <w:rFonts w:ascii="宋体" w:hAnsi="宋体" w:eastAsia="宋体"/>
                <w:sz w:val="16"/>
              </w:rPr>
              <w:t>办公设备购置批数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D3D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21DB">
            <w:pPr>
              <w:jc w:val="center"/>
            </w:pPr>
            <w:r>
              <w:rPr>
                <w:rFonts w:ascii="宋体" w:hAnsi="宋体" w:eastAsia="宋体"/>
                <w:sz w:val="16"/>
              </w:rPr>
              <w:t>&gt;=2批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DC1CC">
            <w:pPr>
              <w:jc w:val="center"/>
            </w:pPr>
            <w:r>
              <w:rPr>
                <w:rFonts w:ascii="宋体" w:hAnsi="宋体" w:eastAsia="宋体"/>
                <w:sz w:val="16"/>
              </w:rPr>
              <w:t>=2批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320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DA4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02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C83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032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3A2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2571F">
            <w:pPr>
              <w:jc w:val="center"/>
            </w:pPr>
          </w:p>
        </w:tc>
      </w:tr>
      <w:tr w14:paraId="23F3D6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F09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3E5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D34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41DB">
            <w:pPr>
              <w:jc w:val="center"/>
            </w:pPr>
            <w:r>
              <w:rPr>
                <w:rFonts w:ascii="宋体" w:hAnsi="宋体" w:eastAsia="宋体"/>
                <w:sz w:val="16"/>
              </w:rPr>
              <w:t>保障人员数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E45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003A">
            <w:pPr>
              <w:jc w:val="center"/>
            </w:pPr>
            <w:r>
              <w:rPr>
                <w:rFonts w:ascii="宋体" w:hAnsi="宋体" w:eastAsia="宋体"/>
                <w:sz w:val="16"/>
              </w:rPr>
              <w:t>&gt;=12人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44DE8">
            <w:pPr>
              <w:jc w:val="center"/>
            </w:pPr>
            <w:r>
              <w:rPr>
                <w:rFonts w:ascii="宋体" w:hAnsi="宋体" w:eastAsia="宋体"/>
                <w:sz w:val="16"/>
              </w:rPr>
              <w: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E6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AFA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DB1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0B8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9BE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E89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8672E">
            <w:pPr>
              <w:jc w:val="center"/>
            </w:pPr>
          </w:p>
        </w:tc>
      </w:tr>
      <w:tr w14:paraId="2A2895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79C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BBC6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9056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0CE2F">
            <w:pPr>
              <w:jc w:val="center"/>
            </w:pPr>
            <w:r>
              <w:rPr>
                <w:rFonts w:ascii="宋体" w:hAnsi="宋体" w:eastAsia="宋体"/>
                <w:sz w:val="16"/>
              </w:rPr>
              <w:t>设备采购合格率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BE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BBB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DB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0A6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9D9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0DE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BC4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D14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E3C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52B8">
            <w:pPr>
              <w:jc w:val="center"/>
            </w:pPr>
          </w:p>
        </w:tc>
      </w:tr>
      <w:tr w14:paraId="01D26A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766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FD1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B0E0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6196D">
            <w:pPr>
              <w:jc w:val="center"/>
            </w:pPr>
            <w:r>
              <w:rPr>
                <w:rFonts w:ascii="宋体" w:hAnsi="宋体" w:eastAsia="宋体"/>
                <w:sz w:val="16"/>
              </w:rPr>
              <w:t>采购完成期限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197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D51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88AF4">
            <w:pPr>
              <w:jc w:val="center"/>
            </w:pPr>
            <w:r>
              <w:rPr>
                <w:rFonts w:ascii="宋体" w:hAnsi="宋体" w:eastAsia="宋体"/>
                <w:sz w:val="16"/>
              </w:rPr>
              <w:t>2024年11月21日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4FF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E57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11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00B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C8F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26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F5E05">
            <w:pPr>
              <w:jc w:val="center"/>
            </w:pPr>
          </w:p>
        </w:tc>
      </w:tr>
      <w:tr w14:paraId="08B951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70D7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A4930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AE6A0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89ED">
            <w:pPr>
              <w:jc w:val="center"/>
            </w:pPr>
            <w:r>
              <w:rPr>
                <w:rFonts w:ascii="宋体" w:hAnsi="宋体" w:eastAsia="宋体"/>
                <w:sz w:val="16"/>
              </w:rPr>
              <w:t>办公设备购置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C27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3B59B">
            <w:pPr>
              <w:jc w:val="center"/>
            </w:pPr>
            <w:r>
              <w:rPr>
                <w:rFonts w:ascii="宋体" w:hAnsi="宋体" w:eastAsia="宋体"/>
                <w:sz w:val="16"/>
              </w:rPr>
              <w:t>&lt;=38.79万元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FE6B2">
            <w:pPr>
              <w:jc w:val="center"/>
            </w:pPr>
            <w:r>
              <w:rPr>
                <w:rFonts w:ascii="宋体" w:hAnsi="宋体" w:eastAsia="宋体"/>
                <w:sz w:val="16"/>
              </w:rPr>
              <w:t>=38.79万元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C5A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7D7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FFF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695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871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CE7E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7B4A8">
            <w:pPr>
              <w:jc w:val="center"/>
            </w:pPr>
          </w:p>
        </w:tc>
      </w:tr>
      <w:tr w14:paraId="6BEABF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08B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896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6CE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C0D1D">
            <w:pPr>
              <w:jc w:val="center"/>
            </w:pPr>
            <w:r>
              <w:rPr>
                <w:rFonts w:ascii="宋体" w:hAnsi="宋体" w:eastAsia="宋体"/>
                <w:sz w:val="16"/>
              </w:rPr>
              <w:t>保障机关运行支出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0F4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007A0">
            <w:pPr>
              <w:jc w:val="center"/>
            </w:pPr>
            <w:r>
              <w:rPr>
                <w:rFonts w:ascii="宋体" w:hAnsi="宋体" w:eastAsia="宋体"/>
                <w:sz w:val="16"/>
              </w:rPr>
              <w:t>&lt;=29.3万元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041AD">
            <w:pPr>
              <w:jc w:val="center"/>
            </w:pPr>
            <w:r>
              <w:rPr>
                <w:rFonts w:ascii="宋体" w:hAnsi="宋体" w:eastAsia="宋体"/>
                <w:sz w:val="16"/>
              </w:rPr>
              <w:t>=29.3万元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231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035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FE6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1E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079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B40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A624C">
            <w:pPr>
              <w:jc w:val="center"/>
            </w:pPr>
          </w:p>
        </w:tc>
      </w:tr>
      <w:tr w14:paraId="70FF0A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0FB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769C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5A1C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FD170">
            <w:pPr>
              <w:jc w:val="center"/>
            </w:pPr>
            <w:r>
              <w:rPr>
                <w:rFonts w:ascii="宋体" w:hAnsi="宋体" w:eastAsia="宋体"/>
                <w:sz w:val="16"/>
              </w:rPr>
              <w:t>确保工作正常运转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B87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C6B5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46FD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FA5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A4E1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EA0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754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ACD4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B8C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72A72">
            <w:pPr>
              <w:jc w:val="center"/>
            </w:pPr>
          </w:p>
        </w:tc>
      </w:tr>
      <w:tr w14:paraId="650A94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742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57A0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BC0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34543">
            <w:pPr>
              <w:jc w:val="center"/>
            </w:pPr>
            <w:r>
              <w:rPr>
                <w:rFonts w:ascii="宋体" w:hAnsi="宋体" w:eastAsia="宋体"/>
                <w:sz w:val="16"/>
              </w:rPr>
              <w:t>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5B3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135B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9AD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02D4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FEE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EBC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279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C067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EB6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131EB">
            <w:pPr>
              <w:jc w:val="center"/>
            </w:pPr>
            <w:r>
              <w:rPr>
                <w:rFonts w:ascii="宋体" w:hAnsi="宋体" w:eastAsia="宋体"/>
                <w:sz w:val="16"/>
              </w:rPr>
              <w:t>该项目在实施过程中完成较好，干部对项目实施比较满意。</w:t>
            </w:r>
          </w:p>
        </w:tc>
      </w:tr>
      <w:tr w14:paraId="163F728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B5832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F74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9682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919E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08EE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1CD3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DDC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8BE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D03B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1A65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C0938B"/>
        </w:tc>
      </w:tr>
    </w:tbl>
    <w:p w14:paraId="2281F31A">
      <w:r>
        <w:br w:type="page"/>
      </w:r>
    </w:p>
    <w:p w14:paraId="5B430F2C">
      <w:pPr>
        <w:spacing w:line="640" w:lineRule="exact"/>
        <w:ind w:firstLine="640"/>
        <w:jc w:val="both"/>
        <w:outlineLvl w:val="2"/>
      </w:pPr>
      <w:r>
        <w:rPr>
          <w:rFonts w:ascii="黑体" w:hAnsi="黑体" w:eastAsia="黑体"/>
          <w:sz w:val="32"/>
        </w:rPr>
        <w:t>十二、其他需说明的事项</w:t>
      </w:r>
    </w:p>
    <w:p w14:paraId="7F35C34D">
      <w:pPr>
        <w:spacing w:line="580" w:lineRule="exact"/>
        <w:ind w:firstLine="640"/>
        <w:jc w:val="both"/>
      </w:pPr>
      <w:r>
        <w:rPr>
          <w:rFonts w:ascii="仿宋_GB2312" w:hAnsi="仿宋_GB2312" w:eastAsia="仿宋_GB2312"/>
          <w:b w:val="0"/>
          <w:sz w:val="32"/>
        </w:rPr>
        <w:t>本单位无其他需说明的事项。</w:t>
      </w:r>
    </w:p>
    <w:p w14:paraId="5EC899D5">
      <w:r>
        <w:br w:type="page"/>
      </w:r>
    </w:p>
    <w:p w14:paraId="48C8C64B">
      <w:pPr>
        <w:spacing w:line="240" w:lineRule="auto"/>
        <w:jc w:val="center"/>
        <w:outlineLvl w:val="1"/>
      </w:pPr>
      <w:r>
        <w:rPr>
          <w:rFonts w:ascii="黑体" w:hAnsi="黑体" w:eastAsia="黑体"/>
          <w:sz w:val="32"/>
        </w:rPr>
        <w:t>第三部分 专业名词解释</w:t>
      </w:r>
    </w:p>
    <w:p w14:paraId="012177EB">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FBD36A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5BFABA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DC84B14">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C55244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176096D">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494CC3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141F08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9473A7D">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E1FAB9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B43DB1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9AD46D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C0D2DE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52D4F9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2897E01">
      <w:r>
        <w:br w:type="page"/>
      </w:r>
    </w:p>
    <w:p w14:paraId="5B0FBCC5">
      <w:pPr>
        <w:spacing w:line="240" w:lineRule="auto"/>
        <w:jc w:val="center"/>
        <w:outlineLvl w:val="1"/>
      </w:pPr>
      <w:r>
        <w:rPr>
          <w:rFonts w:ascii="黑体" w:hAnsi="黑体" w:eastAsia="黑体"/>
          <w:sz w:val="32"/>
        </w:rPr>
        <w:t>第四部分 部门决算报表（见附表）</w:t>
      </w:r>
    </w:p>
    <w:p w14:paraId="6A0A08FC">
      <w:pPr>
        <w:spacing w:line="240" w:lineRule="auto"/>
        <w:ind w:firstLine="640"/>
        <w:jc w:val="both"/>
      </w:pPr>
      <w:r>
        <w:rPr>
          <w:rFonts w:ascii="仿宋_GB2312" w:hAnsi="仿宋_GB2312" w:eastAsia="仿宋_GB2312"/>
          <w:b w:val="0"/>
          <w:sz w:val="32"/>
        </w:rPr>
        <w:t>一、《收入支出决算总表》</w:t>
      </w:r>
    </w:p>
    <w:p w14:paraId="7FFEBDD0">
      <w:pPr>
        <w:spacing w:line="240" w:lineRule="auto"/>
        <w:ind w:firstLine="640"/>
        <w:jc w:val="both"/>
      </w:pPr>
      <w:r>
        <w:rPr>
          <w:rFonts w:ascii="仿宋_GB2312" w:hAnsi="仿宋_GB2312" w:eastAsia="仿宋_GB2312"/>
          <w:b w:val="0"/>
          <w:sz w:val="32"/>
        </w:rPr>
        <w:t>二、《收入决算表》</w:t>
      </w:r>
    </w:p>
    <w:p w14:paraId="44AD2BBC">
      <w:pPr>
        <w:spacing w:line="240" w:lineRule="auto"/>
        <w:ind w:firstLine="640"/>
        <w:jc w:val="both"/>
      </w:pPr>
      <w:r>
        <w:rPr>
          <w:rFonts w:ascii="仿宋_GB2312" w:hAnsi="仿宋_GB2312" w:eastAsia="仿宋_GB2312"/>
          <w:b w:val="0"/>
          <w:sz w:val="32"/>
        </w:rPr>
        <w:t>三、《支出决算表》</w:t>
      </w:r>
    </w:p>
    <w:p w14:paraId="58AD6E91">
      <w:pPr>
        <w:spacing w:line="240" w:lineRule="auto"/>
        <w:ind w:firstLine="640"/>
        <w:jc w:val="both"/>
      </w:pPr>
      <w:r>
        <w:rPr>
          <w:rFonts w:ascii="仿宋_GB2312" w:hAnsi="仿宋_GB2312" w:eastAsia="仿宋_GB2312"/>
          <w:b w:val="0"/>
          <w:sz w:val="32"/>
        </w:rPr>
        <w:t>四、《财政拨款收入支出决算总表》</w:t>
      </w:r>
    </w:p>
    <w:p w14:paraId="728D23F1">
      <w:pPr>
        <w:spacing w:line="240" w:lineRule="auto"/>
        <w:ind w:firstLine="640"/>
        <w:jc w:val="both"/>
      </w:pPr>
      <w:r>
        <w:rPr>
          <w:rFonts w:ascii="仿宋_GB2312" w:hAnsi="仿宋_GB2312" w:eastAsia="仿宋_GB2312"/>
          <w:b w:val="0"/>
          <w:sz w:val="32"/>
        </w:rPr>
        <w:t>五、《一般公共预算财政拨款支出决算表》</w:t>
      </w:r>
    </w:p>
    <w:p w14:paraId="395FD630">
      <w:pPr>
        <w:spacing w:line="240" w:lineRule="auto"/>
        <w:ind w:firstLine="640"/>
        <w:jc w:val="both"/>
      </w:pPr>
      <w:r>
        <w:rPr>
          <w:rFonts w:ascii="仿宋_GB2312" w:hAnsi="仿宋_GB2312" w:eastAsia="仿宋_GB2312"/>
          <w:b w:val="0"/>
          <w:sz w:val="32"/>
        </w:rPr>
        <w:t>六、《一般公共预算财政拨款基本支出决算表》</w:t>
      </w:r>
    </w:p>
    <w:p w14:paraId="3B30500E">
      <w:pPr>
        <w:spacing w:line="240" w:lineRule="auto"/>
        <w:ind w:firstLine="640"/>
        <w:jc w:val="both"/>
      </w:pPr>
      <w:r>
        <w:rPr>
          <w:rFonts w:ascii="仿宋_GB2312" w:hAnsi="仿宋_GB2312" w:eastAsia="仿宋_GB2312"/>
          <w:b w:val="0"/>
          <w:sz w:val="32"/>
        </w:rPr>
        <w:t>七、《政府性基金预算财政拨款收入支出决算表》</w:t>
      </w:r>
    </w:p>
    <w:p w14:paraId="435664D4">
      <w:pPr>
        <w:spacing w:line="240" w:lineRule="auto"/>
        <w:ind w:firstLine="640"/>
        <w:jc w:val="both"/>
      </w:pPr>
      <w:r>
        <w:rPr>
          <w:rFonts w:ascii="仿宋_GB2312" w:hAnsi="仿宋_GB2312" w:eastAsia="仿宋_GB2312"/>
          <w:b w:val="0"/>
          <w:sz w:val="32"/>
        </w:rPr>
        <w:t>八、《国有资本经营预算财政拨款收入支出决算表》</w:t>
      </w:r>
    </w:p>
    <w:p w14:paraId="47280F4E">
      <w:pPr>
        <w:spacing w:line="240" w:lineRule="auto"/>
        <w:ind w:firstLine="640"/>
        <w:jc w:val="both"/>
      </w:pPr>
      <w:r>
        <w:rPr>
          <w:rFonts w:ascii="仿宋_GB2312" w:hAnsi="仿宋_GB2312" w:eastAsia="仿宋_GB2312"/>
          <w:b w:val="0"/>
          <w:sz w:val="32"/>
        </w:rPr>
        <w:t>九、《财政拨款“三公”经费支出决算表》</w:t>
      </w:r>
    </w:p>
    <w:p w14:paraId="728D9EF5">
      <w:pPr>
        <w:spacing w:line="240" w:lineRule="auto"/>
        <w:ind w:firstLine="640"/>
        <w:jc w:val="both"/>
      </w:pPr>
    </w:p>
    <w:p w14:paraId="4F168B32">
      <w:pPr>
        <w:spacing w:line="240" w:lineRule="auto"/>
        <w:ind w:firstLine="640"/>
        <w:jc w:val="both"/>
      </w:pPr>
    </w:p>
    <w:p w14:paraId="1CBD7CAE">
      <w:pPr>
        <w:spacing w:line="240" w:lineRule="auto"/>
        <w:ind w:firstLine="640"/>
        <w:jc w:val="both"/>
      </w:pPr>
    </w:p>
    <w:p w14:paraId="729CDDA4">
      <w:pPr>
        <w:spacing w:line="240" w:lineRule="auto"/>
        <w:ind w:firstLine="640"/>
        <w:jc w:val="both"/>
      </w:pPr>
    </w:p>
    <w:p w14:paraId="3F947424">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D926EA-D851-45F4-9B33-6E65941E8D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2257325-7D56-4EEF-9A93-C31602C1F212}"/>
  </w:font>
  <w:font w:name="仿宋_GB2312">
    <w:panose1 w:val="02010609030101010101"/>
    <w:charset w:val="86"/>
    <w:family w:val="modern"/>
    <w:pitch w:val="default"/>
    <w:sig w:usb0="00000001" w:usb1="080E0000" w:usb2="00000000" w:usb3="00000000" w:csb0="00040000" w:csb1="00000000"/>
    <w:embedRegular r:id="rId3" w:fontKey="{BD2D521B-EF8D-4141-A3F8-97F0229302CF}"/>
  </w:font>
  <w:font w:name="楷体_GB2312">
    <w:panose1 w:val="02010609030101010101"/>
    <w:charset w:val="86"/>
    <w:family w:val="auto"/>
    <w:pitch w:val="default"/>
    <w:sig w:usb0="00000001" w:usb1="080E0000" w:usb2="00000000" w:usb3="00000000" w:csb0="00040000" w:csb1="00000000"/>
    <w:embedRegular r:id="rId4" w:fontKey="{491147C6-0D30-437F-9C5A-2DFC1EE67D12}"/>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7185C5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283F55"/>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3D5400A"/>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5B86625"/>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4436</Words>
  <Characters>5110</Characters>
  <Lines>0</Lines>
  <Paragraphs>0</Paragraphs>
  <TotalTime>2</TotalTime>
  <ScaleCrop>false</ScaleCrop>
  <LinksUpToDate>false</LinksUpToDate>
  <CharactersWithSpaces>5118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2025-11-10T04:11:04Z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F6F6F5A85A4A468682007E18F9D4FD0A_13</vt:lpwstr>
  </property>
  <property fmtid="{D5CDD505-2E9C-101B-9397-08002B2CF9AE}" pid="4" name="KSOTemplateDocerSaveRecord">
    <vt:lpwstr>eyJoZGlkIjoiMzEwNjkzMWMxZWMzNzU0NmUyNzQ2NGY3YzlmZjBhZDUiLCJ1c2VySWQiOiI0OTMxMTE3MjUifQ==</vt:lpwstr>
  </property>
</Properties>
</file>