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昌吉回族自治州生态环境局吉木萨尔县分局2024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2EFDDB2">
      <w:r>
        <w:br w:type="page"/>
      </w:r>
    </w:p>
    <w:p w14:paraId="5B22A992">
      <w:pPr>
        <w:spacing w:line="640" w:lineRule="exact"/>
        <w:jc w:val="center"/>
        <w:outlineLvl w:val="1"/>
      </w:pPr>
      <w:r>
        <w:rPr>
          <w:rFonts w:ascii="黑体" w:hAnsi="黑体" w:eastAsia="黑体"/>
          <w:sz w:val="32"/>
        </w:rPr>
        <w:t>第一部分 单位概况</w:t>
      </w:r>
    </w:p>
    <w:p w14:paraId="0FC5222E">
      <w:pPr>
        <w:spacing w:line="640" w:lineRule="exact"/>
        <w:ind w:firstLine="640"/>
        <w:jc w:val="both"/>
        <w:outlineLvl w:val="2"/>
      </w:pPr>
      <w:r>
        <w:rPr>
          <w:rFonts w:ascii="黑体" w:hAnsi="黑体" w:eastAsia="黑体"/>
          <w:sz w:val="32"/>
        </w:rPr>
        <w:t>一、主要职能</w:t>
      </w:r>
    </w:p>
    <w:p w14:paraId="147827D7">
      <w:pPr>
        <w:spacing w:line="580" w:lineRule="exact"/>
        <w:ind w:firstLine="640"/>
        <w:jc w:val="both"/>
      </w:pPr>
      <w:r>
        <w:rPr>
          <w:rFonts w:ascii="仿宋_GB2312" w:hAnsi="仿宋_GB2312" w:eastAsia="仿宋_GB2312"/>
          <w:sz w:val="32"/>
        </w:rPr>
        <w:t>负责管辖区域生态环境保护监督管理工作；依法查处辖区内生态环境违法行为，依法开展污染防治、生态保护、核与辐射安全等方面的日常监督检查。</w:t>
      </w:r>
    </w:p>
    <w:p w14:paraId="4D6CDC17">
      <w:pPr>
        <w:spacing w:line="640" w:lineRule="exact"/>
        <w:ind w:firstLine="640"/>
        <w:jc w:val="both"/>
        <w:outlineLvl w:val="2"/>
      </w:pPr>
      <w:r>
        <w:rPr>
          <w:rFonts w:ascii="黑体" w:hAnsi="黑体" w:eastAsia="黑体"/>
          <w:sz w:val="32"/>
        </w:rPr>
        <w:t>二、机构设置及人员情况</w:t>
      </w:r>
    </w:p>
    <w:p w14:paraId="12D20FDA">
      <w:pPr>
        <w:spacing w:line="580" w:lineRule="exact"/>
        <w:ind w:firstLine="640"/>
        <w:jc w:val="both"/>
      </w:pPr>
      <w:r>
        <w:rPr>
          <w:rFonts w:ascii="仿宋_GB2312" w:hAnsi="仿宋_GB2312" w:eastAsia="仿宋_GB2312"/>
          <w:sz w:val="32"/>
        </w:rPr>
        <w:t>昌吉回族自治州生态环境局吉木萨尔县分局2024年度，实有人数24人，其中：在职人员16人，增加10人；离休人员0人，增加0人；退休人员8人,增加8人。</w:t>
      </w:r>
    </w:p>
    <w:p w14:paraId="5AAE55CB">
      <w:pPr>
        <w:spacing w:line="580" w:lineRule="exact"/>
        <w:ind w:firstLine="640"/>
        <w:jc w:val="both"/>
      </w:pPr>
      <w:r>
        <w:rPr>
          <w:rFonts w:ascii="仿宋_GB2312" w:hAnsi="仿宋_GB2312" w:eastAsia="仿宋_GB2312"/>
          <w:sz w:val="32"/>
        </w:rPr>
        <w:t>昌吉回族自治州生态环境局吉木萨尔县分局无下属预算单位，下设2个科室，分别是：综合执法大队、环境监测站。</w:t>
      </w:r>
    </w:p>
    <w:p w14:paraId="6345246E">
      <w:r>
        <w:br w:type="page"/>
      </w:r>
    </w:p>
    <w:p w14:paraId="2B15E62F">
      <w:pPr>
        <w:spacing w:line="240" w:lineRule="auto"/>
        <w:jc w:val="center"/>
        <w:outlineLvl w:val="1"/>
      </w:pPr>
      <w:r>
        <w:rPr>
          <w:rFonts w:ascii="黑体" w:hAnsi="黑体" w:eastAsia="黑体"/>
          <w:sz w:val="32"/>
        </w:rPr>
        <w:t>第二部分 部门决算情况说明</w:t>
      </w:r>
    </w:p>
    <w:p w14:paraId="35676232">
      <w:pPr>
        <w:spacing w:line="640" w:lineRule="exact"/>
        <w:ind w:firstLine="640"/>
        <w:jc w:val="both"/>
        <w:outlineLvl w:val="2"/>
      </w:pPr>
      <w:r>
        <w:rPr>
          <w:rFonts w:ascii="黑体" w:hAnsi="黑体" w:eastAsia="黑体"/>
          <w:sz w:val="32"/>
        </w:rPr>
        <w:t>一、收入支出决算总体情况说明</w:t>
      </w:r>
    </w:p>
    <w:p w14:paraId="14616652">
      <w:pPr>
        <w:spacing w:line="580" w:lineRule="exact"/>
        <w:ind w:firstLine="640"/>
        <w:jc w:val="both"/>
      </w:pPr>
      <w:r>
        <w:rPr>
          <w:rFonts w:ascii="仿宋_GB2312" w:hAnsi="仿宋_GB2312" w:eastAsia="仿宋_GB2312"/>
          <w:b/>
          <w:sz w:val="32"/>
        </w:rPr>
        <w:t>2024年度收入总计2,575.19万元，</w:t>
      </w:r>
      <w:r>
        <w:rPr>
          <w:rFonts w:ascii="仿宋_GB2312" w:hAnsi="仿宋_GB2312" w:eastAsia="仿宋_GB2312"/>
          <w:b w:val="0"/>
          <w:sz w:val="32"/>
        </w:rPr>
        <w:t>其中：本年收入合计2,575.19万元，使用非财政拨款结余（含专用结余）0.00万元，年初结转和结余0.00万元。</w:t>
      </w:r>
    </w:p>
    <w:p w14:paraId="1A9BC9A1">
      <w:pPr>
        <w:spacing w:line="580" w:lineRule="exact"/>
        <w:ind w:firstLine="640"/>
        <w:jc w:val="both"/>
      </w:pPr>
      <w:r>
        <w:rPr>
          <w:rFonts w:ascii="仿宋_GB2312" w:hAnsi="仿宋_GB2312" w:eastAsia="仿宋_GB2312"/>
          <w:b/>
          <w:sz w:val="32"/>
        </w:rPr>
        <w:t>2024年度支出总计2,575.19万元，</w:t>
      </w:r>
      <w:r>
        <w:rPr>
          <w:rFonts w:ascii="仿宋_GB2312" w:hAnsi="仿宋_GB2312" w:eastAsia="仿宋_GB2312"/>
          <w:b w:val="0"/>
          <w:sz w:val="32"/>
        </w:rPr>
        <w:t>其中：本年支出合计</w:t>
      </w:r>
      <w:r>
        <w:rPr>
          <w:rFonts w:ascii="仿宋_GB2312" w:hAnsi="仿宋_GB2312" w:eastAsia="仿宋_GB2312"/>
          <w:b w:val="0"/>
          <w:w w:val="97"/>
          <w:sz w:val="32"/>
        </w:rPr>
        <w:t>2,550.19万元，结余分配0.00万元，年末结转和结余25.00万元。</w:t>
      </w:r>
    </w:p>
    <w:p w14:paraId="1A582F04">
      <w:pPr>
        <w:spacing w:line="580" w:lineRule="exact"/>
        <w:ind w:firstLine="640"/>
        <w:jc w:val="both"/>
      </w:pPr>
      <w:r>
        <w:rPr>
          <w:rFonts w:ascii="仿宋_GB2312" w:hAnsi="仿宋_GB2312" w:eastAsia="仿宋_GB2312"/>
          <w:b w:val="0"/>
          <w:sz w:val="32"/>
        </w:rPr>
        <w:t>收入支出总体与上年相比，增加2,474.78万元，增长2,464.67%，主要原因是：2024年7月吉木萨尔县生态环境局上划至昌吉州生态环境局，与附属事业单位奇台县生态环境监测站合并，在职人员增加，人员工资调增，相关人员经费增加；增加中央大气污染防治资金[第二批]等。</w:t>
      </w:r>
    </w:p>
    <w:p w14:paraId="4A795D6D">
      <w:pPr>
        <w:spacing w:line="640" w:lineRule="exact"/>
        <w:ind w:firstLine="640"/>
        <w:jc w:val="both"/>
        <w:outlineLvl w:val="2"/>
      </w:pPr>
      <w:r>
        <w:rPr>
          <w:rFonts w:ascii="黑体" w:hAnsi="黑体" w:eastAsia="黑体"/>
          <w:sz w:val="32"/>
        </w:rPr>
        <w:t>二、收入决算情况说明</w:t>
      </w:r>
    </w:p>
    <w:p w14:paraId="64695DFD">
      <w:pPr>
        <w:spacing w:line="580" w:lineRule="exact"/>
        <w:ind w:firstLine="640"/>
        <w:jc w:val="both"/>
      </w:pPr>
      <w:r>
        <w:rPr>
          <w:rFonts w:ascii="仿宋_GB2312" w:hAnsi="仿宋_GB2312" w:eastAsia="仿宋_GB2312"/>
          <w:b/>
          <w:sz w:val="32"/>
        </w:rPr>
        <w:t>本年收入2,575.19万元，</w:t>
      </w:r>
      <w:r>
        <w:rPr>
          <w:rFonts w:ascii="仿宋_GB2312" w:hAnsi="仿宋_GB2312" w:eastAsia="仿宋_GB2312"/>
          <w:b w:val="0"/>
          <w:sz w:val="32"/>
        </w:rPr>
        <w:t>其中：财政拨款收入2,575.19万元，占100.00%；上级补助收入0.00万元，占0.00%；事业收入0.00万元，占0.00%；经营收入0.00万元，占0.00%；附属单位上缴收入0.00万元，占0.00%；其他收入0.00万元，占0.00%。</w:t>
      </w:r>
    </w:p>
    <w:p w14:paraId="3A56C199">
      <w:pPr>
        <w:spacing w:line="640" w:lineRule="exact"/>
        <w:ind w:firstLine="640"/>
        <w:jc w:val="both"/>
        <w:outlineLvl w:val="2"/>
      </w:pPr>
      <w:r>
        <w:rPr>
          <w:rFonts w:ascii="黑体" w:hAnsi="黑体" w:eastAsia="黑体"/>
          <w:sz w:val="32"/>
        </w:rPr>
        <w:t>三、支出决算情况说明</w:t>
      </w:r>
    </w:p>
    <w:p w14:paraId="29FEB4D9">
      <w:pPr>
        <w:spacing w:line="580" w:lineRule="exact"/>
        <w:ind w:firstLine="640"/>
        <w:jc w:val="both"/>
      </w:pPr>
      <w:r>
        <w:rPr>
          <w:rFonts w:ascii="仿宋_GB2312" w:hAnsi="仿宋_GB2312" w:eastAsia="仿宋_GB2312"/>
          <w:b/>
          <w:sz w:val="32"/>
        </w:rPr>
        <w:t>本年支出2,550.19万元，</w:t>
      </w:r>
      <w:r>
        <w:rPr>
          <w:rFonts w:ascii="仿宋_GB2312" w:hAnsi="仿宋_GB2312" w:eastAsia="仿宋_GB2312"/>
          <w:b w:val="0"/>
          <w:sz w:val="32"/>
        </w:rPr>
        <w:t>其中：基本支出387.68万元，占15.20%；项目支出2,162.51万元，占84.80%；上缴上级支出0.00万元，占0.00%；经营支出0.00万元，占0.00%；对附属单位补助支出0.00万元，占0.00%。</w:t>
      </w:r>
    </w:p>
    <w:p w14:paraId="19A8D69B">
      <w:pPr>
        <w:spacing w:line="640" w:lineRule="exact"/>
        <w:ind w:firstLine="640"/>
        <w:jc w:val="both"/>
        <w:outlineLvl w:val="2"/>
      </w:pPr>
      <w:r>
        <w:rPr>
          <w:rFonts w:ascii="黑体" w:hAnsi="黑体" w:eastAsia="黑体"/>
          <w:sz w:val="32"/>
        </w:rPr>
        <w:t>四、财政拨款收入支出决算总体情况说明</w:t>
      </w:r>
    </w:p>
    <w:p w14:paraId="47CAC295">
      <w:pPr>
        <w:spacing w:line="580" w:lineRule="exact"/>
        <w:ind w:firstLine="640"/>
        <w:jc w:val="both"/>
      </w:pPr>
      <w:r>
        <w:rPr>
          <w:rFonts w:ascii="仿宋_GB2312" w:hAnsi="仿宋_GB2312" w:eastAsia="仿宋_GB2312"/>
          <w:b/>
          <w:sz w:val="32"/>
        </w:rPr>
        <w:t>2024年度财政拨款收入总计2,575.19万元，</w:t>
      </w:r>
      <w:r>
        <w:rPr>
          <w:rFonts w:ascii="仿宋_GB2312" w:hAnsi="仿宋_GB2312" w:eastAsia="仿宋_GB2312"/>
          <w:b w:val="0"/>
          <w:sz w:val="32"/>
        </w:rPr>
        <w:t>其中：年初财政拨款结转和结余0.00万元，本年财政拨款收入2,575.19万元。</w:t>
      </w:r>
      <w:r>
        <w:rPr>
          <w:rFonts w:ascii="仿宋_GB2312" w:hAnsi="仿宋_GB2312" w:eastAsia="仿宋_GB2312"/>
          <w:b/>
          <w:sz w:val="32"/>
        </w:rPr>
        <w:t>财政拨款支出总计2,575.19万元，</w:t>
      </w:r>
      <w:r>
        <w:rPr>
          <w:rFonts w:ascii="仿宋_GB2312" w:hAnsi="仿宋_GB2312" w:eastAsia="仿宋_GB2312"/>
          <w:b w:val="0"/>
          <w:sz w:val="32"/>
        </w:rPr>
        <w:t>其中：年末财政拨款结转和结余25.00万元，本年财政拨款支出2,550.19万元。</w:t>
      </w:r>
    </w:p>
    <w:p w14:paraId="7BBB6172">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2,474.78万元，增长2,464.67%，主要原因是：2024年7月吉木萨尔县生态环境局上划至昌吉州生态环境局，与附属事业单位奇台县生态环境监测站合并，在职人员增加，人员工资调增，相关人员经费增加；增加中央大气污染防治资金[第二批]等。</w:t>
      </w:r>
      <w:r>
        <w:rPr>
          <w:rFonts w:ascii="仿宋_GB2312" w:hAnsi="仿宋_GB2312" w:eastAsia="仿宋_GB2312"/>
          <w:b/>
          <w:sz w:val="32"/>
        </w:rPr>
        <w:t>与年初预算相比，</w:t>
      </w:r>
      <w:r>
        <w:rPr>
          <w:rFonts w:ascii="仿宋_GB2312" w:hAnsi="仿宋_GB2312" w:eastAsia="仿宋_GB2312"/>
          <w:b w:val="0"/>
          <w:sz w:val="32"/>
        </w:rPr>
        <w:t>年初预算数2,317.22万元，决算数2,575.19万元，预决算差异率11.13%，主要原因是：2024年7月吉木萨尔县生态环境局上划至昌吉州生态环境局，与附属事业单位奇台县生态环境监测站合并，在职人员增加，人员工资调增，年中追加人员经费及中央大气污染防治资金[第二批]等。</w:t>
      </w:r>
    </w:p>
    <w:p w14:paraId="4797D9A9">
      <w:pPr>
        <w:spacing w:line="640" w:lineRule="exact"/>
        <w:ind w:firstLine="640"/>
        <w:jc w:val="both"/>
        <w:outlineLvl w:val="2"/>
      </w:pPr>
      <w:r>
        <w:rPr>
          <w:rFonts w:ascii="黑体" w:hAnsi="黑体" w:eastAsia="黑体"/>
          <w:sz w:val="32"/>
        </w:rPr>
        <w:t>五、一般公共预算财政拨款支出决算情况说明</w:t>
      </w:r>
    </w:p>
    <w:p w14:paraId="3C2AE59A">
      <w:pPr>
        <w:spacing w:line="640" w:lineRule="exact"/>
        <w:ind w:firstLine="640"/>
        <w:jc w:val="both"/>
        <w:outlineLvl w:val="3"/>
      </w:pPr>
      <w:r>
        <w:rPr>
          <w:rFonts w:ascii="楷体_GB2312" w:hAnsi="楷体_GB2312" w:eastAsia="楷体_GB2312"/>
          <w:b/>
          <w:sz w:val="32"/>
        </w:rPr>
        <w:t>（一）一般公共预算财政拨款支出决算总体情况</w:t>
      </w:r>
    </w:p>
    <w:p w14:paraId="194C0198">
      <w:pPr>
        <w:spacing w:line="580" w:lineRule="exact"/>
        <w:ind w:firstLine="640"/>
        <w:jc w:val="both"/>
      </w:pPr>
      <w:r>
        <w:rPr>
          <w:rFonts w:ascii="仿宋_GB2312" w:hAnsi="仿宋_GB2312" w:eastAsia="仿宋_GB2312"/>
          <w:b/>
          <w:sz w:val="32"/>
        </w:rPr>
        <w:t>2024年度一般公共预算财政拨款支出2,550.19万元，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2,449.78万元，增长2,439.78%，主要原因是：2024年7月吉木萨尔县生态环境局上划至昌吉州生态环境局，与附属事业单位奇台县生态环境监测站合并，在职人员增加，人员工资调增，相关人员经费增加；增加中央大气污染防治资金[第二批]等。</w:t>
      </w:r>
      <w:r>
        <w:rPr>
          <w:rFonts w:ascii="仿宋_GB2312" w:hAnsi="仿宋_GB2312" w:eastAsia="仿宋_GB2312"/>
          <w:b/>
          <w:sz w:val="32"/>
        </w:rPr>
        <w:t>与年初预算相比,</w:t>
      </w:r>
      <w:r>
        <w:rPr>
          <w:rFonts w:ascii="仿宋_GB2312" w:hAnsi="仿宋_GB2312" w:eastAsia="仿宋_GB2312"/>
          <w:b w:val="0"/>
          <w:sz w:val="32"/>
        </w:rPr>
        <w:t>年初预算数2,317.22万元，决算数2,550.19万元，预决算差异率10.05%，主要原因是：2024年7月吉木萨尔县生态环境局上划至昌吉州生态环境局，与附属事业单位奇台县生态环境监测站合并，在职人员增加，人员工资调增，年中追加人员经费及中央大气污染防治资金[第二批]等。</w:t>
      </w:r>
    </w:p>
    <w:p w14:paraId="14229EBA">
      <w:pPr>
        <w:spacing w:line="640" w:lineRule="exact"/>
        <w:ind w:firstLine="640"/>
        <w:jc w:val="both"/>
        <w:outlineLvl w:val="3"/>
      </w:pPr>
      <w:r>
        <w:rPr>
          <w:rFonts w:ascii="楷体_GB2312" w:hAnsi="楷体_GB2312" w:eastAsia="楷体_GB2312"/>
          <w:b/>
          <w:sz w:val="32"/>
        </w:rPr>
        <w:t>（二）一般公共预算财政拨款支出决算结构情况</w:t>
      </w:r>
    </w:p>
    <w:p w14:paraId="3B85F3A4">
      <w:pPr>
        <w:spacing w:line="580" w:lineRule="exact"/>
        <w:ind w:firstLine="640"/>
        <w:jc w:val="both"/>
      </w:pPr>
      <w:r>
        <w:rPr>
          <w:rFonts w:ascii="仿宋_GB2312" w:hAnsi="仿宋_GB2312" w:eastAsia="仿宋_GB2312"/>
          <w:b w:val="0"/>
          <w:sz w:val="32"/>
        </w:rPr>
        <w:t>1.科学技术支出(类)318.19万元,占12.48%。</w:t>
      </w:r>
    </w:p>
    <w:p w14:paraId="71F0DDF6">
      <w:pPr>
        <w:spacing w:line="580" w:lineRule="exact"/>
        <w:ind w:firstLine="640"/>
        <w:jc w:val="both"/>
      </w:pPr>
      <w:r>
        <w:rPr>
          <w:rFonts w:ascii="仿宋_GB2312" w:hAnsi="仿宋_GB2312" w:eastAsia="仿宋_GB2312"/>
          <w:b w:val="0"/>
          <w:sz w:val="32"/>
        </w:rPr>
        <w:t>2.社会保障和就业支出(类)62.10万元,占2.44%。</w:t>
      </w:r>
    </w:p>
    <w:p w14:paraId="44453ACC">
      <w:pPr>
        <w:spacing w:line="580" w:lineRule="exact"/>
        <w:ind w:firstLine="640"/>
        <w:jc w:val="both"/>
      </w:pPr>
      <w:r>
        <w:rPr>
          <w:rFonts w:ascii="仿宋_GB2312" w:hAnsi="仿宋_GB2312" w:eastAsia="仿宋_GB2312"/>
          <w:b w:val="0"/>
          <w:sz w:val="32"/>
        </w:rPr>
        <w:t>3.卫生健康支出(类)9.71万元,占0.38%。</w:t>
      </w:r>
    </w:p>
    <w:p w14:paraId="76C02CB6">
      <w:pPr>
        <w:spacing w:line="580" w:lineRule="exact"/>
        <w:ind w:firstLine="640"/>
        <w:jc w:val="both"/>
      </w:pPr>
      <w:r>
        <w:rPr>
          <w:rFonts w:ascii="仿宋_GB2312" w:hAnsi="仿宋_GB2312" w:eastAsia="仿宋_GB2312"/>
          <w:b w:val="0"/>
          <w:sz w:val="32"/>
        </w:rPr>
        <w:t>4.节能环保支出(类)2,146.90万元,占84.19%。</w:t>
      </w:r>
    </w:p>
    <w:p w14:paraId="38E8C906">
      <w:pPr>
        <w:spacing w:line="580" w:lineRule="exact"/>
        <w:ind w:firstLine="640"/>
        <w:jc w:val="both"/>
      </w:pPr>
      <w:r>
        <w:rPr>
          <w:rFonts w:ascii="仿宋_GB2312" w:hAnsi="仿宋_GB2312" w:eastAsia="仿宋_GB2312"/>
          <w:b w:val="0"/>
          <w:sz w:val="32"/>
        </w:rPr>
        <w:t>5.住房保障支出(类)13.29万元,占0.52%。</w:t>
      </w:r>
    </w:p>
    <w:p w14:paraId="4156FEF8">
      <w:pPr>
        <w:spacing w:line="640" w:lineRule="exact"/>
        <w:ind w:firstLine="640"/>
        <w:jc w:val="both"/>
        <w:outlineLvl w:val="3"/>
      </w:pPr>
      <w:r>
        <w:rPr>
          <w:rFonts w:ascii="楷体_GB2312" w:hAnsi="楷体_GB2312" w:eastAsia="楷体_GB2312"/>
          <w:b/>
          <w:sz w:val="32"/>
        </w:rPr>
        <w:t>（三）一般公共预算财政拨款支出决算具体情况</w:t>
      </w:r>
    </w:p>
    <w:p w14:paraId="3C26E3FE">
      <w:pPr>
        <w:spacing w:line="580" w:lineRule="exact"/>
        <w:ind w:firstLine="640"/>
        <w:jc w:val="both"/>
      </w:pPr>
      <w:r>
        <w:rPr>
          <w:rFonts w:ascii="仿宋_GB2312" w:hAnsi="仿宋_GB2312" w:eastAsia="仿宋_GB2312"/>
          <w:b w:val="0"/>
          <w:sz w:val="32"/>
        </w:rPr>
        <w:t>1.一般公共服务支出(类)其他一般公共服务支出(款)其他一般公共服务支出(项):支出决算数为0.00万元，比上年决算减少5.83万元，下降100.00%,主要原因是：本年减少监测站环境监测运转费。</w:t>
      </w:r>
    </w:p>
    <w:p w14:paraId="08042AD4">
      <w:pPr>
        <w:spacing w:line="580" w:lineRule="exact"/>
        <w:ind w:firstLine="640"/>
        <w:jc w:val="both"/>
      </w:pPr>
      <w:r>
        <w:rPr>
          <w:rFonts w:ascii="仿宋_GB2312" w:hAnsi="仿宋_GB2312" w:eastAsia="仿宋_GB2312"/>
          <w:b w:val="0"/>
          <w:sz w:val="32"/>
        </w:rPr>
        <w:t>2.科学技术支出(类)技术研究与开发(款)其他技术研究与开发支出(项):支出决算数为203.72万元，比上年决算增加203.72万元，增长100.00%,主要原因是：本年增加2024年吉木萨尔县财政局化解历年项目所欠债务、生态环境局空气质量监测技术革新项目。</w:t>
      </w:r>
    </w:p>
    <w:p w14:paraId="531B6851">
      <w:pPr>
        <w:spacing w:line="580" w:lineRule="exact"/>
        <w:ind w:firstLine="640"/>
        <w:jc w:val="both"/>
      </w:pPr>
      <w:r>
        <w:rPr>
          <w:rFonts w:ascii="仿宋_GB2312" w:hAnsi="仿宋_GB2312" w:eastAsia="仿宋_GB2312"/>
          <w:b w:val="0"/>
          <w:sz w:val="32"/>
        </w:rPr>
        <w:t>3.科学技术支出(类)科技条件与服务(款)其他科技条件与服务支出(项):支出决算数为114.47万元，比上年决算增加114.47万元，增长100.00%,主要原因是：本年增加吉木萨尔县国民经济和社会发展第十五个五年规划研究课题资金、吉木萨尔</w:t>
      </w:r>
      <w:r>
        <w:rPr>
          <w:rFonts w:ascii="仿宋_GB2312" w:hAnsi="仿宋_GB2312" w:eastAsia="仿宋_GB2312"/>
          <w:b w:val="0"/>
          <w:w w:val="97"/>
          <w:sz w:val="32"/>
        </w:rPr>
        <w:t>县北庭工业园区环境空气质量自动监测系统数据购买项目资金等。</w:t>
      </w:r>
    </w:p>
    <w:p w14:paraId="313D160B">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3.38万元，比上年决算增加3.38万元，增长100.00%,主要原因是：2024年7月吉木萨尔县生态环境局上划至昌吉州生态环境局，与附属事业单位奇台县生态环境监测站合并，退休人员增加，退休费增加。</w:t>
      </w:r>
    </w:p>
    <w:p w14:paraId="7ED68DB4">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16.49万元，比上年决算增加8.10万元，增长96.54%,主要原因是：2024年7月吉木萨尔县生态环境局上划至昌吉州生态环境局，与附属事业单位奇台县生态环境监测站合并，在职人员增加，在职人员工资调增，养老保险缴费增加。</w:t>
      </w:r>
    </w:p>
    <w:p w14:paraId="2716BA4F">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42.23万元，比上年决算增加38.06万元，增长912.71%,主要原因是：2024年7月吉木萨尔县生态环境局上划至昌吉州生态环境局，与附属事业单位奇台县生态环境监测站合并，退休人员增加，职业年金缴费增加。</w:t>
      </w:r>
    </w:p>
    <w:p w14:paraId="55E43452">
      <w:pPr>
        <w:spacing w:line="580" w:lineRule="exact"/>
        <w:ind w:firstLine="640"/>
        <w:jc w:val="both"/>
      </w:pPr>
      <w:r>
        <w:rPr>
          <w:rFonts w:ascii="仿宋_GB2312" w:hAnsi="仿宋_GB2312" w:eastAsia="仿宋_GB2312"/>
          <w:b w:val="0"/>
          <w:sz w:val="32"/>
        </w:rPr>
        <w:t>7.卫生健康支出(类)行政事业单位医疗(款)行政单位医疗(项):支出决算数为4.65万元，比上年决算增加4.65万元，增长100.00%,主要原因是：2024年7月吉木萨尔县生态环境局上划至昌吉州生态环境局，与附属事业单位奇台县生态环境监测站合并，在职人员增加，在职人员工资调增，单位医疗缴费增加。</w:t>
      </w:r>
    </w:p>
    <w:p w14:paraId="048D5FB8">
      <w:pPr>
        <w:spacing w:line="580" w:lineRule="exact"/>
        <w:ind w:firstLine="640"/>
        <w:jc w:val="both"/>
      </w:pPr>
      <w:r>
        <w:rPr>
          <w:rFonts w:ascii="仿宋_GB2312" w:hAnsi="仿宋_GB2312" w:eastAsia="仿宋_GB2312"/>
          <w:b w:val="0"/>
          <w:sz w:val="32"/>
        </w:rPr>
        <w:t>8.卫生健康支出(类)行政事业单位医疗(款)事业单位医疗(项):支出决算数为4.50万元，比上年决算增加0.31万元，增长7.40%,主要原因是：2024年7月吉木萨尔县生态环境局上划至昌吉州生态环境局，与附属事业单位奇台县生态环境监测站合并，在职人员增加，在职人员工资调增，单位医疗缴费增加。</w:t>
      </w:r>
    </w:p>
    <w:p w14:paraId="20E07C51">
      <w:pPr>
        <w:spacing w:line="580" w:lineRule="exact"/>
        <w:ind w:firstLine="640"/>
        <w:jc w:val="both"/>
      </w:pPr>
      <w:r>
        <w:rPr>
          <w:rFonts w:ascii="仿宋_GB2312" w:hAnsi="仿宋_GB2312" w:eastAsia="仿宋_GB2312"/>
          <w:b w:val="0"/>
          <w:sz w:val="32"/>
        </w:rPr>
        <w:t>9.卫生健康支出(类)行政事业单位医疗(款)公务员医疗补助(项):支出决算数为0.53万元，比上年决算增加0.27万元，增长103.85%,主要原因是：2024年7月吉木萨尔县生态环境局上划至昌吉州生态环境局，与附属事业单位奇台县生态环境监测站合并，在职人员增加，在职人员工资调增，公务员医疗补助支出增加。</w:t>
      </w:r>
    </w:p>
    <w:p w14:paraId="6B0B4947">
      <w:pPr>
        <w:spacing w:line="580" w:lineRule="exact"/>
        <w:ind w:firstLine="640"/>
        <w:jc w:val="both"/>
      </w:pPr>
      <w:r>
        <w:rPr>
          <w:rFonts w:ascii="仿宋_GB2312" w:hAnsi="仿宋_GB2312" w:eastAsia="仿宋_GB2312"/>
          <w:b w:val="0"/>
          <w:sz w:val="32"/>
        </w:rPr>
        <w:t>10.卫生健康支出(类)行政事业单位医疗(款)其他行政事业单位医疗支出(项):支出决算数为0.03万元，比上年决算增加0.00万元，增长0.00%,主要原因是：本年其他行政事业单位医疗支出与上年无变化。</w:t>
      </w:r>
    </w:p>
    <w:p w14:paraId="13B3D337">
      <w:pPr>
        <w:spacing w:line="580" w:lineRule="exact"/>
        <w:ind w:firstLine="640"/>
        <w:jc w:val="both"/>
      </w:pPr>
      <w:r>
        <w:rPr>
          <w:rFonts w:ascii="仿宋_GB2312" w:hAnsi="仿宋_GB2312" w:eastAsia="仿宋_GB2312"/>
          <w:b w:val="0"/>
          <w:sz w:val="32"/>
        </w:rPr>
        <w:t>11.节能环保支出(类)环境保护管理事务(款)行政运行(项):支出决算数为208.56万元，比上年决算增加208.56万元，增长100.00%,主要原因是：2024年7月吉木萨尔县生态环境局上划至昌吉州生态环境局，与附属事业单位奇台县生态环境监测站合并，在职人员增加，在职人员工资调增，人员经费及公用经费增加。</w:t>
      </w:r>
    </w:p>
    <w:p w14:paraId="08F358FA">
      <w:pPr>
        <w:spacing w:line="580" w:lineRule="exact"/>
        <w:ind w:firstLine="640"/>
        <w:jc w:val="both"/>
      </w:pPr>
      <w:r>
        <w:rPr>
          <w:rFonts w:ascii="仿宋_GB2312" w:hAnsi="仿宋_GB2312" w:eastAsia="仿宋_GB2312"/>
          <w:b w:val="0"/>
          <w:sz w:val="32"/>
        </w:rPr>
        <w:t>12.节能环保支出(类)环境保护管理事务(款)其他环境保护管理事务支出(项):支出决算数为90.24万元，比上年决算增加90.24万元，增长100.00%,主要原因是：本年增加生态环境局东大龙口河流域</w:t>
      </w:r>
      <w:r>
        <w:rPr>
          <w:rFonts w:hint="eastAsia" w:ascii="仿宋_GB2312" w:hAnsi="仿宋_GB2312" w:eastAsia="仿宋_GB2312"/>
          <w:b w:val="0"/>
          <w:sz w:val="32"/>
          <w:lang w:eastAsia="zh-CN"/>
        </w:rPr>
        <w:t>“</w:t>
      </w:r>
      <w:r>
        <w:rPr>
          <w:rFonts w:ascii="仿宋_GB2312" w:hAnsi="仿宋_GB2312" w:eastAsia="仿宋_GB2312"/>
          <w:b w:val="0"/>
          <w:sz w:val="32"/>
        </w:rPr>
        <w:t>一河一策一图”环境应急实战演练经费、生态环境局清理历年欠债经费。</w:t>
      </w:r>
    </w:p>
    <w:p w14:paraId="4F497EB6">
      <w:pPr>
        <w:spacing w:line="580" w:lineRule="exact"/>
        <w:ind w:firstLine="640"/>
        <w:jc w:val="both"/>
      </w:pPr>
      <w:r>
        <w:rPr>
          <w:rFonts w:ascii="仿宋_GB2312" w:hAnsi="仿宋_GB2312" w:eastAsia="仿宋_GB2312"/>
          <w:b w:val="0"/>
          <w:sz w:val="32"/>
        </w:rPr>
        <w:t>13.节能环保支出(类)污染防治(款)大气(项):支出决算数为1,725.75万元，比上年决算增加1,725.75万元，增长100.00%,主要原因是：本年增加中央大气污染防治资金[第二批]。</w:t>
      </w:r>
    </w:p>
    <w:p w14:paraId="12C347DA">
      <w:pPr>
        <w:spacing w:line="580" w:lineRule="exact"/>
        <w:ind w:firstLine="640"/>
        <w:jc w:val="both"/>
      </w:pPr>
      <w:r>
        <w:rPr>
          <w:rFonts w:ascii="仿宋_GB2312" w:hAnsi="仿宋_GB2312" w:eastAsia="仿宋_GB2312"/>
          <w:b w:val="0"/>
          <w:sz w:val="32"/>
        </w:rPr>
        <w:t>14.节能环保支出(类)污染防治(款)固体废弃物与化学品(项):支出决算数为13.31万元，比上年决算增加13.31万元，增长100.00%,主要原因是：本年增加生态环境局司法鉴定专项经费、生态环境局卡山保护区遥感核查点</w:t>
      </w:r>
      <w:r>
        <w:rPr>
          <w:rFonts w:hint="eastAsia" w:ascii="仿宋_GB2312" w:hAnsi="仿宋_GB2312" w:eastAsia="仿宋_GB2312"/>
          <w:b w:val="0"/>
          <w:sz w:val="32"/>
          <w:lang w:eastAsia="zh-CN"/>
        </w:rPr>
        <w:t>固体废物</w:t>
      </w:r>
      <w:r>
        <w:rPr>
          <w:rFonts w:ascii="仿宋_GB2312" w:hAnsi="仿宋_GB2312" w:eastAsia="仿宋_GB2312"/>
          <w:b w:val="0"/>
          <w:sz w:val="32"/>
        </w:rPr>
        <w:t>处置工作经费。</w:t>
      </w:r>
    </w:p>
    <w:p w14:paraId="6C79C9FE">
      <w:pPr>
        <w:spacing w:line="580" w:lineRule="exact"/>
        <w:ind w:firstLine="640"/>
        <w:jc w:val="both"/>
      </w:pPr>
      <w:r>
        <w:rPr>
          <w:rFonts w:ascii="仿宋_GB2312" w:hAnsi="仿宋_GB2312" w:eastAsia="仿宋_GB2312"/>
          <w:b w:val="0"/>
          <w:sz w:val="32"/>
        </w:rPr>
        <w:t>15.节能环保支出(类)污染防治(款)其他污染防治支出(项):支出决算数为12.41万元，比上年决算增加12.41万元，增长100.00%,主要原因是：本年增加完工已结算施工类项目</w:t>
      </w:r>
      <w:bookmarkStart w:id="0" w:name="_GoBack"/>
      <w:r>
        <w:rPr>
          <w:rFonts w:ascii="仿宋_GB2312" w:hAnsi="仿宋_GB2312" w:eastAsia="仿宋_GB2312"/>
          <w:b w:val="0"/>
          <w:sz w:val="32"/>
        </w:rPr>
        <w:t>欠款</w:t>
      </w:r>
      <w:bookmarkEnd w:id="0"/>
      <w:r>
        <w:rPr>
          <w:rFonts w:ascii="仿宋_GB2312" w:hAnsi="仿宋_GB2312" w:eastAsia="仿宋_GB2312"/>
          <w:b w:val="0"/>
          <w:sz w:val="32"/>
        </w:rPr>
        <w:t>。</w:t>
      </w:r>
    </w:p>
    <w:p w14:paraId="74014906">
      <w:pPr>
        <w:spacing w:line="580" w:lineRule="exact"/>
        <w:ind w:firstLine="640"/>
        <w:jc w:val="both"/>
      </w:pPr>
      <w:r>
        <w:rPr>
          <w:rFonts w:ascii="仿宋_GB2312" w:hAnsi="仿宋_GB2312" w:eastAsia="仿宋_GB2312"/>
          <w:b w:val="0"/>
          <w:sz w:val="32"/>
        </w:rPr>
        <w:t>16.节能环保支出(类)污染减排(款)生态环境监测与信息(项):支出决算数为96.63万元，比上年决算增加25.49万元，增长35.83%,主要原因是：本年增加环境监测运转费。</w:t>
      </w:r>
    </w:p>
    <w:p w14:paraId="1BA78B2D">
      <w:pPr>
        <w:spacing w:line="580" w:lineRule="exact"/>
        <w:ind w:firstLine="640"/>
        <w:jc w:val="both"/>
      </w:pPr>
      <w:r>
        <w:rPr>
          <w:rFonts w:ascii="仿宋_GB2312" w:hAnsi="仿宋_GB2312" w:eastAsia="仿宋_GB2312"/>
          <w:b w:val="0"/>
          <w:sz w:val="32"/>
        </w:rPr>
        <w:t>17.住房保障支出(类)住房改革支出(款)住房公积金(项):支出决算数为13.29万元，比上年决算增加6.90万元，增长107.98%,主要原因是：2024年7月吉木萨尔县生态环境局上划至昌吉州生态环境局，与附属事业单位奇台县生态环境监测站合并，在职人员增加，人员工资调增，住房公积金缴费增加。</w:t>
      </w:r>
    </w:p>
    <w:p w14:paraId="732B4A26">
      <w:pPr>
        <w:spacing w:line="640" w:lineRule="exact"/>
        <w:ind w:firstLine="640"/>
        <w:jc w:val="both"/>
        <w:outlineLvl w:val="2"/>
      </w:pPr>
      <w:r>
        <w:rPr>
          <w:rFonts w:ascii="黑体" w:hAnsi="黑体" w:eastAsia="黑体"/>
          <w:sz w:val="32"/>
        </w:rPr>
        <w:t>六、一般公共预算财政拨款基本支出决算情况说明</w:t>
      </w:r>
    </w:p>
    <w:p w14:paraId="246F9680">
      <w:pPr>
        <w:spacing w:line="580" w:lineRule="exact"/>
        <w:ind w:firstLine="640"/>
        <w:jc w:val="both"/>
      </w:pPr>
      <w:r>
        <w:rPr>
          <w:rFonts w:ascii="仿宋_GB2312" w:hAnsi="仿宋_GB2312" w:eastAsia="仿宋_GB2312"/>
          <w:b w:val="0"/>
          <w:sz w:val="32"/>
        </w:rPr>
        <w:t>2024年度一般公共预算财政拨款基本支出387.68万元，其中：</w:t>
      </w:r>
      <w:r>
        <w:rPr>
          <w:rFonts w:ascii="仿宋_GB2312" w:hAnsi="仿宋_GB2312" w:eastAsia="仿宋_GB2312"/>
          <w:b/>
          <w:sz w:val="32"/>
        </w:rPr>
        <w:t>人员经费330.51万元，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生活补助、奖励金。</w:t>
      </w:r>
    </w:p>
    <w:p w14:paraId="04E3C7CE">
      <w:pPr>
        <w:spacing w:line="580" w:lineRule="exact"/>
        <w:ind w:firstLine="640"/>
        <w:jc w:val="both"/>
      </w:pPr>
      <w:r>
        <w:rPr>
          <w:rFonts w:ascii="仿宋_GB2312" w:hAnsi="仿宋_GB2312" w:eastAsia="仿宋_GB2312"/>
          <w:b/>
          <w:sz w:val="32"/>
        </w:rPr>
        <w:t>公用经费57.17万元，</w:t>
      </w:r>
      <w:r>
        <w:rPr>
          <w:rFonts w:ascii="仿宋_GB2312" w:hAnsi="仿宋_GB2312" w:eastAsia="仿宋_GB2312"/>
          <w:b w:val="0"/>
          <w:sz w:val="32"/>
        </w:rPr>
        <w:t>包括：办公费、印刷费、咨询费、电费、邮电费、取暖费、差旅费、维修（护）费、培训费、公务接待费、专用材料费、劳务费、委托业务费、工会经费、福利费、公务用车运行维护费、其他商品和服务支出。</w:t>
      </w:r>
    </w:p>
    <w:p w14:paraId="5FD6125B">
      <w:pPr>
        <w:spacing w:line="640" w:lineRule="exact"/>
        <w:ind w:firstLine="640"/>
        <w:jc w:val="both"/>
        <w:outlineLvl w:val="2"/>
      </w:pPr>
      <w:r>
        <w:rPr>
          <w:rFonts w:ascii="黑体" w:hAnsi="黑体" w:eastAsia="黑体"/>
          <w:sz w:val="32"/>
        </w:rPr>
        <w:t>七、政府性基金预算财政拨款收入支出决算情况说明</w:t>
      </w:r>
    </w:p>
    <w:p w14:paraId="01960CAD">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14BFD3E4">
      <w:pPr>
        <w:spacing w:line="640" w:lineRule="exact"/>
        <w:ind w:firstLine="640"/>
        <w:jc w:val="both"/>
        <w:outlineLvl w:val="2"/>
      </w:pPr>
      <w:r>
        <w:rPr>
          <w:rFonts w:ascii="黑体" w:hAnsi="黑体" w:eastAsia="黑体"/>
          <w:sz w:val="32"/>
        </w:rPr>
        <w:t>八、国有资本经营预算财政拨款收入支出决算情况说明</w:t>
      </w:r>
    </w:p>
    <w:p w14:paraId="4CFEC248">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9B6DEAB">
      <w:pPr>
        <w:spacing w:line="640" w:lineRule="exact"/>
        <w:ind w:firstLine="640"/>
        <w:jc w:val="both"/>
        <w:outlineLvl w:val="2"/>
      </w:pPr>
      <w:r>
        <w:rPr>
          <w:rFonts w:ascii="黑体" w:hAnsi="黑体" w:eastAsia="黑体"/>
          <w:sz w:val="32"/>
        </w:rPr>
        <w:t>九、财政拨款“三公”经费支出决算情况说明</w:t>
      </w:r>
    </w:p>
    <w:p w14:paraId="06E90111">
      <w:pPr>
        <w:spacing w:line="580" w:lineRule="exact"/>
        <w:ind w:firstLine="640"/>
        <w:jc w:val="both"/>
      </w:pPr>
      <w:r>
        <w:rPr>
          <w:rFonts w:ascii="仿宋_GB2312" w:hAnsi="仿宋_GB2312" w:eastAsia="仿宋_GB2312"/>
          <w:b/>
          <w:sz w:val="32"/>
        </w:rPr>
        <w:t>2024年度财政拨款“三公”经费支出5.25万元，</w:t>
      </w:r>
      <w:r>
        <w:rPr>
          <w:rFonts w:ascii="仿宋_GB2312" w:hAnsi="仿宋_GB2312" w:eastAsia="仿宋_GB2312"/>
          <w:b w:val="0"/>
          <w:sz w:val="32"/>
        </w:rPr>
        <w:t>比上年增加3.45万元，增长191.67%，主要原因是：2024年7月吉木萨尔县生态环境局上划至昌吉州生态环境局，与附属事业单位奇台县生态环境监测站合并，公务用车运行维护费</w:t>
      </w:r>
      <w:r>
        <w:rPr>
          <w:rFonts w:hint="eastAsia" w:ascii="仿宋_GB2312" w:hAnsi="仿宋_GB2312" w:eastAsia="仿宋_GB2312"/>
          <w:b w:val="0"/>
          <w:sz w:val="32"/>
          <w:lang w:val="en-US" w:eastAsia="zh-CN"/>
        </w:rPr>
        <w:t>及公务接待费</w:t>
      </w:r>
      <w:r>
        <w:rPr>
          <w:rFonts w:ascii="仿宋_GB2312" w:hAnsi="仿宋_GB2312" w:eastAsia="仿宋_GB2312"/>
          <w:b w:val="0"/>
          <w:sz w:val="32"/>
        </w:rPr>
        <w:t>增加。其中：因公出国（境）费支出0.00万元，占0.00%，比上年增加0.00万元，增长0.00%，主要原因是：2023年与2024年均未安排因公出国（境）费支出。公务用车购置及运行维护费支出4.92万元，占93.71%，比上年增加3.22万元，增长189.41%，主要原因是：2024年7月吉木萨尔县生态环境局上划至昌吉州生态环境局，与附属事业单位奇台县生态环境监测站合并，公务用车运行维护费增加。公务接待费支出0.33万元，占6.29%，比上年增加0.23万元，增长230.00%，主要原因是：2024年7月吉木萨尔县生态环境局上划至昌吉州生态环境局，与附属事业单位奇台县生态环境监测站合并，公务接待费增加。</w:t>
      </w:r>
    </w:p>
    <w:p w14:paraId="1B182DD8">
      <w:pPr>
        <w:spacing w:line="580" w:lineRule="exact"/>
        <w:ind w:firstLine="640"/>
        <w:jc w:val="both"/>
      </w:pPr>
      <w:r>
        <w:rPr>
          <w:rFonts w:ascii="仿宋_GB2312" w:hAnsi="仿宋_GB2312" w:eastAsia="仿宋_GB2312"/>
          <w:b/>
          <w:sz w:val="32"/>
        </w:rPr>
        <w:t>具体情况如下：</w:t>
      </w:r>
    </w:p>
    <w:p w14:paraId="74D29FAB">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7289620">
      <w:pPr>
        <w:spacing w:line="580" w:lineRule="exact"/>
        <w:ind w:firstLine="640"/>
        <w:jc w:val="both"/>
      </w:pPr>
      <w:r>
        <w:rPr>
          <w:rFonts w:ascii="仿宋_GB2312" w:hAnsi="仿宋_GB2312" w:eastAsia="仿宋_GB2312"/>
          <w:b w:val="0"/>
          <w:sz w:val="32"/>
        </w:rPr>
        <w:t>公务用车购置及运行维护费4.92万元，其中：公务用车购置费0.00万元，公务用车运行维护费4.92万元。公务用车运行维护费开支内容包括公务用车燃料费、维修费、过路费、保险费等支出。公务用车购置数0辆，公务用车保有量2辆。国有资产占用情况中固定资产车辆4辆，与公务用车保有量差异原因是：差异车辆为一般业务用车，预算未安排公务用车运行维护费。</w:t>
      </w:r>
    </w:p>
    <w:p w14:paraId="62C27554">
      <w:pPr>
        <w:spacing w:line="580" w:lineRule="exact"/>
        <w:ind w:firstLine="640"/>
        <w:jc w:val="both"/>
      </w:pPr>
      <w:r>
        <w:rPr>
          <w:rFonts w:ascii="仿宋_GB2312" w:hAnsi="仿宋_GB2312" w:eastAsia="仿宋_GB2312"/>
          <w:b w:val="0"/>
          <w:sz w:val="32"/>
        </w:rPr>
        <w:t>公务接待费0.33万元，开支内容包括因工作需要，接待上级领导检查产生的就餐费。单位全年安排的国内公务接待4批次，61人次。</w:t>
      </w:r>
    </w:p>
    <w:p w14:paraId="7190D542">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5.25万元，决算数5.25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4.92万元，决算数4.92万元，预决算差异率0.00%，主要原因是：严格按照预算执行，预决算无差异。公务接待费全年预算数0.33万元，决算数0.33万元，预决算差异率0.00%，主要原因是：严格按照预算执行，预决算无差异。</w:t>
      </w:r>
    </w:p>
    <w:p w14:paraId="0B3256AB">
      <w:pPr>
        <w:spacing w:line="640" w:lineRule="exact"/>
        <w:ind w:firstLine="640"/>
        <w:jc w:val="both"/>
        <w:outlineLvl w:val="2"/>
      </w:pPr>
      <w:r>
        <w:rPr>
          <w:rFonts w:ascii="黑体" w:hAnsi="黑体" w:eastAsia="黑体"/>
          <w:sz w:val="32"/>
        </w:rPr>
        <w:t>十、其他重要事项的情况说明</w:t>
      </w:r>
    </w:p>
    <w:p w14:paraId="050D0820">
      <w:pPr>
        <w:spacing w:line="640" w:lineRule="exact"/>
        <w:ind w:firstLine="640"/>
        <w:jc w:val="both"/>
        <w:outlineLvl w:val="3"/>
      </w:pPr>
      <w:r>
        <w:rPr>
          <w:rFonts w:ascii="楷体_GB2312" w:hAnsi="楷体_GB2312" w:eastAsia="楷体_GB2312"/>
          <w:b/>
          <w:sz w:val="32"/>
        </w:rPr>
        <w:t>（一）机关运行经费及公用经费支出情况</w:t>
      </w:r>
    </w:p>
    <w:p w14:paraId="6E5685F9">
      <w:pPr>
        <w:spacing w:line="580" w:lineRule="exact"/>
        <w:ind w:firstLine="640"/>
        <w:jc w:val="both"/>
      </w:pPr>
      <w:r>
        <w:rPr>
          <w:rFonts w:ascii="仿宋_GB2312" w:hAnsi="仿宋_GB2312" w:eastAsia="仿宋_GB2312"/>
          <w:b w:val="0"/>
          <w:sz w:val="32"/>
        </w:rPr>
        <w:t>2024年度昌吉回族自治州生态环境局吉木萨尔县分局（行政单位和参照公务员法管理事业单位）机关运行经费支出57.17万元，比上年增加57.17万元，增长100.00%，主要原因是：2024年7月吉木萨尔县生态环境局上划至昌吉州生态环境局，与附属事业单位奇台县生态环境监测站合并，导致机关运行经费增加。</w:t>
      </w:r>
    </w:p>
    <w:p w14:paraId="4B437D21">
      <w:pPr>
        <w:spacing w:line="640" w:lineRule="exact"/>
        <w:ind w:firstLine="640"/>
        <w:jc w:val="both"/>
        <w:outlineLvl w:val="3"/>
      </w:pPr>
      <w:r>
        <w:rPr>
          <w:rFonts w:ascii="楷体_GB2312" w:hAnsi="楷体_GB2312" w:eastAsia="楷体_GB2312"/>
          <w:b/>
          <w:sz w:val="32"/>
        </w:rPr>
        <w:t>（二）政府采购情况</w:t>
      </w:r>
    </w:p>
    <w:p w14:paraId="7F602739">
      <w:pPr>
        <w:spacing w:line="580" w:lineRule="exact"/>
        <w:ind w:firstLine="640"/>
        <w:jc w:val="both"/>
      </w:pPr>
      <w:r>
        <w:rPr>
          <w:rFonts w:ascii="仿宋_GB2312" w:hAnsi="仿宋_GB2312" w:eastAsia="仿宋_GB2312"/>
          <w:b w:val="0"/>
          <w:sz w:val="32"/>
        </w:rPr>
        <w:t>2024年度政府采购支出总额6.17万元，其中：政府采购货物支出5.32万元、政府采购工程支出0.00万元、政府采购服务支出0.85万元。</w:t>
      </w:r>
    </w:p>
    <w:p w14:paraId="62237BD4">
      <w:pPr>
        <w:spacing w:line="580" w:lineRule="exact"/>
        <w:ind w:firstLine="640"/>
        <w:jc w:val="both"/>
      </w:pPr>
      <w:r>
        <w:rPr>
          <w:rFonts w:ascii="仿宋_GB2312" w:hAnsi="仿宋_GB2312" w:eastAsia="仿宋_GB2312"/>
          <w:b w:val="0"/>
          <w:sz w:val="32"/>
        </w:rPr>
        <w:t>授予中小企业合同金额6.17万元，占政府采购支出总额的100.00%，其中：授予小微企业合同金额6.17万元，占政府采购支出总额的100.00%。</w:t>
      </w:r>
    </w:p>
    <w:p w14:paraId="2A8ED585">
      <w:pPr>
        <w:spacing w:line="640" w:lineRule="exact"/>
        <w:ind w:firstLine="640"/>
        <w:jc w:val="both"/>
        <w:outlineLvl w:val="3"/>
      </w:pPr>
      <w:r>
        <w:rPr>
          <w:rFonts w:ascii="楷体_GB2312" w:hAnsi="楷体_GB2312" w:eastAsia="楷体_GB2312"/>
          <w:b/>
          <w:sz w:val="32"/>
        </w:rPr>
        <w:t>（三）国有资产占用情况说明</w:t>
      </w:r>
    </w:p>
    <w:p w14:paraId="387619A9">
      <w:pPr>
        <w:spacing w:line="580" w:lineRule="exact"/>
        <w:ind w:firstLine="640"/>
        <w:jc w:val="both"/>
      </w:pPr>
      <w:r>
        <w:rPr>
          <w:rFonts w:ascii="仿宋_GB2312" w:hAnsi="仿宋_GB2312" w:eastAsia="仿宋_GB2312"/>
          <w:b w:val="0"/>
          <w:sz w:val="32"/>
        </w:rPr>
        <w:t>截至2024年12月31日，房屋1,034.20平方米，价值109.45万元。车辆4辆，价值73.43万元，其中：副部（省）级及以上领导用车0辆、主要负责人用车0辆、机要通信用车0辆、应急保障用车0辆、执法执勤用车3辆、特种专业技术用车1辆、离退休干部服务用车0辆、其他用车0辆，其他用车主要是：</w:t>
      </w:r>
      <w:r>
        <w:rPr>
          <w:rFonts w:hint="eastAsia" w:ascii="仿宋_GB2312" w:hAnsi="仿宋_GB2312" w:eastAsia="仿宋_GB2312"/>
          <w:b w:val="0"/>
          <w:sz w:val="32"/>
          <w:lang w:eastAsia="zh-CN"/>
        </w:rPr>
        <w:t>本单位</w:t>
      </w:r>
      <w:r>
        <w:rPr>
          <w:rFonts w:ascii="仿宋_GB2312" w:hAnsi="仿宋_GB2312" w:eastAsia="仿宋_GB2312"/>
          <w:b w:val="0"/>
          <w:sz w:val="32"/>
        </w:rPr>
        <w:t>无其他用车。单价100万元（含）以上设备（不含车辆）0台（套）。</w:t>
      </w:r>
    </w:p>
    <w:p w14:paraId="19AF3629">
      <w:pPr>
        <w:spacing w:line="640" w:lineRule="exact"/>
        <w:ind w:firstLine="640"/>
        <w:jc w:val="both"/>
        <w:outlineLvl w:val="2"/>
      </w:pPr>
      <w:r>
        <w:rPr>
          <w:rFonts w:ascii="黑体" w:hAnsi="黑体" w:eastAsia="黑体"/>
          <w:sz w:val="32"/>
        </w:rPr>
        <w:t>十一、预算绩效的情况说明</w:t>
      </w:r>
    </w:p>
    <w:p w14:paraId="2D0D3F1E">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2,575.19万元，实际执行总额2,550.19万元；预算绩效评价项目1个，全年预算数7.00万元，全年执行数7.00万元。预算绩效管理取得的成效：一是推动落实重大改革举措。按照州局党组安排已完成分局资产固定资产清查、债权债务划分等工作；深入开展污染物减排工作；二是不断提升生态环境执法效能。深入开展环境执法大练兵；依法处置环境信访矛盾问题；严格执行“行政执法“三项制度””全过程系统管理。发现的问题及原因：一是执法力度不强；二是污染治理能力有限。下一步改进措施：一是加大环保执法力度，引入智能化执法手段，如无人机、大数据分析等，提高执法效率；严厉打击地方保护主义，确保执法公正透明；二是提升污染治理效果，加强污染源排查和分类管理，制定针对性治理方案；推广先进污染治理技术，提升治理效率。具体附整体支出绩效自评表，项目支出绩效自评表和评价报告。</w:t>
      </w:r>
    </w:p>
    <w:p w14:paraId="05C16205">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53CD14E1">
        <w:tblPrEx>
          <w:tblCellMar>
            <w:top w:w="0" w:type="dxa"/>
            <w:left w:w="108" w:type="dxa"/>
            <w:bottom w:w="0" w:type="dxa"/>
            <w:right w:w="108" w:type="dxa"/>
          </w:tblCellMar>
        </w:tblPrEx>
        <w:tc>
          <w:tcPr>
            <w:tcW w:w="8847" w:type="dxa"/>
            <w:gridSpan w:val="9"/>
            <w:vAlign w:val="center"/>
          </w:tcPr>
          <w:p w14:paraId="33F06744">
            <w:pPr>
              <w:jc w:val="center"/>
            </w:pPr>
            <w:r>
              <w:rPr>
                <w:rFonts w:ascii="宋体" w:hAnsi="宋体" w:eastAsia="宋体"/>
                <w:sz w:val="24"/>
              </w:rPr>
              <w:t>单位整体支出绩效自评表</w:t>
            </w:r>
          </w:p>
        </w:tc>
      </w:tr>
      <w:tr w14:paraId="6ECB7448">
        <w:tblPrEx>
          <w:tblCellMar>
            <w:top w:w="0" w:type="dxa"/>
            <w:left w:w="108" w:type="dxa"/>
            <w:bottom w:w="0" w:type="dxa"/>
            <w:right w:w="108" w:type="dxa"/>
          </w:tblCellMar>
        </w:tblPrEx>
        <w:tc>
          <w:tcPr>
            <w:tcW w:w="8847" w:type="dxa"/>
            <w:gridSpan w:val="9"/>
            <w:vAlign w:val="center"/>
          </w:tcPr>
          <w:p w14:paraId="05EB8989">
            <w:pPr>
              <w:jc w:val="center"/>
            </w:pPr>
            <w:r>
              <w:rPr>
                <w:rFonts w:ascii="宋体" w:hAnsi="宋体" w:eastAsia="宋体"/>
                <w:sz w:val="24"/>
              </w:rPr>
              <w:t>（2024年度）</w:t>
            </w:r>
          </w:p>
        </w:tc>
      </w:tr>
      <w:tr w14:paraId="52F6B3E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0BCDF8">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C76120D">
            <w:pPr>
              <w:jc w:val="center"/>
            </w:pPr>
            <w:r>
              <w:rPr>
                <w:rFonts w:ascii="宋体" w:hAnsi="宋体" w:eastAsia="宋体"/>
                <w:sz w:val="16"/>
              </w:rPr>
              <w:t>昌吉回族自治州生态环境局吉木萨尔县分局</w:t>
            </w:r>
          </w:p>
        </w:tc>
      </w:tr>
      <w:tr w14:paraId="2B67BA9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7E3347">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C36353">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ED0821">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5C9C8F">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29CB8C">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C2447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56859E">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96EDE5">
            <w:pPr>
              <w:jc w:val="center"/>
            </w:pPr>
            <w:r>
              <w:rPr>
                <w:rFonts w:ascii="宋体" w:hAnsi="宋体" w:eastAsia="宋体"/>
                <w:sz w:val="16"/>
              </w:rPr>
              <w:t>得分</w:t>
            </w:r>
          </w:p>
        </w:tc>
      </w:tr>
      <w:tr w14:paraId="1B291EA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BDFB2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8FF72">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20791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8B501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523D1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2869B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BD40C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263F60">
            <w:pPr>
              <w:jc w:val="center"/>
            </w:pPr>
            <w:r>
              <w:rPr>
                <w:rFonts w:ascii="宋体" w:hAnsi="宋体" w:eastAsia="宋体"/>
                <w:sz w:val="16"/>
              </w:rPr>
              <w:t>-</w:t>
            </w:r>
          </w:p>
        </w:tc>
      </w:tr>
      <w:tr w14:paraId="643530F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245BAF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918546">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6AC21C">
            <w:pPr>
              <w:jc w:val="center"/>
            </w:pPr>
            <w:r>
              <w:rPr>
                <w:rFonts w:ascii="宋体" w:hAnsi="宋体" w:eastAsia="宋体"/>
                <w:sz w:val="16"/>
              </w:rPr>
              <w:t>99.94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4C6224">
            <w:pPr>
              <w:jc w:val="center"/>
            </w:pPr>
            <w:r>
              <w:rPr>
                <w:rFonts w:ascii="宋体" w:hAnsi="宋体" w:eastAsia="宋体"/>
                <w:sz w:val="16"/>
              </w:rPr>
              <w:t>2,575.19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EB6A0C">
            <w:pPr>
              <w:jc w:val="center"/>
            </w:pPr>
            <w:r>
              <w:rPr>
                <w:rFonts w:ascii="宋体" w:hAnsi="宋体" w:eastAsia="宋体"/>
                <w:sz w:val="16"/>
              </w:rPr>
              <w:t>2,550.19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3F593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A4F5A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522F1B">
            <w:pPr>
              <w:jc w:val="center"/>
            </w:pPr>
            <w:r>
              <w:rPr>
                <w:rFonts w:ascii="宋体" w:hAnsi="宋体" w:eastAsia="宋体"/>
                <w:sz w:val="16"/>
              </w:rPr>
              <w:t>-</w:t>
            </w:r>
          </w:p>
        </w:tc>
      </w:tr>
      <w:tr w14:paraId="2E2699F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51805D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8A361F">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3C820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EA388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1802D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9E179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A1667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156C28">
            <w:pPr>
              <w:jc w:val="center"/>
            </w:pPr>
            <w:r>
              <w:rPr>
                <w:rFonts w:ascii="宋体" w:hAnsi="宋体" w:eastAsia="宋体"/>
                <w:sz w:val="16"/>
              </w:rPr>
              <w:t>-</w:t>
            </w:r>
          </w:p>
        </w:tc>
      </w:tr>
      <w:tr w14:paraId="70ABE40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D6FFC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3B8E96">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0A17A3">
            <w:pPr>
              <w:jc w:val="center"/>
            </w:pPr>
            <w:r>
              <w:rPr>
                <w:rFonts w:ascii="宋体" w:hAnsi="宋体" w:eastAsia="宋体"/>
                <w:sz w:val="16"/>
              </w:rPr>
              <w:t>99.94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E3B6EF">
            <w:pPr>
              <w:jc w:val="center"/>
            </w:pPr>
            <w:r>
              <w:rPr>
                <w:rFonts w:ascii="宋体" w:hAnsi="宋体" w:eastAsia="宋体"/>
                <w:sz w:val="16"/>
              </w:rPr>
              <w:t>2,575.19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D9D736">
            <w:pPr>
              <w:jc w:val="center"/>
            </w:pPr>
            <w:r>
              <w:rPr>
                <w:rFonts w:ascii="宋体" w:hAnsi="宋体" w:eastAsia="宋体"/>
                <w:sz w:val="16"/>
              </w:rPr>
              <w:t>2,550.19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CC7F5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5F63C8">
            <w:pPr>
              <w:jc w:val="center"/>
            </w:pPr>
            <w:r>
              <w:rPr>
                <w:rFonts w:ascii="宋体" w:hAnsi="宋体" w:eastAsia="宋体"/>
                <w:sz w:val="16"/>
              </w:rPr>
              <w:t>99.03%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C2CB99">
            <w:pPr>
              <w:jc w:val="center"/>
            </w:pPr>
            <w:r>
              <w:rPr>
                <w:rFonts w:ascii="宋体" w:hAnsi="宋体" w:eastAsia="宋体"/>
                <w:sz w:val="16"/>
              </w:rPr>
              <w:t>9.9</w:t>
            </w:r>
          </w:p>
        </w:tc>
      </w:tr>
      <w:tr w14:paraId="49FE62F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B745F4">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425FA07">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B3E1ADC">
            <w:pPr>
              <w:jc w:val="center"/>
            </w:pPr>
            <w:r>
              <w:rPr>
                <w:rFonts w:ascii="宋体" w:hAnsi="宋体" w:eastAsia="宋体"/>
                <w:sz w:val="16"/>
              </w:rPr>
              <w:t>实际完成情况</w:t>
            </w:r>
          </w:p>
        </w:tc>
      </w:tr>
      <w:tr w14:paraId="50C0FB3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D5557A"/>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F9E6D15">
            <w:pPr>
              <w:jc w:val="both"/>
            </w:pPr>
            <w:r>
              <w:rPr>
                <w:rFonts w:ascii="宋体" w:hAnsi="宋体" w:eastAsia="宋体"/>
                <w:sz w:val="16"/>
              </w:rPr>
              <w:t>生态环境监测的目的是执行有关环境保护法规和卫生法规，通过监测检验和判别工业排放物浓度或排放量是否符合国家标准，检验和判别生态环境质量是否达到国家标准的要求，为全面反映环境质量状况和变化趋势，及时跟踪污染源变化情况，准确掌握大气、水、土壤及噪声环境质量状况，提升生态环境监测技术水平，确保监测质量并为行政决策提供依据。</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9DFEC45">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全年预算数为2,575.19万元，全年执行数为2,550.19万元，总预算执行率为99.03%。2024年</w:t>
            </w:r>
            <w:r>
              <w:rPr>
                <w:rFonts w:hint="eastAsia" w:ascii="宋体" w:hAnsi="宋体"/>
                <w:sz w:val="16"/>
                <w:lang w:eastAsia="zh-CN"/>
              </w:rPr>
              <w:t>本单位</w:t>
            </w:r>
            <w:r>
              <w:rPr>
                <w:rFonts w:ascii="宋体" w:hAnsi="宋体" w:eastAsia="宋体"/>
                <w:sz w:val="16"/>
              </w:rPr>
              <w:t>主要完成以下工作：通过监测检验和判别工业排放物浓度或排放量是否符合国家标准，检验和判别生态环境质量是否达到国家标准的要求，为全面反映环境质量状况和变化趋势，及时跟踪污染源变化情况，准确掌握大气、水、土壤及噪声环境质量状况，提升生态环境监测技术水平，确保监测质量并为行政决策提供依据。</w:t>
            </w:r>
          </w:p>
        </w:tc>
      </w:tr>
      <w:tr w14:paraId="04BFDF3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E2C41C">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6FC1D0">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149B0">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E1508E">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626CB9">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160C5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2BA22E">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3ED91B">
            <w:pPr>
              <w:jc w:val="center"/>
            </w:pPr>
            <w:r>
              <w:rPr>
                <w:rFonts w:ascii="宋体" w:hAnsi="宋体" w:eastAsia="宋体"/>
                <w:sz w:val="16"/>
              </w:rPr>
              <w:t>得分</w:t>
            </w:r>
          </w:p>
        </w:tc>
      </w:tr>
      <w:tr w14:paraId="640C163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B1011D">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CD03C2">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A95538">
            <w:pPr>
              <w:jc w:val="center"/>
            </w:pPr>
            <w:r>
              <w:rPr>
                <w:rFonts w:ascii="宋体" w:hAnsi="宋体" w:eastAsia="宋体"/>
                <w:sz w:val="16"/>
              </w:rPr>
              <w:t>空气环境质量监测完成率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90CC52">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389882">
            <w:pPr>
              <w:jc w:val="center"/>
            </w:pPr>
            <w:r>
              <w:rPr>
                <w:rFonts w:ascii="宋体" w:hAnsi="宋体" w:eastAsia="宋体"/>
                <w:sz w:val="16"/>
              </w:rPr>
              <w:t>吉木萨尔县生态环境监测站运转项目实施方案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F2F526">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D77113">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B8E1BC">
            <w:pPr>
              <w:jc w:val="center"/>
            </w:pPr>
            <w:r>
              <w:rPr>
                <w:rFonts w:ascii="宋体" w:hAnsi="宋体" w:eastAsia="宋体"/>
                <w:sz w:val="16"/>
              </w:rPr>
              <w:t>30</w:t>
            </w:r>
          </w:p>
        </w:tc>
      </w:tr>
      <w:tr w14:paraId="6D549D4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1799E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7C84C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6A1F5D">
            <w:pPr>
              <w:jc w:val="center"/>
            </w:pPr>
            <w:r>
              <w:rPr>
                <w:rFonts w:ascii="宋体" w:hAnsi="宋体" w:eastAsia="宋体"/>
                <w:sz w:val="16"/>
              </w:rPr>
              <w:t>农村污水及环境噪声监测完成率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0C4A9A">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6A1C80">
            <w:pPr>
              <w:jc w:val="center"/>
            </w:pPr>
            <w:r>
              <w:rPr>
                <w:rFonts w:ascii="宋体" w:hAnsi="宋体" w:eastAsia="宋体"/>
                <w:sz w:val="16"/>
              </w:rPr>
              <w:t>吉木萨尔县生态环境监测站运转项目实施方案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170267">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1AFFEE">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325FD2">
            <w:pPr>
              <w:jc w:val="center"/>
            </w:pPr>
            <w:r>
              <w:rPr>
                <w:rFonts w:ascii="宋体" w:hAnsi="宋体" w:eastAsia="宋体"/>
                <w:sz w:val="16"/>
              </w:rPr>
              <w:t>30</w:t>
            </w:r>
          </w:p>
        </w:tc>
      </w:tr>
      <w:tr w14:paraId="2AA0F97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ED0B4B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70939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46FF47">
            <w:pPr>
              <w:jc w:val="center"/>
            </w:pPr>
            <w:r>
              <w:rPr>
                <w:rFonts w:ascii="宋体" w:hAnsi="宋体" w:eastAsia="宋体"/>
                <w:sz w:val="16"/>
              </w:rPr>
              <w:t>农村环境质量监测完成率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A148A0">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D3CDF6">
            <w:pPr>
              <w:jc w:val="center"/>
            </w:pPr>
            <w:r>
              <w:rPr>
                <w:rFonts w:ascii="宋体" w:hAnsi="宋体" w:eastAsia="宋体"/>
                <w:sz w:val="16"/>
              </w:rPr>
              <w:t>吉木萨尔县生态环境监测站运转项目实施方案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7D3B33">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92B19A">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FB187D">
            <w:pPr>
              <w:jc w:val="center"/>
            </w:pPr>
            <w:r>
              <w:rPr>
                <w:rFonts w:ascii="宋体" w:hAnsi="宋体" w:eastAsia="宋体"/>
                <w:sz w:val="16"/>
              </w:rPr>
              <w:t>30</w:t>
            </w:r>
          </w:p>
        </w:tc>
      </w:tr>
    </w:tbl>
    <w:p w14:paraId="4BA97EA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4BEF1FEB">
        <w:tblPrEx>
          <w:tblCellMar>
            <w:top w:w="0" w:type="dxa"/>
            <w:left w:w="108" w:type="dxa"/>
            <w:bottom w:w="0" w:type="dxa"/>
            <w:right w:w="108" w:type="dxa"/>
          </w:tblCellMar>
        </w:tblPrEx>
        <w:tc>
          <w:tcPr>
            <w:tcW w:w="8848" w:type="dxa"/>
            <w:gridSpan w:val="14"/>
            <w:vAlign w:val="center"/>
          </w:tcPr>
          <w:p w14:paraId="2CDEF678">
            <w:pPr>
              <w:jc w:val="center"/>
            </w:pPr>
            <w:r>
              <w:rPr>
                <w:rFonts w:ascii="宋体" w:hAnsi="宋体" w:eastAsia="宋体"/>
                <w:sz w:val="24"/>
              </w:rPr>
              <w:t>项目支出绩效自评表</w:t>
            </w:r>
          </w:p>
        </w:tc>
      </w:tr>
      <w:tr w14:paraId="46D4A03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FE26DC5">
            <w:pPr>
              <w:jc w:val="center"/>
            </w:pPr>
            <w:r>
              <w:rPr>
                <w:rFonts w:ascii="宋体" w:hAnsi="宋体" w:eastAsia="宋体"/>
                <w:sz w:val="24"/>
              </w:rPr>
              <w:t>(2024年度)</w:t>
            </w:r>
          </w:p>
        </w:tc>
      </w:tr>
      <w:tr w14:paraId="6C3841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C4A8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871B3D7">
            <w:pPr>
              <w:jc w:val="center"/>
            </w:pPr>
            <w:r>
              <w:rPr>
                <w:rFonts w:ascii="宋体" w:hAnsi="宋体" w:eastAsia="宋体"/>
                <w:sz w:val="16"/>
              </w:rPr>
              <w:t>环境监测运转费</w:t>
            </w:r>
          </w:p>
        </w:tc>
      </w:tr>
      <w:tr w14:paraId="0B1818C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3C64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2F87A0">
            <w:pPr>
              <w:jc w:val="center"/>
            </w:pPr>
            <w:r>
              <w:rPr>
                <w:rFonts w:ascii="宋体" w:hAnsi="宋体" w:eastAsia="宋体"/>
                <w:sz w:val="16"/>
              </w:rPr>
              <w:t>昌吉州生态环境局吉木萨尔县分局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7DB3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041F8D1">
            <w:pPr>
              <w:jc w:val="center"/>
            </w:pPr>
            <w:r>
              <w:rPr>
                <w:rFonts w:ascii="宋体" w:hAnsi="宋体" w:eastAsia="宋体"/>
                <w:sz w:val="16"/>
              </w:rPr>
              <w:t>昌吉州生态环境局吉木萨尔县分局</w:t>
            </w:r>
          </w:p>
        </w:tc>
      </w:tr>
      <w:tr w14:paraId="7AD5AA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3BE0A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E81D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9C9BA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162A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2EA3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F7EF0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90159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7A3EB">
            <w:pPr>
              <w:jc w:val="center"/>
            </w:pPr>
            <w:r>
              <w:rPr>
                <w:rFonts w:ascii="宋体" w:hAnsi="宋体" w:eastAsia="宋体"/>
                <w:sz w:val="16"/>
              </w:rPr>
              <w:t>得分</w:t>
            </w:r>
          </w:p>
        </w:tc>
      </w:tr>
      <w:tr w14:paraId="506F91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47624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F0121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0CE152">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1EC57D">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5243DF">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6AFA2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45EC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7EA40">
            <w:pPr>
              <w:jc w:val="center"/>
            </w:pPr>
            <w:r>
              <w:rPr>
                <w:rFonts w:ascii="宋体" w:hAnsi="宋体" w:eastAsia="宋体"/>
                <w:sz w:val="16"/>
              </w:rPr>
              <w:t>10.00</w:t>
            </w:r>
          </w:p>
        </w:tc>
      </w:tr>
      <w:tr w14:paraId="51942F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A3E8F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79563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5C480">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61BC5">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B539F">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91058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0668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F77D5">
            <w:pPr>
              <w:jc w:val="center"/>
            </w:pPr>
            <w:r>
              <w:rPr>
                <w:rFonts w:ascii="宋体" w:hAnsi="宋体" w:eastAsia="宋体"/>
                <w:sz w:val="16"/>
              </w:rPr>
              <w:t>—</w:t>
            </w:r>
          </w:p>
        </w:tc>
      </w:tr>
      <w:tr w14:paraId="4FFBC6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706EE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01FE2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050BC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77CA6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DEFB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19102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5894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67DD5">
            <w:pPr>
              <w:jc w:val="center"/>
            </w:pPr>
            <w:r>
              <w:rPr>
                <w:rFonts w:ascii="宋体" w:hAnsi="宋体" w:eastAsia="宋体"/>
                <w:sz w:val="16"/>
              </w:rPr>
              <w:t>—</w:t>
            </w:r>
          </w:p>
        </w:tc>
      </w:tr>
      <w:tr w14:paraId="61494C0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56C63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33D00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44E74BF">
            <w:pPr>
              <w:jc w:val="center"/>
            </w:pPr>
            <w:r>
              <w:rPr>
                <w:rFonts w:ascii="宋体" w:hAnsi="宋体" w:eastAsia="宋体"/>
                <w:sz w:val="16"/>
              </w:rPr>
              <w:t>实际完成情况</w:t>
            </w:r>
          </w:p>
        </w:tc>
      </w:tr>
      <w:tr w14:paraId="2584FC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D4585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D24C169">
            <w:pPr>
              <w:jc w:val="both"/>
            </w:pPr>
            <w:r>
              <w:rPr>
                <w:rFonts w:ascii="宋体" w:hAnsi="宋体" w:eastAsia="宋体"/>
                <w:sz w:val="16"/>
              </w:rPr>
              <w:t>生态环境监测的目的是执行有关环境保护法规和卫生法规，通过监测检验和判别工业排放物浓度或排放量是否符合国家标准，检验和判别生态环境质量是否达到国家标准的要求，为全面反映环境质量状况和变化趋势，及时跟踪污染源变化情况，准确掌握大气、水、土壤及噪声环境质量状况，提升生态环境监测技术水平，确保监测质量并为行政决策提供依据。</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256AAB8">
            <w:pPr>
              <w:jc w:val="both"/>
            </w:pPr>
            <w:r>
              <w:rPr>
                <w:rFonts w:ascii="宋体" w:hAnsi="宋体" w:eastAsia="宋体"/>
                <w:sz w:val="16"/>
              </w:rPr>
              <w:br w:type="textWrapping"/>
            </w:r>
            <w:r>
              <w:rPr>
                <w:rFonts w:hint="eastAsia" w:ascii="宋体" w:hAnsi="宋体"/>
                <w:sz w:val="16"/>
                <w:lang w:eastAsia="zh-CN"/>
              </w:rPr>
              <w:t>截至</w:t>
            </w:r>
            <w:r>
              <w:rPr>
                <w:rFonts w:ascii="宋体" w:hAnsi="宋体" w:eastAsia="宋体"/>
                <w:sz w:val="16"/>
              </w:rPr>
              <w:t>2024年12月31日，该项目实际完成仪器设备鉴定、维护一批次，参加上岗证考核3人，缴纳电费3000元，购置办公耗材4000元，完成环境空气、农村生态、农村污水及噪声监测工作35次；通过该项目的</w:t>
            </w:r>
            <w:r>
              <w:rPr>
                <w:rFonts w:hint="eastAsia" w:ascii="宋体" w:hAnsi="宋体"/>
                <w:sz w:val="16"/>
                <w:lang w:eastAsia="zh-CN"/>
              </w:rPr>
              <w:t>实施</w:t>
            </w:r>
            <w:r>
              <w:rPr>
                <w:rFonts w:ascii="宋体" w:hAnsi="宋体" w:eastAsia="宋体"/>
                <w:sz w:val="16"/>
              </w:rPr>
              <w:t>，提升了生态环境监测技术水平，确保监测质量并为行政决策提供依据，促进了环境治理精准化和科学化，推动了污染防治和生态保护的效率提升，为可持续发展提供了坚实的数据支撑。</w:t>
            </w:r>
          </w:p>
        </w:tc>
      </w:tr>
      <w:tr w14:paraId="7F0B41B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14BBA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EC77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9C81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6471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E854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ECC6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D036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E960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D117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0A60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F7FE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D27F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2A08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53A14">
            <w:pPr>
              <w:jc w:val="center"/>
            </w:pPr>
            <w:r>
              <w:rPr>
                <w:rFonts w:ascii="宋体" w:hAnsi="宋体" w:eastAsia="宋体"/>
                <w:sz w:val="16"/>
              </w:rPr>
              <w:t>偏差原因分析及改进措施</w:t>
            </w:r>
          </w:p>
        </w:tc>
      </w:tr>
      <w:tr w14:paraId="25148DE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C523B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E1F89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5E0C6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80EDD">
            <w:pPr>
              <w:jc w:val="center"/>
            </w:pPr>
            <w:r>
              <w:rPr>
                <w:rFonts w:ascii="宋体" w:hAnsi="宋体" w:eastAsia="宋体"/>
                <w:sz w:val="16"/>
              </w:rPr>
              <w:t>仪器设备</w:t>
            </w:r>
            <w:r>
              <w:rPr>
                <w:rFonts w:hint="eastAsia" w:ascii="宋体" w:hAnsi="宋体"/>
                <w:sz w:val="16"/>
                <w:lang w:eastAsia="zh-CN"/>
              </w:rPr>
              <w:t>检定</w:t>
            </w:r>
            <w:r>
              <w:rPr>
                <w:rFonts w:ascii="宋体" w:hAnsi="宋体" w:eastAsia="宋体"/>
                <w:sz w:val="16"/>
              </w:rPr>
              <w:t>、维护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30C1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159AE">
            <w:pPr>
              <w:jc w:val="center"/>
            </w:pPr>
            <w:r>
              <w:rPr>
                <w:rFonts w:ascii="宋体" w:hAnsi="宋体" w:eastAsia="宋体"/>
                <w:sz w:val="16"/>
              </w:rPr>
              <w:t>&gt;=1批次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DEBE6">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26B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80DB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EC9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B3257">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39D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8E67C">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F9366">
            <w:pPr>
              <w:jc w:val="center"/>
            </w:pPr>
          </w:p>
        </w:tc>
      </w:tr>
      <w:tr w14:paraId="4DB1C3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C970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659F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B743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F46C1">
            <w:pPr>
              <w:jc w:val="center"/>
            </w:pPr>
            <w:r>
              <w:rPr>
                <w:rFonts w:ascii="宋体" w:hAnsi="宋体" w:eastAsia="宋体"/>
                <w:sz w:val="16"/>
              </w:rPr>
              <w:t>人员培训、出差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4CDC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86945">
            <w:pPr>
              <w:jc w:val="center"/>
            </w:pPr>
            <w:r>
              <w:rPr>
                <w:rFonts w:ascii="宋体" w:hAnsi="宋体" w:eastAsia="宋体"/>
                <w:sz w:val="16"/>
              </w:rPr>
              <w:t>&gt;=1批次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7B8CA">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807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ED74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71B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FDF3E">
            <w:pPr>
              <w:jc w:val="center"/>
            </w:pPr>
            <w:r>
              <w:rPr>
                <w:rFonts w:ascii="宋体" w:hAnsi="宋体" w:eastAsia="宋体"/>
                <w:sz w:val="16"/>
              </w:rPr>
              <w:t>5批次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24B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190F3">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7EEA4">
            <w:pPr>
              <w:jc w:val="center"/>
            </w:pPr>
          </w:p>
        </w:tc>
      </w:tr>
      <w:tr w14:paraId="178434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E30D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A286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3063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E9939">
            <w:pPr>
              <w:jc w:val="center"/>
            </w:pPr>
            <w:r>
              <w:rPr>
                <w:rFonts w:ascii="宋体" w:hAnsi="宋体" w:eastAsia="宋体"/>
                <w:sz w:val="16"/>
              </w:rPr>
              <w:t>日常办公及电费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502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5204B">
            <w:pPr>
              <w:jc w:val="center"/>
            </w:pPr>
            <w:r>
              <w:rPr>
                <w:rFonts w:ascii="宋体" w:hAnsi="宋体" w:eastAsia="宋体"/>
                <w:sz w:val="16"/>
              </w:rPr>
              <w:t>&gt;=1批次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73F09">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7F4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6DB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C77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E6CE6">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246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C7F26">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89BC8">
            <w:pPr>
              <w:jc w:val="center"/>
            </w:pPr>
          </w:p>
        </w:tc>
      </w:tr>
      <w:tr w14:paraId="3EE65D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0179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CDA7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CA7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C8B52">
            <w:pPr>
              <w:jc w:val="center"/>
            </w:pPr>
            <w:r>
              <w:rPr>
                <w:rFonts w:ascii="宋体" w:hAnsi="宋体" w:eastAsia="宋体"/>
                <w:sz w:val="16"/>
              </w:rPr>
              <w:t>完成环境空气、农村生态、农村污水及噪声监测工作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442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102EE">
            <w:pPr>
              <w:jc w:val="center"/>
            </w:pPr>
            <w:r>
              <w:rPr>
                <w:rFonts w:ascii="宋体" w:hAnsi="宋体" w:eastAsia="宋体"/>
                <w:sz w:val="16"/>
              </w:rPr>
              <w:t>&gt;=5批次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17461">
            <w:pPr>
              <w:jc w:val="center"/>
            </w:pPr>
            <w:r>
              <w:rPr>
                <w:rFonts w:ascii="宋体" w:hAnsi="宋体" w:eastAsia="宋体"/>
                <w:sz w:val="16"/>
              </w:rPr>
              <w:t>=5批次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9AA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A9A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3C6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DD772">
            <w:pPr>
              <w:jc w:val="center"/>
            </w:pPr>
            <w:r>
              <w:rPr>
                <w:rFonts w:ascii="宋体" w:hAnsi="宋体" w:eastAsia="宋体"/>
                <w:sz w:val="16"/>
              </w:rPr>
              <w:t>5批次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4E6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DF5AB">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72B68">
            <w:pPr>
              <w:jc w:val="center"/>
            </w:pPr>
          </w:p>
        </w:tc>
      </w:tr>
      <w:tr w14:paraId="7B11D2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ACB4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D711B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D43C7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0C394">
            <w:pPr>
              <w:jc w:val="center"/>
            </w:pPr>
            <w:r>
              <w:rPr>
                <w:rFonts w:ascii="宋体" w:hAnsi="宋体" w:eastAsia="宋体"/>
                <w:sz w:val="16"/>
              </w:rPr>
              <w:t>培训完成时间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0E20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CA2C7">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B1B46">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302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5B6E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658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478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56B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8F7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442E5">
            <w:pPr>
              <w:jc w:val="center"/>
            </w:pPr>
          </w:p>
        </w:tc>
      </w:tr>
      <w:tr w14:paraId="7540BC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643E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6356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447F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316AA">
            <w:pPr>
              <w:jc w:val="center"/>
            </w:pPr>
            <w:r>
              <w:rPr>
                <w:rFonts w:ascii="宋体" w:hAnsi="宋体" w:eastAsia="宋体"/>
                <w:sz w:val="16"/>
              </w:rPr>
              <w:t>设备运转合格率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430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0E06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356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B2BF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6A016">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910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2405A">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F09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3B8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82155">
            <w:pPr>
              <w:jc w:val="center"/>
            </w:pPr>
          </w:p>
        </w:tc>
      </w:tr>
      <w:tr w14:paraId="652141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CAC61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ED734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69B0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3F874">
            <w:pPr>
              <w:jc w:val="center"/>
            </w:pPr>
            <w:r>
              <w:rPr>
                <w:rFonts w:ascii="宋体" w:hAnsi="宋体" w:eastAsia="宋体"/>
                <w:sz w:val="16"/>
              </w:rPr>
              <w:t>提升实验室能力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E15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0D72F">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CE92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342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426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6E6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619BF">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EF5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F4F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C5BAF">
            <w:pPr>
              <w:jc w:val="center"/>
            </w:pPr>
          </w:p>
        </w:tc>
      </w:tr>
      <w:tr w14:paraId="6F776B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37FA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BB76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E7CB8">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3727B">
            <w:pPr>
              <w:jc w:val="center"/>
            </w:pPr>
            <w:r>
              <w:rPr>
                <w:rFonts w:ascii="宋体" w:hAnsi="宋体" w:eastAsia="宋体"/>
                <w:sz w:val="16"/>
              </w:rPr>
              <w:t>确保生态环境质量保持稳定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77E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47703">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0337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13C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7A6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7A9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AA859">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1DB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D77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29CCB">
            <w:pPr>
              <w:jc w:val="center"/>
            </w:pPr>
          </w:p>
        </w:tc>
      </w:tr>
      <w:tr w14:paraId="05A6E6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A694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F006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A98C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10540">
            <w:pPr>
              <w:jc w:val="center"/>
            </w:pPr>
            <w:r>
              <w:rPr>
                <w:rFonts w:ascii="宋体" w:hAnsi="宋体" w:eastAsia="宋体"/>
                <w:sz w:val="16"/>
              </w:rPr>
              <w:t>对生态环境的满意度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2D2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C6AF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D57BB">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510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80E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DA6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4D5D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32B3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75DF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857FC">
            <w:pPr>
              <w:jc w:val="center"/>
            </w:pPr>
          </w:p>
        </w:tc>
      </w:tr>
      <w:tr w14:paraId="3CEF3F4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C6A438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E31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E539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BEA2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A90F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5D3D4">
            <w:pPr>
              <w:jc w:val="center"/>
            </w:pPr>
            <w:r>
              <w:rPr>
                <w:rFonts w:ascii="宋体" w:hAnsi="宋体" w:eastAsia="宋体"/>
                <w:sz w:val="16"/>
              </w:rPr>
              <w:t>98.89分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6AE6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CAF7C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C040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B8E6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ACD508"/>
        </w:tc>
      </w:tr>
    </w:tbl>
    <w:p w14:paraId="0449EAAE">
      <w:r>
        <w:br w:type="page"/>
      </w:r>
    </w:p>
    <w:p w14:paraId="771A8743">
      <w:pPr>
        <w:spacing w:line="640" w:lineRule="exact"/>
        <w:ind w:firstLine="640"/>
        <w:jc w:val="both"/>
        <w:outlineLvl w:val="2"/>
      </w:pPr>
      <w:r>
        <w:rPr>
          <w:rFonts w:ascii="黑体" w:hAnsi="黑体" w:eastAsia="黑体"/>
          <w:sz w:val="32"/>
        </w:rPr>
        <w:t>十二、其他需说明的事项</w:t>
      </w:r>
    </w:p>
    <w:p w14:paraId="50643964">
      <w:pPr>
        <w:spacing w:line="580" w:lineRule="exact"/>
        <w:ind w:firstLine="640"/>
        <w:jc w:val="both"/>
      </w:pPr>
      <w:r>
        <w:rPr>
          <w:rFonts w:ascii="仿宋_GB2312" w:hAnsi="仿宋_GB2312" w:eastAsia="仿宋_GB2312"/>
          <w:b w:val="0"/>
          <w:sz w:val="32"/>
        </w:rPr>
        <w:t>本单位无其他需说明的事项。</w:t>
      </w:r>
    </w:p>
    <w:p w14:paraId="21570A8D">
      <w:r>
        <w:br w:type="page"/>
      </w:r>
    </w:p>
    <w:p w14:paraId="08AA187F">
      <w:pPr>
        <w:spacing w:line="240" w:lineRule="auto"/>
        <w:jc w:val="center"/>
        <w:outlineLvl w:val="1"/>
      </w:pPr>
      <w:r>
        <w:rPr>
          <w:rFonts w:ascii="黑体" w:hAnsi="黑体" w:eastAsia="黑体"/>
          <w:sz w:val="32"/>
        </w:rPr>
        <w:t>第三部分 专业名词解释</w:t>
      </w:r>
    </w:p>
    <w:p w14:paraId="6096D861">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E55D78E">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18B98DBD">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CDEACDE">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41892EB4">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BE3ECBF">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9191E65">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11DFA3A">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01C401A">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09F253E">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F866F7E">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CC456D1">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5636A2D">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9B90FAE">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C80CA0D">
      <w:r>
        <w:br w:type="page"/>
      </w:r>
    </w:p>
    <w:p w14:paraId="6CAACBF9">
      <w:pPr>
        <w:spacing w:line="240" w:lineRule="auto"/>
        <w:jc w:val="center"/>
        <w:outlineLvl w:val="1"/>
      </w:pPr>
      <w:r>
        <w:rPr>
          <w:rFonts w:ascii="黑体" w:hAnsi="黑体" w:eastAsia="黑体"/>
          <w:sz w:val="32"/>
        </w:rPr>
        <w:t>第四部分 部门决算报表（见附表）</w:t>
      </w:r>
    </w:p>
    <w:p w14:paraId="39ED5E4D">
      <w:pPr>
        <w:spacing w:line="240" w:lineRule="auto"/>
        <w:ind w:firstLine="640"/>
        <w:jc w:val="both"/>
      </w:pPr>
      <w:r>
        <w:rPr>
          <w:rFonts w:ascii="仿宋_GB2312" w:hAnsi="仿宋_GB2312" w:eastAsia="仿宋_GB2312"/>
          <w:b w:val="0"/>
          <w:sz w:val="32"/>
        </w:rPr>
        <w:t>一、《收入支出决算总表》</w:t>
      </w:r>
    </w:p>
    <w:p w14:paraId="4DC38A6F">
      <w:pPr>
        <w:spacing w:line="240" w:lineRule="auto"/>
        <w:ind w:firstLine="640"/>
        <w:jc w:val="both"/>
      </w:pPr>
      <w:r>
        <w:rPr>
          <w:rFonts w:ascii="仿宋_GB2312" w:hAnsi="仿宋_GB2312" w:eastAsia="仿宋_GB2312"/>
          <w:b w:val="0"/>
          <w:sz w:val="32"/>
        </w:rPr>
        <w:t>二、《收入决算表》</w:t>
      </w:r>
    </w:p>
    <w:p w14:paraId="5C7EFD5E">
      <w:pPr>
        <w:spacing w:line="240" w:lineRule="auto"/>
        <w:ind w:firstLine="640"/>
        <w:jc w:val="both"/>
      </w:pPr>
      <w:r>
        <w:rPr>
          <w:rFonts w:ascii="仿宋_GB2312" w:hAnsi="仿宋_GB2312" w:eastAsia="仿宋_GB2312"/>
          <w:b w:val="0"/>
          <w:sz w:val="32"/>
        </w:rPr>
        <w:t>三、《支出决算表》</w:t>
      </w:r>
    </w:p>
    <w:p w14:paraId="4AF27AB9">
      <w:pPr>
        <w:spacing w:line="240" w:lineRule="auto"/>
        <w:ind w:firstLine="640"/>
        <w:jc w:val="both"/>
      </w:pPr>
      <w:r>
        <w:rPr>
          <w:rFonts w:ascii="仿宋_GB2312" w:hAnsi="仿宋_GB2312" w:eastAsia="仿宋_GB2312"/>
          <w:b w:val="0"/>
          <w:sz w:val="32"/>
        </w:rPr>
        <w:t>四、《财政拨款收入支出决算总表》</w:t>
      </w:r>
    </w:p>
    <w:p w14:paraId="0DB5B9C2">
      <w:pPr>
        <w:spacing w:line="240" w:lineRule="auto"/>
        <w:ind w:firstLine="640"/>
        <w:jc w:val="both"/>
      </w:pPr>
      <w:r>
        <w:rPr>
          <w:rFonts w:ascii="仿宋_GB2312" w:hAnsi="仿宋_GB2312" w:eastAsia="仿宋_GB2312"/>
          <w:b w:val="0"/>
          <w:sz w:val="32"/>
        </w:rPr>
        <w:t>五、《一般公共预算财政拨款支出决算表》</w:t>
      </w:r>
    </w:p>
    <w:p w14:paraId="38786A8E">
      <w:pPr>
        <w:spacing w:line="240" w:lineRule="auto"/>
        <w:ind w:firstLine="640"/>
        <w:jc w:val="both"/>
      </w:pPr>
      <w:r>
        <w:rPr>
          <w:rFonts w:ascii="仿宋_GB2312" w:hAnsi="仿宋_GB2312" w:eastAsia="仿宋_GB2312"/>
          <w:b w:val="0"/>
          <w:sz w:val="32"/>
        </w:rPr>
        <w:t>六、《一般公共预算财政拨款基本支出决算表》</w:t>
      </w:r>
    </w:p>
    <w:p w14:paraId="21B22EF7">
      <w:pPr>
        <w:spacing w:line="240" w:lineRule="auto"/>
        <w:ind w:firstLine="640"/>
        <w:jc w:val="both"/>
      </w:pPr>
      <w:r>
        <w:rPr>
          <w:rFonts w:ascii="仿宋_GB2312" w:hAnsi="仿宋_GB2312" w:eastAsia="仿宋_GB2312"/>
          <w:b w:val="0"/>
          <w:sz w:val="32"/>
        </w:rPr>
        <w:t>七、《政府性基金预算财政拨款收入支出决算表》</w:t>
      </w:r>
    </w:p>
    <w:p w14:paraId="24623F49">
      <w:pPr>
        <w:spacing w:line="240" w:lineRule="auto"/>
        <w:ind w:firstLine="640"/>
        <w:jc w:val="both"/>
      </w:pPr>
      <w:r>
        <w:rPr>
          <w:rFonts w:ascii="仿宋_GB2312" w:hAnsi="仿宋_GB2312" w:eastAsia="仿宋_GB2312"/>
          <w:b w:val="0"/>
          <w:sz w:val="32"/>
        </w:rPr>
        <w:t>八、《国有资本经营预算财政拨款收入支出决算表》</w:t>
      </w:r>
    </w:p>
    <w:p w14:paraId="7C17227F">
      <w:pPr>
        <w:spacing w:line="240" w:lineRule="auto"/>
        <w:ind w:firstLine="640"/>
        <w:jc w:val="both"/>
      </w:pPr>
      <w:r>
        <w:rPr>
          <w:rFonts w:ascii="仿宋_GB2312" w:hAnsi="仿宋_GB2312" w:eastAsia="仿宋_GB2312"/>
          <w:b w:val="0"/>
          <w:sz w:val="32"/>
        </w:rPr>
        <w:t>九、《财政拨款“三公”经费支出决算表》</w:t>
      </w:r>
    </w:p>
    <w:p w14:paraId="55F7B2F7">
      <w:pPr>
        <w:spacing w:line="240" w:lineRule="auto"/>
        <w:ind w:firstLine="640"/>
        <w:jc w:val="both"/>
      </w:pPr>
    </w:p>
    <w:p w14:paraId="4D7570DF">
      <w:pPr>
        <w:spacing w:line="240" w:lineRule="auto"/>
        <w:ind w:firstLine="640"/>
        <w:jc w:val="both"/>
      </w:pPr>
    </w:p>
    <w:p w14:paraId="1E8359BC">
      <w:pPr>
        <w:spacing w:line="240" w:lineRule="auto"/>
        <w:ind w:firstLine="640"/>
        <w:jc w:val="both"/>
      </w:pPr>
    </w:p>
    <w:p w14:paraId="2F4AA48E">
      <w:pPr>
        <w:spacing w:line="240" w:lineRule="auto"/>
        <w:ind w:firstLine="640"/>
        <w:jc w:val="both"/>
      </w:pPr>
    </w:p>
    <w:p w14:paraId="40692379">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AC4D3D-24EE-4061-9F6A-557C14C9D5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1A906EBE-F9EC-4BC0-B183-D42CDA3649F5}"/>
  </w:font>
  <w:font w:name="仿宋_GB2312">
    <w:altName w:val="仿宋"/>
    <w:panose1 w:val="02010609030101010101"/>
    <w:charset w:val="86"/>
    <w:family w:val="modern"/>
    <w:pitch w:val="default"/>
    <w:sig w:usb0="00000000" w:usb1="00000000" w:usb2="00000000" w:usb3="00000000" w:csb0="00040000" w:csb1="00000000"/>
    <w:embedRegular r:id="rId3" w:fontKey="{04F2A42E-E60D-464A-B837-A54747C43EF2}"/>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6BCBA270-A5DE-48F5-9101-2F7FDC061542}"/>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 w:val="7CE17589"/>
    <w:rsid w:val="7F453A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6065</Words>
  <Characters>7014</Characters>
  <Lines>0</Lines>
  <Paragraphs>0</Paragraphs>
  <TotalTime>3</TotalTime>
  <ScaleCrop>false</ScaleCrop>
  <LinksUpToDate>false</LinksUpToDate>
  <CharactersWithSpaces>7022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2025-10-15T05:45:19Z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