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昌吉回族自治州残疾人康复就业服务中心（州残疾人辅助器具服务中心）2024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E08A014">
      <w:r>
        <w:br w:type="page"/>
      </w:r>
    </w:p>
    <w:p w14:paraId="6FBF18AC">
      <w:pPr>
        <w:spacing w:line="640" w:lineRule="exact"/>
        <w:jc w:val="center"/>
        <w:outlineLvl w:val="1"/>
      </w:pPr>
      <w:r>
        <w:rPr>
          <w:rFonts w:ascii="黑体" w:hAnsi="黑体" w:eastAsia="黑体"/>
          <w:sz w:val="32"/>
        </w:rPr>
        <w:t>第一部分 单位概况</w:t>
      </w:r>
    </w:p>
    <w:p w14:paraId="6D0F66A4">
      <w:pPr>
        <w:spacing w:line="640" w:lineRule="exact"/>
        <w:ind w:firstLine="640"/>
        <w:jc w:val="both"/>
        <w:outlineLvl w:val="2"/>
      </w:pPr>
      <w:r>
        <w:rPr>
          <w:rFonts w:ascii="黑体" w:hAnsi="黑体" w:eastAsia="黑体"/>
          <w:sz w:val="32"/>
        </w:rPr>
        <w:t>一、主要职能</w:t>
      </w:r>
    </w:p>
    <w:p w14:paraId="5F250776">
      <w:pPr>
        <w:spacing w:line="580" w:lineRule="exact"/>
        <w:ind w:firstLine="640"/>
        <w:jc w:val="both"/>
      </w:pPr>
      <w:r>
        <w:rPr>
          <w:rFonts w:ascii="仿宋_GB2312" w:hAnsi="仿宋_GB2312" w:eastAsia="仿宋_GB2312"/>
          <w:sz w:val="32"/>
        </w:rPr>
        <w:t>宣传贯彻《中华人民共和国残疾人保障法》，维护残疾人在政治、经济、文化、社会和家庭生活等方面同其他公民平等的权利，密切联系残疾人，听取残疾人意见，反映残疾人需求，全心全意为残疾人服务。团结、教育残疾人遵守法律，履行应尽义务，发扬乐观进取精神，自尊、自信、自立，为全面建成小康社会，推进现代化建设贡献力量。沟通政府、社会与残疾人之间的联系，宣传残疾人事业，动员社会理解、尊重、关心帮助残疾人。开展和促进残疾人康复、教育、扶贫、劳动就业、维权、文化体育、社会保障和残疾预防等工作，改善残疾人参与社会生活的环境和条件。参与研究，制定和实施残疾人事业的政策、规划和计划，发挥综合、协调、咨询、服务作用，对有关领域的工作进行管理和指导</w:t>
      </w:r>
      <w:r>
        <w:rPr>
          <w:rFonts w:hint="eastAsia" w:ascii="仿宋_GB2312" w:hAnsi="仿宋_GB2312" w:eastAsia="仿宋_GB2312"/>
          <w:sz w:val="32"/>
          <w:lang w:eastAsia="zh-CN"/>
        </w:rPr>
        <w:t>、</w:t>
      </w:r>
      <w:r>
        <w:rPr>
          <w:rFonts w:ascii="仿宋_GB2312" w:hAnsi="仿宋_GB2312" w:eastAsia="仿宋_GB2312"/>
          <w:sz w:val="32"/>
        </w:rPr>
        <w:t>管理和发放《中华人民共和国残疾人证》。管理和指导各类残疾人群众组织，开展为发展残疾人事业的募捐、助残活动。</w:t>
      </w:r>
    </w:p>
    <w:p w14:paraId="50D580DC">
      <w:pPr>
        <w:spacing w:line="640" w:lineRule="exact"/>
        <w:ind w:firstLine="640"/>
        <w:jc w:val="both"/>
        <w:outlineLvl w:val="2"/>
      </w:pPr>
      <w:r>
        <w:rPr>
          <w:rFonts w:ascii="黑体" w:hAnsi="黑体" w:eastAsia="黑体"/>
          <w:sz w:val="32"/>
        </w:rPr>
        <w:t>二、机构设置及人员情况</w:t>
      </w:r>
    </w:p>
    <w:p w14:paraId="0B4430EF">
      <w:pPr>
        <w:spacing w:line="580" w:lineRule="exact"/>
        <w:ind w:firstLine="640"/>
        <w:jc w:val="both"/>
      </w:pPr>
      <w:r>
        <w:rPr>
          <w:rFonts w:ascii="仿宋_GB2312" w:hAnsi="仿宋_GB2312" w:eastAsia="仿宋_GB2312"/>
          <w:sz w:val="32"/>
        </w:rPr>
        <w:t>昌吉回族自治州残疾人康复就业服务中心（州残疾人辅助器具服务中心）2024年度，实有人数16人，其中：在职人员14</w:t>
      </w:r>
      <w:r>
        <w:rPr>
          <w:rFonts w:ascii="仿宋_GB2312" w:hAnsi="仿宋_GB2312" w:eastAsia="仿宋_GB2312"/>
          <w:w w:val="95"/>
          <w:sz w:val="32"/>
        </w:rPr>
        <w:t>人，增加0人；离休人员0人，增加0人；退休人员2人,减少1人。</w:t>
      </w:r>
    </w:p>
    <w:p w14:paraId="4E26F1FA">
      <w:pPr>
        <w:spacing w:line="580" w:lineRule="exact"/>
        <w:ind w:firstLine="640"/>
        <w:jc w:val="both"/>
      </w:pPr>
      <w:r>
        <w:rPr>
          <w:rFonts w:ascii="仿宋_GB2312" w:hAnsi="仿宋_GB2312" w:eastAsia="仿宋_GB2312"/>
          <w:sz w:val="32"/>
        </w:rPr>
        <w:t>昌吉回族自治州残疾人康复就业服务中心（州残疾人辅助器具服务中心）无下属预算单位，下设1个科室，分别是：康复科。</w:t>
      </w:r>
    </w:p>
    <w:p w14:paraId="6D68D614">
      <w:r>
        <w:br w:type="page"/>
      </w:r>
    </w:p>
    <w:p w14:paraId="21760C79">
      <w:pPr>
        <w:spacing w:line="240" w:lineRule="auto"/>
        <w:jc w:val="center"/>
        <w:outlineLvl w:val="1"/>
      </w:pPr>
      <w:r>
        <w:rPr>
          <w:rFonts w:ascii="黑体" w:hAnsi="黑体" w:eastAsia="黑体"/>
          <w:sz w:val="32"/>
        </w:rPr>
        <w:t>第二部分 部门决算情况说明</w:t>
      </w:r>
    </w:p>
    <w:p w14:paraId="7AF62208">
      <w:pPr>
        <w:spacing w:line="640" w:lineRule="exact"/>
        <w:ind w:firstLine="640"/>
        <w:jc w:val="both"/>
        <w:outlineLvl w:val="2"/>
      </w:pPr>
      <w:r>
        <w:rPr>
          <w:rFonts w:ascii="黑体" w:hAnsi="黑体" w:eastAsia="黑体"/>
          <w:sz w:val="32"/>
        </w:rPr>
        <w:t>一、收入支出决算总体情况说明</w:t>
      </w:r>
    </w:p>
    <w:p w14:paraId="30853F4A">
      <w:pPr>
        <w:spacing w:line="580" w:lineRule="exact"/>
        <w:ind w:firstLine="640"/>
        <w:jc w:val="both"/>
      </w:pPr>
      <w:r>
        <w:rPr>
          <w:rFonts w:ascii="仿宋_GB2312" w:hAnsi="仿宋_GB2312" w:eastAsia="仿宋_GB2312"/>
          <w:b/>
          <w:sz w:val="32"/>
        </w:rPr>
        <w:t>2024年度收入总计288.49万元，</w:t>
      </w:r>
      <w:r>
        <w:rPr>
          <w:rFonts w:ascii="仿宋_GB2312" w:hAnsi="仿宋_GB2312" w:eastAsia="仿宋_GB2312"/>
          <w:b w:val="0"/>
          <w:sz w:val="32"/>
        </w:rPr>
        <w:t>其中：本年收入合计288.49万元，使用非财政拨款结余（含专用结余）0.00万元，年初结转和结余0.00万元。</w:t>
      </w:r>
    </w:p>
    <w:p w14:paraId="64DAB475">
      <w:pPr>
        <w:spacing w:line="580" w:lineRule="exact"/>
        <w:ind w:firstLine="640"/>
        <w:jc w:val="both"/>
      </w:pPr>
      <w:r>
        <w:rPr>
          <w:rFonts w:ascii="仿宋_GB2312" w:hAnsi="仿宋_GB2312" w:eastAsia="仿宋_GB2312"/>
          <w:b/>
          <w:sz w:val="32"/>
        </w:rPr>
        <w:t>2024年度支出总计288.49万元，</w:t>
      </w:r>
      <w:r>
        <w:rPr>
          <w:rFonts w:ascii="仿宋_GB2312" w:hAnsi="仿宋_GB2312" w:eastAsia="仿宋_GB2312"/>
          <w:b w:val="0"/>
          <w:sz w:val="32"/>
        </w:rPr>
        <w:t>其中：本年支出合计288.11万元，结余分配0.00万元，年末结转和结余0.37万元。</w:t>
      </w:r>
    </w:p>
    <w:p w14:paraId="093EE77F">
      <w:pPr>
        <w:spacing w:line="580" w:lineRule="exact"/>
        <w:ind w:firstLine="640"/>
        <w:jc w:val="both"/>
      </w:pPr>
      <w:r>
        <w:rPr>
          <w:rFonts w:ascii="仿宋_GB2312" w:hAnsi="仿宋_GB2312" w:eastAsia="仿宋_GB2312"/>
          <w:b w:val="0"/>
          <w:sz w:val="32"/>
        </w:rPr>
        <w:t>收入支出总体与上年相比，增加12.47万元，增长4.52%，主要原因是：本年在职人员工资调增，社保、公积金基数调增，人员经费增加。</w:t>
      </w:r>
    </w:p>
    <w:p w14:paraId="48A036D1">
      <w:pPr>
        <w:spacing w:line="640" w:lineRule="exact"/>
        <w:ind w:firstLine="640"/>
        <w:jc w:val="both"/>
        <w:outlineLvl w:val="2"/>
      </w:pPr>
      <w:r>
        <w:rPr>
          <w:rFonts w:ascii="黑体" w:hAnsi="黑体" w:eastAsia="黑体"/>
          <w:sz w:val="32"/>
        </w:rPr>
        <w:t>二、收入决算情况说明</w:t>
      </w:r>
    </w:p>
    <w:p w14:paraId="60DACE09">
      <w:pPr>
        <w:spacing w:line="580" w:lineRule="exact"/>
        <w:ind w:firstLine="640"/>
        <w:jc w:val="both"/>
      </w:pPr>
      <w:r>
        <w:rPr>
          <w:rFonts w:ascii="仿宋_GB2312" w:hAnsi="仿宋_GB2312" w:eastAsia="仿宋_GB2312"/>
          <w:b/>
          <w:sz w:val="32"/>
        </w:rPr>
        <w:t>本年收入288.49万元，</w:t>
      </w:r>
      <w:r>
        <w:rPr>
          <w:rFonts w:ascii="仿宋_GB2312" w:hAnsi="仿宋_GB2312" w:eastAsia="仿宋_GB2312"/>
          <w:b w:val="0"/>
          <w:sz w:val="32"/>
        </w:rPr>
        <w:t>其中：财政拨款收入288.11万元，占99.87%；上级补助收入0.00万元，占0.00%；事业收入0.00万元，占0.00%；经营收入0.00万元，占0.00%；附属单位上缴收入0.00万元，占0.00%；其他收入0.37万元，占0.13%。</w:t>
      </w:r>
    </w:p>
    <w:p w14:paraId="2A88FEDE">
      <w:pPr>
        <w:spacing w:line="640" w:lineRule="exact"/>
        <w:ind w:firstLine="640"/>
        <w:jc w:val="both"/>
        <w:outlineLvl w:val="2"/>
      </w:pPr>
      <w:r>
        <w:rPr>
          <w:rFonts w:ascii="黑体" w:hAnsi="黑体" w:eastAsia="黑体"/>
          <w:sz w:val="32"/>
        </w:rPr>
        <w:t>三、支出决算情况说明</w:t>
      </w:r>
    </w:p>
    <w:p w14:paraId="147CA48C">
      <w:pPr>
        <w:spacing w:line="580" w:lineRule="exact"/>
        <w:ind w:firstLine="640"/>
        <w:jc w:val="both"/>
      </w:pPr>
      <w:r>
        <w:rPr>
          <w:rFonts w:ascii="仿宋_GB2312" w:hAnsi="仿宋_GB2312" w:eastAsia="仿宋_GB2312"/>
          <w:b/>
          <w:sz w:val="32"/>
        </w:rPr>
        <w:t>本年支出288.11万元，</w:t>
      </w:r>
      <w:r>
        <w:rPr>
          <w:rFonts w:ascii="仿宋_GB2312" w:hAnsi="仿宋_GB2312" w:eastAsia="仿宋_GB2312"/>
          <w:b w:val="0"/>
          <w:sz w:val="32"/>
        </w:rPr>
        <w:t>其中：基本支出288.11万元，占100.00%；项目支出0.00万元，占0.00%；上缴上级支出0.00万元，占0.00%；经营支出0.00万元，占0.00%；对附属单位补助支出0.00万元，占0.00%。</w:t>
      </w:r>
    </w:p>
    <w:p w14:paraId="0E99EDC0">
      <w:pPr>
        <w:spacing w:line="640" w:lineRule="exact"/>
        <w:ind w:firstLine="640"/>
        <w:jc w:val="both"/>
        <w:outlineLvl w:val="2"/>
      </w:pPr>
      <w:r>
        <w:rPr>
          <w:rFonts w:ascii="黑体" w:hAnsi="黑体" w:eastAsia="黑体"/>
          <w:sz w:val="32"/>
        </w:rPr>
        <w:t>四、财政拨款收入支出决算总体情况说明</w:t>
      </w:r>
    </w:p>
    <w:p w14:paraId="28474CC8">
      <w:pPr>
        <w:spacing w:line="580" w:lineRule="exact"/>
        <w:ind w:firstLine="640"/>
        <w:jc w:val="both"/>
      </w:pPr>
      <w:r>
        <w:rPr>
          <w:rFonts w:ascii="仿宋_GB2312" w:hAnsi="仿宋_GB2312" w:eastAsia="仿宋_GB2312"/>
          <w:b/>
          <w:sz w:val="32"/>
        </w:rPr>
        <w:t>2024年度财政拨款收入总计288.11万元，</w:t>
      </w:r>
      <w:r>
        <w:rPr>
          <w:rFonts w:ascii="仿宋_GB2312" w:hAnsi="仿宋_GB2312" w:eastAsia="仿宋_GB2312"/>
          <w:b w:val="0"/>
          <w:sz w:val="32"/>
        </w:rPr>
        <w:t>其中：年初财政拨款结转和结余0.00万元，本年财政拨款收入288.11万元。</w:t>
      </w:r>
      <w:r>
        <w:rPr>
          <w:rFonts w:ascii="仿宋_GB2312" w:hAnsi="仿宋_GB2312" w:eastAsia="仿宋_GB2312"/>
          <w:b/>
          <w:sz w:val="32"/>
        </w:rPr>
        <w:t>财政拨款支出总计288.11万元，</w:t>
      </w:r>
      <w:r>
        <w:rPr>
          <w:rFonts w:ascii="仿宋_GB2312" w:hAnsi="仿宋_GB2312" w:eastAsia="仿宋_GB2312"/>
          <w:b w:val="0"/>
          <w:sz w:val="32"/>
        </w:rPr>
        <w:t>其中：年末财政拨款结转和结余0.00万元，本年财政拨款支出288.11万元。</w:t>
      </w:r>
    </w:p>
    <w:p w14:paraId="2627D51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增加12.09万元，增长4.38%，主要原因是：本年在职人员工资调增，社保、公积金基数调增，人员经费增加。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年初预算数273.52万元，决算数288.11万元，预决算差异率5.33%，主要原因是</w:t>
      </w:r>
      <w:r>
        <w:rPr>
          <w:rFonts w:hint="eastAsia" w:ascii="仿宋_GB2312" w:hAnsi="仿宋_GB2312" w:eastAsia="仿宋_GB2312"/>
          <w:b w:val="0"/>
          <w:sz w:val="32"/>
          <w:lang w:eastAsia="zh-CN"/>
        </w:rPr>
        <w:t>：</w:t>
      </w:r>
      <w:r>
        <w:rPr>
          <w:rFonts w:ascii="仿宋_GB2312" w:hAnsi="仿宋_GB2312" w:eastAsia="仿宋_GB2312"/>
          <w:b w:val="0"/>
          <w:sz w:val="32"/>
        </w:rPr>
        <w:t>年中追加人员工资、社保、公积金基数调增部分资金，导致预决算存在差异。</w:t>
      </w:r>
    </w:p>
    <w:p w14:paraId="78D38C8F">
      <w:pPr>
        <w:spacing w:line="640" w:lineRule="exact"/>
        <w:ind w:firstLine="640"/>
        <w:jc w:val="both"/>
        <w:outlineLvl w:val="2"/>
      </w:pPr>
      <w:r>
        <w:rPr>
          <w:rFonts w:ascii="黑体" w:hAnsi="黑体" w:eastAsia="黑体"/>
          <w:sz w:val="32"/>
        </w:rPr>
        <w:t>五、一般公共预算财政拨款支出决算情况说明</w:t>
      </w:r>
    </w:p>
    <w:p w14:paraId="30548BFF">
      <w:pPr>
        <w:spacing w:line="640" w:lineRule="exact"/>
        <w:ind w:firstLine="640"/>
        <w:jc w:val="both"/>
        <w:outlineLvl w:val="3"/>
      </w:pPr>
      <w:r>
        <w:rPr>
          <w:rFonts w:ascii="楷体_GB2312" w:hAnsi="楷体_GB2312" w:eastAsia="楷体_GB2312"/>
          <w:b/>
          <w:sz w:val="32"/>
        </w:rPr>
        <w:t>（一）一般公共预算财政拨款支出决算总体情况</w:t>
      </w:r>
    </w:p>
    <w:p w14:paraId="45B693CD">
      <w:pPr>
        <w:spacing w:line="580" w:lineRule="exact"/>
        <w:ind w:firstLine="640"/>
        <w:jc w:val="both"/>
      </w:pPr>
      <w:r>
        <w:rPr>
          <w:rFonts w:ascii="仿宋_GB2312" w:hAnsi="仿宋_GB2312" w:eastAsia="仿宋_GB2312"/>
          <w:b/>
          <w:sz w:val="32"/>
        </w:rPr>
        <w:t>2024年度一般公共预算财政拨款支出288.11万元，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增加12.09万元，增长4.38%，主要原因是：本年在职人员工资调增，社保、公积金基数调增，人员经费增加。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年初预算数273.52万元，决算数288.11万元，预决算差异率5.33%，主要原因是</w:t>
      </w:r>
      <w:r>
        <w:rPr>
          <w:rFonts w:hint="eastAsia" w:ascii="仿宋_GB2312" w:hAnsi="仿宋_GB2312" w:eastAsia="仿宋_GB2312"/>
          <w:b w:val="0"/>
          <w:sz w:val="32"/>
          <w:lang w:eastAsia="zh-CN"/>
        </w:rPr>
        <w:t>：</w:t>
      </w:r>
      <w:r>
        <w:rPr>
          <w:rFonts w:ascii="仿宋_GB2312" w:hAnsi="仿宋_GB2312" w:eastAsia="仿宋_GB2312"/>
          <w:b w:val="0"/>
          <w:sz w:val="32"/>
        </w:rPr>
        <w:t>年中追加</w:t>
      </w:r>
      <w:r>
        <w:rPr>
          <w:rFonts w:ascii="仿宋_GB2312" w:hAnsi="仿宋_GB2312" w:eastAsia="仿宋_GB2312"/>
          <w:b w:val="0"/>
          <w:w w:val="97"/>
          <w:sz w:val="32"/>
        </w:rPr>
        <w:t>人员工资、社保、公积金基数调增部分资金，导致预决算存在差异。</w:t>
      </w:r>
    </w:p>
    <w:p w14:paraId="245AC025">
      <w:pPr>
        <w:spacing w:line="640" w:lineRule="exact"/>
        <w:ind w:firstLine="640"/>
        <w:jc w:val="both"/>
        <w:outlineLvl w:val="3"/>
      </w:pPr>
      <w:r>
        <w:rPr>
          <w:rFonts w:ascii="楷体_GB2312" w:hAnsi="楷体_GB2312" w:eastAsia="楷体_GB2312"/>
          <w:b/>
          <w:sz w:val="32"/>
        </w:rPr>
        <w:t>（二）一般公共预算财政拨款支出决算结构情况</w:t>
      </w:r>
    </w:p>
    <w:p w14:paraId="700AB6B4">
      <w:pPr>
        <w:spacing w:line="580" w:lineRule="exact"/>
        <w:ind w:firstLine="640"/>
        <w:jc w:val="both"/>
      </w:pPr>
      <w:r>
        <w:rPr>
          <w:rFonts w:ascii="仿宋_GB2312" w:hAnsi="仿宋_GB2312" w:eastAsia="仿宋_GB2312"/>
          <w:b w:val="0"/>
          <w:sz w:val="32"/>
        </w:rPr>
        <w:t>1.社会保障和就业支出(类)251.24万元,占87.20%。</w:t>
      </w:r>
    </w:p>
    <w:p w14:paraId="21F5DE29">
      <w:pPr>
        <w:spacing w:line="580" w:lineRule="exact"/>
        <w:ind w:firstLine="640"/>
        <w:jc w:val="both"/>
      </w:pPr>
      <w:r>
        <w:rPr>
          <w:rFonts w:ascii="仿宋_GB2312" w:hAnsi="仿宋_GB2312" w:eastAsia="仿宋_GB2312"/>
          <w:b w:val="0"/>
          <w:sz w:val="32"/>
        </w:rPr>
        <w:t>2.卫生健康支出(类)14.76万元,占5.12%。</w:t>
      </w:r>
    </w:p>
    <w:p w14:paraId="42DDE7BB">
      <w:pPr>
        <w:spacing w:line="580" w:lineRule="exact"/>
        <w:ind w:firstLine="640"/>
        <w:jc w:val="both"/>
      </w:pPr>
      <w:r>
        <w:rPr>
          <w:rFonts w:ascii="仿宋_GB2312" w:hAnsi="仿宋_GB2312" w:eastAsia="仿宋_GB2312"/>
          <w:b w:val="0"/>
          <w:sz w:val="32"/>
        </w:rPr>
        <w:t>3.住房保障支出(类)22.11万元,占7.67%。</w:t>
      </w:r>
    </w:p>
    <w:p w14:paraId="0665056C">
      <w:pPr>
        <w:spacing w:line="640" w:lineRule="exact"/>
        <w:ind w:firstLine="640"/>
        <w:jc w:val="both"/>
        <w:outlineLvl w:val="3"/>
      </w:pPr>
      <w:r>
        <w:rPr>
          <w:rFonts w:ascii="楷体_GB2312" w:hAnsi="楷体_GB2312" w:eastAsia="楷体_GB2312"/>
          <w:b/>
          <w:sz w:val="32"/>
        </w:rPr>
        <w:t>（三）一般公共预算财政拨款支出决算具体情况</w:t>
      </w:r>
    </w:p>
    <w:p w14:paraId="4DFF7B99">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1.社会保障和就业支出(类)行政事业单位养老支出(款)事业单位离退休(项):支出决算数为0.76万元，比上年决算增加0.14万元，增长22.58%,主要原因是：本年增加退休人员基础绩效奖，退休费支出增加。</w:t>
      </w:r>
    </w:p>
    <w:p w14:paraId="65C7F349">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27.60万元，比上年决算增加1.68万元，增长6.48%,主要原因是：本年在职人员工资基数调增，养老缴费基数上涨，相应支出增加。</w:t>
      </w:r>
    </w:p>
    <w:p w14:paraId="19482263">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13.80万元，比上年决算减少3.92万元，下降22.12%,主要原因是：本年发放上年退休人员的剩余职业年金，导致机关事业单位职业年金缴费较上年减少。</w:t>
      </w:r>
    </w:p>
    <w:p w14:paraId="71E46C9A">
      <w:pPr>
        <w:spacing w:line="580" w:lineRule="exact"/>
        <w:ind w:firstLine="640"/>
        <w:jc w:val="both"/>
      </w:pPr>
      <w:r>
        <w:rPr>
          <w:rFonts w:ascii="仿宋_GB2312" w:hAnsi="仿宋_GB2312" w:eastAsia="仿宋_GB2312"/>
          <w:b w:val="0"/>
          <w:sz w:val="32"/>
        </w:rPr>
        <w:t>4.社会保障和就业支出(类)残疾人事业(款)行政运行(项):支出决算数为0.00万元，比上年决算减少1.41万元，下降100.00%,主要原因是：本年减少人员津贴补贴。</w:t>
      </w:r>
    </w:p>
    <w:p w14:paraId="2047BF67">
      <w:pPr>
        <w:spacing w:line="580" w:lineRule="exact"/>
        <w:ind w:firstLine="640"/>
        <w:jc w:val="both"/>
      </w:pPr>
      <w:r>
        <w:rPr>
          <w:rFonts w:ascii="仿宋_GB2312" w:hAnsi="仿宋_GB2312" w:eastAsia="仿宋_GB2312"/>
          <w:b w:val="0"/>
          <w:sz w:val="32"/>
        </w:rPr>
        <w:t>5.社会保障和就业支出(类)残疾人事业(款)其他残疾人事业支出(项):支出决算数为209.08万元，比上年决算增加13.20万元，增长6.74%,主要原因是：本年在职人员工资调增，导致相关人员经费较上年有所增加。</w:t>
      </w:r>
    </w:p>
    <w:p w14:paraId="4862BA8E">
      <w:pPr>
        <w:spacing w:line="580" w:lineRule="exact"/>
        <w:ind w:firstLine="640"/>
        <w:jc w:val="both"/>
      </w:pPr>
      <w:r>
        <w:rPr>
          <w:rFonts w:ascii="仿宋_GB2312" w:hAnsi="仿宋_GB2312" w:eastAsia="仿宋_GB2312"/>
          <w:b w:val="0"/>
          <w:sz w:val="32"/>
        </w:rPr>
        <w:t>6.卫生健康支出(类)行政事业单位医疗(款)行政单位医疗(项):支出决算数为0.34万元，比上年决算增加0.34万元，增长100.00%,主要原因是：本年功能科目调整，行政单位医疗上年度在事业单位医疗科目列支，本年单独列支，导致经费较上年增加。</w:t>
      </w:r>
    </w:p>
    <w:p w14:paraId="30E926F1">
      <w:pPr>
        <w:spacing w:line="580" w:lineRule="exact"/>
        <w:ind w:firstLine="640"/>
        <w:jc w:val="both"/>
      </w:pPr>
      <w:r>
        <w:rPr>
          <w:rFonts w:ascii="仿宋_GB2312" w:hAnsi="仿宋_GB2312" w:eastAsia="仿宋_GB2312"/>
          <w:b w:val="0"/>
          <w:sz w:val="32"/>
        </w:rPr>
        <w:t>7.卫生健康支出(类)行政事业单位医疗(款)事业单位医疗(项):支出决算数为13.46万元，比上年决算增加0.27万元，增长2.05%,主要原因是：本年在职人员工资基数调增，医疗缴费基数上涨，相应支出增加。</w:t>
      </w:r>
    </w:p>
    <w:p w14:paraId="42E644C9">
      <w:pPr>
        <w:spacing w:line="580" w:lineRule="exact"/>
        <w:ind w:firstLine="640"/>
        <w:jc w:val="both"/>
      </w:pPr>
      <w:r>
        <w:rPr>
          <w:rFonts w:ascii="仿宋_GB2312" w:hAnsi="仿宋_GB2312" w:eastAsia="仿宋_GB2312"/>
          <w:b w:val="0"/>
          <w:sz w:val="32"/>
        </w:rPr>
        <w:t>8.卫生健康支出(类)行政事业单位医疗(款)公务员医疗补助(项):支出决算数为0.86万元，比上年决算增加0.04万元，增长4.88%,主要原因是：本年在职人员工资基数调增，医疗缴费基数上涨，相应支出增加。</w:t>
      </w:r>
    </w:p>
    <w:p w14:paraId="2F1A9E02">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9.卫生健康支出(类)行政事业单位医疗(款)其他行政事业单位医疗支出(项):支出决算数为0.10万元，比上年决算增加0.00万元，增长0.00%,主要原因是：本年其他行政事业单位医疗支出与上年一致，无变化。</w:t>
      </w:r>
    </w:p>
    <w:p w14:paraId="04649DC7">
      <w:pPr>
        <w:spacing w:line="580" w:lineRule="exact"/>
        <w:ind w:firstLine="640"/>
        <w:jc w:val="both"/>
      </w:pPr>
      <w:r>
        <w:rPr>
          <w:rFonts w:ascii="仿宋_GB2312" w:hAnsi="仿宋_GB2312" w:eastAsia="仿宋_GB2312"/>
          <w:b w:val="0"/>
          <w:sz w:val="32"/>
        </w:rPr>
        <w:t>10.住房保障支出(类)住房改革支出(款)住房公积金(项):支出决算数为22.11万元，比上年决算增加1.76万元，增长8.65%,主要原因是：本年在职人员工资基数调增，公积金缴费基数上涨，相应支出增加。</w:t>
      </w:r>
    </w:p>
    <w:p w14:paraId="2455222C">
      <w:pPr>
        <w:spacing w:line="640" w:lineRule="exact"/>
        <w:ind w:firstLine="640"/>
        <w:jc w:val="both"/>
        <w:outlineLvl w:val="2"/>
      </w:pPr>
      <w:r>
        <w:rPr>
          <w:rFonts w:ascii="黑体" w:hAnsi="黑体" w:eastAsia="黑体"/>
          <w:sz w:val="32"/>
        </w:rPr>
        <w:t>六、一般公共预算财政拨款基本支出决算情况说明</w:t>
      </w:r>
    </w:p>
    <w:p w14:paraId="52C6E97B">
      <w:pPr>
        <w:spacing w:line="580" w:lineRule="exact"/>
        <w:ind w:firstLine="640"/>
        <w:jc w:val="both"/>
      </w:pPr>
      <w:r>
        <w:rPr>
          <w:rFonts w:ascii="仿宋_GB2312" w:hAnsi="仿宋_GB2312" w:eastAsia="仿宋_GB2312"/>
          <w:b w:val="0"/>
          <w:sz w:val="32"/>
        </w:rPr>
        <w:t>2024年度一般公共预算财政拨款基本支出288.11万元，其中：</w:t>
      </w:r>
      <w:r>
        <w:rPr>
          <w:rFonts w:ascii="仿宋_GB2312" w:hAnsi="仿宋_GB2312" w:eastAsia="仿宋_GB2312"/>
          <w:b/>
          <w:sz w:val="32"/>
        </w:rPr>
        <w:t>人员经费267.85万元，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2EFD8031">
      <w:pPr>
        <w:spacing w:line="580" w:lineRule="exact"/>
        <w:ind w:firstLine="640"/>
        <w:jc w:val="both"/>
      </w:pPr>
      <w:r>
        <w:rPr>
          <w:rFonts w:ascii="仿宋_GB2312" w:hAnsi="仿宋_GB2312" w:eastAsia="仿宋_GB2312"/>
          <w:b/>
          <w:sz w:val="32"/>
        </w:rPr>
        <w:t>公用经费20.26万元，</w:t>
      </w:r>
      <w:r>
        <w:rPr>
          <w:rFonts w:ascii="仿宋_GB2312" w:hAnsi="仿宋_GB2312" w:eastAsia="仿宋_GB2312"/>
          <w:b w:val="0"/>
          <w:sz w:val="32"/>
        </w:rPr>
        <w:t>包括：办公费、劳务费、工会经费、福利费、公务用车运行维护费、其他交通费用、其他商品和服务支出。</w:t>
      </w:r>
    </w:p>
    <w:p w14:paraId="38CE5741">
      <w:pPr>
        <w:spacing w:line="640" w:lineRule="exact"/>
        <w:ind w:firstLine="640"/>
        <w:jc w:val="both"/>
        <w:outlineLvl w:val="2"/>
      </w:pPr>
      <w:r>
        <w:rPr>
          <w:rFonts w:ascii="黑体" w:hAnsi="黑体" w:eastAsia="黑体"/>
          <w:sz w:val="32"/>
        </w:rPr>
        <w:t>七、政府性基金预算财政拨款收入支出决算情况说明</w:t>
      </w:r>
    </w:p>
    <w:p w14:paraId="026F0F7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228FBBE">
      <w:pPr>
        <w:spacing w:line="640" w:lineRule="exact"/>
        <w:ind w:firstLine="640"/>
        <w:jc w:val="both"/>
        <w:outlineLvl w:val="2"/>
      </w:pPr>
      <w:r>
        <w:rPr>
          <w:rFonts w:ascii="黑体" w:hAnsi="黑体" w:eastAsia="黑体"/>
          <w:sz w:val="32"/>
        </w:rPr>
        <w:t>八、国有资本经营预算财政拨款收入支出决算情况说明</w:t>
      </w:r>
    </w:p>
    <w:p w14:paraId="66FB15F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5130104">
      <w:pPr>
        <w:spacing w:line="640" w:lineRule="exact"/>
        <w:ind w:firstLine="640"/>
        <w:jc w:val="both"/>
        <w:outlineLvl w:val="2"/>
      </w:pPr>
      <w:r>
        <w:rPr>
          <w:rFonts w:ascii="黑体" w:hAnsi="黑体" w:eastAsia="黑体"/>
          <w:sz w:val="32"/>
        </w:rPr>
        <w:t>九、财政拨款“三公”经费支出决算情况说明</w:t>
      </w:r>
    </w:p>
    <w:p w14:paraId="66BD34C7">
      <w:pPr>
        <w:spacing w:line="580" w:lineRule="exact"/>
        <w:ind w:firstLine="640"/>
        <w:jc w:val="both"/>
      </w:pPr>
      <w:r>
        <w:rPr>
          <w:rFonts w:ascii="仿宋_GB2312" w:hAnsi="仿宋_GB2312" w:eastAsia="仿宋_GB2312"/>
          <w:b/>
          <w:sz w:val="32"/>
        </w:rPr>
        <w:t>2024年度财政拨款“三公”经费支出2.30万元，</w:t>
      </w:r>
      <w:r>
        <w:rPr>
          <w:rFonts w:ascii="仿宋_GB2312" w:hAnsi="仿宋_GB2312" w:eastAsia="仿宋_GB2312"/>
          <w:b w:val="0"/>
          <w:sz w:val="32"/>
        </w:rPr>
        <w:t>比上年减少1.97万元，下降46.14%，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2.30万元，占100.00%，比上年减少1.97万元，下降46.14%，主要原因是：严格落实中央八项规定精神，厉行节约，减少公务用车运行维护费。公务接待费支出0.00万元，占0.00%，比上年增加0.00万元，增长0.00%，主要原因是：2023年与2024年均未安排公务接待费支出。</w:t>
      </w:r>
    </w:p>
    <w:p w14:paraId="3BC1E1E7">
      <w:pPr>
        <w:spacing w:line="580" w:lineRule="exact"/>
        <w:ind w:firstLine="640"/>
        <w:jc w:val="both"/>
      </w:pPr>
      <w:r>
        <w:rPr>
          <w:rFonts w:ascii="仿宋_GB2312" w:hAnsi="仿宋_GB2312" w:eastAsia="仿宋_GB2312"/>
          <w:b/>
          <w:sz w:val="32"/>
        </w:rPr>
        <w:t>具体情况如下：</w:t>
      </w:r>
    </w:p>
    <w:p w14:paraId="43D1F49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6BF95EB">
      <w:pPr>
        <w:spacing w:line="580" w:lineRule="exact"/>
        <w:ind w:firstLine="640"/>
        <w:jc w:val="both"/>
      </w:pPr>
      <w:r>
        <w:rPr>
          <w:rFonts w:ascii="仿宋_GB2312" w:hAnsi="仿宋_GB2312" w:eastAsia="仿宋_GB2312"/>
          <w:b w:val="0"/>
          <w:sz w:val="32"/>
        </w:rPr>
        <w:t>公务用车购置及运行维护费2.30万元，其中：公务用车购置费0.00万元，公务用车运行维护费2.30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2A21064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4CF2D3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2.30万元，决算数2.30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2.30万元，决算数2.30万元，预决算差异率0.00%，主要原因是：严格按照预算执行，预决算无差异。公务接待费全年预算数0.00万元，决算数0.00万元，预决算差异率0.00%，主要原因是：本单位无公务接待费。</w:t>
      </w:r>
    </w:p>
    <w:p w14:paraId="7DF6D9BD">
      <w:pPr>
        <w:spacing w:line="640" w:lineRule="exact"/>
        <w:ind w:firstLine="640"/>
        <w:jc w:val="both"/>
        <w:outlineLvl w:val="2"/>
      </w:pPr>
      <w:r>
        <w:rPr>
          <w:rFonts w:ascii="黑体" w:hAnsi="黑体" w:eastAsia="黑体"/>
          <w:sz w:val="32"/>
        </w:rPr>
        <w:t>十、其他重要事项的情况说明</w:t>
      </w:r>
    </w:p>
    <w:p w14:paraId="21CB85F3">
      <w:pPr>
        <w:spacing w:line="640" w:lineRule="exact"/>
        <w:ind w:firstLine="640"/>
        <w:jc w:val="both"/>
        <w:outlineLvl w:val="3"/>
      </w:pPr>
      <w:r>
        <w:rPr>
          <w:rFonts w:ascii="楷体_GB2312" w:hAnsi="楷体_GB2312" w:eastAsia="楷体_GB2312"/>
          <w:b/>
          <w:sz w:val="32"/>
        </w:rPr>
        <w:t>（一）机关运行经费及公用经费支出情况</w:t>
      </w:r>
    </w:p>
    <w:p w14:paraId="082620B9">
      <w:pPr>
        <w:spacing w:line="580" w:lineRule="exact"/>
        <w:ind w:firstLine="640"/>
        <w:jc w:val="both"/>
      </w:pPr>
      <w:r>
        <w:rPr>
          <w:rFonts w:ascii="仿宋_GB2312" w:hAnsi="仿宋_GB2312" w:eastAsia="仿宋_GB2312"/>
          <w:b w:val="0"/>
          <w:sz w:val="32"/>
        </w:rPr>
        <w:t>2024年度昌吉回族自治州残疾人康复就业服务中心（州残疾人辅助器具服务中心）（事业单位）公用经费支出20.26万元，比上年增加12.76万元，增长170.13%，主要原因是：本年更新、维护补充办公用品，导致公用经费较上年增加。</w:t>
      </w:r>
    </w:p>
    <w:p w14:paraId="6E2312B7">
      <w:pPr>
        <w:spacing w:line="640" w:lineRule="exact"/>
        <w:ind w:firstLine="640"/>
        <w:jc w:val="both"/>
        <w:outlineLvl w:val="3"/>
      </w:pPr>
      <w:r>
        <w:rPr>
          <w:rFonts w:ascii="楷体_GB2312" w:hAnsi="楷体_GB2312" w:eastAsia="楷体_GB2312"/>
          <w:b/>
          <w:sz w:val="32"/>
        </w:rPr>
        <w:t>（二）政府采购情况</w:t>
      </w:r>
    </w:p>
    <w:p w14:paraId="6168F699">
      <w:pPr>
        <w:spacing w:line="580" w:lineRule="exact"/>
        <w:ind w:firstLine="640"/>
        <w:jc w:val="both"/>
      </w:pPr>
      <w:r>
        <w:rPr>
          <w:rFonts w:ascii="仿宋_GB2312" w:hAnsi="仿宋_GB2312" w:eastAsia="仿宋_GB2312"/>
          <w:b w:val="0"/>
          <w:sz w:val="32"/>
        </w:rPr>
        <w:t>2024年度政府采购支出总额17.57万元，其中：政府采购货物支出15.27万元、政府采购工程支出0.00万元、政府采购服务支出2.30万元。</w:t>
      </w:r>
    </w:p>
    <w:p w14:paraId="676FC228">
      <w:pPr>
        <w:spacing w:line="580" w:lineRule="exact"/>
        <w:ind w:firstLine="640"/>
        <w:jc w:val="both"/>
      </w:pPr>
      <w:r>
        <w:rPr>
          <w:rFonts w:ascii="仿宋_GB2312" w:hAnsi="仿宋_GB2312" w:eastAsia="仿宋_GB2312"/>
          <w:b w:val="0"/>
          <w:sz w:val="32"/>
        </w:rPr>
        <w:t>授予中小企业合同金额17.57万元，占政府采购支出总额的100.00%，其中：授予小微企业合同金额17.57万元，占政府采购支出总额的100.00%。</w:t>
      </w:r>
    </w:p>
    <w:p w14:paraId="2061D6A6">
      <w:pPr>
        <w:spacing w:line="640" w:lineRule="exact"/>
        <w:ind w:firstLine="640"/>
        <w:jc w:val="both"/>
        <w:outlineLvl w:val="3"/>
      </w:pPr>
      <w:r>
        <w:rPr>
          <w:rFonts w:ascii="楷体_GB2312" w:hAnsi="楷体_GB2312" w:eastAsia="楷体_GB2312"/>
          <w:b/>
          <w:sz w:val="32"/>
        </w:rPr>
        <w:t>（三）国有资产占用情况说明</w:t>
      </w:r>
    </w:p>
    <w:p w14:paraId="761A3CF0">
      <w:pPr>
        <w:spacing w:line="580" w:lineRule="exact"/>
        <w:ind w:firstLine="640"/>
        <w:jc w:val="both"/>
      </w:pPr>
      <w:r>
        <w:rPr>
          <w:rFonts w:ascii="仿宋_GB2312" w:hAnsi="仿宋_GB2312" w:eastAsia="仿宋_GB2312"/>
          <w:b w:val="0"/>
          <w:sz w:val="32"/>
        </w:rPr>
        <w:t>截至2024年12月31日，房屋0.00平方米，价值0.00万元。车辆2辆，价值90.45万元，其中：副部（省）级及以上领导用车0辆、主要负责人用车0辆、机要通信用车0辆、应急保障用车0辆、执法执勤用车0辆、特种专业技术用车1辆、离退休干部服务用车0辆、其他用车1辆，其他用车主要是：一般公务用车。单价100万元（含）以上设备（不含车辆）0台（套）。</w:t>
      </w:r>
    </w:p>
    <w:p w14:paraId="69EC79B4">
      <w:pPr>
        <w:spacing w:line="640" w:lineRule="exact"/>
        <w:ind w:firstLine="640"/>
        <w:jc w:val="both"/>
        <w:outlineLvl w:val="2"/>
      </w:pPr>
      <w:r>
        <w:rPr>
          <w:rFonts w:ascii="黑体" w:hAnsi="黑体" w:eastAsia="黑体"/>
          <w:sz w:val="32"/>
        </w:rPr>
        <w:t>十一、预算绩效的情况说明</w:t>
      </w:r>
    </w:p>
    <w:p w14:paraId="6BF52ED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288.48万元，实际执行总额288.11万元；预算绩效评价项目0个，全年预算数0.00万元，全年执行数0.00万元。预算绩效管理取得的成效：本单位无项目绩效自评表。发现的问题及原因：本单位无项目绩效自评表。下一步改进措施：本单位无项目绩效自评表。具体附整体支出绩效自评表。</w:t>
      </w:r>
    </w:p>
    <w:p w14:paraId="74A8D955">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268"/>
        <w:gridCol w:w="698"/>
        <w:gridCol w:w="983"/>
        <w:gridCol w:w="983"/>
      </w:tblGrid>
      <w:tr w14:paraId="08C76BF6">
        <w:tblPrEx>
          <w:tblCellMar>
            <w:top w:w="0" w:type="dxa"/>
            <w:left w:w="108" w:type="dxa"/>
            <w:bottom w:w="0" w:type="dxa"/>
            <w:right w:w="108" w:type="dxa"/>
          </w:tblCellMar>
        </w:tblPrEx>
        <w:tc>
          <w:tcPr>
            <w:tcW w:w="8847" w:type="dxa"/>
            <w:gridSpan w:val="9"/>
            <w:vAlign w:val="center"/>
          </w:tcPr>
          <w:p w14:paraId="52AD10C6">
            <w:pPr>
              <w:jc w:val="center"/>
            </w:pPr>
            <w:r>
              <w:rPr>
                <w:rFonts w:ascii="宋体" w:hAnsi="宋体" w:eastAsia="宋体"/>
                <w:sz w:val="24"/>
              </w:rPr>
              <w:t>单位整体支出绩效自评表</w:t>
            </w:r>
          </w:p>
        </w:tc>
      </w:tr>
      <w:tr w14:paraId="6EF7184B">
        <w:tblPrEx>
          <w:tblCellMar>
            <w:top w:w="0" w:type="dxa"/>
            <w:left w:w="108" w:type="dxa"/>
            <w:bottom w:w="0" w:type="dxa"/>
            <w:right w:w="108" w:type="dxa"/>
          </w:tblCellMar>
        </w:tblPrEx>
        <w:tc>
          <w:tcPr>
            <w:tcW w:w="8847" w:type="dxa"/>
            <w:gridSpan w:val="9"/>
            <w:vAlign w:val="center"/>
          </w:tcPr>
          <w:p w14:paraId="41EA200B">
            <w:pPr>
              <w:jc w:val="center"/>
            </w:pPr>
            <w:r>
              <w:rPr>
                <w:rFonts w:ascii="宋体" w:hAnsi="宋体" w:eastAsia="宋体"/>
                <w:sz w:val="24"/>
              </w:rPr>
              <w:t>（2024年度）</w:t>
            </w:r>
          </w:p>
        </w:tc>
      </w:tr>
      <w:tr w14:paraId="7894C2F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67384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FE72B5B">
            <w:pPr>
              <w:jc w:val="center"/>
            </w:pPr>
            <w:r>
              <w:rPr>
                <w:rFonts w:ascii="宋体" w:hAnsi="宋体" w:eastAsia="宋体"/>
                <w:sz w:val="16"/>
              </w:rPr>
              <w:t>昌吉回族自治州残疾人康复就业服务中心（州残疾人辅助器具服务中心）</w:t>
            </w:r>
          </w:p>
        </w:tc>
      </w:tr>
      <w:tr w14:paraId="63A5DD5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339DA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7D4A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8A53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4DBD49">
            <w:pPr>
              <w:jc w:val="center"/>
            </w:pPr>
            <w:r>
              <w:rPr>
                <w:rFonts w:ascii="宋体" w:hAnsi="宋体" w:eastAsia="宋体"/>
                <w:sz w:val="16"/>
              </w:rPr>
              <w:t>全年预算数</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2D4B896D">
            <w:pPr>
              <w:jc w:val="center"/>
            </w:pPr>
            <w:r>
              <w:rPr>
                <w:rFonts w:ascii="宋体" w:hAnsi="宋体" w:eastAsia="宋体"/>
                <w:sz w:val="16"/>
              </w:rPr>
              <w:t>全年执行数</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4A3151A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60D1CD">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194375">
            <w:pPr>
              <w:jc w:val="center"/>
            </w:pPr>
            <w:r>
              <w:rPr>
                <w:rFonts w:ascii="宋体" w:hAnsi="宋体" w:eastAsia="宋体"/>
                <w:sz w:val="16"/>
              </w:rPr>
              <w:t>得分</w:t>
            </w:r>
          </w:p>
        </w:tc>
      </w:tr>
      <w:tr w14:paraId="5A45CAC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4D5F4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3DE5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BD79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5D7663">
            <w:pPr>
              <w:jc w:val="center"/>
            </w:pPr>
            <w:r>
              <w:rPr>
                <w:rFonts w:ascii="宋体" w:hAnsi="宋体" w:eastAsia="宋体"/>
                <w:sz w:val="16"/>
              </w:rPr>
              <w:t>0.00</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7B4FC421">
            <w:pPr>
              <w:jc w:val="center"/>
            </w:pPr>
            <w:r>
              <w:rPr>
                <w:rFonts w:ascii="宋体" w:hAnsi="宋体" w:eastAsia="宋体"/>
                <w:sz w:val="16"/>
              </w:rPr>
              <w:t>0.00</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6205D19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F251A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9413C">
            <w:pPr>
              <w:jc w:val="center"/>
            </w:pPr>
            <w:r>
              <w:rPr>
                <w:rFonts w:ascii="宋体" w:hAnsi="宋体" w:eastAsia="宋体"/>
                <w:sz w:val="16"/>
              </w:rPr>
              <w:t>-</w:t>
            </w:r>
          </w:p>
        </w:tc>
      </w:tr>
      <w:tr w14:paraId="22197EA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7669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2426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A195FB">
            <w:pPr>
              <w:jc w:val="center"/>
            </w:pPr>
            <w:r>
              <w:rPr>
                <w:rFonts w:ascii="宋体" w:hAnsi="宋体" w:eastAsia="宋体"/>
                <w:sz w:val="16"/>
              </w:rPr>
              <w:t>273.52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A8B77">
            <w:pPr>
              <w:jc w:val="center"/>
            </w:pPr>
            <w:r>
              <w:rPr>
                <w:rFonts w:ascii="宋体" w:hAnsi="宋体" w:eastAsia="宋体"/>
                <w:sz w:val="16"/>
              </w:rPr>
              <w:t>288.48</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3BD3C2FA">
            <w:pPr>
              <w:jc w:val="center"/>
            </w:pPr>
            <w:r>
              <w:rPr>
                <w:rFonts w:ascii="宋体" w:hAnsi="宋体" w:eastAsia="宋体"/>
                <w:sz w:val="16"/>
              </w:rPr>
              <w:t>288.11</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78C7B7E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0583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B489CB">
            <w:pPr>
              <w:jc w:val="center"/>
            </w:pPr>
            <w:r>
              <w:rPr>
                <w:rFonts w:ascii="宋体" w:hAnsi="宋体" w:eastAsia="宋体"/>
                <w:sz w:val="16"/>
              </w:rPr>
              <w:t>-</w:t>
            </w:r>
          </w:p>
        </w:tc>
      </w:tr>
      <w:tr w14:paraId="4A6994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5D4F8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F42A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51334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427D8">
            <w:pPr>
              <w:jc w:val="center"/>
            </w:pPr>
            <w:r>
              <w:rPr>
                <w:rFonts w:ascii="宋体" w:hAnsi="宋体" w:eastAsia="宋体"/>
                <w:sz w:val="16"/>
              </w:rPr>
              <w:t>0.00</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6E70D24F">
            <w:pPr>
              <w:jc w:val="center"/>
            </w:pPr>
            <w:r>
              <w:rPr>
                <w:rFonts w:ascii="宋体" w:hAnsi="宋体" w:eastAsia="宋体"/>
                <w:sz w:val="16"/>
              </w:rPr>
              <w:t>0.00</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0DA065A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07BE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437198">
            <w:pPr>
              <w:jc w:val="center"/>
            </w:pPr>
            <w:r>
              <w:rPr>
                <w:rFonts w:ascii="宋体" w:hAnsi="宋体" w:eastAsia="宋体"/>
                <w:sz w:val="16"/>
              </w:rPr>
              <w:t>-</w:t>
            </w:r>
          </w:p>
        </w:tc>
      </w:tr>
      <w:tr w14:paraId="1C7BDE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8B13D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E08C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9E70CF">
            <w:pPr>
              <w:jc w:val="center"/>
            </w:pPr>
            <w:r>
              <w:rPr>
                <w:rFonts w:ascii="宋体" w:hAnsi="宋体" w:eastAsia="宋体"/>
                <w:sz w:val="16"/>
              </w:rPr>
              <w:t>273.52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8BFB13">
            <w:pPr>
              <w:jc w:val="center"/>
            </w:pPr>
            <w:r>
              <w:rPr>
                <w:rFonts w:ascii="宋体" w:hAnsi="宋体" w:eastAsia="宋体"/>
                <w:sz w:val="16"/>
              </w:rPr>
              <w:t>288.48</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6EA1AF2B">
            <w:pPr>
              <w:jc w:val="center"/>
            </w:pPr>
            <w:r>
              <w:rPr>
                <w:rFonts w:ascii="宋体" w:hAnsi="宋体" w:eastAsia="宋体"/>
                <w:sz w:val="16"/>
              </w:rPr>
              <w:t>288.11</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2A78825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3DFB21">
            <w:pPr>
              <w:jc w:val="center"/>
            </w:pPr>
            <w:r>
              <w:rPr>
                <w:rFonts w:ascii="宋体" w:hAnsi="宋体" w:eastAsia="宋体"/>
                <w:sz w:val="16"/>
              </w:rPr>
              <w:t>99.87%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A42460">
            <w:pPr>
              <w:jc w:val="center"/>
            </w:pPr>
            <w:r>
              <w:rPr>
                <w:rFonts w:ascii="宋体" w:hAnsi="宋体" w:eastAsia="宋体"/>
                <w:sz w:val="16"/>
              </w:rPr>
              <w:t>9.99</w:t>
            </w:r>
          </w:p>
        </w:tc>
      </w:tr>
      <w:tr w14:paraId="7B4EBA9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6F87E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F503F8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DF072E">
            <w:pPr>
              <w:jc w:val="center"/>
            </w:pPr>
            <w:r>
              <w:rPr>
                <w:rFonts w:ascii="宋体" w:hAnsi="宋体" w:eastAsia="宋体"/>
                <w:sz w:val="16"/>
              </w:rPr>
              <w:t>实际完成情况</w:t>
            </w:r>
          </w:p>
        </w:tc>
      </w:tr>
      <w:tr w14:paraId="496172C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ABDB6D"/>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2D86DE1">
            <w:pPr>
              <w:jc w:val="both"/>
            </w:pPr>
            <w:r>
              <w:rPr>
                <w:rFonts w:ascii="宋体" w:hAnsi="宋体" w:eastAsia="宋体"/>
                <w:sz w:val="16"/>
              </w:rPr>
              <w:t>全州新增残疾人就业240人(城镇新增就业120人，农村新增就业120人)；对全州165名残疾人开展各类培训 ；对全州4家盲人按摩机构给予扶持奖励 ；残疾人康复工作为150名有康复需求的残疾儿童少年提供康复救助服务（0-6岁100名，7-16岁50名）；为285名有需求的成人肢体残疾人提供康复训练服务；为368名有需求的残疾人提供基本型辅助器具适配服务；对全州165名残疾人开展各类培训 。</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2963A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全年预算数为288.48万元，全年执行数为288.11万元，总预算执行率为99.87%，2024年</w:t>
            </w:r>
            <w:r>
              <w:rPr>
                <w:rFonts w:hint="eastAsia" w:ascii="宋体" w:hAnsi="宋体"/>
                <w:sz w:val="16"/>
                <w:lang w:eastAsia="zh-CN"/>
              </w:rPr>
              <w:t>本单位</w:t>
            </w:r>
            <w:r>
              <w:rPr>
                <w:rFonts w:ascii="宋体" w:hAnsi="宋体" w:eastAsia="宋体"/>
                <w:sz w:val="16"/>
              </w:rPr>
              <w:t>完成以下工作内容：1.完成了全州新增残疾人就业247人；2.对全州188名残疾人开展了培训工作；3.对全州4家盲人按摩机构</w:t>
            </w:r>
            <w:bookmarkStart w:id="0" w:name="_GoBack"/>
            <w:r>
              <w:rPr>
                <w:rFonts w:hint="eastAsia" w:ascii="宋体" w:hAnsi="宋体"/>
                <w:sz w:val="16"/>
                <w:lang w:eastAsia="zh-CN"/>
              </w:rPr>
              <w:t>给予</w:t>
            </w:r>
            <w:bookmarkEnd w:id="0"/>
            <w:r>
              <w:rPr>
                <w:rFonts w:ascii="宋体" w:hAnsi="宋体" w:eastAsia="宋体"/>
                <w:sz w:val="16"/>
              </w:rPr>
              <w:t>扶持奖励；4.为242人有康复需求的残疾儿童提供了康复服务；5.为409人有康复需求的残疾儿童提供了康复服务；6.为1253人有需求的残疾人提供了器具适配。通过以上工作的实施，帮助残疾人解决了实际困难，让他们感受到了社会的关心和温暖，进一步促进了社会的和谐稳定发展，为进一步做好残疾人服务工作奠定了基础。</w:t>
            </w:r>
          </w:p>
        </w:tc>
      </w:tr>
      <w:tr w14:paraId="5F30861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5BC3A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BD016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5FEB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315213">
            <w:pPr>
              <w:jc w:val="center"/>
            </w:pPr>
            <w:r>
              <w:rPr>
                <w:rFonts w:ascii="宋体" w:hAnsi="宋体" w:eastAsia="宋体"/>
                <w:sz w:val="16"/>
              </w:rPr>
              <w:t>预期指标值</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71E7A54A">
            <w:pPr>
              <w:jc w:val="center"/>
            </w:pPr>
            <w:r>
              <w:rPr>
                <w:rFonts w:ascii="宋体" w:hAnsi="宋体" w:eastAsia="宋体"/>
                <w:sz w:val="16"/>
              </w:rPr>
              <w:t>指标值设定依据</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6704A72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AC4A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DED70">
            <w:pPr>
              <w:jc w:val="center"/>
            </w:pPr>
            <w:r>
              <w:rPr>
                <w:rFonts w:ascii="宋体" w:hAnsi="宋体" w:eastAsia="宋体"/>
                <w:sz w:val="16"/>
              </w:rPr>
              <w:t>得分</w:t>
            </w:r>
          </w:p>
        </w:tc>
      </w:tr>
      <w:tr w14:paraId="355310A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CF4542">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14630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CAB0F">
            <w:pPr>
              <w:jc w:val="center"/>
            </w:pPr>
            <w:r>
              <w:rPr>
                <w:rFonts w:ascii="宋体" w:hAnsi="宋体" w:eastAsia="宋体"/>
                <w:sz w:val="16"/>
              </w:rPr>
              <w:t>全州新增残疾人就业人数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2BC875">
            <w:pPr>
              <w:jc w:val="center"/>
            </w:pPr>
            <w:r>
              <w:rPr>
                <w:rFonts w:ascii="宋体" w:hAnsi="宋体" w:eastAsia="宋体"/>
                <w:sz w:val="16"/>
              </w:rPr>
              <w:t>&gt;=240人</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0A5FDA67">
            <w:pPr>
              <w:jc w:val="center"/>
            </w:pPr>
            <w:r>
              <w:rPr>
                <w:rFonts w:ascii="宋体" w:hAnsi="宋体" w:eastAsia="宋体"/>
                <w:sz w:val="16"/>
              </w:rPr>
              <w:t>2024年绩效考核指标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66E7E6E3">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8332B">
            <w:pPr>
              <w:jc w:val="center"/>
            </w:pPr>
            <w:r>
              <w:rPr>
                <w:rFonts w:ascii="宋体" w:hAnsi="宋体" w:eastAsia="宋体"/>
                <w:sz w:val="16"/>
              </w:rPr>
              <w:t>247人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7EFE3C">
            <w:pPr>
              <w:jc w:val="center"/>
            </w:pPr>
            <w:r>
              <w:rPr>
                <w:rFonts w:ascii="宋体" w:hAnsi="宋体" w:eastAsia="宋体"/>
                <w:sz w:val="16"/>
              </w:rPr>
              <w:t>30</w:t>
            </w:r>
          </w:p>
        </w:tc>
      </w:tr>
      <w:tr w14:paraId="1E5E8E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A0B47B"/>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E44EC3">
            <w:pPr>
              <w:jc w:val="center"/>
            </w:pP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2C313">
            <w:pPr>
              <w:jc w:val="center"/>
            </w:pPr>
            <w:r>
              <w:rPr>
                <w:rFonts w:ascii="宋体" w:hAnsi="宋体" w:eastAsia="宋体"/>
                <w:sz w:val="16"/>
              </w:rPr>
              <w:t>残疾人开展各类培训人数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5F530">
            <w:pPr>
              <w:jc w:val="center"/>
            </w:pPr>
            <w:r>
              <w:rPr>
                <w:rFonts w:ascii="宋体" w:hAnsi="宋体" w:eastAsia="宋体"/>
                <w:sz w:val="16"/>
              </w:rPr>
              <w:t>&gt;=165人</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439D9928">
            <w:pPr>
              <w:jc w:val="center"/>
            </w:pPr>
            <w:r>
              <w:rPr>
                <w:rFonts w:ascii="宋体" w:hAnsi="宋体" w:eastAsia="宋体"/>
                <w:sz w:val="16"/>
              </w:rPr>
              <w:t>2024年绩效考核指标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6AE98DF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6D4DD">
            <w:pPr>
              <w:jc w:val="center"/>
            </w:pPr>
            <w:r>
              <w:rPr>
                <w:rFonts w:ascii="宋体" w:hAnsi="宋体" w:eastAsia="宋体"/>
                <w:sz w:val="16"/>
              </w:rPr>
              <w:t>188人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0D5B1A">
            <w:pPr>
              <w:jc w:val="center"/>
            </w:pPr>
            <w:r>
              <w:rPr>
                <w:rFonts w:ascii="宋体" w:hAnsi="宋体" w:eastAsia="宋体"/>
                <w:sz w:val="16"/>
              </w:rPr>
              <w:t>15</w:t>
            </w:r>
          </w:p>
        </w:tc>
      </w:tr>
      <w:tr w14:paraId="5DAC7F8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72EEC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5A7B7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E6020">
            <w:pPr>
              <w:jc w:val="center"/>
            </w:pPr>
            <w:r>
              <w:rPr>
                <w:rFonts w:ascii="宋体" w:hAnsi="宋体" w:eastAsia="宋体"/>
                <w:sz w:val="16"/>
              </w:rPr>
              <w:t>盲人按摩机构扶持奖励数量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3EBDAB">
            <w:pPr>
              <w:jc w:val="center"/>
            </w:pPr>
            <w:r>
              <w:rPr>
                <w:rFonts w:ascii="宋体" w:hAnsi="宋体" w:eastAsia="宋体"/>
                <w:sz w:val="16"/>
              </w:rPr>
              <w:t>&gt;=4家</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453D0FA4">
            <w:pPr>
              <w:jc w:val="center"/>
            </w:pPr>
            <w:r>
              <w:rPr>
                <w:rFonts w:ascii="宋体" w:hAnsi="宋体" w:eastAsia="宋体"/>
                <w:sz w:val="16"/>
              </w:rPr>
              <w:t>2024年绩效考核指标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228040C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6364BF">
            <w:pPr>
              <w:jc w:val="center"/>
            </w:pPr>
            <w:r>
              <w:rPr>
                <w:rFonts w:ascii="宋体" w:hAnsi="宋体" w:eastAsia="宋体"/>
                <w:sz w:val="16"/>
              </w:rPr>
              <w:t>4家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1D4BC">
            <w:pPr>
              <w:jc w:val="center"/>
            </w:pPr>
            <w:r>
              <w:rPr>
                <w:rFonts w:ascii="宋体" w:hAnsi="宋体" w:eastAsia="宋体"/>
                <w:sz w:val="16"/>
              </w:rPr>
              <w:t>15</w:t>
            </w:r>
          </w:p>
        </w:tc>
      </w:tr>
      <w:tr w14:paraId="01C6B0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6AE8F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4EA66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992CD">
            <w:pPr>
              <w:jc w:val="center"/>
            </w:pPr>
            <w:r>
              <w:rPr>
                <w:rFonts w:ascii="宋体" w:hAnsi="宋体" w:eastAsia="宋体"/>
                <w:sz w:val="16"/>
              </w:rPr>
              <w:t>残疾儿童少年康复救助服务人数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F27877">
            <w:pPr>
              <w:jc w:val="center"/>
            </w:pPr>
            <w:r>
              <w:rPr>
                <w:rFonts w:ascii="宋体" w:hAnsi="宋体" w:eastAsia="宋体"/>
                <w:sz w:val="16"/>
              </w:rPr>
              <w:t>&gt;=150人</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2940EF58">
            <w:pPr>
              <w:jc w:val="center"/>
            </w:pPr>
            <w:r>
              <w:rPr>
                <w:rFonts w:ascii="宋体" w:hAnsi="宋体" w:eastAsia="宋体"/>
                <w:sz w:val="16"/>
              </w:rPr>
              <w:t>2024年绩效考核指标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6BF21D5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F69A19">
            <w:pPr>
              <w:jc w:val="center"/>
            </w:pPr>
            <w:r>
              <w:rPr>
                <w:rFonts w:ascii="宋体" w:hAnsi="宋体" w:eastAsia="宋体"/>
                <w:sz w:val="16"/>
              </w:rPr>
              <w:t>242人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D7F30">
            <w:pPr>
              <w:jc w:val="center"/>
            </w:pPr>
            <w:r>
              <w:rPr>
                <w:rFonts w:ascii="宋体" w:hAnsi="宋体" w:eastAsia="宋体"/>
                <w:sz w:val="16"/>
              </w:rPr>
              <w:t>10</w:t>
            </w:r>
          </w:p>
        </w:tc>
      </w:tr>
      <w:tr w14:paraId="734259D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AED6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487A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73FA7">
            <w:pPr>
              <w:jc w:val="center"/>
            </w:pPr>
            <w:r>
              <w:rPr>
                <w:rFonts w:ascii="宋体" w:hAnsi="宋体" w:eastAsia="宋体"/>
                <w:sz w:val="16"/>
              </w:rPr>
              <w:t>成人肢体残疾人康复训练服务人数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DC5D39">
            <w:pPr>
              <w:jc w:val="center"/>
            </w:pPr>
            <w:r>
              <w:rPr>
                <w:rFonts w:ascii="宋体" w:hAnsi="宋体" w:eastAsia="宋体"/>
                <w:sz w:val="16"/>
              </w:rPr>
              <w:t>&gt;=268人</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6D625747">
            <w:pPr>
              <w:jc w:val="center"/>
            </w:pPr>
            <w:r>
              <w:rPr>
                <w:rFonts w:ascii="宋体" w:hAnsi="宋体" w:eastAsia="宋体"/>
                <w:sz w:val="16"/>
              </w:rPr>
              <w:t>2024年绩效考核指标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254395F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63D6CA">
            <w:pPr>
              <w:jc w:val="center"/>
            </w:pPr>
            <w:r>
              <w:rPr>
                <w:rFonts w:ascii="宋体" w:hAnsi="宋体" w:eastAsia="宋体"/>
                <w:sz w:val="16"/>
              </w:rPr>
              <w:t>409人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12BE49">
            <w:pPr>
              <w:jc w:val="center"/>
            </w:pPr>
            <w:r>
              <w:rPr>
                <w:rFonts w:ascii="宋体" w:hAnsi="宋体" w:eastAsia="宋体"/>
                <w:sz w:val="16"/>
              </w:rPr>
              <w:t>10</w:t>
            </w:r>
          </w:p>
        </w:tc>
      </w:tr>
      <w:tr w14:paraId="4970FF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7E24C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39055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3F59B">
            <w:pPr>
              <w:jc w:val="center"/>
            </w:pPr>
            <w:r>
              <w:rPr>
                <w:rFonts w:ascii="宋体" w:hAnsi="宋体" w:eastAsia="宋体"/>
                <w:sz w:val="16"/>
              </w:rPr>
              <w:t>提供残疾人基本型辅助器具适配服务人数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255C27">
            <w:pPr>
              <w:jc w:val="center"/>
            </w:pPr>
            <w:r>
              <w:rPr>
                <w:rFonts w:ascii="宋体" w:hAnsi="宋体" w:eastAsia="宋体"/>
                <w:sz w:val="16"/>
              </w:rPr>
              <w:t>&gt;=368人</w:t>
            </w:r>
          </w:p>
        </w:tc>
        <w:tc>
          <w:tcPr>
            <w:tcW w:w="1268" w:type="dxa"/>
            <w:tcBorders>
              <w:top w:val="single" w:color="auto" w:sz="10" w:space="0"/>
              <w:left w:val="single" w:color="auto" w:sz="10" w:space="0"/>
              <w:bottom w:val="single" w:color="auto" w:sz="10" w:space="0"/>
              <w:right w:val="single" w:color="auto" w:sz="10" w:space="0"/>
              <w:insideV w:val="single" w:sz="10" w:space="0"/>
            </w:tcBorders>
            <w:vAlign w:val="center"/>
          </w:tcPr>
          <w:p w14:paraId="3A4FAE1E">
            <w:pPr>
              <w:jc w:val="center"/>
            </w:pPr>
            <w:r>
              <w:rPr>
                <w:rFonts w:ascii="宋体" w:hAnsi="宋体" w:eastAsia="宋体"/>
                <w:sz w:val="16"/>
              </w:rPr>
              <w:t>2024年绩效考核指标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58434BC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36CF73">
            <w:pPr>
              <w:jc w:val="center"/>
            </w:pPr>
            <w:r>
              <w:rPr>
                <w:rFonts w:ascii="宋体" w:hAnsi="宋体" w:eastAsia="宋体"/>
                <w:sz w:val="16"/>
              </w:rPr>
              <w:t>153人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E0837">
            <w:pPr>
              <w:jc w:val="center"/>
            </w:pPr>
            <w:r>
              <w:rPr>
                <w:rFonts w:ascii="宋体" w:hAnsi="宋体" w:eastAsia="宋体"/>
                <w:sz w:val="16"/>
              </w:rPr>
              <w:t>10</w:t>
            </w:r>
          </w:p>
        </w:tc>
      </w:tr>
    </w:tbl>
    <w:p w14:paraId="46DEA8ED">
      <w:r>
        <w:br w:type="page"/>
      </w:r>
    </w:p>
    <w:p w14:paraId="7103F436">
      <w:pPr>
        <w:spacing w:line="640" w:lineRule="exact"/>
        <w:ind w:firstLine="640"/>
        <w:jc w:val="both"/>
        <w:outlineLvl w:val="2"/>
      </w:pPr>
      <w:r>
        <w:rPr>
          <w:rFonts w:ascii="黑体" w:hAnsi="黑体" w:eastAsia="黑体"/>
          <w:sz w:val="32"/>
        </w:rPr>
        <w:t>十二、其他需说明的事项</w:t>
      </w:r>
    </w:p>
    <w:p w14:paraId="2793FB97">
      <w:pPr>
        <w:spacing w:line="580" w:lineRule="exact"/>
        <w:ind w:firstLine="640"/>
        <w:jc w:val="both"/>
      </w:pPr>
      <w:r>
        <w:rPr>
          <w:rFonts w:ascii="仿宋_GB2312" w:hAnsi="仿宋_GB2312" w:eastAsia="仿宋_GB2312"/>
          <w:b w:val="0"/>
          <w:sz w:val="32"/>
        </w:rPr>
        <w:t>本单位无其他需说明的事项。</w:t>
      </w:r>
    </w:p>
    <w:p w14:paraId="1E61F071">
      <w:r>
        <w:br w:type="page"/>
      </w:r>
    </w:p>
    <w:p w14:paraId="298BA632">
      <w:pPr>
        <w:spacing w:line="240" w:lineRule="auto"/>
        <w:jc w:val="center"/>
        <w:outlineLvl w:val="1"/>
      </w:pPr>
      <w:r>
        <w:rPr>
          <w:rFonts w:ascii="黑体" w:hAnsi="黑体" w:eastAsia="黑体"/>
          <w:sz w:val="32"/>
        </w:rPr>
        <w:t>第三部分 专业名词解释</w:t>
      </w:r>
    </w:p>
    <w:p w14:paraId="4B1E49A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4A04214">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5B6216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BB775D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9903A3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CBE044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25CCEF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371D15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7723C9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2AC336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4A4885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DEF30F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4BD0FD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F60314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8A9B96E">
      <w:r>
        <w:br w:type="page"/>
      </w:r>
    </w:p>
    <w:p w14:paraId="2AA3CF3E">
      <w:pPr>
        <w:spacing w:line="240" w:lineRule="auto"/>
        <w:jc w:val="center"/>
        <w:outlineLvl w:val="1"/>
      </w:pPr>
      <w:r>
        <w:rPr>
          <w:rFonts w:ascii="黑体" w:hAnsi="黑体" w:eastAsia="黑体"/>
          <w:sz w:val="32"/>
        </w:rPr>
        <w:t>第四部分 部门决算报表（见附表）</w:t>
      </w:r>
    </w:p>
    <w:p w14:paraId="4DA3F067">
      <w:pPr>
        <w:spacing w:line="240" w:lineRule="auto"/>
        <w:ind w:firstLine="640"/>
        <w:jc w:val="both"/>
      </w:pPr>
      <w:r>
        <w:rPr>
          <w:rFonts w:ascii="仿宋_GB2312" w:hAnsi="仿宋_GB2312" w:eastAsia="仿宋_GB2312"/>
          <w:b w:val="0"/>
          <w:sz w:val="32"/>
        </w:rPr>
        <w:t>一、《收入支出决算总表》</w:t>
      </w:r>
    </w:p>
    <w:p w14:paraId="7487268A">
      <w:pPr>
        <w:spacing w:line="240" w:lineRule="auto"/>
        <w:ind w:firstLine="640"/>
        <w:jc w:val="both"/>
      </w:pPr>
      <w:r>
        <w:rPr>
          <w:rFonts w:ascii="仿宋_GB2312" w:hAnsi="仿宋_GB2312" w:eastAsia="仿宋_GB2312"/>
          <w:b w:val="0"/>
          <w:sz w:val="32"/>
        </w:rPr>
        <w:t>二、《收入决算表》</w:t>
      </w:r>
    </w:p>
    <w:p w14:paraId="647D572E">
      <w:pPr>
        <w:spacing w:line="240" w:lineRule="auto"/>
        <w:ind w:firstLine="640"/>
        <w:jc w:val="both"/>
      </w:pPr>
      <w:r>
        <w:rPr>
          <w:rFonts w:ascii="仿宋_GB2312" w:hAnsi="仿宋_GB2312" w:eastAsia="仿宋_GB2312"/>
          <w:b w:val="0"/>
          <w:sz w:val="32"/>
        </w:rPr>
        <w:t>三、《支出决算表》</w:t>
      </w:r>
    </w:p>
    <w:p w14:paraId="4DD69215">
      <w:pPr>
        <w:spacing w:line="240" w:lineRule="auto"/>
        <w:ind w:firstLine="640"/>
        <w:jc w:val="both"/>
      </w:pPr>
      <w:r>
        <w:rPr>
          <w:rFonts w:ascii="仿宋_GB2312" w:hAnsi="仿宋_GB2312" w:eastAsia="仿宋_GB2312"/>
          <w:b w:val="0"/>
          <w:sz w:val="32"/>
        </w:rPr>
        <w:t>四、《财政拨款收入支出决算总表》</w:t>
      </w:r>
    </w:p>
    <w:p w14:paraId="20BB3770">
      <w:pPr>
        <w:spacing w:line="240" w:lineRule="auto"/>
        <w:ind w:firstLine="640"/>
        <w:jc w:val="both"/>
      </w:pPr>
      <w:r>
        <w:rPr>
          <w:rFonts w:ascii="仿宋_GB2312" w:hAnsi="仿宋_GB2312" w:eastAsia="仿宋_GB2312"/>
          <w:b w:val="0"/>
          <w:sz w:val="32"/>
        </w:rPr>
        <w:t>五、《一般公共预算财政拨款支出决算表》</w:t>
      </w:r>
    </w:p>
    <w:p w14:paraId="1E5D4E41">
      <w:pPr>
        <w:spacing w:line="240" w:lineRule="auto"/>
        <w:ind w:firstLine="640"/>
        <w:jc w:val="both"/>
      </w:pPr>
      <w:r>
        <w:rPr>
          <w:rFonts w:ascii="仿宋_GB2312" w:hAnsi="仿宋_GB2312" w:eastAsia="仿宋_GB2312"/>
          <w:b w:val="0"/>
          <w:sz w:val="32"/>
        </w:rPr>
        <w:t>六、《一般公共预算财政拨款基本支出决算表》</w:t>
      </w:r>
    </w:p>
    <w:p w14:paraId="0D2F48F0">
      <w:pPr>
        <w:spacing w:line="240" w:lineRule="auto"/>
        <w:ind w:firstLine="640"/>
        <w:jc w:val="both"/>
      </w:pPr>
      <w:r>
        <w:rPr>
          <w:rFonts w:ascii="仿宋_GB2312" w:hAnsi="仿宋_GB2312" w:eastAsia="仿宋_GB2312"/>
          <w:b w:val="0"/>
          <w:sz w:val="32"/>
        </w:rPr>
        <w:t>七、《政府性基金预算财政拨款收入支出决算表》</w:t>
      </w:r>
    </w:p>
    <w:p w14:paraId="199AB58E">
      <w:pPr>
        <w:spacing w:line="240" w:lineRule="auto"/>
        <w:ind w:firstLine="640"/>
        <w:jc w:val="both"/>
      </w:pPr>
      <w:r>
        <w:rPr>
          <w:rFonts w:ascii="仿宋_GB2312" w:hAnsi="仿宋_GB2312" w:eastAsia="仿宋_GB2312"/>
          <w:b w:val="0"/>
          <w:sz w:val="32"/>
        </w:rPr>
        <w:t>八、《国有资本经营预算财政拨款收入支出决算表》</w:t>
      </w:r>
    </w:p>
    <w:p w14:paraId="39FC7BC5">
      <w:pPr>
        <w:spacing w:line="240" w:lineRule="auto"/>
        <w:ind w:firstLine="640"/>
        <w:jc w:val="both"/>
      </w:pPr>
      <w:r>
        <w:rPr>
          <w:rFonts w:ascii="仿宋_GB2312" w:hAnsi="仿宋_GB2312" w:eastAsia="仿宋_GB2312"/>
          <w:b w:val="0"/>
          <w:sz w:val="32"/>
        </w:rPr>
        <w:t>九、《财政拨款“三公”经费支出决算表》</w:t>
      </w:r>
    </w:p>
    <w:p w14:paraId="7F6701C0">
      <w:pPr>
        <w:spacing w:line="240" w:lineRule="auto"/>
        <w:ind w:firstLine="640"/>
        <w:jc w:val="both"/>
      </w:pPr>
    </w:p>
    <w:p w14:paraId="0BE39216">
      <w:pPr>
        <w:spacing w:line="240" w:lineRule="auto"/>
        <w:ind w:firstLine="640"/>
        <w:jc w:val="both"/>
      </w:pPr>
    </w:p>
    <w:p w14:paraId="5F91D729">
      <w:pPr>
        <w:spacing w:line="240" w:lineRule="auto"/>
        <w:ind w:firstLine="640"/>
        <w:jc w:val="both"/>
      </w:pPr>
    </w:p>
    <w:p w14:paraId="21617592">
      <w:pPr>
        <w:spacing w:line="240" w:lineRule="auto"/>
        <w:ind w:firstLine="640"/>
        <w:jc w:val="both"/>
      </w:pPr>
    </w:p>
    <w:p w14:paraId="77FC415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3D043D-5793-492B-A1BC-45EEC53F1E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105FD8C-5557-4CB6-8858-BF4E17551607}"/>
  </w:font>
  <w:font w:name="仿宋_GB2312">
    <w:altName w:val="仿宋"/>
    <w:panose1 w:val="02010609030101010101"/>
    <w:charset w:val="86"/>
    <w:family w:val="modern"/>
    <w:pitch w:val="default"/>
    <w:sig w:usb0="00000000" w:usb1="00000000" w:usb2="00000000" w:usb3="00000000" w:csb0="00040000" w:csb1="00000000"/>
    <w:embedRegular r:id="rId3" w:fontKey="{9B34E3C1-6136-4759-A863-FAAA46816F2C}"/>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293CEE69-4162-47B2-9FC7-0EC332EC9423}"/>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3022CE"/>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4B450F"/>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D2E69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4667</Words>
  <Characters>5324</Characters>
  <Lines>0</Lines>
  <Paragraphs>0</Paragraphs>
  <TotalTime>6</TotalTime>
  <ScaleCrop>false</ScaleCrop>
  <LinksUpToDate>false</LinksUpToDate>
  <CharactersWithSpaces>5332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2025-10-15T03:23:33Z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