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昌吉回族自治州总工会2024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9355857">
      <w:r>
        <w:br w:type="page"/>
      </w:r>
    </w:p>
    <w:p w14:paraId="6497FC3C">
      <w:pPr>
        <w:spacing w:line="640" w:lineRule="exact"/>
        <w:jc w:val="center"/>
        <w:outlineLvl w:val="1"/>
      </w:pPr>
      <w:r>
        <w:rPr>
          <w:rFonts w:ascii="黑体" w:hAnsi="黑体" w:eastAsia="黑体"/>
          <w:sz w:val="32"/>
        </w:rPr>
        <w:t>第一部分 单位概况</w:t>
      </w:r>
    </w:p>
    <w:p w14:paraId="7D6989E9">
      <w:pPr>
        <w:spacing w:line="640" w:lineRule="exact"/>
        <w:ind w:firstLine="640"/>
        <w:jc w:val="both"/>
        <w:outlineLvl w:val="2"/>
      </w:pPr>
      <w:r>
        <w:rPr>
          <w:rFonts w:ascii="黑体" w:hAnsi="黑体" w:eastAsia="黑体"/>
          <w:sz w:val="32"/>
        </w:rPr>
        <w:t>一、主要职能</w:t>
      </w:r>
    </w:p>
    <w:p w14:paraId="59ABBAEC">
      <w:pPr>
        <w:spacing w:line="580" w:lineRule="exact"/>
        <w:ind w:firstLine="640"/>
        <w:jc w:val="both"/>
      </w:pPr>
      <w:r>
        <w:rPr>
          <w:rFonts w:ascii="仿宋_GB2312" w:hAnsi="仿宋_GB2312" w:eastAsia="仿宋_GB2312"/>
          <w:sz w:val="32"/>
        </w:rPr>
        <w:t>工会主要承担着参与、维护、建设、教育四大职能，其中维护职工合法权益是工会的基本职责。</w:t>
      </w:r>
    </w:p>
    <w:p w14:paraId="4526325C">
      <w:pPr>
        <w:spacing w:line="580" w:lineRule="exact"/>
        <w:ind w:firstLine="640"/>
        <w:jc w:val="both"/>
      </w:pPr>
      <w:r>
        <w:rPr>
          <w:rFonts w:ascii="仿宋_GB2312" w:hAnsi="仿宋_GB2312" w:eastAsia="仿宋_GB2312"/>
          <w:sz w:val="32"/>
        </w:rPr>
        <w:t>工会组织应该代表和组织职工参与本单位的民主决策，民主管理和民主监督</w:t>
      </w:r>
      <w:r>
        <w:rPr>
          <w:rFonts w:hint="eastAsia" w:ascii="仿宋_GB2312" w:hAnsi="仿宋_GB2312" w:eastAsia="仿宋_GB2312"/>
          <w:sz w:val="32"/>
          <w:lang w:eastAsia="zh-CN"/>
        </w:rPr>
        <w:t>；</w:t>
      </w:r>
      <w:r>
        <w:rPr>
          <w:rFonts w:ascii="仿宋_GB2312" w:hAnsi="仿宋_GB2312" w:eastAsia="仿宋_GB2312"/>
          <w:sz w:val="32"/>
        </w:rPr>
        <w:t>工会组织必须代表和维护职工合法权益</w:t>
      </w:r>
      <w:r>
        <w:rPr>
          <w:rFonts w:hint="eastAsia" w:ascii="仿宋_GB2312" w:hAnsi="仿宋_GB2312" w:eastAsia="仿宋_GB2312"/>
          <w:sz w:val="32"/>
          <w:lang w:eastAsia="zh-CN"/>
        </w:rPr>
        <w:t>；</w:t>
      </w:r>
      <w:r>
        <w:rPr>
          <w:rFonts w:ascii="仿宋_GB2312" w:hAnsi="仿宋_GB2312" w:eastAsia="仿宋_GB2312"/>
          <w:sz w:val="32"/>
        </w:rPr>
        <w:t>工会组织应该动员和组织职工参加改革和建设，努力完成各项工作任务；工会组织应该教育职工不断提高思想道德</w:t>
      </w:r>
      <w:r>
        <w:rPr>
          <w:rFonts w:hint="eastAsia" w:ascii="仿宋_GB2312" w:hAnsi="仿宋_GB2312" w:eastAsia="仿宋_GB2312"/>
          <w:sz w:val="32"/>
          <w:lang w:eastAsia="zh-CN"/>
        </w:rPr>
        <w:t>、</w:t>
      </w:r>
      <w:r>
        <w:rPr>
          <w:rFonts w:ascii="仿宋_GB2312" w:hAnsi="仿宋_GB2312" w:eastAsia="仿宋_GB2312"/>
          <w:sz w:val="32"/>
        </w:rPr>
        <w:t>职业道德、技术业务和科学文化素质，建设“四有”职工队伍。</w:t>
      </w:r>
    </w:p>
    <w:p w14:paraId="4EBE4BF6">
      <w:pPr>
        <w:spacing w:line="640" w:lineRule="exact"/>
        <w:ind w:firstLine="640"/>
        <w:jc w:val="both"/>
        <w:outlineLvl w:val="2"/>
      </w:pPr>
      <w:r>
        <w:rPr>
          <w:rFonts w:ascii="黑体" w:hAnsi="黑体" w:eastAsia="黑体"/>
          <w:sz w:val="32"/>
        </w:rPr>
        <w:t>二、机构设置及人员情况</w:t>
      </w:r>
    </w:p>
    <w:p w14:paraId="1BD33C2C">
      <w:pPr>
        <w:spacing w:line="580" w:lineRule="exact"/>
        <w:ind w:firstLine="640"/>
        <w:jc w:val="both"/>
      </w:pPr>
      <w:r>
        <w:rPr>
          <w:rFonts w:ascii="仿宋_GB2312" w:hAnsi="仿宋_GB2312" w:eastAsia="仿宋_GB2312"/>
          <w:sz w:val="32"/>
        </w:rPr>
        <w:t>昌吉回族自治州总工会2024年度，实有人数43人，其中：在职人员14人，减少2人；离休人员0人，增加0人；退休人员29人,增加4人。</w:t>
      </w:r>
    </w:p>
    <w:p w14:paraId="021A4D25">
      <w:pPr>
        <w:spacing w:line="580" w:lineRule="exact"/>
        <w:ind w:firstLine="640"/>
        <w:jc w:val="both"/>
      </w:pPr>
      <w:r>
        <w:rPr>
          <w:rFonts w:ascii="仿宋_GB2312" w:hAnsi="仿宋_GB2312" w:eastAsia="仿宋_GB2312"/>
          <w:sz w:val="32"/>
        </w:rPr>
        <w:t>昌吉回族自治州总工会无下属预算单位，下设4个科室，分别是：办公室、组宣部、经审科、帮扶办公室。</w:t>
      </w:r>
    </w:p>
    <w:p w14:paraId="20C4D332">
      <w:r>
        <w:br w:type="page"/>
      </w:r>
    </w:p>
    <w:p w14:paraId="575544E2">
      <w:pPr>
        <w:spacing w:line="240" w:lineRule="auto"/>
        <w:jc w:val="center"/>
        <w:outlineLvl w:val="1"/>
      </w:pPr>
      <w:r>
        <w:rPr>
          <w:rFonts w:ascii="黑体" w:hAnsi="黑体" w:eastAsia="黑体"/>
          <w:sz w:val="32"/>
        </w:rPr>
        <w:t>第二部分 部门决算情况说明</w:t>
      </w:r>
    </w:p>
    <w:p w14:paraId="306A1D2F">
      <w:pPr>
        <w:spacing w:line="640" w:lineRule="exact"/>
        <w:ind w:firstLine="640"/>
        <w:jc w:val="both"/>
        <w:outlineLvl w:val="2"/>
      </w:pPr>
      <w:r>
        <w:rPr>
          <w:rFonts w:ascii="黑体" w:hAnsi="黑体" w:eastAsia="黑体"/>
          <w:sz w:val="32"/>
        </w:rPr>
        <w:t>一、收入支出决算总体情况说明</w:t>
      </w:r>
    </w:p>
    <w:p w14:paraId="5172B369">
      <w:pPr>
        <w:spacing w:line="580" w:lineRule="exact"/>
        <w:ind w:firstLine="640"/>
        <w:jc w:val="both"/>
      </w:pPr>
      <w:r>
        <w:rPr>
          <w:rFonts w:ascii="仿宋_GB2312" w:hAnsi="仿宋_GB2312" w:eastAsia="仿宋_GB2312"/>
          <w:b/>
          <w:sz w:val="32"/>
        </w:rPr>
        <w:t>2024年度收入总计704.11万元，</w:t>
      </w:r>
      <w:r>
        <w:rPr>
          <w:rFonts w:ascii="仿宋_GB2312" w:hAnsi="仿宋_GB2312" w:eastAsia="仿宋_GB2312"/>
          <w:b w:val="0"/>
          <w:sz w:val="32"/>
        </w:rPr>
        <w:t>其中：本年收入合计704.11万元，使用非财政拨款结余（含专用结余）0.00万元，年初结转和结余0.00万元。</w:t>
      </w:r>
    </w:p>
    <w:p w14:paraId="4E24CAE4">
      <w:pPr>
        <w:spacing w:line="580" w:lineRule="exact"/>
        <w:ind w:firstLine="640"/>
        <w:jc w:val="both"/>
      </w:pPr>
      <w:r>
        <w:rPr>
          <w:rFonts w:ascii="仿宋_GB2312" w:hAnsi="仿宋_GB2312" w:eastAsia="仿宋_GB2312"/>
          <w:b/>
          <w:sz w:val="32"/>
        </w:rPr>
        <w:t>2024年度支出总计704.11万元，</w:t>
      </w:r>
      <w:r>
        <w:rPr>
          <w:rFonts w:ascii="仿宋_GB2312" w:hAnsi="仿宋_GB2312" w:eastAsia="仿宋_GB2312"/>
          <w:b w:val="0"/>
          <w:sz w:val="32"/>
        </w:rPr>
        <w:t>其中：本年支出合计704.11万元，结余分配0.00万元，年末结转和结余0.00万元。</w:t>
      </w:r>
    </w:p>
    <w:p w14:paraId="1575196A">
      <w:pPr>
        <w:spacing w:line="580" w:lineRule="exact"/>
        <w:ind w:firstLine="640"/>
        <w:jc w:val="both"/>
      </w:pPr>
      <w:r>
        <w:rPr>
          <w:rFonts w:ascii="仿宋_GB2312" w:hAnsi="仿宋_GB2312" w:eastAsia="仿宋_GB2312"/>
          <w:b w:val="0"/>
          <w:sz w:val="32"/>
        </w:rPr>
        <w:t>收入支出总体与上年相比，增加214.12万元，增长43.70%，主要原因是：本年增加昌吉州市工人文化宫建设、庭州工匠育才行动项目。</w:t>
      </w:r>
    </w:p>
    <w:p w14:paraId="2130A788">
      <w:pPr>
        <w:spacing w:line="640" w:lineRule="exact"/>
        <w:ind w:firstLine="640"/>
        <w:jc w:val="both"/>
        <w:outlineLvl w:val="2"/>
      </w:pPr>
      <w:r>
        <w:rPr>
          <w:rFonts w:ascii="黑体" w:hAnsi="黑体" w:eastAsia="黑体"/>
          <w:sz w:val="32"/>
        </w:rPr>
        <w:t>二、收入决算情况说明</w:t>
      </w:r>
    </w:p>
    <w:p w14:paraId="1585645D">
      <w:pPr>
        <w:spacing w:line="580" w:lineRule="exact"/>
        <w:ind w:firstLine="640"/>
        <w:jc w:val="both"/>
      </w:pPr>
      <w:r>
        <w:rPr>
          <w:rFonts w:ascii="仿宋_GB2312" w:hAnsi="仿宋_GB2312" w:eastAsia="仿宋_GB2312"/>
          <w:b/>
          <w:sz w:val="32"/>
        </w:rPr>
        <w:t>本年收入704.11万元，</w:t>
      </w:r>
      <w:r>
        <w:rPr>
          <w:rFonts w:ascii="仿宋_GB2312" w:hAnsi="仿宋_GB2312" w:eastAsia="仿宋_GB2312"/>
          <w:b w:val="0"/>
          <w:sz w:val="32"/>
        </w:rPr>
        <w:t>其中：财政拨款收入704.11万元，占100.00%；上级补助收入0.00万元，占0.00%；事业收入0.00万元，占0.00%；经营收入0.00万元，占0.00%；附属单位上缴收入0.00万元，占0.00%；其他收入0.00万元，占0.00%。</w:t>
      </w:r>
    </w:p>
    <w:p w14:paraId="13C6E900">
      <w:pPr>
        <w:spacing w:line="640" w:lineRule="exact"/>
        <w:ind w:firstLine="640"/>
        <w:jc w:val="both"/>
        <w:outlineLvl w:val="2"/>
      </w:pPr>
      <w:r>
        <w:rPr>
          <w:rFonts w:ascii="黑体" w:hAnsi="黑体" w:eastAsia="黑体"/>
          <w:sz w:val="32"/>
        </w:rPr>
        <w:t>三、支出决算情况说明</w:t>
      </w:r>
    </w:p>
    <w:p w14:paraId="097E456C">
      <w:pPr>
        <w:spacing w:line="580" w:lineRule="exact"/>
        <w:ind w:firstLine="640"/>
        <w:jc w:val="both"/>
      </w:pPr>
      <w:r>
        <w:rPr>
          <w:rFonts w:ascii="仿宋_GB2312" w:hAnsi="仿宋_GB2312" w:eastAsia="仿宋_GB2312"/>
          <w:b/>
          <w:sz w:val="32"/>
        </w:rPr>
        <w:t>本年支出704.11万元，</w:t>
      </w:r>
      <w:r>
        <w:rPr>
          <w:rFonts w:ascii="仿宋_GB2312" w:hAnsi="仿宋_GB2312" w:eastAsia="仿宋_GB2312"/>
          <w:b w:val="0"/>
          <w:sz w:val="32"/>
        </w:rPr>
        <w:t>其中：基本支出372.01万元，占52.83%；项目支出332.10万元，占47.17%；上缴上级支出0.00万元，占0.00%；经营支出0.00万元，占0.00%；对附属单位补助支出0.00万元，占0.00%。</w:t>
      </w:r>
    </w:p>
    <w:p w14:paraId="5C9FB030">
      <w:pPr>
        <w:spacing w:line="640" w:lineRule="exact"/>
        <w:ind w:firstLine="640"/>
        <w:jc w:val="both"/>
        <w:outlineLvl w:val="2"/>
      </w:pPr>
      <w:r>
        <w:rPr>
          <w:rFonts w:ascii="黑体" w:hAnsi="黑体" w:eastAsia="黑体"/>
          <w:sz w:val="32"/>
        </w:rPr>
        <w:t>四、财政拨款收入支出决算总体情况说明</w:t>
      </w:r>
    </w:p>
    <w:p w14:paraId="5D3C79EF">
      <w:pPr>
        <w:spacing w:line="580" w:lineRule="exact"/>
        <w:ind w:firstLine="640"/>
        <w:jc w:val="both"/>
      </w:pPr>
      <w:r>
        <w:rPr>
          <w:rFonts w:ascii="仿宋_GB2312" w:hAnsi="仿宋_GB2312" w:eastAsia="仿宋_GB2312"/>
          <w:b/>
          <w:sz w:val="32"/>
        </w:rPr>
        <w:t>2024年度财政拨款收入总计704.11万元，</w:t>
      </w:r>
      <w:r>
        <w:rPr>
          <w:rFonts w:ascii="仿宋_GB2312" w:hAnsi="仿宋_GB2312" w:eastAsia="仿宋_GB2312"/>
          <w:b w:val="0"/>
          <w:sz w:val="32"/>
        </w:rPr>
        <w:t>其中：年初财政拨款结转和结余0.00万元，本年财政拨款收入704.11万元。</w:t>
      </w:r>
      <w:r>
        <w:rPr>
          <w:rFonts w:ascii="仿宋_GB2312" w:hAnsi="仿宋_GB2312" w:eastAsia="仿宋_GB2312"/>
          <w:b/>
          <w:sz w:val="32"/>
        </w:rPr>
        <w:t>财政拨款支出总计704.11万元，</w:t>
      </w:r>
      <w:r>
        <w:rPr>
          <w:rFonts w:ascii="仿宋_GB2312" w:hAnsi="仿宋_GB2312" w:eastAsia="仿宋_GB2312"/>
          <w:b w:val="0"/>
          <w:sz w:val="32"/>
        </w:rPr>
        <w:t>其中：年末财政拨款结转和结余0.00万元，本年财政拨款支出704.11万元。</w:t>
      </w:r>
    </w:p>
    <w:p w14:paraId="2BB9C686">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增加214.12万元，增长43.70%，主要原因是：本年增加昌吉州市工人文化宫建设、庭州工匠育才行动项目。</w:t>
      </w:r>
      <w:r>
        <w:rPr>
          <w:rFonts w:ascii="仿宋_GB2312" w:hAnsi="仿宋_GB2312" w:eastAsia="仿宋_GB2312"/>
          <w:b/>
          <w:sz w:val="32"/>
        </w:rPr>
        <w:t>与年初预算相比，</w:t>
      </w:r>
      <w:r>
        <w:rPr>
          <w:rFonts w:ascii="仿宋_GB2312" w:hAnsi="仿宋_GB2312" w:eastAsia="仿宋_GB2312"/>
          <w:b w:val="0"/>
          <w:sz w:val="32"/>
        </w:rPr>
        <w:t>年初预算数610.12万元，决算数704.11万元，预决算差异率15.41%，主要原因是：年中追加庭州工匠育才行动、公务用车租赁费</w:t>
      </w:r>
      <w:r>
        <w:rPr>
          <w:rFonts w:hint="eastAsia" w:ascii="仿宋_GB2312" w:hAnsi="仿宋_GB2312" w:eastAsia="仿宋_GB2312"/>
          <w:b w:val="0"/>
          <w:sz w:val="32"/>
          <w:lang w:val="en-US" w:eastAsia="zh-CN"/>
        </w:rPr>
        <w:t>项目</w:t>
      </w:r>
      <w:r>
        <w:rPr>
          <w:rFonts w:ascii="仿宋_GB2312" w:hAnsi="仿宋_GB2312" w:eastAsia="仿宋_GB2312"/>
          <w:b w:val="0"/>
          <w:sz w:val="32"/>
        </w:rPr>
        <w:t>、为民办实事项目。</w:t>
      </w:r>
    </w:p>
    <w:p w14:paraId="22CAD2FE">
      <w:pPr>
        <w:spacing w:line="640" w:lineRule="exact"/>
        <w:ind w:firstLine="640"/>
        <w:jc w:val="both"/>
        <w:outlineLvl w:val="2"/>
      </w:pPr>
      <w:r>
        <w:rPr>
          <w:rFonts w:ascii="黑体" w:hAnsi="黑体" w:eastAsia="黑体"/>
          <w:sz w:val="32"/>
        </w:rPr>
        <w:t>五、一般公共预算财政拨款支出决算情况说明</w:t>
      </w:r>
    </w:p>
    <w:p w14:paraId="0A842DB1">
      <w:pPr>
        <w:spacing w:line="640" w:lineRule="exact"/>
        <w:ind w:firstLine="640"/>
        <w:jc w:val="both"/>
        <w:outlineLvl w:val="3"/>
      </w:pPr>
      <w:r>
        <w:rPr>
          <w:rFonts w:ascii="楷体_GB2312" w:hAnsi="楷体_GB2312" w:eastAsia="楷体_GB2312"/>
          <w:b/>
          <w:sz w:val="32"/>
        </w:rPr>
        <w:t>（一）一般公共预算财政拨款支出决算总体情况</w:t>
      </w:r>
    </w:p>
    <w:p w14:paraId="6A2A0AC1">
      <w:pPr>
        <w:spacing w:line="580" w:lineRule="exact"/>
        <w:ind w:firstLine="640"/>
        <w:jc w:val="both"/>
      </w:pPr>
      <w:r>
        <w:rPr>
          <w:rFonts w:ascii="仿宋_GB2312" w:hAnsi="仿宋_GB2312" w:eastAsia="仿宋_GB2312"/>
          <w:b/>
          <w:sz w:val="32"/>
        </w:rPr>
        <w:t>2024年度一般公共预算财政拨款支出704.11万元，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增加214.12万元，增长43.70%，主要原因是：本年增加昌吉州市工人文化宫建设、庭州工匠育才行动项目。</w:t>
      </w:r>
      <w:r>
        <w:rPr>
          <w:rFonts w:ascii="仿宋_GB2312" w:hAnsi="仿宋_GB2312" w:eastAsia="仿宋_GB2312"/>
          <w:b/>
          <w:sz w:val="32"/>
        </w:rPr>
        <w:t>与年初预算相比,</w:t>
      </w:r>
      <w:r>
        <w:rPr>
          <w:rFonts w:ascii="仿宋_GB2312" w:hAnsi="仿宋_GB2312" w:eastAsia="仿宋_GB2312"/>
          <w:b w:val="0"/>
          <w:sz w:val="32"/>
        </w:rPr>
        <w:t>年初预算数610.12万元，决算数704.11万元，预决算差异率15.41%，主要原因是：年中追加庭州工匠育才行动、公务用车租赁费</w:t>
      </w:r>
      <w:r>
        <w:rPr>
          <w:rFonts w:hint="eastAsia" w:ascii="仿宋_GB2312" w:hAnsi="仿宋_GB2312" w:eastAsia="仿宋_GB2312"/>
          <w:b w:val="0"/>
          <w:sz w:val="32"/>
          <w:lang w:val="en-US" w:eastAsia="zh-CN"/>
        </w:rPr>
        <w:t>项目</w:t>
      </w:r>
      <w:r>
        <w:rPr>
          <w:rFonts w:ascii="仿宋_GB2312" w:hAnsi="仿宋_GB2312" w:eastAsia="仿宋_GB2312"/>
          <w:b w:val="0"/>
          <w:sz w:val="32"/>
        </w:rPr>
        <w:t>、为民办实事项目。</w:t>
      </w:r>
    </w:p>
    <w:p w14:paraId="2CB81A7B">
      <w:pPr>
        <w:spacing w:line="640" w:lineRule="exact"/>
        <w:ind w:firstLine="640"/>
        <w:jc w:val="both"/>
        <w:outlineLvl w:val="3"/>
      </w:pPr>
      <w:r>
        <w:rPr>
          <w:rFonts w:ascii="楷体_GB2312" w:hAnsi="楷体_GB2312" w:eastAsia="楷体_GB2312"/>
          <w:b/>
          <w:sz w:val="32"/>
        </w:rPr>
        <w:t>（二）一般公共预算财政拨款支出决算结构情况</w:t>
      </w:r>
    </w:p>
    <w:p w14:paraId="39732F3D">
      <w:pPr>
        <w:spacing w:line="580" w:lineRule="exact"/>
        <w:ind w:firstLine="640"/>
        <w:jc w:val="both"/>
      </w:pPr>
      <w:r>
        <w:rPr>
          <w:rFonts w:ascii="仿宋_GB2312" w:hAnsi="仿宋_GB2312" w:eastAsia="仿宋_GB2312"/>
          <w:b w:val="0"/>
          <w:sz w:val="32"/>
        </w:rPr>
        <w:t>1.一般公共服务支出(类)543.01万元,占77.12%。</w:t>
      </w:r>
    </w:p>
    <w:p w14:paraId="7334DF7F">
      <w:pPr>
        <w:spacing w:line="580" w:lineRule="exact"/>
        <w:ind w:firstLine="640"/>
        <w:jc w:val="both"/>
      </w:pPr>
      <w:r>
        <w:rPr>
          <w:rFonts w:ascii="仿宋_GB2312" w:hAnsi="仿宋_GB2312" w:eastAsia="仿宋_GB2312"/>
          <w:b w:val="0"/>
          <w:sz w:val="32"/>
        </w:rPr>
        <w:t>2.社会保障和就业支出(类)99.82万元,占14.18%。</w:t>
      </w:r>
    </w:p>
    <w:p w14:paraId="7E01A7C0">
      <w:pPr>
        <w:spacing w:line="580" w:lineRule="exact"/>
        <w:ind w:firstLine="640"/>
        <w:jc w:val="both"/>
      </w:pPr>
      <w:r>
        <w:rPr>
          <w:rFonts w:ascii="仿宋_GB2312" w:hAnsi="仿宋_GB2312" w:eastAsia="仿宋_GB2312"/>
          <w:b w:val="0"/>
          <w:sz w:val="32"/>
        </w:rPr>
        <w:t>3.卫生健康支出(类)20.61万元,占2.93%。</w:t>
      </w:r>
    </w:p>
    <w:p w14:paraId="336D000C">
      <w:pPr>
        <w:spacing w:line="580" w:lineRule="exact"/>
        <w:ind w:firstLine="640"/>
        <w:jc w:val="both"/>
      </w:pPr>
      <w:r>
        <w:rPr>
          <w:rFonts w:ascii="仿宋_GB2312" w:hAnsi="仿宋_GB2312" w:eastAsia="仿宋_GB2312"/>
          <w:b w:val="0"/>
          <w:sz w:val="32"/>
        </w:rPr>
        <w:t>4.住房保障支出(类)27.03万元,占3.84%。</w:t>
      </w:r>
    </w:p>
    <w:p w14:paraId="7D1BF659">
      <w:pPr>
        <w:spacing w:line="580" w:lineRule="exact"/>
        <w:ind w:firstLine="640"/>
        <w:jc w:val="both"/>
      </w:pPr>
      <w:r>
        <w:rPr>
          <w:rFonts w:ascii="仿宋_GB2312" w:hAnsi="仿宋_GB2312" w:eastAsia="仿宋_GB2312"/>
          <w:b w:val="0"/>
          <w:sz w:val="32"/>
        </w:rPr>
        <w:t>5.其他支出(类)13.64万元,占1.94%。</w:t>
      </w:r>
    </w:p>
    <w:p w14:paraId="08AD49EF">
      <w:pPr>
        <w:spacing w:line="640" w:lineRule="exact"/>
        <w:ind w:firstLine="640"/>
        <w:jc w:val="both"/>
        <w:outlineLvl w:val="3"/>
      </w:pPr>
      <w:r>
        <w:rPr>
          <w:rFonts w:ascii="楷体_GB2312" w:hAnsi="楷体_GB2312" w:eastAsia="楷体_GB2312"/>
          <w:b/>
          <w:sz w:val="32"/>
        </w:rPr>
        <w:t>（三）一般公共预算财政拨款支出决算具体情况</w:t>
      </w:r>
    </w:p>
    <w:p w14:paraId="2714E49E">
      <w:pPr>
        <w:spacing w:line="580" w:lineRule="exact"/>
        <w:ind w:firstLine="640"/>
        <w:jc w:val="both"/>
      </w:pPr>
      <w:r>
        <w:rPr>
          <w:rFonts w:ascii="仿宋_GB2312" w:hAnsi="仿宋_GB2312" w:eastAsia="仿宋_GB2312"/>
          <w:b w:val="0"/>
          <w:sz w:val="32"/>
        </w:rPr>
        <w:t>1.一般公共服务支出(类)群众团体事务(款)行政运行(项):支出决算数为127.59万元，比上年决算减少53.35万元，下降29.48%,主要原因是：本年在职人员减少，相应人员经费较上年减少。</w:t>
      </w:r>
    </w:p>
    <w:p w14:paraId="3F2A71E4">
      <w:pPr>
        <w:spacing w:line="580" w:lineRule="exact"/>
        <w:ind w:firstLine="640"/>
        <w:jc w:val="both"/>
      </w:pPr>
      <w:r>
        <w:rPr>
          <w:rFonts w:ascii="仿宋_GB2312" w:hAnsi="仿宋_GB2312" w:eastAsia="仿宋_GB2312"/>
          <w:b w:val="0"/>
          <w:sz w:val="32"/>
        </w:rPr>
        <w:t>2.一般公共服务支出(类)群众团体事务(款)一般行政管理事务(项):支出决算数为138.60万元，比上年决算增加64.50万元，增长87.04%,主要原因是：本年增加劳模慰问金项目资金，庭州工匠育才行动项目。</w:t>
      </w:r>
    </w:p>
    <w:p w14:paraId="70325A32">
      <w:pPr>
        <w:spacing w:line="580" w:lineRule="exact"/>
        <w:ind w:firstLine="640"/>
        <w:jc w:val="both"/>
      </w:pPr>
      <w:r>
        <w:rPr>
          <w:rFonts w:ascii="仿宋_GB2312" w:hAnsi="仿宋_GB2312" w:eastAsia="仿宋_GB2312"/>
          <w:b w:val="0"/>
          <w:sz w:val="32"/>
        </w:rPr>
        <w:t>3.一般公共服务支出(类)群众团体事务(款)工会事务(项):支出决算数为183.50万元，比上年决算增加183.50万元，增长100.00%,主要原因是：本年增加昌吉工人文化宫建设项目，公务用车租赁费</w:t>
      </w:r>
      <w:r>
        <w:rPr>
          <w:rFonts w:hint="eastAsia" w:ascii="仿宋_GB2312" w:hAnsi="仿宋_GB2312" w:eastAsia="仿宋_GB2312"/>
          <w:b w:val="0"/>
          <w:sz w:val="32"/>
          <w:lang w:val="en-US" w:eastAsia="zh-CN"/>
        </w:rPr>
        <w:t>项目</w:t>
      </w:r>
      <w:r>
        <w:rPr>
          <w:rFonts w:ascii="仿宋_GB2312" w:hAnsi="仿宋_GB2312" w:eastAsia="仿宋_GB2312"/>
          <w:b w:val="0"/>
          <w:sz w:val="32"/>
        </w:rPr>
        <w:t>。</w:t>
      </w:r>
    </w:p>
    <w:p w14:paraId="7650FFEC">
      <w:pPr>
        <w:spacing w:line="580" w:lineRule="exact"/>
        <w:ind w:firstLine="640"/>
        <w:jc w:val="both"/>
      </w:pPr>
      <w:r>
        <w:rPr>
          <w:rFonts w:ascii="仿宋_GB2312" w:hAnsi="仿宋_GB2312" w:eastAsia="仿宋_GB2312"/>
          <w:b w:val="0"/>
          <w:sz w:val="32"/>
        </w:rPr>
        <w:t>4.一般公共服务支出(类)群众团体事务(款)事业运行(项):支出决算数为93.32万元，比上年决算增加7.62万元，增长8.89%,主要原因是：本年在职人员工资调增，导致相关人员经费较上年有所增加。</w:t>
      </w:r>
    </w:p>
    <w:p w14:paraId="7D587475">
      <w:pPr>
        <w:spacing w:line="580" w:lineRule="exact"/>
        <w:ind w:firstLine="640"/>
        <w:jc w:val="both"/>
      </w:pPr>
      <w:r>
        <w:rPr>
          <w:rFonts w:ascii="仿宋_GB2312" w:hAnsi="仿宋_GB2312" w:eastAsia="仿宋_GB2312"/>
          <w:b w:val="0"/>
          <w:sz w:val="32"/>
        </w:rPr>
        <w:t>5.社会保障和就业支出(类)行政事业单位养老支出(款)行政单位离退休(项):支出决算数为17.04万元，比上年决算增加6.16万元，增长56.62%,主要原因是：本年退休人员增加，发放退休人员基础绩效，退休费支出增加。</w:t>
      </w:r>
    </w:p>
    <w:p w14:paraId="33388AD8">
      <w:pPr>
        <w:spacing w:line="580" w:lineRule="exact"/>
        <w:ind w:firstLine="640"/>
        <w:jc w:val="both"/>
      </w:pPr>
      <w:r>
        <w:rPr>
          <w:rFonts w:ascii="仿宋_GB2312" w:hAnsi="仿宋_GB2312" w:eastAsia="仿宋_GB2312"/>
          <w:b w:val="0"/>
          <w:sz w:val="32"/>
        </w:rPr>
        <w:t>6.社会保障和就业支出(类)行政事业单位养老支出(款)机关事业单位基本养老保险缴费支出(项):支出决算数为34.68万元，比上年决算增加2.77万元，增长8.68%,主要原因是：本年在职人员工资基数调增，养老缴费基数上涨，相应支出增加。</w:t>
      </w:r>
    </w:p>
    <w:p w14:paraId="579BBB9F">
      <w:pPr>
        <w:spacing w:line="580" w:lineRule="exact"/>
        <w:ind w:firstLine="640"/>
        <w:jc w:val="both"/>
      </w:pPr>
      <w:r>
        <w:rPr>
          <w:rFonts w:ascii="仿宋_GB2312" w:hAnsi="仿宋_GB2312" w:eastAsia="仿宋_GB2312"/>
          <w:b w:val="0"/>
          <w:sz w:val="32"/>
        </w:rPr>
        <w:t>7.社会保障和就业支出(类)行政事业单位养老支出(款)机关事业单位职业年金缴费支出(项):支出决算数为48.11万元，比上年决算增加32.15万元，增长201.44%,主要原因是：本年新增退休人员，在职人员工资调增，职业年金缴费支出增加。</w:t>
      </w:r>
    </w:p>
    <w:p w14:paraId="000933C9">
      <w:pPr>
        <w:spacing w:line="580" w:lineRule="exact"/>
        <w:ind w:firstLine="640"/>
        <w:jc w:val="both"/>
      </w:pPr>
      <w:r>
        <w:rPr>
          <w:rFonts w:ascii="仿宋_GB2312" w:hAnsi="仿宋_GB2312" w:eastAsia="仿宋_GB2312"/>
          <w:b w:val="0"/>
          <w:sz w:val="32"/>
        </w:rPr>
        <w:t>8.卫生健康支出(类)行政事业单位医疗(款)行政单位医疗(项):支出决算数为10.87万元，比上年决算增加1.21万元，增长12.53%,主要原因是：本年在职人员工资基数调增，医疗缴费基数上涨，相应支出增加。</w:t>
      </w:r>
    </w:p>
    <w:p w14:paraId="114829C5">
      <w:pPr>
        <w:spacing w:line="580" w:lineRule="exact"/>
        <w:ind w:firstLine="640"/>
        <w:jc w:val="both"/>
      </w:pPr>
      <w:r>
        <w:rPr>
          <w:rFonts w:ascii="仿宋_GB2312" w:hAnsi="仿宋_GB2312" w:eastAsia="仿宋_GB2312"/>
          <w:b w:val="0"/>
          <w:sz w:val="32"/>
        </w:rPr>
        <w:t>9.卫生健康支出(类)行政事业单位医疗(款)事业单位医疗(项):支出决算数为8.41万元，比上年决算增加2.12万元，增长33.70%,主要原因是：本年在职人员工资基数调增，医疗缴费基数上涨，相应支出增加。</w:t>
      </w:r>
    </w:p>
    <w:p w14:paraId="0F1B7CD8">
      <w:pPr>
        <w:spacing w:line="580" w:lineRule="exact"/>
        <w:ind w:firstLine="640"/>
        <w:jc w:val="both"/>
      </w:pPr>
      <w:r>
        <w:rPr>
          <w:rFonts w:ascii="仿宋_GB2312" w:hAnsi="仿宋_GB2312" w:eastAsia="仿宋_GB2312"/>
          <w:b w:val="0"/>
          <w:sz w:val="32"/>
        </w:rPr>
        <w:t>10.卫生健康支出(类)行政事业单位医疗(款)公务员医疗补助(项):支出决算数为1.08万元，比上年决算增加0.08万元，增长8.00%,主要原因是：本年在职人员工资基数调增，医疗缴费基数上涨，相应支出增加。</w:t>
      </w:r>
    </w:p>
    <w:p w14:paraId="500241A3">
      <w:pPr>
        <w:spacing w:line="580" w:lineRule="exact"/>
        <w:ind w:firstLine="640"/>
        <w:jc w:val="both"/>
      </w:pPr>
      <w:r>
        <w:rPr>
          <w:rFonts w:ascii="仿宋_GB2312" w:hAnsi="仿宋_GB2312" w:eastAsia="仿宋_GB2312"/>
          <w:b w:val="0"/>
          <w:sz w:val="32"/>
        </w:rPr>
        <w:t>11.卫生健康支出(类)行政事业单位医疗(款)其他行政事业单位医疗支出(项):支出决算数为0.25万元，比上年决算减少0.02万元，下降7.41%,主要原因是：因退休人员医疗保险制度改革，退休人员基本医疗不再由单位缴纳，导致经费较上年减少。</w:t>
      </w:r>
    </w:p>
    <w:p w14:paraId="2231D544">
      <w:pPr>
        <w:spacing w:line="580" w:lineRule="exact"/>
        <w:ind w:firstLine="640"/>
        <w:jc w:val="both"/>
      </w:pPr>
      <w:r>
        <w:rPr>
          <w:rFonts w:ascii="仿宋_GB2312" w:hAnsi="仿宋_GB2312" w:eastAsia="仿宋_GB2312"/>
          <w:b w:val="0"/>
          <w:sz w:val="32"/>
        </w:rPr>
        <w:t>12.住房保障支出(类)住房改革支出(款)住房公积金(项):支出决算数为27.03万元，比上年决算增加1.92万元，增长7.65%,主要原因是：本年在职人员工资基数调增，公积金缴费基数上涨，相应支出增加。</w:t>
      </w:r>
    </w:p>
    <w:p w14:paraId="45CCAA60">
      <w:pPr>
        <w:spacing w:line="580" w:lineRule="exact"/>
        <w:ind w:firstLine="640"/>
        <w:jc w:val="both"/>
      </w:pPr>
      <w:r>
        <w:rPr>
          <w:rFonts w:ascii="仿宋_GB2312" w:hAnsi="仿宋_GB2312" w:eastAsia="仿宋_GB2312"/>
          <w:b w:val="0"/>
          <w:sz w:val="32"/>
        </w:rPr>
        <w:t>13.其他支出(类)其他支出(款)其他支出(项):支出决算数为13.64万元，比上年决算减少34.53万元，下降71.68%,主要原因是：本年减少工代会会议费、为民办实事经费。</w:t>
      </w:r>
    </w:p>
    <w:p w14:paraId="4258B928">
      <w:pPr>
        <w:spacing w:line="640" w:lineRule="exact"/>
        <w:ind w:firstLine="640"/>
        <w:jc w:val="both"/>
        <w:outlineLvl w:val="2"/>
      </w:pPr>
      <w:r>
        <w:rPr>
          <w:rFonts w:ascii="黑体" w:hAnsi="黑体" w:eastAsia="黑体"/>
          <w:sz w:val="32"/>
        </w:rPr>
        <w:t>六、一般公共预算财政拨款基本支出决算情况说明</w:t>
      </w:r>
    </w:p>
    <w:p w14:paraId="5C5F014C">
      <w:pPr>
        <w:spacing w:line="580" w:lineRule="exact"/>
        <w:ind w:firstLine="640"/>
        <w:jc w:val="both"/>
      </w:pPr>
      <w:r>
        <w:rPr>
          <w:rFonts w:ascii="仿宋_GB2312" w:hAnsi="仿宋_GB2312" w:eastAsia="仿宋_GB2312"/>
          <w:b w:val="0"/>
          <w:sz w:val="32"/>
        </w:rPr>
        <w:t>2024年度一般公共预算财政拨款基本支出372.01万元，其中：</w:t>
      </w:r>
      <w:r>
        <w:rPr>
          <w:rFonts w:ascii="仿宋_GB2312" w:hAnsi="仿宋_GB2312" w:eastAsia="仿宋_GB2312"/>
          <w:b/>
          <w:sz w:val="32"/>
        </w:rPr>
        <w:t>人员经费339.23万元，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生活补助、奖励金。</w:t>
      </w:r>
    </w:p>
    <w:p w14:paraId="3EA17144">
      <w:pPr>
        <w:spacing w:line="580" w:lineRule="exact"/>
        <w:ind w:firstLine="640"/>
        <w:jc w:val="both"/>
      </w:pPr>
      <w:r>
        <w:rPr>
          <w:rFonts w:ascii="仿宋_GB2312" w:hAnsi="仿宋_GB2312" w:eastAsia="仿宋_GB2312"/>
          <w:b/>
          <w:sz w:val="32"/>
        </w:rPr>
        <w:t>公用经费32.78万元，</w:t>
      </w:r>
      <w:r>
        <w:rPr>
          <w:rFonts w:ascii="仿宋_GB2312" w:hAnsi="仿宋_GB2312" w:eastAsia="仿宋_GB2312"/>
          <w:b w:val="0"/>
          <w:sz w:val="32"/>
        </w:rPr>
        <w:t>包括：办公费、印刷费、水费、电费、邮电费、取暖费、差旅费、公务接待费、工会经费、福利费、公务用车运行维护费、其他商品和服务支出。</w:t>
      </w:r>
    </w:p>
    <w:p w14:paraId="28874880">
      <w:pPr>
        <w:spacing w:line="640" w:lineRule="exact"/>
        <w:ind w:firstLine="640"/>
        <w:jc w:val="both"/>
        <w:outlineLvl w:val="2"/>
      </w:pPr>
      <w:r>
        <w:rPr>
          <w:rFonts w:ascii="黑体" w:hAnsi="黑体" w:eastAsia="黑体"/>
          <w:sz w:val="32"/>
        </w:rPr>
        <w:t>七、政府性基金预算财政拨款收入支出决算情况说明</w:t>
      </w:r>
    </w:p>
    <w:p w14:paraId="756F3B4E">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00F7310D">
      <w:pPr>
        <w:spacing w:line="640" w:lineRule="exact"/>
        <w:ind w:firstLine="640"/>
        <w:jc w:val="both"/>
        <w:outlineLvl w:val="2"/>
      </w:pPr>
      <w:r>
        <w:rPr>
          <w:rFonts w:ascii="黑体" w:hAnsi="黑体" w:eastAsia="黑体"/>
          <w:sz w:val="32"/>
        </w:rPr>
        <w:t>八、国有资本经营预算财政拨款收入支出决算情况说明</w:t>
      </w:r>
    </w:p>
    <w:p w14:paraId="44E4118D">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46AC1733">
      <w:pPr>
        <w:spacing w:line="640" w:lineRule="exact"/>
        <w:ind w:firstLine="640"/>
        <w:jc w:val="both"/>
        <w:outlineLvl w:val="2"/>
      </w:pPr>
      <w:r>
        <w:rPr>
          <w:rFonts w:ascii="黑体" w:hAnsi="黑体" w:eastAsia="黑体"/>
          <w:sz w:val="32"/>
        </w:rPr>
        <w:t>九、财政拨款“三公”经费支出决算情况说明</w:t>
      </w:r>
    </w:p>
    <w:p w14:paraId="6041E27D">
      <w:pPr>
        <w:spacing w:line="580" w:lineRule="exact"/>
        <w:ind w:firstLine="640"/>
        <w:jc w:val="both"/>
        <w:rPr>
          <w:spacing w:val="-6"/>
          <w:sz w:val="32"/>
        </w:rPr>
      </w:pPr>
      <w:r>
        <w:rPr>
          <w:rFonts w:ascii="仿宋_GB2312" w:hAnsi="仿宋_GB2312" w:eastAsia="仿宋_GB2312"/>
          <w:b/>
          <w:spacing w:val="-6"/>
          <w:sz w:val="32"/>
        </w:rPr>
        <w:t>2024年度财政拨款“三公”经费支出6.70万元，</w:t>
      </w:r>
      <w:r>
        <w:rPr>
          <w:rFonts w:ascii="仿宋_GB2312" w:hAnsi="仿宋_GB2312" w:eastAsia="仿宋_GB2312"/>
          <w:b w:val="0"/>
          <w:spacing w:val="-6"/>
          <w:sz w:val="32"/>
        </w:rPr>
        <w:t>比上年增加3.52万元，增长110.69%，主要原因是：本年因业务需求，用车次数增加，燃油费增加，导致公务用车运行维护费较上年增加。其中：因公出国（境）费支出0.00万元，占0.00%，比上年增加0.00万元，增长0.00%，主要原因是：2023年与2024年均未安排因公出国（境）费支出。公务用车购置及运行维护费支出6.50万元，占97.01%，比上年增加3.50万元，增长116.67%，主要原因是：本年因业务需求，用车次数增加，燃油费增加，导致公务用车运行维护费较上年增加。公务接待费支出0.20万元，占2.99%，比上年增加0.02万元，增长11.11%，主要原因是：本年因业务需求，增加公务接待工作，导致公务接待费较上年增加。</w:t>
      </w:r>
    </w:p>
    <w:p w14:paraId="69C0A28C">
      <w:pPr>
        <w:spacing w:line="580" w:lineRule="exact"/>
        <w:ind w:firstLine="640"/>
        <w:jc w:val="both"/>
      </w:pPr>
      <w:r>
        <w:rPr>
          <w:rFonts w:ascii="仿宋_GB2312" w:hAnsi="仿宋_GB2312" w:eastAsia="仿宋_GB2312"/>
          <w:b/>
          <w:sz w:val="32"/>
        </w:rPr>
        <w:t>具体情况如下：</w:t>
      </w:r>
    </w:p>
    <w:p w14:paraId="2CA14B78">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130F857C">
      <w:pPr>
        <w:spacing w:line="580" w:lineRule="exact"/>
        <w:ind w:firstLine="640"/>
        <w:jc w:val="both"/>
      </w:pPr>
      <w:r>
        <w:rPr>
          <w:rFonts w:ascii="仿宋_GB2312" w:hAnsi="仿宋_GB2312" w:eastAsia="仿宋_GB2312"/>
          <w:b w:val="0"/>
          <w:sz w:val="32"/>
        </w:rPr>
        <w:t>公务用车购置及运行维护费6.50万元，其中：公务用车购置费0.00万元，公务用车运行维护费6.50万元。公务用车运行维护费开支内容包括车辆燃油费、保险费、维修维护费、过路费。公务用车购置数0辆，公务用车保有量1辆。国有资产占用情况中固定资产车辆0辆，与公务用车保有量差异原因是：借用其他单位车辆，车辆费用由本单位支付。</w:t>
      </w:r>
    </w:p>
    <w:p w14:paraId="56236FD2">
      <w:pPr>
        <w:spacing w:line="580" w:lineRule="exact"/>
        <w:ind w:firstLine="640"/>
        <w:jc w:val="both"/>
      </w:pPr>
      <w:r>
        <w:rPr>
          <w:rFonts w:ascii="仿宋_GB2312" w:hAnsi="仿宋_GB2312" w:eastAsia="仿宋_GB2312"/>
          <w:b w:val="0"/>
          <w:sz w:val="32"/>
        </w:rPr>
        <w:t>公务接待费0.20万元，开支内容包括接待全总省部级领导产生的就餐费。单位全年安排的国内公务接待3批次，40人次。</w:t>
      </w:r>
    </w:p>
    <w:p w14:paraId="2DF7889A">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6.70万元，决算数6.70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6.50万元，决算数6.50万元，预决算差异率0.00%，主要原因是：严格按照预算执行，预决算无差异。公务接待费全年预算数0.20万元，决算数0.20万元，预决算差异率0.00%，主要原因是：严格按照预算执行，预决算无差异。</w:t>
      </w:r>
    </w:p>
    <w:p w14:paraId="3FD6610C">
      <w:pPr>
        <w:spacing w:line="640" w:lineRule="exact"/>
        <w:ind w:firstLine="640"/>
        <w:jc w:val="both"/>
        <w:outlineLvl w:val="2"/>
      </w:pPr>
      <w:r>
        <w:rPr>
          <w:rFonts w:ascii="黑体" w:hAnsi="黑体" w:eastAsia="黑体"/>
          <w:sz w:val="32"/>
        </w:rPr>
        <w:t>十、其他重要事项的情况说明</w:t>
      </w:r>
    </w:p>
    <w:p w14:paraId="1544A098">
      <w:pPr>
        <w:spacing w:line="640" w:lineRule="exact"/>
        <w:ind w:firstLine="640"/>
        <w:jc w:val="both"/>
        <w:outlineLvl w:val="3"/>
      </w:pPr>
      <w:r>
        <w:rPr>
          <w:rFonts w:ascii="楷体_GB2312" w:hAnsi="楷体_GB2312" w:eastAsia="楷体_GB2312"/>
          <w:b/>
          <w:sz w:val="32"/>
        </w:rPr>
        <w:t>（一）机关运行经费及公用经费支出情况</w:t>
      </w:r>
    </w:p>
    <w:p w14:paraId="24F780DC">
      <w:pPr>
        <w:spacing w:line="580" w:lineRule="exact"/>
        <w:ind w:firstLine="640"/>
        <w:jc w:val="both"/>
      </w:pPr>
      <w:r>
        <w:rPr>
          <w:rFonts w:ascii="仿宋_GB2312" w:hAnsi="仿宋_GB2312" w:eastAsia="仿宋_GB2312"/>
          <w:b w:val="0"/>
          <w:sz w:val="32"/>
        </w:rPr>
        <w:t>2024年度昌吉回族自治州总工会（行政单位和参照公务员法管理事业单位）机关运行经费支出32.78万元，比上年减少3.53万元，下降9.72%，主要原因是：本年在职人员减少，导致公用经费减少。</w:t>
      </w:r>
    </w:p>
    <w:p w14:paraId="0A039B4E">
      <w:pPr>
        <w:spacing w:line="640" w:lineRule="exact"/>
        <w:ind w:firstLine="640"/>
        <w:jc w:val="both"/>
        <w:outlineLvl w:val="3"/>
      </w:pPr>
      <w:r>
        <w:rPr>
          <w:rFonts w:ascii="楷体_GB2312" w:hAnsi="楷体_GB2312" w:eastAsia="楷体_GB2312"/>
          <w:b/>
          <w:sz w:val="32"/>
        </w:rPr>
        <w:t>（二）政府采购情况</w:t>
      </w:r>
    </w:p>
    <w:p w14:paraId="526F01B7">
      <w:pPr>
        <w:spacing w:line="580" w:lineRule="exact"/>
        <w:ind w:firstLine="640"/>
        <w:jc w:val="both"/>
      </w:pPr>
      <w:r>
        <w:rPr>
          <w:rFonts w:ascii="仿宋_GB2312" w:hAnsi="仿宋_GB2312" w:eastAsia="仿宋_GB2312"/>
          <w:b w:val="0"/>
          <w:sz w:val="32"/>
        </w:rPr>
        <w:t>2024年度政府采购支出总额190.91万元，其中：政府采购货物支出3.41万元、政府采购工程支出0.00万元、政府采购服务支出187.50万元。</w:t>
      </w:r>
    </w:p>
    <w:p w14:paraId="51B1DA9C">
      <w:pPr>
        <w:spacing w:line="580" w:lineRule="exact"/>
        <w:ind w:firstLine="640"/>
        <w:jc w:val="both"/>
      </w:pPr>
      <w:r>
        <w:rPr>
          <w:rFonts w:ascii="仿宋_GB2312" w:hAnsi="仿宋_GB2312" w:eastAsia="仿宋_GB2312"/>
          <w:b w:val="0"/>
          <w:sz w:val="32"/>
        </w:rPr>
        <w:t>授予中小企业合同金额190.91万元，占政府采购支出总额的100.00%，其中：授予小微企业合同金额0.60万元，占政府采购支出总额的0.31%。</w:t>
      </w:r>
    </w:p>
    <w:p w14:paraId="4A65D206">
      <w:pPr>
        <w:spacing w:line="640" w:lineRule="exact"/>
        <w:ind w:firstLine="640"/>
        <w:jc w:val="both"/>
        <w:outlineLvl w:val="3"/>
      </w:pPr>
      <w:r>
        <w:rPr>
          <w:rFonts w:ascii="楷体_GB2312" w:hAnsi="楷体_GB2312" w:eastAsia="楷体_GB2312"/>
          <w:b/>
          <w:sz w:val="32"/>
        </w:rPr>
        <w:t>（三）国有资产占用情况说明</w:t>
      </w:r>
    </w:p>
    <w:p w14:paraId="48DD50E9">
      <w:pPr>
        <w:spacing w:line="580" w:lineRule="exact"/>
        <w:ind w:firstLine="640"/>
        <w:jc w:val="both"/>
      </w:pPr>
      <w:r>
        <w:rPr>
          <w:rFonts w:ascii="仿宋_GB2312" w:hAnsi="仿宋_GB2312" w:eastAsia="仿宋_GB2312"/>
          <w:b w:val="0"/>
          <w:sz w:val="32"/>
        </w:rPr>
        <w:t>截至2024年12月31日，房屋0.00平方米，价值0.00万元。车辆0辆，价值0.00万元，其中：副部（省）级及以上领导用车0辆、主要负责人用车0辆、机要通信用车0辆、应急保障用车0辆、执法执勤用车0辆、特种专业技术用车0辆、离退休干部服务用车0辆、其他用车0辆，其他用车主要是：本单位无其他用车。单价100万元（含）以上设备（不含车辆）0台（套）。</w:t>
      </w:r>
    </w:p>
    <w:p w14:paraId="3D5A884E">
      <w:pPr>
        <w:spacing w:line="640" w:lineRule="exact"/>
        <w:ind w:firstLine="640"/>
        <w:jc w:val="both"/>
        <w:outlineLvl w:val="2"/>
      </w:pPr>
      <w:r>
        <w:rPr>
          <w:rFonts w:ascii="黑体" w:hAnsi="黑体" w:eastAsia="黑体"/>
          <w:sz w:val="32"/>
        </w:rPr>
        <w:t>十一、预算绩效的情况说明</w:t>
      </w:r>
    </w:p>
    <w:p w14:paraId="759248B6">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704.11万元，实际执行总额704.11万元；预算绩效评价项目4个，全年预算数322.10万元，全年执行数322.10万元。预算绩效管理取得的成效：一是本单位以绩效目标实现为导向，加强制度建设，提升预算执行质量，预算绩效管理取得一定成效。预算绩效管理</w:t>
      </w:r>
      <w:r>
        <w:rPr>
          <w:rFonts w:hint="eastAsia" w:ascii="仿宋_GB2312" w:hAnsi="仿宋_GB2312" w:eastAsia="仿宋_GB2312"/>
          <w:b w:val="0"/>
          <w:sz w:val="32"/>
          <w:lang w:eastAsia="zh-CN"/>
        </w:rPr>
        <w:t>取得</w:t>
      </w:r>
      <w:r>
        <w:rPr>
          <w:rFonts w:ascii="仿宋_GB2312" w:hAnsi="仿宋_GB2312" w:eastAsia="仿宋_GB2312"/>
          <w:b w:val="0"/>
          <w:sz w:val="32"/>
        </w:rPr>
        <w:t>成效，科学制定目标，促进绩效目标顺利实现。二是自落实预算绩效管理工作以来，本单位在项目资金的使用上都有了更明确、更清晰</w:t>
      </w:r>
      <w:r>
        <w:rPr>
          <w:rFonts w:hint="eastAsia" w:ascii="仿宋_GB2312" w:hAnsi="仿宋_GB2312" w:eastAsia="仿宋_GB2312"/>
          <w:b w:val="0"/>
          <w:sz w:val="32"/>
          <w:lang w:eastAsia="zh-CN"/>
        </w:rPr>
        <w:t>地</w:t>
      </w:r>
      <w:r>
        <w:rPr>
          <w:rFonts w:ascii="仿宋_GB2312" w:hAnsi="仿宋_GB2312" w:eastAsia="仿宋_GB2312"/>
          <w:b w:val="0"/>
          <w:sz w:val="32"/>
        </w:rPr>
        <w:t>理解和认识。通过实施预算绩效管理，树立了绩效优先的管理理念，也很好</w:t>
      </w:r>
      <w:r>
        <w:rPr>
          <w:rFonts w:hint="eastAsia" w:ascii="仿宋_GB2312" w:hAnsi="仿宋_GB2312" w:eastAsia="仿宋_GB2312"/>
          <w:b w:val="0"/>
          <w:sz w:val="32"/>
          <w:lang w:eastAsia="zh-CN"/>
        </w:rPr>
        <w:t>地</w:t>
      </w:r>
      <w:r>
        <w:rPr>
          <w:rFonts w:ascii="仿宋_GB2312" w:hAnsi="仿宋_GB2312" w:eastAsia="仿宋_GB2312"/>
          <w:b w:val="0"/>
          <w:sz w:val="32"/>
        </w:rPr>
        <w:t>避免了在经费使用上出现违规行为的</w:t>
      </w:r>
      <w:r>
        <w:rPr>
          <w:rFonts w:hint="eastAsia" w:ascii="仿宋_GB2312" w:hAnsi="仿宋_GB2312" w:eastAsia="仿宋_GB2312"/>
          <w:b w:val="0"/>
          <w:sz w:val="32"/>
          <w:lang w:eastAsia="zh-CN"/>
        </w:rPr>
        <w:t>概率</w:t>
      </w:r>
      <w:r>
        <w:rPr>
          <w:rFonts w:ascii="仿宋_GB2312" w:hAnsi="仿宋_GB2312" w:eastAsia="仿宋_GB2312"/>
          <w:b w:val="0"/>
          <w:sz w:val="32"/>
        </w:rPr>
        <w:t>，提升了部门管理水平和资金使用效益，为全面实施绩效管理打下了坚实的基础。发现的问题及原因：一是相关工作人员经验不足，绩效管理意识不</w:t>
      </w:r>
      <w:r>
        <w:rPr>
          <w:rFonts w:hint="eastAsia" w:ascii="仿宋_GB2312" w:hAnsi="仿宋_GB2312" w:eastAsia="仿宋_GB2312"/>
          <w:b w:val="0"/>
          <w:sz w:val="32"/>
          <w:lang w:eastAsia="zh-CN"/>
        </w:rPr>
        <w:t>强</w:t>
      </w:r>
      <w:r>
        <w:rPr>
          <w:rFonts w:ascii="仿宋_GB2312" w:hAnsi="仿宋_GB2312" w:eastAsia="仿宋_GB2312"/>
          <w:b w:val="0"/>
          <w:sz w:val="32"/>
        </w:rPr>
        <w:t>，</w:t>
      </w:r>
      <w:r>
        <w:rPr>
          <w:rFonts w:hint="eastAsia" w:ascii="仿宋_GB2312" w:hAnsi="仿宋_GB2312" w:eastAsia="仿宋_GB2312"/>
          <w:b w:val="0"/>
          <w:sz w:val="32"/>
          <w:lang w:eastAsia="zh-CN"/>
        </w:rPr>
        <w:t>对</w:t>
      </w:r>
      <w:r>
        <w:rPr>
          <w:rFonts w:ascii="仿宋_GB2312" w:hAnsi="仿宋_GB2312" w:eastAsia="仿宋_GB2312"/>
          <w:b w:val="0"/>
          <w:sz w:val="32"/>
        </w:rPr>
        <w:t>档案管理还不够完善。加强了责任到人的管理意识，使项目实施的每一个环节都有人分管负责，从而对项目的推进进行了很好的监督，建议今后能在资金拨付后，分阶梯按时完成重点任务，依法、有序、规范的组织开展项目推进工作，从而达到按时完成项目目标的目的。健全财政绩效评价指标体系，加强工作人员的业务培训和财政绩效管理信息化建设，加大绩效评价结果的运用。二是年初虽然制定细化了指标，但是在实际实施过程中，有些指标未能严格按照目标完成，在下年度的实施中需注意指标完成进度。下一步改进措施：1.高度重视财政预决算工作，加强预算的约束力。2.加大绩效工作宣传力度，强化绩效理念，强化业务人员整体素质。3.加强对绩效的管理培训工作，设置目标时考虑目标的可实现，尽量做到目标的细化量化、明确清晰。4.完善绩效指标，提高整体绩效目标质量。提升预算精细化管理水平。具体附整体支出绩效自评表，项目支出绩效自评表和评价报告。</w:t>
      </w:r>
    </w:p>
    <w:p w14:paraId="4327B638">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7CDD64C4">
        <w:tblPrEx>
          <w:tblCellMar>
            <w:top w:w="0" w:type="dxa"/>
            <w:left w:w="108" w:type="dxa"/>
            <w:bottom w:w="0" w:type="dxa"/>
            <w:right w:w="108" w:type="dxa"/>
          </w:tblCellMar>
        </w:tblPrEx>
        <w:tc>
          <w:tcPr>
            <w:tcW w:w="8847" w:type="dxa"/>
            <w:gridSpan w:val="9"/>
            <w:vAlign w:val="center"/>
          </w:tcPr>
          <w:p w14:paraId="09C8FD7F">
            <w:pPr>
              <w:jc w:val="center"/>
            </w:pPr>
            <w:r>
              <w:rPr>
                <w:rFonts w:ascii="宋体" w:hAnsi="宋体" w:eastAsia="宋体"/>
                <w:sz w:val="24"/>
              </w:rPr>
              <w:t>单位整体支出绩效自评表</w:t>
            </w:r>
          </w:p>
        </w:tc>
      </w:tr>
      <w:tr w14:paraId="2974E8CF">
        <w:tblPrEx>
          <w:tblCellMar>
            <w:top w:w="0" w:type="dxa"/>
            <w:left w:w="108" w:type="dxa"/>
            <w:bottom w:w="0" w:type="dxa"/>
            <w:right w:w="108" w:type="dxa"/>
          </w:tblCellMar>
        </w:tblPrEx>
        <w:tc>
          <w:tcPr>
            <w:tcW w:w="8847" w:type="dxa"/>
            <w:gridSpan w:val="9"/>
            <w:vAlign w:val="center"/>
          </w:tcPr>
          <w:p w14:paraId="1BC35484">
            <w:pPr>
              <w:jc w:val="center"/>
            </w:pPr>
            <w:r>
              <w:rPr>
                <w:rFonts w:ascii="宋体" w:hAnsi="宋体" w:eastAsia="宋体"/>
                <w:sz w:val="24"/>
              </w:rPr>
              <w:t>（2024年度）</w:t>
            </w:r>
          </w:p>
        </w:tc>
      </w:tr>
      <w:tr w14:paraId="474BA4B6">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FD8D6E">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64D19EC0">
            <w:pPr>
              <w:jc w:val="center"/>
            </w:pPr>
            <w:r>
              <w:rPr>
                <w:rFonts w:ascii="宋体" w:hAnsi="宋体" w:eastAsia="宋体"/>
                <w:sz w:val="16"/>
              </w:rPr>
              <w:t>昌吉回族自治州总工会</w:t>
            </w:r>
          </w:p>
        </w:tc>
      </w:tr>
      <w:tr w14:paraId="3E5D562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2DE7A1">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9EE7E6">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A88104">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374B3D">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9010F2">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2AD8F9">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363E84">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B3E6DF">
            <w:pPr>
              <w:jc w:val="center"/>
            </w:pPr>
            <w:r>
              <w:rPr>
                <w:rFonts w:ascii="宋体" w:hAnsi="宋体" w:eastAsia="宋体"/>
                <w:sz w:val="16"/>
              </w:rPr>
              <w:t>得分</w:t>
            </w:r>
          </w:p>
        </w:tc>
      </w:tr>
      <w:tr w14:paraId="3AED196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242C8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6BC483">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25791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AE06E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E1CE8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DA98D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72E3F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6F4EC9">
            <w:pPr>
              <w:jc w:val="center"/>
            </w:pPr>
            <w:r>
              <w:rPr>
                <w:rFonts w:ascii="宋体" w:hAnsi="宋体" w:eastAsia="宋体"/>
                <w:sz w:val="16"/>
              </w:rPr>
              <w:t>-</w:t>
            </w:r>
          </w:p>
        </w:tc>
      </w:tr>
      <w:tr w14:paraId="2DFFB03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98D3D7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9EF13E">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2EEC5B">
            <w:pPr>
              <w:jc w:val="center"/>
            </w:pPr>
            <w:r>
              <w:rPr>
                <w:rFonts w:ascii="宋体" w:hAnsi="宋体" w:eastAsia="宋体"/>
                <w:sz w:val="16"/>
              </w:rPr>
              <w:t>610.12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BDF887">
            <w:pPr>
              <w:jc w:val="center"/>
            </w:pPr>
            <w:r>
              <w:rPr>
                <w:rFonts w:ascii="宋体" w:hAnsi="宋体" w:eastAsia="宋体"/>
                <w:sz w:val="16"/>
              </w:rPr>
              <w:t>704.11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02DA0B">
            <w:pPr>
              <w:jc w:val="center"/>
            </w:pPr>
            <w:r>
              <w:rPr>
                <w:rFonts w:ascii="宋体" w:hAnsi="宋体" w:eastAsia="宋体"/>
                <w:sz w:val="16"/>
              </w:rPr>
              <w:t>704.11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52DFB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1C544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89B1A1">
            <w:pPr>
              <w:jc w:val="center"/>
            </w:pPr>
            <w:r>
              <w:rPr>
                <w:rFonts w:ascii="宋体" w:hAnsi="宋体" w:eastAsia="宋体"/>
                <w:sz w:val="16"/>
              </w:rPr>
              <w:t>-</w:t>
            </w:r>
          </w:p>
        </w:tc>
      </w:tr>
      <w:tr w14:paraId="7B856C0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A3B113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3EE10E">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A9F911">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F1A0DA">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663B5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33D90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E80C9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581EBA">
            <w:pPr>
              <w:jc w:val="center"/>
            </w:pPr>
            <w:r>
              <w:rPr>
                <w:rFonts w:ascii="宋体" w:hAnsi="宋体" w:eastAsia="宋体"/>
                <w:sz w:val="16"/>
              </w:rPr>
              <w:t>-</w:t>
            </w:r>
          </w:p>
        </w:tc>
      </w:tr>
      <w:tr w14:paraId="67A1FD3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A55AEF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67554C">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C0813E">
            <w:pPr>
              <w:jc w:val="center"/>
            </w:pPr>
            <w:r>
              <w:rPr>
                <w:rFonts w:ascii="宋体" w:hAnsi="宋体" w:eastAsia="宋体"/>
                <w:sz w:val="16"/>
              </w:rPr>
              <w:t>610.12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0BD9AB">
            <w:pPr>
              <w:jc w:val="center"/>
            </w:pPr>
            <w:r>
              <w:rPr>
                <w:rFonts w:ascii="宋体" w:hAnsi="宋体" w:eastAsia="宋体"/>
                <w:sz w:val="16"/>
              </w:rPr>
              <w:t>704.11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EA410A">
            <w:pPr>
              <w:jc w:val="center"/>
            </w:pPr>
            <w:r>
              <w:rPr>
                <w:rFonts w:ascii="宋体" w:hAnsi="宋体" w:eastAsia="宋体"/>
                <w:sz w:val="16"/>
              </w:rPr>
              <w:t>704.11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75CD4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9E5303">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5DA02C">
            <w:pPr>
              <w:jc w:val="center"/>
            </w:pPr>
            <w:r>
              <w:rPr>
                <w:rFonts w:ascii="宋体" w:hAnsi="宋体" w:eastAsia="宋体"/>
                <w:sz w:val="16"/>
              </w:rPr>
              <w:t>10</w:t>
            </w:r>
          </w:p>
        </w:tc>
      </w:tr>
      <w:tr w14:paraId="41B2EE2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25A926">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4B9F0E4">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AFD998D">
            <w:pPr>
              <w:jc w:val="center"/>
            </w:pPr>
            <w:r>
              <w:rPr>
                <w:rFonts w:ascii="宋体" w:hAnsi="宋体" w:eastAsia="宋体"/>
                <w:sz w:val="16"/>
              </w:rPr>
              <w:t>实际完成情况</w:t>
            </w:r>
          </w:p>
        </w:tc>
      </w:tr>
      <w:tr w14:paraId="2957854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7447B5A"/>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13A88D8">
            <w:pPr>
              <w:jc w:val="both"/>
            </w:pPr>
            <w:r>
              <w:rPr>
                <w:rFonts w:ascii="宋体" w:hAnsi="宋体" w:eastAsia="宋体"/>
                <w:sz w:val="16"/>
              </w:rPr>
              <w:t>昌吉州总工会工会主要承担着参与、维护、建设、教育四大职能，其中维护职工合法权益是基本职能， 以习近平新时代中国特色社会主义思想为指导，深入</w:t>
            </w:r>
            <w:r>
              <w:rPr>
                <w:rFonts w:hint="eastAsia" w:ascii="宋体" w:hAnsi="宋体"/>
                <w:sz w:val="16"/>
                <w:lang w:eastAsia="zh-CN"/>
              </w:rPr>
              <w:t>学习贯彻党的二十大精神</w:t>
            </w:r>
            <w:r>
              <w:rPr>
                <w:rFonts w:ascii="宋体" w:hAnsi="宋体" w:eastAsia="宋体"/>
                <w:sz w:val="16"/>
              </w:rPr>
              <w:t>，贯彻落实习近平总书记关于工人阶级和工会工作的重要论述。精准“四季”帮扶，建立健全州、县市、乡镇街道工会三级服务体系，心系职工冷暖，进一步加大春送岗位、夏送清凉、金秋助学、冬送温暖活动，深化普惠服务，结合普法宣传、农民工服务、劳模（工匠）精神，提升广大职工创新创造活力，着力开展“我为群众办实事”实践活动。2023年整体支出绩效目标1：树立新发展理念，强化服务职工的使命担当，不断加大服务职工力度，推动实现职工体面劳动、舒心工作、全面发展。目标2：维护职工合法权益。</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7197C50">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全年预算数为704.11万元，全年执行数为704.11万元，总预算执行率为100.00%。2024年</w:t>
            </w:r>
            <w:r>
              <w:rPr>
                <w:rFonts w:hint="eastAsia" w:ascii="宋体" w:hAnsi="宋体"/>
                <w:sz w:val="16"/>
                <w:lang w:eastAsia="zh-CN"/>
              </w:rPr>
              <w:t>本单位</w:t>
            </w:r>
            <w:r>
              <w:rPr>
                <w:rFonts w:ascii="宋体" w:hAnsi="宋体" w:eastAsia="宋体"/>
                <w:sz w:val="16"/>
              </w:rPr>
              <w:t>完成</w:t>
            </w:r>
            <w:r>
              <w:rPr>
                <w:rFonts w:hint="eastAsia" w:ascii="宋体" w:hAnsi="宋体"/>
                <w:sz w:val="16"/>
                <w:lang w:eastAsia="zh-CN"/>
              </w:rPr>
              <w:t>以下</w:t>
            </w:r>
            <w:r>
              <w:rPr>
                <w:rFonts w:ascii="宋体" w:hAnsi="宋体" w:eastAsia="宋体"/>
                <w:sz w:val="16"/>
              </w:rPr>
              <w:t>工作内容：1.培育昌吉州工人队伍建设改革最佳实践单位15家，2、慰问州级劳模756人，覆盖率达到100%，3、开展送温暖、送清凉活动5次，4、慰问困难职工100人次。通过以上工作的实施，大力弘扬劳模精神、劳动精神、工匠精神，引导产业工人勤于钻研技术、</w:t>
            </w:r>
            <w:bookmarkStart w:id="0" w:name="_GoBack"/>
            <w:r>
              <w:rPr>
                <w:rFonts w:hint="eastAsia" w:ascii="宋体" w:hAnsi="宋体"/>
                <w:sz w:val="16"/>
                <w:lang w:eastAsia="zh-CN"/>
              </w:rPr>
              <w:t>炼就</w:t>
            </w:r>
            <w:bookmarkEnd w:id="0"/>
            <w:r>
              <w:rPr>
                <w:rFonts w:ascii="宋体" w:hAnsi="宋体" w:eastAsia="宋体"/>
                <w:sz w:val="16"/>
              </w:rPr>
              <w:t>过硬本领，努力打造知识型、技能型、创新型劳动者大军。做实劳模评选服务，在全社会营造尊重劳动、尊重劳动者的良好氛围；维护职工合法权益，精准“四季”帮扶，深化普惠服务，持续推进工会改革，扎实做好互联网+工会工作，规范“职工之家”阵地建设，开展职工书屋建设。</w:t>
            </w:r>
          </w:p>
        </w:tc>
      </w:tr>
      <w:tr w14:paraId="7CEBC48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D1990A">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E73201">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B6B49A">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58E221">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F73D99">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12BAC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60B9E0">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984C33">
            <w:pPr>
              <w:jc w:val="center"/>
            </w:pPr>
            <w:r>
              <w:rPr>
                <w:rFonts w:ascii="宋体" w:hAnsi="宋体" w:eastAsia="宋体"/>
                <w:sz w:val="16"/>
              </w:rPr>
              <w:t>得分</w:t>
            </w:r>
          </w:p>
        </w:tc>
      </w:tr>
      <w:tr w14:paraId="224BED02">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7DCCEE">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D865ED">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461FE9">
            <w:pPr>
              <w:jc w:val="center"/>
            </w:pPr>
            <w:r>
              <w:rPr>
                <w:rFonts w:ascii="宋体" w:hAnsi="宋体" w:eastAsia="宋体"/>
                <w:sz w:val="16"/>
              </w:rPr>
              <w:t>培育昌吉州工人队伍建设改革最佳实践单位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37015C">
            <w:pPr>
              <w:jc w:val="center"/>
            </w:pPr>
            <w:r>
              <w:rPr>
                <w:rFonts w:ascii="宋体" w:hAnsi="宋体" w:eastAsia="宋体"/>
                <w:sz w:val="16"/>
              </w:rPr>
              <w:t>=10家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6BD03A">
            <w:pPr>
              <w:jc w:val="center"/>
            </w:pPr>
            <w:r>
              <w:rPr>
                <w:rFonts w:ascii="宋体" w:hAnsi="宋体" w:eastAsia="宋体"/>
                <w:sz w:val="16"/>
              </w:rPr>
              <w:t>2024年州总工会第一季度绩效指标表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7D171A">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D4DC9D">
            <w:pPr>
              <w:jc w:val="center"/>
            </w:pPr>
            <w:r>
              <w:rPr>
                <w:rFonts w:ascii="宋体" w:hAnsi="宋体" w:eastAsia="宋体"/>
                <w:sz w:val="16"/>
              </w:rPr>
              <w:t>=15家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CCAABD">
            <w:pPr>
              <w:jc w:val="center"/>
            </w:pPr>
            <w:r>
              <w:rPr>
                <w:rFonts w:ascii="宋体" w:hAnsi="宋体" w:eastAsia="宋体"/>
                <w:sz w:val="16"/>
              </w:rPr>
              <w:t>20</w:t>
            </w:r>
          </w:p>
        </w:tc>
      </w:tr>
      <w:tr w14:paraId="151FC27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206491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9A1FC2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662143">
            <w:pPr>
              <w:jc w:val="center"/>
            </w:pPr>
            <w:r>
              <w:rPr>
                <w:rFonts w:ascii="宋体" w:hAnsi="宋体" w:eastAsia="宋体"/>
                <w:sz w:val="16"/>
              </w:rPr>
              <w:t>劳模慰问人数（人)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32B068">
            <w:pPr>
              <w:jc w:val="center"/>
            </w:pPr>
            <w:r>
              <w:rPr>
                <w:rFonts w:ascii="宋体" w:hAnsi="宋体" w:eastAsia="宋体"/>
                <w:sz w:val="16"/>
              </w:rPr>
              <w:t>=756人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567D86">
            <w:pPr>
              <w:jc w:val="center"/>
            </w:pPr>
            <w:r>
              <w:rPr>
                <w:rFonts w:ascii="宋体" w:hAnsi="宋体" w:eastAsia="宋体"/>
                <w:sz w:val="16"/>
              </w:rPr>
              <w:t>州总工会2024年工作要点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00BA5B">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D7B15F">
            <w:pPr>
              <w:jc w:val="center"/>
            </w:pPr>
            <w:r>
              <w:rPr>
                <w:rFonts w:ascii="宋体" w:hAnsi="宋体" w:eastAsia="宋体"/>
                <w:sz w:val="16"/>
              </w:rPr>
              <w:t>=756人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ED3D13">
            <w:pPr>
              <w:jc w:val="center"/>
            </w:pPr>
            <w:r>
              <w:rPr>
                <w:rFonts w:ascii="宋体" w:hAnsi="宋体" w:eastAsia="宋体"/>
                <w:sz w:val="16"/>
              </w:rPr>
              <w:t>20</w:t>
            </w:r>
          </w:p>
        </w:tc>
      </w:tr>
      <w:tr w14:paraId="3095307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268F37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16B5D8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9DFCA8">
            <w:pPr>
              <w:jc w:val="center"/>
            </w:pPr>
            <w:r>
              <w:rPr>
                <w:rFonts w:ascii="宋体" w:hAnsi="宋体" w:eastAsia="宋体"/>
                <w:sz w:val="16"/>
              </w:rPr>
              <w:t>送温暖活动、送清凉活动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693D1E">
            <w:pPr>
              <w:jc w:val="center"/>
            </w:pPr>
            <w:r>
              <w:rPr>
                <w:rFonts w:ascii="宋体" w:hAnsi="宋体" w:eastAsia="宋体"/>
                <w:sz w:val="16"/>
              </w:rPr>
              <w:t>&gt;=5次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6C8D2E">
            <w:pPr>
              <w:jc w:val="center"/>
            </w:pPr>
            <w:r>
              <w:rPr>
                <w:rFonts w:ascii="宋体" w:hAnsi="宋体" w:eastAsia="宋体"/>
                <w:sz w:val="16"/>
              </w:rPr>
              <w:t>州总工会2024年工作要点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FEC5D3">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24117C">
            <w:pPr>
              <w:jc w:val="center"/>
            </w:pPr>
            <w:r>
              <w:rPr>
                <w:rFonts w:ascii="宋体" w:hAnsi="宋体" w:eastAsia="宋体"/>
                <w:sz w:val="16"/>
              </w:rPr>
              <w: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5BE5C5">
            <w:pPr>
              <w:jc w:val="center"/>
            </w:pPr>
            <w:r>
              <w:rPr>
                <w:rFonts w:ascii="宋体" w:hAnsi="宋体" w:eastAsia="宋体"/>
                <w:sz w:val="16"/>
              </w:rPr>
              <w:t>15</w:t>
            </w:r>
          </w:p>
        </w:tc>
      </w:tr>
      <w:tr w14:paraId="5427761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164362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6C2A58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5F5FC">
            <w:pPr>
              <w:jc w:val="center"/>
            </w:pPr>
            <w:r>
              <w:rPr>
                <w:rFonts w:ascii="宋体" w:hAnsi="宋体" w:eastAsia="宋体"/>
                <w:sz w:val="16"/>
              </w:rPr>
              <w:t>慰问困难职工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DE9DA7">
            <w:pPr>
              <w:jc w:val="center"/>
            </w:pPr>
            <w:r>
              <w:rPr>
                <w:rFonts w:ascii="宋体" w:hAnsi="宋体" w:eastAsia="宋体"/>
                <w:sz w:val="16"/>
              </w:rPr>
              <w:t>&gt;=100人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4DE20E">
            <w:pPr>
              <w:jc w:val="center"/>
            </w:pPr>
            <w:r>
              <w:rPr>
                <w:rFonts w:ascii="宋体" w:hAnsi="宋体" w:eastAsia="宋体"/>
                <w:sz w:val="16"/>
              </w:rPr>
              <w:t>州总工会2024年工作要点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8D1957">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BBBA2B">
            <w:pPr>
              <w:jc w:val="center"/>
            </w:pPr>
            <w:r>
              <w:rPr>
                <w:rFonts w:ascii="宋体" w:hAnsi="宋体" w:eastAsia="宋体"/>
                <w:sz w:val="16"/>
              </w:rPr>
              <w:t>=100人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33C8C4">
            <w:pPr>
              <w:jc w:val="center"/>
            </w:pPr>
            <w:r>
              <w:rPr>
                <w:rFonts w:ascii="宋体" w:hAnsi="宋体" w:eastAsia="宋体"/>
                <w:sz w:val="16"/>
              </w:rPr>
              <w:t>20</w:t>
            </w:r>
          </w:p>
        </w:tc>
      </w:tr>
      <w:tr w14:paraId="5B66B77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709B125"/>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135C87">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821BFD">
            <w:pPr>
              <w:jc w:val="center"/>
            </w:pPr>
            <w:r>
              <w:rPr>
                <w:rFonts w:ascii="宋体" w:hAnsi="宋体" w:eastAsia="宋体"/>
                <w:sz w:val="16"/>
              </w:rPr>
              <w:t>劳模补助覆盖率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ACCA3C">
            <w:pPr>
              <w:jc w:val="center"/>
            </w:pPr>
            <w:r>
              <w:rPr>
                <w:rFonts w:ascii="宋体" w:hAnsi="宋体" w:eastAsia="宋体"/>
                <w:sz w:val="16"/>
              </w:rPr>
              <w:t>=100百分比</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C98667">
            <w:pPr>
              <w:jc w:val="center"/>
            </w:pPr>
            <w:r>
              <w:rPr>
                <w:rFonts w:ascii="宋体" w:hAnsi="宋体" w:eastAsia="宋体"/>
                <w:sz w:val="16"/>
              </w:rPr>
              <w:t>2024年州总工会第一季度绩效指标表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2F9900">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B23549">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F14B58">
            <w:pPr>
              <w:jc w:val="center"/>
            </w:pPr>
            <w:r>
              <w:rPr>
                <w:rFonts w:ascii="宋体" w:hAnsi="宋体" w:eastAsia="宋体"/>
                <w:sz w:val="16"/>
              </w:rPr>
              <w:t>15</w:t>
            </w:r>
          </w:p>
        </w:tc>
      </w:tr>
    </w:tbl>
    <w:p w14:paraId="1418E80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7BE9FE69">
        <w:tblPrEx>
          <w:tblCellMar>
            <w:top w:w="0" w:type="dxa"/>
            <w:left w:w="108" w:type="dxa"/>
            <w:bottom w:w="0" w:type="dxa"/>
            <w:right w:w="108" w:type="dxa"/>
          </w:tblCellMar>
        </w:tblPrEx>
        <w:tc>
          <w:tcPr>
            <w:tcW w:w="8848" w:type="dxa"/>
            <w:gridSpan w:val="14"/>
            <w:vAlign w:val="center"/>
          </w:tcPr>
          <w:p w14:paraId="59DD7E20">
            <w:pPr>
              <w:jc w:val="center"/>
            </w:pPr>
            <w:r>
              <w:rPr>
                <w:rFonts w:ascii="宋体" w:hAnsi="宋体" w:eastAsia="宋体"/>
                <w:sz w:val="24"/>
              </w:rPr>
              <w:t>项目支出绩效自评表</w:t>
            </w:r>
          </w:p>
        </w:tc>
      </w:tr>
      <w:tr w14:paraId="0BE126F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FF66461">
            <w:pPr>
              <w:jc w:val="center"/>
            </w:pPr>
            <w:r>
              <w:rPr>
                <w:rFonts w:ascii="宋体" w:hAnsi="宋体" w:eastAsia="宋体"/>
                <w:sz w:val="24"/>
              </w:rPr>
              <w:t>(2024年度)</w:t>
            </w:r>
          </w:p>
        </w:tc>
      </w:tr>
      <w:tr w14:paraId="6143FC1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A748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492195A">
            <w:pPr>
              <w:jc w:val="center"/>
            </w:pPr>
            <w:r>
              <w:rPr>
                <w:rFonts w:ascii="宋体" w:hAnsi="宋体" w:eastAsia="宋体"/>
                <w:sz w:val="16"/>
              </w:rPr>
              <w:t>公务用车租赁费</w:t>
            </w:r>
          </w:p>
        </w:tc>
      </w:tr>
      <w:tr w14:paraId="774FD09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4530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1D04C2">
            <w:pPr>
              <w:jc w:val="center"/>
            </w:pPr>
            <w:r>
              <w:rPr>
                <w:rFonts w:ascii="宋体" w:hAnsi="宋体" w:eastAsia="宋体"/>
                <w:sz w:val="16"/>
              </w:rPr>
              <w:t>昌吉回族自治州总工会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6F6D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5ADB710">
            <w:pPr>
              <w:jc w:val="center"/>
            </w:pPr>
            <w:r>
              <w:rPr>
                <w:rFonts w:ascii="宋体" w:hAnsi="宋体" w:eastAsia="宋体"/>
                <w:sz w:val="16"/>
              </w:rPr>
              <w:t>昌吉回族自治州总工会本级</w:t>
            </w:r>
          </w:p>
        </w:tc>
      </w:tr>
      <w:tr w14:paraId="3CB06E8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D2031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E28B6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853DE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AE6CE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C6935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5BB8E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12853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50C12">
            <w:pPr>
              <w:jc w:val="center"/>
            </w:pPr>
            <w:r>
              <w:rPr>
                <w:rFonts w:ascii="宋体" w:hAnsi="宋体" w:eastAsia="宋体"/>
                <w:sz w:val="16"/>
              </w:rPr>
              <w:t>得分</w:t>
            </w:r>
          </w:p>
        </w:tc>
      </w:tr>
      <w:tr w14:paraId="566A2A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9D85D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74040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CA49C4">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55140A">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A32398">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0FBB0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5A34A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9F364">
            <w:pPr>
              <w:jc w:val="center"/>
            </w:pPr>
            <w:r>
              <w:rPr>
                <w:rFonts w:ascii="宋体" w:hAnsi="宋体" w:eastAsia="宋体"/>
                <w:sz w:val="16"/>
              </w:rPr>
              <w:t>10.00</w:t>
            </w:r>
          </w:p>
        </w:tc>
      </w:tr>
      <w:tr w14:paraId="6A327C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DE238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0ACCF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93F1B5">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CDB2B4">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B45671">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23CAF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0887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F765B">
            <w:pPr>
              <w:jc w:val="center"/>
            </w:pPr>
            <w:r>
              <w:rPr>
                <w:rFonts w:ascii="宋体" w:hAnsi="宋体" w:eastAsia="宋体"/>
                <w:sz w:val="16"/>
              </w:rPr>
              <w:t>—</w:t>
            </w:r>
          </w:p>
        </w:tc>
      </w:tr>
      <w:tr w14:paraId="6FD714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753CB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89912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27394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E9455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73269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714B2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FDDD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5530D">
            <w:pPr>
              <w:jc w:val="center"/>
            </w:pPr>
            <w:r>
              <w:rPr>
                <w:rFonts w:ascii="宋体" w:hAnsi="宋体" w:eastAsia="宋体"/>
                <w:sz w:val="16"/>
              </w:rPr>
              <w:t>—</w:t>
            </w:r>
          </w:p>
        </w:tc>
      </w:tr>
      <w:tr w14:paraId="6120304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C425F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E5285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EAA2FE2">
            <w:pPr>
              <w:jc w:val="center"/>
            </w:pPr>
            <w:r>
              <w:rPr>
                <w:rFonts w:ascii="宋体" w:hAnsi="宋体" w:eastAsia="宋体"/>
                <w:sz w:val="16"/>
              </w:rPr>
              <w:t>实际完成情况</w:t>
            </w:r>
          </w:p>
        </w:tc>
      </w:tr>
      <w:tr w14:paraId="75FE6A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6485D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C082910">
            <w:pPr>
              <w:jc w:val="both"/>
            </w:pPr>
            <w:r>
              <w:rPr>
                <w:rFonts w:ascii="宋体" w:hAnsi="宋体" w:eastAsia="宋体"/>
                <w:sz w:val="16"/>
              </w:rPr>
              <w:t>2023年租用新能源车一辆，租用期5年，每年租金3.5万元，通过租车保障单位业务正常开展，减少临时租车次数，降低开支，实现节能减排。</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BB781ED">
            <w:pPr>
              <w:jc w:val="both"/>
            </w:pPr>
            <w:r>
              <w:rPr>
                <w:rFonts w:hint="eastAsia" w:ascii="宋体" w:hAnsi="宋体"/>
                <w:sz w:val="16"/>
                <w:lang w:eastAsia="zh-CN"/>
              </w:rPr>
              <w:t>截至</w:t>
            </w:r>
            <w:r>
              <w:rPr>
                <w:rFonts w:ascii="宋体" w:hAnsi="宋体" w:eastAsia="宋体"/>
                <w:sz w:val="16"/>
              </w:rPr>
              <w:t>2024年12月31日，该项目实际完成了数量指标租赁公务用车目标值1辆，完成率100%；成本指标：公务用车运行维护费目标值3.5万元，完成率100%；项目预算控制率100%，通过该项目实施，提升了工作效率，减少了支出，促进了节能减排，减少了碳排放，符合国家碳中和政策。</w:t>
            </w:r>
          </w:p>
        </w:tc>
      </w:tr>
      <w:tr w14:paraId="12F608E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879F9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079C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8123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6510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E951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6E81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893A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A805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568F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07C3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CEEA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985B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AF34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79AAB">
            <w:pPr>
              <w:jc w:val="center"/>
            </w:pPr>
            <w:r>
              <w:rPr>
                <w:rFonts w:ascii="宋体" w:hAnsi="宋体" w:eastAsia="宋体"/>
                <w:sz w:val="16"/>
              </w:rPr>
              <w:t>偏差原因分析及改进措施</w:t>
            </w:r>
          </w:p>
        </w:tc>
      </w:tr>
      <w:tr w14:paraId="1362683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AC5C0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AE74E1">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6499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4895C">
            <w:pPr>
              <w:jc w:val="center"/>
            </w:pPr>
            <w:r>
              <w:rPr>
                <w:rFonts w:ascii="宋体" w:hAnsi="宋体" w:eastAsia="宋体"/>
                <w:sz w:val="16"/>
              </w:rPr>
              <w:t>租用公务用车数量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05BD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903BF">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777DF">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970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0D4C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133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BD411">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325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2F28D">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65B80">
            <w:pPr>
              <w:jc w:val="center"/>
            </w:pPr>
          </w:p>
        </w:tc>
      </w:tr>
      <w:tr w14:paraId="4487BC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072E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ABF71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50E1E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A9B96">
            <w:pPr>
              <w:jc w:val="center"/>
            </w:pPr>
            <w:r>
              <w:rPr>
                <w:rFonts w:ascii="宋体" w:hAnsi="宋体" w:eastAsia="宋体"/>
                <w:sz w:val="16"/>
              </w:rPr>
              <w:t>车辆验收合格率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6D7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594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667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5FE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7D2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1C4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FFF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9B8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A9968">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B721D">
            <w:pPr>
              <w:jc w:val="center"/>
            </w:pPr>
          </w:p>
        </w:tc>
      </w:tr>
      <w:tr w14:paraId="785355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5583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2565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DA80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4632D">
            <w:pPr>
              <w:jc w:val="center"/>
            </w:pPr>
            <w:r>
              <w:rPr>
                <w:rFonts w:ascii="宋体" w:hAnsi="宋体" w:eastAsia="宋体"/>
                <w:sz w:val="16"/>
              </w:rPr>
              <w:t>政府采购率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FEEA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BD7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ACE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1E6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8CC2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C67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657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998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B566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3BDD8">
            <w:pPr>
              <w:jc w:val="center"/>
            </w:pPr>
          </w:p>
        </w:tc>
      </w:tr>
      <w:tr w14:paraId="5B1A82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A4CD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5448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C4C4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D42A9">
            <w:pPr>
              <w:jc w:val="center"/>
            </w:pPr>
            <w:r>
              <w:rPr>
                <w:rFonts w:ascii="宋体" w:hAnsi="宋体" w:eastAsia="宋体"/>
                <w:sz w:val="16"/>
              </w:rPr>
              <w:t>车辆租赁费支付时限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3B06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36EA9">
            <w:pPr>
              <w:jc w:val="center"/>
            </w:pPr>
            <w:r>
              <w:rPr>
                <w:rFonts w:ascii="宋体" w:hAnsi="宋体" w:eastAsia="宋体"/>
                <w:sz w:val="16"/>
              </w:rPr>
              <w:t>2024年8月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5936B">
            <w:pPr>
              <w:jc w:val="center"/>
            </w:pPr>
            <w:r>
              <w:rPr>
                <w:rFonts w:ascii="宋体" w:hAnsi="宋体" w:eastAsia="宋体"/>
                <w:sz w:val="16"/>
              </w:rPr>
              <w:t>=2024年8月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C5F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38A6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56D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4AB55">
            <w:pPr>
              <w:jc w:val="center"/>
            </w:pPr>
            <w:r>
              <w:rPr>
                <w:rFonts w:ascii="宋体" w:hAnsi="宋体" w:eastAsia="宋体"/>
                <w:sz w:val="16"/>
              </w:rPr>
              <w:t>2023年8月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02EF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4904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12076">
            <w:pPr>
              <w:jc w:val="center"/>
            </w:pPr>
          </w:p>
        </w:tc>
      </w:tr>
      <w:tr w14:paraId="18800F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53443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CE420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7E992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84FD3">
            <w:pPr>
              <w:jc w:val="center"/>
            </w:pPr>
            <w:r>
              <w:rPr>
                <w:rFonts w:ascii="宋体" w:hAnsi="宋体" w:eastAsia="宋体"/>
                <w:sz w:val="16"/>
              </w:rPr>
              <w:t>公务用车运行维护费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6A53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6B05C">
            <w:pPr>
              <w:jc w:val="center"/>
            </w:pPr>
            <w:r>
              <w:rPr>
                <w:rFonts w:ascii="宋体" w:hAnsi="宋体" w:eastAsia="宋体"/>
                <w:sz w:val="16"/>
              </w:rPr>
              <w:t>&lt;=3.50万元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6AFA9">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A2F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E4EE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9B11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99B76">
            <w:pPr>
              <w:jc w:val="center"/>
            </w:pPr>
            <w:r>
              <w:rPr>
                <w:rFonts w:ascii="宋体" w:hAnsi="宋体" w:eastAsia="宋体"/>
                <w:sz w:val="16"/>
              </w:rPr>
              <w:t>3.50万元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CA87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0A05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99D4B">
            <w:pPr>
              <w:jc w:val="center"/>
            </w:pPr>
          </w:p>
        </w:tc>
      </w:tr>
      <w:tr w14:paraId="72E2D4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6232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EFDB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A3DA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48395">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F06F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B2A5F">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1E9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145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B482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B17D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401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C52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04C6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1FBFA">
            <w:pPr>
              <w:jc w:val="center"/>
            </w:pPr>
          </w:p>
        </w:tc>
      </w:tr>
      <w:tr w14:paraId="7DF685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DB11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9696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C0BC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524F8">
            <w:pPr>
              <w:jc w:val="center"/>
            </w:pPr>
            <w:r>
              <w:rPr>
                <w:rFonts w:ascii="宋体" w:hAnsi="宋体" w:eastAsia="宋体"/>
                <w:sz w:val="16"/>
              </w:rPr>
              <w:t>保障单位业务正常开展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2493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A20F8">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8D39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857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1946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B30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7C91C">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8B0B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AB79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E9E7F">
            <w:pPr>
              <w:jc w:val="center"/>
            </w:pPr>
          </w:p>
        </w:tc>
      </w:tr>
      <w:tr w14:paraId="09D0E34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44ED1E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103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569D9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0564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F06D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912E5">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9EE7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2AB18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F660D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C30F5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1D162B"/>
        </w:tc>
      </w:tr>
    </w:tbl>
    <w:p w14:paraId="05754501">
      <w:r>
        <w:br w:type="page"/>
      </w:r>
    </w:p>
    <w:tbl>
      <w:tblPr>
        <w:tblStyle w:val="9"/>
        <w:tblW w:w="0" w:type="auto"/>
        <w:tblInd w:w="0" w:type="dxa"/>
        <w:tblLayout w:type="autofit"/>
        <w:tblCellMar>
          <w:top w:w="0" w:type="dxa"/>
          <w:left w:w="108" w:type="dxa"/>
          <w:bottom w:w="0" w:type="dxa"/>
          <w:right w:w="108" w:type="dxa"/>
        </w:tblCellMar>
      </w:tblPr>
      <w:tblGrid>
        <w:gridCol w:w="629"/>
        <w:gridCol w:w="625"/>
        <w:gridCol w:w="625"/>
        <w:gridCol w:w="696"/>
        <w:gridCol w:w="627"/>
        <w:gridCol w:w="696"/>
        <w:gridCol w:w="632"/>
        <w:gridCol w:w="630"/>
        <w:gridCol w:w="696"/>
        <w:gridCol w:w="626"/>
        <w:gridCol w:w="630"/>
        <w:gridCol w:w="626"/>
        <w:gridCol w:w="626"/>
        <w:gridCol w:w="696"/>
      </w:tblGrid>
      <w:tr w14:paraId="1538DD4C">
        <w:tc>
          <w:tcPr>
            <w:tcW w:w="8848" w:type="dxa"/>
            <w:gridSpan w:val="14"/>
            <w:vAlign w:val="center"/>
          </w:tcPr>
          <w:p w14:paraId="6E4AE8CC">
            <w:pPr>
              <w:jc w:val="center"/>
            </w:pPr>
            <w:r>
              <w:rPr>
                <w:rFonts w:ascii="宋体" w:hAnsi="宋体" w:eastAsia="宋体"/>
                <w:sz w:val="24"/>
              </w:rPr>
              <w:t>项目支出绩效自评表</w:t>
            </w:r>
          </w:p>
        </w:tc>
      </w:tr>
      <w:tr w14:paraId="30BD0B4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62D0845">
            <w:pPr>
              <w:jc w:val="center"/>
            </w:pPr>
            <w:r>
              <w:rPr>
                <w:rFonts w:ascii="宋体" w:hAnsi="宋体" w:eastAsia="宋体"/>
                <w:sz w:val="24"/>
              </w:rPr>
              <w:t>(2024年度)</w:t>
            </w:r>
          </w:p>
        </w:tc>
      </w:tr>
      <w:tr w14:paraId="03649A8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EC1C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7DE62BE">
            <w:pPr>
              <w:jc w:val="center"/>
            </w:pPr>
            <w:r>
              <w:rPr>
                <w:rFonts w:ascii="宋体" w:hAnsi="宋体" w:eastAsia="宋体"/>
                <w:sz w:val="16"/>
              </w:rPr>
              <w:t>劳模慰问奖励金</w:t>
            </w:r>
          </w:p>
        </w:tc>
      </w:tr>
      <w:tr w14:paraId="03B051C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3808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CF1B04">
            <w:pPr>
              <w:jc w:val="center"/>
            </w:pPr>
            <w:r>
              <w:rPr>
                <w:rFonts w:ascii="宋体" w:hAnsi="宋体" w:eastAsia="宋体"/>
                <w:sz w:val="16"/>
              </w:rPr>
              <w:t>昌吉回族自治州总工会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A948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19DB905">
            <w:pPr>
              <w:jc w:val="center"/>
            </w:pPr>
            <w:r>
              <w:rPr>
                <w:rFonts w:ascii="宋体" w:hAnsi="宋体" w:eastAsia="宋体"/>
                <w:sz w:val="16"/>
              </w:rPr>
              <w:t>昌吉回族自治州总工会本级</w:t>
            </w:r>
          </w:p>
        </w:tc>
      </w:tr>
      <w:tr w14:paraId="081E491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F7CF1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FCCA2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D8F99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D0511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186A2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9FEDE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9BBDB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1D8E0">
            <w:pPr>
              <w:jc w:val="center"/>
            </w:pPr>
            <w:r>
              <w:rPr>
                <w:rFonts w:ascii="宋体" w:hAnsi="宋体" w:eastAsia="宋体"/>
                <w:sz w:val="16"/>
              </w:rPr>
              <w:t>得分</w:t>
            </w:r>
          </w:p>
        </w:tc>
      </w:tr>
      <w:tr w14:paraId="255241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63BCA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9DFD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2A252A">
            <w:pPr>
              <w:jc w:val="center"/>
            </w:pPr>
            <w:r>
              <w:rPr>
                <w:rFonts w:ascii="宋体" w:hAnsi="宋体" w:eastAsia="宋体"/>
                <w:sz w:val="16"/>
              </w:rPr>
              <w:t>75.60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727B8C">
            <w:pPr>
              <w:jc w:val="center"/>
            </w:pPr>
            <w:r>
              <w:rPr>
                <w:rFonts w:ascii="宋体" w:hAnsi="宋体" w:eastAsia="宋体"/>
                <w:sz w:val="16"/>
              </w:rPr>
              <w:t>75.60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676A78">
            <w:pPr>
              <w:jc w:val="center"/>
            </w:pPr>
            <w:r>
              <w:rPr>
                <w:rFonts w:ascii="宋体" w:hAnsi="宋体" w:eastAsia="宋体"/>
                <w:sz w:val="16"/>
              </w:rPr>
              <w:t>75.60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DAD6B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65839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8AE4A">
            <w:pPr>
              <w:jc w:val="center"/>
            </w:pPr>
            <w:r>
              <w:rPr>
                <w:rFonts w:ascii="宋体" w:hAnsi="宋体" w:eastAsia="宋体"/>
                <w:sz w:val="16"/>
              </w:rPr>
              <w:t>10.00</w:t>
            </w:r>
          </w:p>
        </w:tc>
      </w:tr>
      <w:tr w14:paraId="11F7FA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7414F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BC2B4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8DCC92">
            <w:pPr>
              <w:jc w:val="center"/>
            </w:pPr>
            <w:r>
              <w:rPr>
                <w:rFonts w:ascii="宋体" w:hAnsi="宋体" w:eastAsia="宋体"/>
                <w:sz w:val="16"/>
              </w:rPr>
              <w:t>75.60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76F462">
            <w:pPr>
              <w:jc w:val="center"/>
            </w:pPr>
            <w:r>
              <w:rPr>
                <w:rFonts w:ascii="宋体" w:hAnsi="宋体" w:eastAsia="宋体"/>
                <w:sz w:val="16"/>
              </w:rPr>
              <w:t>75.60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A7055F">
            <w:pPr>
              <w:jc w:val="center"/>
            </w:pPr>
            <w:r>
              <w:rPr>
                <w:rFonts w:ascii="宋体" w:hAnsi="宋体" w:eastAsia="宋体"/>
                <w:sz w:val="16"/>
              </w:rPr>
              <w:t>75.60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540A0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F844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40B6D">
            <w:pPr>
              <w:jc w:val="center"/>
            </w:pPr>
            <w:r>
              <w:rPr>
                <w:rFonts w:ascii="宋体" w:hAnsi="宋体" w:eastAsia="宋体"/>
                <w:sz w:val="16"/>
              </w:rPr>
              <w:t>—</w:t>
            </w:r>
          </w:p>
        </w:tc>
      </w:tr>
      <w:tr w14:paraId="75821C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7BFD4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DEE60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1679E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1CCB0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2B20C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6BCD2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5768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D93E6">
            <w:pPr>
              <w:jc w:val="center"/>
            </w:pPr>
            <w:r>
              <w:rPr>
                <w:rFonts w:ascii="宋体" w:hAnsi="宋体" w:eastAsia="宋体"/>
                <w:sz w:val="16"/>
              </w:rPr>
              <w:t>—</w:t>
            </w:r>
          </w:p>
        </w:tc>
      </w:tr>
      <w:tr w14:paraId="25E1506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0C382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0FF45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7105D15">
            <w:pPr>
              <w:jc w:val="center"/>
            </w:pPr>
            <w:r>
              <w:rPr>
                <w:rFonts w:ascii="宋体" w:hAnsi="宋体" w:eastAsia="宋体"/>
                <w:sz w:val="16"/>
              </w:rPr>
              <w:t>实际完成情况</w:t>
            </w:r>
          </w:p>
        </w:tc>
      </w:tr>
      <w:tr w14:paraId="396143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726E2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7373EF">
            <w:pPr>
              <w:jc w:val="both"/>
            </w:pPr>
            <w:r>
              <w:rPr>
                <w:rFonts w:ascii="宋体" w:hAnsi="宋体" w:eastAsia="宋体"/>
                <w:sz w:val="16"/>
              </w:rPr>
              <w:t>2024年全州现有自治州劳动模范（先进工作者）、开发建设新疆奖章获得者共计756人，人均1000元，预计在2024年12月底一次性发放完成。为了在社会上长期营造争当劳模、尊重劳模的良好氛围，从而使劳模生活得到一定改善,提高生活质量和生活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97E11D">
            <w:pPr>
              <w:jc w:val="both"/>
            </w:pPr>
            <w:r>
              <w:rPr>
                <w:rFonts w:hint="eastAsia" w:ascii="宋体" w:hAnsi="宋体"/>
                <w:sz w:val="16"/>
                <w:lang w:eastAsia="zh-CN"/>
              </w:rPr>
              <w:t>截至2024</w:t>
            </w:r>
            <w:r>
              <w:rPr>
                <w:rFonts w:ascii="宋体" w:hAnsi="宋体" w:eastAsia="宋体"/>
                <w:sz w:val="16"/>
              </w:rPr>
              <w:t>年12月31日，该项目实际完成数量指标的补助人数756人，完成值100%，1次性发放完毕，完成值是100%，经济成本指标：人均补助标准是1000元/人，完成值是100%；通过该项目的实施，提升了劳模的社会地位、荣誉感和获得感。促进了党和政府及工会组织对劳模的关心和关怀，进一步弘扬了劳模精神、劳动精神和工匠精神。</w:t>
            </w:r>
          </w:p>
        </w:tc>
      </w:tr>
      <w:tr w14:paraId="60848BB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74F37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36E1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18F2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850A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DCB3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0E94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FB6D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7ACF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30DE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E216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20B0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C5AE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57E8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388AD">
            <w:pPr>
              <w:jc w:val="center"/>
            </w:pPr>
            <w:r>
              <w:rPr>
                <w:rFonts w:ascii="宋体" w:hAnsi="宋体" w:eastAsia="宋体"/>
                <w:sz w:val="16"/>
              </w:rPr>
              <w:t>偏差原因分析及改进措施</w:t>
            </w:r>
          </w:p>
        </w:tc>
      </w:tr>
      <w:tr w14:paraId="45240AE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62D5D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E7FAA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F59DC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3B239">
            <w:pPr>
              <w:jc w:val="center"/>
            </w:pPr>
            <w:r>
              <w:rPr>
                <w:rFonts w:ascii="宋体" w:hAnsi="宋体" w:eastAsia="宋体"/>
                <w:sz w:val="16"/>
              </w:rPr>
              <w:t>补助人数（人）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562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031B0">
            <w:pPr>
              <w:jc w:val="center"/>
            </w:pPr>
            <w:r>
              <w:rPr>
                <w:rFonts w:ascii="宋体" w:hAnsi="宋体" w:eastAsia="宋体"/>
                <w:sz w:val="16"/>
              </w:rPr>
              <w:t>=756人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DE726">
            <w:pPr>
              <w:jc w:val="center"/>
            </w:pPr>
            <w:r>
              <w:rPr>
                <w:rFonts w:ascii="宋体" w:hAnsi="宋体" w:eastAsia="宋体"/>
                <w:sz w:val="16"/>
              </w:rPr>
              <w:t>=756人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945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F47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FCE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E3A00">
            <w:pPr>
              <w:jc w:val="center"/>
            </w:pPr>
            <w:r>
              <w:rPr>
                <w:rFonts w:ascii="宋体" w:hAnsi="宋体" w:eastAsia="宋体"/>
                <w:sz w:val="16"/>
              </w:rPr>
              <w:t>741万元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913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BEF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E4338">
            <w:pPr>
              <w:jc w:val="center"/>
            </w:pPr>
          </w:p>
        </w:tc>
      </w:tr>
      <w:tr w14:paraId="49147A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8960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D7A8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423D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C47F4">
            <w:pPr>
              <w:jc w:val="center"/>
            </w:pPr>
            <w:r>
              <w:rPr>
                <w:rFonts w:ascii="宋体" w:hAnsi="宋体" w:eastAsia="宋体"/>
                <w:sz w:val="16"/>
              </w:rPr>
              <w:t>发放补助次数(次)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7EC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C81F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5C6E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36F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D97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255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75BC9">
            <w:pPr>
              <w:jc w:val="center"/>
            </w:pPr>
            <w:r>
              <w:rPr>
                <w:rFonts w:ascii="宋体" w:hAnsi="宋体" w:eastAsia="宋体"/>
                <w:sz w:val="16"/>
              </w:rPr>
              <w:t>一次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5357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A4CE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D0D39">
            <w:pPr>
              <w:jc w:val="center"/>
            </w:pPr>
          </w:p>
        </w:tc>
      </w:tr>
      <w:tr w14:paraId="339C20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3403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8347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4CD2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B93C7">
            <w:pPr>
              <w:jc w:val="center"/>
            </w:pPr>
            <w:r>
              <w:rPr>
                <w:rFonts w:ascii="宋体" w:hAnsi="宋体" w:eastAsia="宋体"/>
                <w:sz w:val="16"/>
              </w:rPr>
              <w:t>补助覆盖率（%）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890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1EA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19F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B98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302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B3D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BF2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5E0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D4F6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AB969">
            <w:pPr>
              <w:jc w:val="center"/>
            </w:pPr>
          </w:p>
        </w:tc>
      </w:tr>
      <w:tr w14:paraId="54D58D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D565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97D1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7B20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A0111">
            <w:pPr>
              <w:jc w:val="center"/>
            </w:pPr>
            <w:r>
              <w:rPr>
                <w:rFonts w:ascii="宋体" w:hAnsi="宋体" w:eastAsia="宋体"/>
                <w:sz w:val="16"/>
              </w:rPr>
              <w:t>补助金发放时限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32B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7B14A">
            <w:pPr>
              <w:jc w:val="center"/>
            </w:pPr>
            <w:r>
              <w:rPr>
                <w:rFonts w:ascii="宋体" w:hAnsi="宋体" w:eastAsia="宋体"/>
                <w:sz w:val="16"/>
              </w:rPr>
              <w:t>11月30日之前发放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3FDD0">
            <w:pPr>
              <w:jc w:val="center"/>
            </w:pPr>
            <w:r>
              <w:rPr>
                <w:rFonts w:ascii="宋体" w:hAnsi="宋体" w:eastAsia="宋体"/>
                <w:sz w:val="16"/>
              </w:rPr>
              <w:t>=11月30日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07F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701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7226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76C75">
            <w:pPr>
              <w:jc w:val="center"/>
            </w:pPr>
            <w:r>
              <w:rPr>
                <w:rFonts w:ascii="宋体" w:hAnsi="宋体" w:eastAsia="宋体"/>
                <w:sz w:val="16"/>
              </w:rPr>
              <w:t>按时发放完成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9BC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F96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AAF3A">
            <w:pPr>
              <w:jc w:val="center"/>
            </w:pPr>
          </w:p>
        </w:tc>
      </w:tr>
      <w:tr w14:paraId="3307A7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C78BA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BCEC1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7131C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3B129">
            <w:pPr>
              <w:jc w:val="center"/>
            </w:pPr>
            <w:r>
              <w:rPr>
                <w:rFonts w:ascii="宋体" w:hAnsi="宋体" w:eastAsia="宋体"/>
                <w:sz w:val="16"/>
              </w:rPr>
              <w:t>人均补助标准（元/人）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4B8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8E687">
            <w:pPr>
              <w:jc w:val="center"/>
            </w:pPr>
            <w:r>
              <w:rPr>
                <w:rFonts w:ascii="宋体" w:hAnsi="宋体" w:eastAsia="宋体"/>
                <w:sz w:val="16"/>
              </w:rPr>
              <w:t>=1000元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5EFAD">
            <w:pPr>
              <w:jc w:val="center"/>
            </w:pPr>
            <w:r>
              <w:rPr>
                <w:rFonts w:ascii="宋体" w:hAnsi="宋体" w:eastAsia="宋体"/>
                <w:sz w:val="16"/>
              </w:rPr>
              <w:t>=1000元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F64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265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CFB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E0C9D">
            <w:pPr>
              <w:jc w:val="center"/>
            </w:pPr>
            <w:r>
              <w:rPr>
                <w:rFonts w:ascii="宋体" w:hAnsi="宋体" w:eastAsia="宋体"/>
                <w:sz w:val="16"/>
              </w:rPr>
              <w:t>1000元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D46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7FCC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E29F5">
            <w:pPr>
              <w:jc w:val="center"/>
            </w:pPr>
          </w:p>
        </w:tc>
      </w:tr>
      <w:tr w14:paraId="6F687D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7B71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ACA1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E8D2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5AD4B">
            <w:pPr>
              <w:jc w:val="center"/>
            </w:pPr>
            <w:r>
              <w:rPr>
                <w:rFonts w:ascii="宋体" w:hAnsi="宋体" w:eastAsia="宋体"/>
                <w:sz w:val="16"/>
              </w:rPr>
              <w:t>补助资金数（万元）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BBD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DB236">
            <w:pPr>
              <w:jc w:val="center"/>
            </w:pPr>
            <w:r>
              <w:rPr>
                <w:rFonts w:ascii="宋体" w:hAnsi="宋体" w:eastAsia="宋体"/>
                <w:sz w:val="16"/>
              </w:rPr>
              <w:t>=75.60万元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5B400">
            <w:pPr>
              <w:jc w:val="center"/>
            </w:pPr>
            <w:r>
              <w:rPr>
                <w:rFonts w:ascii="宋体" w:hAnsi="宋体" w:eastAsia="宋体"/>
                <w:sz w:val="16"/>
              </w:rPr>
              <w:t>=75.6万元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8B6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89A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F5F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4D906">
            <w:pPr>
              <w:jc w:val="center"/>
            </w:pPr>
            <w:r>
              <w:rPr>
                <w:rFonts w:ascii="宋体" w:hAnsi="宋体" w:eastAsia="宋体"/>
                <w:sz w:val="16"/>
              </w:rPr>
              <w:t>74.1万元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35B3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83A6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EC84A">
            <w:pPr>
              <w:jc w:val="center"/>
            </w:pPr>
          </w:p>
        </w:tc>
      </w:tr>
      <w:tr w14:paraId="0D6DBD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6ABC3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5CA252">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15F4E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20271">
            <w:pPr>
              <w:jc w:val="center"/>
            </w:pPr>
            <w:r>
              <w:rPr>
                <w:rFonts w:ascii="宋体" w:hAnsi="宋体" w:eastAsia="宋体"/>
                <w:sz w:val="16"/>
              </w:rPr>
              <w:t>补助劳模生活改善情况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61AF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CC33C">
            <w:pPr>
              <w:jc w:val="center"/>
            </w:pPr>
            <w:r>
              <w:rPr>
                <w:rFonts w:ascii="宋体" w:hAnsi="宋体" w:eastAsia="宋体"/>
                <w:sz w:val="16"/>
              </w:rPr>
              <w:t>得到改善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5083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56A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23D3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C21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EECBF">
            <w:pPr>
              <w:jc w:val="center"/>
            </w:pPr>
            <w:r>
              <w:rPr>
                <w:rFonts w:ascii="宋体" w:hAnsi="宋体" w:eastAsia="宋体"/>
                <w:sz w:val="16"/>
              </w:rPr>
              <w:t>得到改善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EB7B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83B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D072C">
            <w:pPr>
              <w:jc w:val="center"/>
            </w:pPr>
          </w:p>
        </w:tc>
      </w:tr>
      <w:tr w14:paraId="2F4CD5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9AE6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8797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7BB8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40BF5">
            <w:pPr>
              <w:jc w:val="center"/>
            </w:pPr>
            <w:r>
              <w:rPr>
                <w:rFonts w:ascii="宋体" w:hAnsi="宋体" w:eastAsia="宋体"/>
                <w:sz w:val="16"/>
              </w:rPr>
              <w:t>长期营造争当劳模、尊重劳模的良好氛围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EB4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5F233">
            <w:pPr>
              <w:jc w:val="center"/>
            </w:pPr>
            <w:r>
              <w:rPr>
                <w:rFonts w:ascii="宋体" w:hAnsi="宋体" w:eastAsia="宋体"/>
                <w:sz w:val="16"/>
              </w:rPr>
              <w:t>长期影响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AEA0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F30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297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6E1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C78D8">
            <w:pPr>
              <w:jc w:val="center"/>
            </w:pPr>
            <w:r>
              <w:rPr>
                <w:rFonts w:ascii="宋体" w:hAnsi="宋体" w:eastAsia="宋体"/>
                <w:sz w:val="16"/>
              </w:rPr>
              <w:t>长期影响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EBBF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20D7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50E1D">
            <w:pPr>
              <w:jc w:val="center"/>
            </w:pPr>
          </w:p>
        </w:tc>
      </w:tr>
      <w:tr w14:paraId="5E51EB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6DC3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9DC3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5900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C436E">
            <w:pPr>
              <w:jc w:val="center"/>
            </w:pPr>
            <w:r>
              <w:rPr>
                <w:rFonts w:ascii="宋体" w:hAnsi="宋体" w:eastAsia="宋体"/>
                <w:sz w:val="16"/>
              </w:rPr>
              <w:t>受益劳模满意度（%）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C93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6203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2D1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BDD73">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C4C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CE7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C63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D6E6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991D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FEE68">
            <w:pPr>
              <w:jc w:val="center"/>
            </w:pPr>
            <w:r>
              <w:rPr>
                <w:rFonts w:ascii="宋体" w:hAnsi="宋体" w:eastAsia="宋体"/>
                <w:sz w:val="16"/>
              </w:rPr>
              <w:t>年初设置目标为95%，实际调查结果不存在不满意的情况，满意度为100%。</w:t>
            </w:r>
          </w:p>
        </w:tc>
      </w:tr>
      <w:tr w14:paraId="614A674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1501D2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2DB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015FF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B4FF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DA09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4D51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79E0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2ACC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BA4C4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2DD82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46A331"/>
        </w:tc>
      </w:tr>
    </w:tbl>
    <w:p w14:paraId="378A0F0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4E7AB054">
        <w:tc>
          <w:tcPr>
            <w:tcW w:w="8848" w:type="dxa"/>
            <w:gridSpan w:val="14"/>
            <w:vAlign w:val="center"/>
          </w:tcPr>
          <w:p w14:paraId="6D23145A">
            <w:pPr>
              <w:jc w:val="center"/>
            </w:pPr>
            <w:r>
              <w:rPr>
                <w:rFonts w:ascii="宋体" w:hAnsi="宋体" w:eastAsia="宋体"/>
                <w:sz w:val="24"/>
              </w:rPr>
              <w:t>项目支出绩效自评表</w:t>
            </w:r>
          </w:p>
        </w:tc>
      </w:tr>
      <w:tr w14:paraId="705C43F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A5CFF55">
            <w:pPr>
              <w:jc w:val="center"/>
            </w:pPr>
            <w:r>
              <w:rPr>
                <w:rFonts w:ascii="宋体" w:hAnsi="宋体" w:eastAsia="宋体"/>
                <w:sz w:val="24"/>
              </w:rPr>
              <w:t>(2024年度)</w:t>
            </w:r>
          </w:p>
        </w:tc>
      </w:tr>
      <w:tr w14:paraId="5B53E69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E47C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1855B10">
            <w:pPr>
              <w:jc w:val="center"/>
            </w:pPr>
            <w:r>
              <w:rPr>
                <w:rFonts w:ascii="宋体" w:hAnsi="宋体" w:eastAsia="宋体"/>
                <w:sz w:val="16"/>
              </w:rPr>
              <w:t>庭州工匠育才专项行动</w:t>
            </w:r>
          </w:p>
        </w:tc>
      </w:tr>
      <w:tr w14:paraId="0E8850F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0E79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98C47C1">
            <w:pPr>
              <w:jc w:val="center"/>
            </w:pPr>
            <w:r>
              <w:rPr>
                <w:rFonts w:hint="eastAsia" w:ascii="宋体" w:hAnsi="宋体"/>
                <w:sz w:val="16"/>
                <w:lang w:eastAsia="zh-CN"/>
              </w:rPr>
              <w:t>昌吉回族自治州</w:t>
            </w:r>
            <w:r>
              <w:rPr>
                <w:rFonts w:ascii="宋体" w:hAnsi="宋体" w:eastAsia="宋体"/>
                <w:sz w:val="16"/>
              </w:rPr>
              <w:t>总工会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7BA2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CFFDB59">
            <w:pPr>
              <w:jc w:val="center"/>
            </w:pPr>
            <w:r>
              <w:rPr>
                <w:rFonts w:ascii="宋体" w:hAnsi="宋体" w:eastAsia="宋体"/>
                <w:sz w:val="16"/>
              </w:rPr>
              <w:t>昌吉回族自治州总工会本级</w:t>
            </w:r>
          </w:p>
        </w:tc>
      </w:tr>
      <w:tr w14:paraId="0260EBA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7F4E2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960BF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D470D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B9DF0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4597D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5AC46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B56A0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46D69">
            <w:pPr>
              <w:jc w:val="center"/>
            </w:pPr>
            <w:r>
              <w:rPr>
                <w:rFonts w:ascii="宋体" w:hAnsi="宋体" w:eastAsia="宋体"/>
                <w:sz w:val="16"/>
              </w:rPr>
              <w:t>得分</w:t>
            </w:r>
          </w:p>
        </w:tc>
      </w:tr>
      <w:tr w14:paraId="5B48A0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0E265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BCED4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9C586E">
            <w:pPr>
              <w:jc w:val="center"/>
            </w:pPr>
            <w:r>
              <w:rPr>
                <w:rFonts w:ascii="宋体" w:hAnsi="宋体" w:eastAsia="宋体"/>
                <w:sz w:val="16"/>
              </w:rPr>
              <w:t>63.00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771F8A">
            <w:pPr>
              <w:jc w:val="center"/>
            </w:pPr>
            <w:r>
              <w:rPr>
                <w:rFonts w:ascii="宋体" w:hAnsi="宋体" w:eastAsia="宋体"/>
                <w:sz w:val="16"/>
              </w:rPr>
              <w:t>63.00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F18F8C">
            <w:pPr>
              <w:jc w:val="center"/>
            </w:pPr>
            <w:r>
              <w:rPr>
                <w:rFonts w:ascii="宋体" w:hAnsi="宋体" w:eastAsia="宋体"/>
                <w:sz w:val="16"/>
              </w:rPr>
              <w:t>63.00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1C679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0EDE6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46AB0">
            <w:pPr>
              <w:jc w:val="center"/>
            </w:pPr>
            <w:r>
              <w:rPr>
                <w:rFonts w:ascii="宋体" w:hAnsi="宋体" w:eastAsia="宋体"/>
                <w:sz w:val="16"/>
              </w:rPr>
              <w:t>10.00</w:t>
            </w:r>
          </w:p>
        </w:tc>
      </w:tr>
      <w:tr w14:paraId="5CBFA2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7EBF6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2D792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865329">
            <w:pPr>
              <w:jc w:val="center"/>
            </w:pPr>
            <w:r>
              <w:rPr>
                <w:rFonts w:ascii="宋体" w:hAnsi="宋体" w:eastAsia="宋体"/>
                <w:sz w:val="16"/>
              </w:rPr>
              <w:t>63.00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6F9069">
            <w:pPr>
              <w:jc w:val="center"/>
            </w:pPr>
            <w:r>
              <w:rPr>
                <w:rFonts w:ascii="宋体" w:hAnsi="宋体" w:eastAsia="宋体"/>
                <w:sz w:val="16"/>
              </w:rPr>
              <w:t>63.00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476208">
            <w:pPr>
              <w:jc w:val="center"/>
            </w:pPr>
            <w:r>
              <w:rPr>
                <w:rFonts w:ascii="宋体" w:hAnsi="宋体" w:eastAsia="宋体"/>
                <w:sz w:val="16"/>
              </w:rPr>
              <w:t>63.00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BFED8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256E7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421F9">
            <w:pPr>
              <w:jc w:val="center"/>
            </w:pPr>
            <w:r>
              <w:rPr>
                <w:rFonts w:ascii="宋体" w:hAnsi="宋体" w:eastAsia="宋体"/>
                <w:sz w:val="16"/>
              </w:rPr>
              <w:t>—</w:t>
            </w:r>
          </w:p>
        </w:tc>
      </w:tr>
      <w:tr w14:paraId="7510D2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3D7E7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55232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82AE6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A50FB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6824E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99E8C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002B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E9E14">
            <w:pPr>
              <w:jc w:val="center"/>
            </w:pPr>
            <w:r>
              <w:rPr>
                <w:rFonts w:ascii="宋体" w:hAnsi="宋体" w:eastAsia="宋体"/>
                <w:sz w:val="16"/>
              </w:rPr>
              <w:t>—</w:t>
            </w:r>
          </w:p>
        </w:tc>
      </w:tr>
      <w:tr w14:paraId="027D369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6F061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A7C61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4347EB3">
            <w:pPr>
              <w:jc w:val="center"/>
            </w:pPr>
            <w:r>
              <w:rPr>
                <w:rFonts w:ascii="宋体" w:hAnsi="宋体" w:eastAsia="宋体"/>
                <w:sz w:val="16"/>
              </w:rPr>
              <w:t>实际完成情况</w:t>
            </w:r>
          </w:p>
        </w:tc>
      </w:tr>
      <w:tr w14:paraId="249BDC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1ACC0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2248A5">
            <w:pPr>
              <w:jc w:val="both"/>
            </w:pPr>
            <w:r>
              <w:rPr>
                <w:rFonts w:ascii="宋体" w:hAnsi="宋体" w:eastAsia="宋体"/>
                <w:sz w:val="16"/>
              </w:rPr>
              <w:t>2024年“庭州英才”人才计划，1.抓住培育关键，提高工匠人才综合素质，2.强化硬件改造，优化工匠人才成长环境，3.落实培育制度，打造工匠人才成长平台。</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FCFB71E">
            <w:pPr>
              <w:jc w:val="both"/>
            </w:pPr>
            <w:r>
              <w:rPr>
                <w:rFonts w:hint="eastAsia" w:ascii="宋体" w:hAnsi="宋体"/>
                <w:sz w:val="16"/>
                <w:lang w:eastAsia="zh-CN"/>
              </w:rPr>
              <w:t>截至</w:t>
            </w:r>
            <w:r>
              <w:rPr>
                <w:rFonts w:ascii="宋体" w:hAnsi="宋体" w:eastAsia="宋体"/>
                <w:sz w:val="16"/>
              </w:rPr>
              <w:t>2024年12月31日，该项目实际</w:t>
            </w:r>
            <w:r>
              <w:rPr>
                <w:rFonts w:hint="eastAsia" w:ascii="宋体" w:hAnsi="宋体"/>
                <w:sz w:val="16"/>
                <w:lang w:eastAsia="zh-CN"/>
              </w:rPr>
              <w:t>完成</w:t>
            </w:r>
            <w:r>
              <w:rPr>
                <w:rFonts w:ascii="宋体" w:hAnsi="宋体" w:eastAsia="宋体"/>
                <w:sz w:val="16"/>
              </w:rPr>
              <w:t>补助庭州工匠人数21人，完成率100%。完成培育技能人才</w:t>
            </w:r>
            <w:r>
              <w:rPr>
                <w:rFonts w:hint="eastAsia" w:ascii="宋体" w:hAnsi="宋体"/>
                <w:sz w:val="16"/>
                <w:lang w:eastAsia="zh-CN"/>
              </w:rPr>
              <w:t>数</w:t>
            </w:r>
            <w:r>
              <w:rPr>
                <w:rFonts w:ascii="宋体" w:hAnsi="宋体" w:eastAsia="宋体"/>
                <w:sz w:val="16"/>
              </w:rPr>
              <w:t>6人；补助发放完成率100%，补助发放覆盖率100%；人才计划项目工作经费21万元、生活补贴42万元全部发放完毕。通过该项目的实施，提升了工匠人才的自身素质，促进了企业高质量发展。</w:t>
            </w:r>
          </w:p>
        </w:tc>
      </w:tr>
      <w:tr w14:paraId="0DC8684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21C69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6DFA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9952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145A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1DE1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19FB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9922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E398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6820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0C94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7C0D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EE57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43D2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263AA">
            <w:pPr>
              <w:jc w:val="center"/>
            </w:pPr>
            <w:r>
              <w:rPr>
                <w:rFonts w:ascii="宋体" w:hAnsi="宋体" w:eastAsia="宋体"/>
                <w:sz w:val="16"/>
              </w:rPr>
              <w:t>偏差原因分析及改进措施</w:t>
            </w:r>
          </w:p>
        </w:tc>
      </w:tr>
      <w:tr w14:paraId="131BFD6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5FB91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77F38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95722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F05E8">
            <w:pPr>
              <w:jc w:val="center"/>
            </w:pPr>
            <w:r>
              <w:rPr>
                <w:rFonts w:ascii="宋体" w:hAnsi="宋体" w:eastAsia="宋体"/>
                <w:sz w:val="16"/>
              </w:rPr>
              <w:t>补助庭州工匠人数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A7B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36965">
            <w:pPr>
              <w:jc w:val="center"/>
            </w:pPr>
            <w:r>
              <w:rPr>
                <w:rFonts w:ascii="宋体" w:hAnsi="宋体" w:eastAsia="宋体"/>
                <w:sz w:val="16"/>
              </w:rPr>
              <w:t>&gt;=21人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544B9">
            <w:pPr>
              <w:jc w:val="center"/>
            </w:pPr>
            <w:r>
              <w:rPr>
                <w:rFonts w:ascii="宋体" w:hAnsi="宋体" w:eastAsia="宋体"/>
                <w:sz w:val="16"/>
              </w:rPr>
              <w:t>=21人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40B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565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336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DDE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34E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B278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715B3">
            <w:pPr>
              <w:jc w:val="center"/>
            </w:pPr>
          </w:p>
        </w:tc>
      </w:tr>
      <w:tr w14:paraId="5D8D53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9E8D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125BD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AB66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8C0F2">
            <w:pPr>
              <w:jc w:val="center"/>
            </w:pPr>
            <w:r>
              <w:rPr>
                <w:rFonts w:ascii="宋体" w:hAnsi="宋体" w:eastAsia="宋体"/>
                <w:sz w:val="16"/>
              </w:rPr>
              <w:t>完成培养技能人才数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44E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4709B">
            <w:pPr>
              <w:jc w:val="center"/>
            </w:pPr>
            <w:r>
              <w:rPr>
                <w:rFonts w:ascii="宋体" w:hAnsi="宋体" w:eastAsia="宋体"/>
                <w:sz w:val="16"/>
              </w:rPr>
              <w:t>&gt;=6人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BEB06">
            <w:pPr>
              <w:jc w:val="center"/>
            </w:pPr>
            <w:r>
              <w:rPr>
                <w:rFonts w:ascii="宋体" w:hAnsi="宋体" w:eastAsia="宋体"/>
                <w:sz w:val="16"/>
              </w:rPr>
              <w:t>=6人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C88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6E6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E21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7618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3E96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7FD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73BB1">
            <w:pPr>
              <w:jc w:val="center"/>
            </w:pPr>
          </w:p>
        </w:tc>
      </w:tr>
      <w:tr w14:paraId="3C96CB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B50A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9543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FA39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0B9F5">
            <w:pPr>
              <w:jc w:val="center"/>
            </w:pPr>
            <w:r>
              <w:rPr>
                <w:rFonts w:ascii="宋体" w:hAnsi="宋体" w:eastAsia="宋体"/>
                <w:sz w:val="16"/>
              </w:rPr>
              <w:t>补助发放完成率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0B5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F30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FC0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381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857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0D4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092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825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E3B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AD86C">
            <w:pPr>
              <w:jc w:val="center"/>
            </w:pPr>
          </w:p>
        </w:tc>
      </w:tr>
      <w:tr w14:paraId="086193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620C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961A2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CEAD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6F6C9">
            <w:pPr>
              <w:jc w:val="center"/>
            </w:pPr>
            <w:r>
              <w:rPr>
                <w:rFonts w:ascii="宋体" w:hAnsi="宋体" w:eastAsia="宋体"/>
                <w:sz w:val="16"/>
              </w:rPr>
              <w:t>补助发放覆盖率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DA85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541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9A1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60D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DF0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BC5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A85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7A3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4427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18824">
            <w:pPr>
              <w:jc w:val="center"/>
            </w:pPr>
          </w:p>
        </w:tc>
      </w:tr>
      <w:tr w14:paraId="3AB7AF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07EE5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10CFF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CB32D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9794E">
            <w:pPr>
              <w:jc w:val="center"/>
            </w:pPr>
            <w:r>
              <w:rPr>
                <w:rFonts w:ascii="宋体" w:hAnsi="宋体" w:eastAsia="宋体"/>
                <w:sz w:val="16"/>
              </w:rPr>
              <w:t>人才计划项目工作经费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AF10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59C07">
            <w:pPr>
              <w:jc w:val="center"/>
            </w:pPr>
            <w:r>
              <w:rPr>
                <w:rFonts w:ascii="宋体" w:hAnsi="宋体" w:eastAsia="宋体"/>
                <w:sz w:val="16"/>
              </w:rPr>
              <w:t>&lt;=21万元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38C16">
            <w:pPr>
              <w:jc w:val="center"/>
            </w:pPr>
            <w:r>
              <w:rPr>
                <w:rFonts w:ascii="宋体" w:hAnsi="宋体" w:eastAsia="宋体"/>
                <w:sz w:val="16"/>
              </w:rPr>
              <w:t>=21万元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7BA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C715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50A2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C33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E6D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5CA5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F9E56">
            <w:pPr>
              <w:jc w:val="center"/>
            </w:pPr>
          </w:p>
        </w:tc>
      </w:tr>
      <w:tr w14:paraId="2B3C03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C283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118D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7B25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DC365">
            <w:pPr>
              <w:jc w:val="center"/>
            </w:pPr>
            <w:r>
              <w:rPr>
                <w:rFonts w:ascii="宋体" w:hAnsi="宋体" w:eastAsia="宋体"/>
                <w:sz w:val="16"/>
              </w:rPr>
              <w:t>人才计划项目生活补贴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E25C0">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04A2B">
            <w:pPr>
              <w:jc w:val="center"/>
            </w:pPr>
            <w:r>
              <w:rPr>
                <w:rFonts w:ascii="宋体" w:hAnsi="宋体" w:eastAsia="宋体"/>
                <w:sz w:val="16"/>
              </w:rPr>
              <w:t>&lt;=42万元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D9280">
            <w:pPr>
              <w:jc w:val="center"/>
            </w:pPr>
            <w:r>
              <w:rPr>
                <w:rFonts w:ascii="宋体" w:hAnsi="宋体" w:eastAsia="宋体"/>
                <w:sz w:val="16"/>
              </w:rPr>
              <w:t>=42万元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AF3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A2C9F">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56CA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736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2C7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0ED2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097AC">
            <w:pPr>
              <w:jc w:val="center"/>
            </w:pPr>
          </w:p>
        </w:tc>
      </w:tr>
      <w:tr w14:paraId="36956C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8A59B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EEAF3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B6CF7">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9DFED">
            <w:pPr>
              <w:jc w:val="center"/>
            </w:pPr>
            <w:r>
              <w:rPr>
                <w:rFonts w:ascii="宋体" w:hAnsi="宋体" w:eastAsia="宋体"/>
                <w:sz w:val="16"/>
              </w:rPr>
              <w:t>搭建优质平台培育优秀人才骨干</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A9ED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99CFC">
            <w:pPr>
              <w:jc w:val="center"/>
            </w:pPr>
            <w:r>
              <w:rPr>
                <w:rFonts w:ascii="宋体" w:hAnsi="宋体" w:eastAsia="宋体"/>
                <w:sz w:val="16"/>
              </w:rPr>
              <w:t>长期培育</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BDE1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1CC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421D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3D2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17B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1F60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DAE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BE684">
            <w:pPr>
              <w:jc w:val="center"/>
            </w:pPr>
          </w:p>
        </w:tc>
      </w:tr>
      <w:tr w14:paraId="47EF5E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43AE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66AE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967E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161E5">
            <w:pPr>
              <w:jc w:val="center"/>
            </w:pPr>
            <w:r>
              <w:rPr>
                <w:rFonts w:ascii="宋体" w:hAnsi="宋体" w:eastAsia="宋体"/>
                <w:sz w:val="16"/>
              </w:rPr>
              <w:t>营造尊才重才的浓厚气氛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334B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9AB56">
            <w:pPr>
              <w:jc w:val="center"/>
            </w:pPr>
            <w:r>
              <w:rPr>
                <w:rFonts w:ascii="宋体" w:hAnsi="宋体" w:eastAsia="宋体"/>
                <w:sz w:val="16"/>
              </w:rPr>
              <w:t>长期营造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D766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FDD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F5DF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37D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668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D1C6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DB6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2EB82">
            <w:pPr>
              <w:jc w:val="center"/>
            </w:pPr>
          </w:p>
        </w:tc>
      </w:tr>
      <w:tr w14:paraId="5D59F09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986FBF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D61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32A7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BEE2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CE77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C80B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9C52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3EB3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073F2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F02C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B7DDA2"/>
        </w:tc>
      </w:tr>
    </w:tbl>
    <w:p w14:paraId="4DA7D0E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53BF4F29">
        <w:tblPrEx>
          <w:tblCellMar>
            <w:top w:w="0" w:type="dxa"/>
            <w:left w:w="108" w:type="dxa"/>
            <w:bottom w:w="0" w:type="dxa"/>
            <w:right w:w="108" w:type="dxa"/>
          </w:tblCellMar>
        </w:tblPrEx>
        <w:tc>
          <w:tcPr>
            <w:tcW w:w="8848" w:type="dxa"/>
            <w:gridSpan w:val="14"/>
            <w:vAlign w:val="center"/>
          </w:tcPr>
          <w:p w14:paraId="2816E79F">
            <w:pPr>
              <w:jc w:val="center"/>
            </w:pPr>
            <w:r>
              <w:rPr>
                <w:rFonts w:ascii="宋体" w:hAnsi="宋体" w:eastAsia="宋体"/>
                <w:sz w:val="24"/>
              </w:rPr>
              <w:t>项目支出绩效自评表</w:t>
            </w:r>
          </w:p>
        </w:tc>
      </w:tr>
      <w:tr w14:paraId="734B1B9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43C131B">
            <w:pPr>
              <w:jc w:val="center"/>
            </w:pPr>
            <w:r>
              <w:rPr>
                <w:rFonts w:ascii="宋体" w:hAnsi="宋体" w:eastAsia="宋体"/>
                <w:sz w:val="24"/>
              </w:rPr>
              <w:t>(2024年度)</w:t>
            </w:r>
          </w:p>
        </w:tc>
      </w:tr>
      <w:tr w14:paraId="534A1B8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FADD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5CE557A">
            <w:pPr>
              <w:jc w:val="center"/>
            </w:pPr>
            <w:r>
              <w:rPr>
                <w:rFonts w:ascii="宋体" w:hAnsi="宋体" w:eastAsia="宋体"/>
                <w:sz w:val="16"/>
              </w:rPr>
              <w:t>昌吉州市工人文化宫建设项目</w:t>
            </w:r>
          </w:p>
        </w:tc>
      </w:tr>
      <w:tr w14:paraId="05DA9F1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BC35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8C0E2E">
            <w:pPr>
              <w:jc w:val="center"/>
            </w:pPr>
            <w:r>
              <w:rPr>
                <w:rFonts w:hint="eastAsia" w:ascii="宋体" w:hAnsi="宋体"/>
                <w:sz w:val="16"/>
                <w:lang w:eastAsia="zh-CN"/>
              </w:rPr>
              <w:t>昌吉回族自治州</w:t>
            </w:r>
            <w:r>
              <w:rPr>
                <w:rFonts w:ascii="宋体" w:hAnsi="宋体" w:eastAsia="宋体"/>
                <w:sz w:val="16"/>
              </w:rPr>
              <w:t>总工会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D9D6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E977472">
            <w:pPr>
              <w:jc w:val="center"/>
            </w:pPr>
            <w:r>
              <w:rPr>
                <w:rFonts w:ascii="宋体" w:hAnsi="宋体" w:eastAsia="宋体"/>
                <w:sz w:val="16"/>
              </w:rPr>
              <w:t>昌吉回族自治州总工会本级</w:t>
            </w:r>
          </w:p>
        </w:tc>
      </w:tr>
      <w:tr w14:paraId="1504A22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30656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E4BA0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03C2A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DA1C4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1050C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59FAB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ED6FA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B240D">
            <w:pPr>
              <w:jc w:val="center"/>
            </w:pPr>
            <w:r>
              <w:rPr>
                <w:rFonts w:ascii="宋体" w:hAnsi="宋体" w:eastAsia="宋体"/>
                <w:sz w:val="16"/>
              </w:rPr>
              <w:t>得分</w:t>
            </w:r>
          </w:p>
        </w:tc>
      </w:tr>
      <w:tr w14:paraId="050EA2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8D5B8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32106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D25184">
            <w:pPr>
              <w:jc w:val="center"/>
            </w:pPr>
            <w:r>
              <w:rPr>
                <w:rFonts w:ascii="宋体" w:hAnsi="宋体" w:eastAsia="宋体"/>
                <w:sz w:val="16"/>
              </w:rPr>
              <w:t>180.00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C5F90A">
            <w:pPr>
              <w:jc w:val="center"/>
            </w:pPr>
            <w:r>
              <w:rPr>
                <w:rFonts w:ascii="宋体" w:hAnsi="宋体" w:eastAsia="宋体"/>
                <w:sz w:val="16"/>
              </w:rPr>
              <w:t>180.00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F2050C">
            <w:pPr>
              <w:jc w:val="center"/>
            </w:pPr>
            <w:r>
              <w:rPr>
                <w:rFonts w:ascii="宋体" w:hAnsi="宋体" w:eastAsia="宋体"/>
                <w:sz w:val="16"/>
              </w:rPr>
              <w:t>180.00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13AD6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2F43D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D1104">
            <w:pPr>
              <w:jc w:val="center"/>
            </w:pPr>
            <w:r>
              <w:rPr>
                <w:rFonts w:ascii="宋体" w:hAnsi="宋体" w:eastAsia="宋体"/>
                <w:sz w:val="16"/>
              </w:rPr>
              <w:t>10.00</w:t>
            </w:r>
          </w:p>
        </w:tc>
      </w:tr>
      <w:tr w14:paraId="2AFA8D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20605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958C0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BB5019">
            <w:pPr>
              <w:jc w:val="center"/>
            </w:pPr>
            <w:r>
              <w:rPr>
                <w:rFonts w:ascii="宋体" w:hAnsi="宋体" w:eastAsia="宋体"/>
                <w:sz w:val="16"/>
              </w:rPr>
              <w:t>180.00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604AA6">
            <w:pPr>
              <w:jc w:val="center"/>
            </w:pPr>
            <w:r>
              <w:rPr>
                <w:rFonts w:ascii="宋体" w:hAnsi="宋体" w:eastAsia="宋体"/>
                <w:sz w:val="16"/>
              </w:rPr>
              <w:t>180.00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A88719">
            <w:pPr>
              <w:jc w:val="center"/>
            </w:pPr>
            <w:r>
              <w:rPr>
                <w:rFonts w:ascii="宋体" w:hAnsi="宋体" w:eastAsia="宋体"/>
                <w:sz w:val="16"/>
              </w:rPr>
              <w:t>180.00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54683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E9CE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94503">
            <w:pPr>
              <w:jc w:val="center"/>
            </w:pPr>
            <w:r>
              <w:rPr>
                <w:rFonts w:ascii="宋体" w:hAnsi="宋体" w:eastAsia="宋体"/>
                <w:sz w:val="16"/>
              </w:rPr>
              <w:t>—</w:t>
            </w:r>
          </w:p>
        </w:tc>
      </w:tr>
      <w:tr w14:paraId="09759A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5B66E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479D3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10AE2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A14D5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67B8E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98C61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D845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A0CB8">
            <w:pPr>
              <w:jc w:val="center"/>
            </w:pPr>
            <w:r>
              <w:rPr>
                <w:rFonts w:ascii="宋体" w:hAnsi="宋体" w:eastAsia="宋体"/>
                <w:sz w:val="16"/>
              </w:rPr>
              <w:t>—</w:t>
            </w:r>
          </w:p>
        </w:tc>
      </w:tr>
      <w:tr w14:paraId="1C74018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A9CBA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923E9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F07884A">
            <w:pPr>
              <w:jc w:val="center"/>
            </w:pPr>
            <w:r>
              <w:rPr>
                <w:rFonts w:ascii="宋体" w:hAnsi="宋体" w:eastAsia="宋体"/>
                <w:sz w:val="16"/>
              </w:rPr>
              <w:t>实际完成情况</w:t>
            </w:r>
          </w:p>
        </w:tc>
      </w:tr>
      <w:tr w14:paraId="411ABC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737EA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F1850A">
            <w:pPr>
              <w:jc w:val="both"/>
            </w:pPr>
            <w:r>
              <w:rPr>
                <w:rFonts w:ascii="宋体" w:hAnsi="宋体" w:eastAsia="宋体"/>
                <w:sz w:val="16"/>
              </w:rPr>
              <w:t>根据项目确定的建设目标、建设内容、建设规模、建设进度组织实施，完成项目前期工作，推进重点项目建设，促进经济持续健康发展。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7A25BA7">
            <w:pPr>
              <w:jc w:val="both"/>
            </w:pPr>
            <w:r>
              <w:rPr>
                <w:rFonts w:hint="eastAsia" w:ascii="宋体" w:hAnsi="宋体"/>
                <w:sz w:val="16"/>
                <w:lang w:eastAsia="zh-CN"/>
              </w:rPr>
              <w:t>截至</w:t>
            </w:r>
            <w:r>
              <w:rPr>
                <w:rFonts w:ascii="宋体" w:hAnsi="宋体" w:eastAsia="宋体"/>
                <w:sz w:val="16"/>
              </w:rPr>
              <w:t>2024年12月31日，该项目实际完成了数量指标可研报告、初步设计、实施方案，目标值1批，完成率100%。成本指标项目前期成本设计费和项目实施设计费180万元，完成率100%。通过该项目的实施，提升了工人的职业技能、文化素养、通过体育活动和健康讲座改善身心健康、为工人提供交流平台昌吉人际互动，增强社会荣辱感、举办传统文化活动，推动文化传承与创新。促进了社会和谐与文化发展。</w:t>
            </w:r>
          </w:p>
        </w:tc>
      </w:tr>
      <w:tr w14:paraId="3EDC384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9915F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36FB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27E5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20E2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C7D4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99E0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998F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B44C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9375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4CA2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4778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0BA1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A59E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5817C">
            <w:pPr>
              <w:jc w:val="center"/>
            </w:pPr>
            <w:r>
              <w:rPr>
                <w:rFonts w:ascii="宋体" w:hAnsi="宋体" w:eastAsia="宋体"/>
                <w:sz w:val="16"/>
              </w:rPr>
              <w:t>偏差原因分析及改进措施</w:t>
            </w:r>
          </w:p>
        </w:tc>
      </w:tr>
      <w:tr w14:paraId="0EB2233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82553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F0C605">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6892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8A77D">
            <w:pPr>
              <w:jc w:val="center"/>
            </w:pPr>
            <w:r>
              <w:rPr>
                <w:rFonts w:ascii="宋体" w:hAnsi="宋体" w:eastAsia="宋体"/>
                <w:sz w:val="16"/>
              </w:rPr>
              <w:t>完成可研报告、初步设计、实施方案等</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2BA9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F7C74">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4E661">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00F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BEF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A7E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FE5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B574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3F57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4E985">
            <w:pPr>
              <w:jc w:val="center"/>
            </w:pPr>
          </w:p>
        </w:tc>
      </w:tr>
      <w:tr w14:paraId="608B0C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AA29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F6C0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DAA3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B4A03">
            <w:pPr>
              <w:jc w:val="center"/>
            </w:pPr>
            <w:r>
              <w:rPr>
                <w:rFonts w:ascii="宋体" w:hAnsi="宋体" w:eastAsia="宋体"/>
                <w:sz w:val="16"/>
              </w:rPr>
              <w:t>专家验收合格率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443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930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589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E9B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94A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A5E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B8E5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DDC8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1F34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CC3BD">
            <w:pPr>
              <w:jc w:val="center"/>
            </w:pPr>
          </w:p>
        </w:tc>
      </w:tr>
      <w:tr w14:paraId="1D3ABC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34DF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1334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BE7D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4F9AE">
            <w:pPr>
              <w:jc w:val="center"/>
            </w:pPr>
            <w:r>
              <w:rPr>
                <w:rFonts w:ascii="宋体" w:hAnsi="宋体" w:eastAsia="宋体"/>
                <w:sz w:val="16"/>
              </w:rPr>
              <w:t>投资计划分解（转发）用时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04C3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BED2D">
            <w:pPr>
              <w:jc w:val="center"/>
            </w:pPr>
            <w:r>
              <w:rPr>
                <w:rFonts w:ascii="宋体" w:hAnsi="宋体" w:eastAsia="宋体"/>
                <w:sz w:val="16"/>
              </w:rPr>
              <w:t>&lt;=10工作日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59427">
            <w:pPr>
              <w:jc w:val="center"/>
            </w:pPr>
            <w:r>
              <w:rPr>
                <w:rFonts w:ascii="宋体" w:hAnsi="宋体" w:eastAsia="宋体"/>
                <w:sz w:val="16"/>
              </w:rPr>
              <w:t>=10工作日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BF4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08E3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A77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BC5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4281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8410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9C136">
            <w:pPr>
              <w:jc w:val="center"/>
            </w:pPr>
          </w:p>
        </w:tc>
      </w:tr>
      <w:tr w14:paraId="7105CE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FAF09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80C58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1578A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4E078">
            <w:pPr>
              <w:jc w:val="center"/>
            </w:pPr>
            <w:r>
              <w:rPr>
                <w:rFonts w:ascii="宋体" w:hAnsi="宋体" w:eastAsia="宋体"/>
                <w:sz w:val="16"/>
              </w:rPr>
              <w:t>项目前期初步设计费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B62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4D4AE">
            <w:pPr>
              <w:jc w:val="center"/>
            </w:pPr>
            <w:r>
              <w:rPr>
                <w:rFonts w:ascii="宋体" w:hAnsi="宋体" w:eastAsia="宋体"/>
                <w:sz w:val="16"/>
              </w:rPr>
              <w:t>&lt;=100万元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1842E">
            <w:pPr>
              <w:jc w:val="center"/>
            </w:pPr>
            <w:r>
              <w:rPr>
                <w:rFonts w:ascii="宋体" w:hAnsi="宋体" w:eastAsia="宋体"/>
                <w:sz w:val="16"/>
              </w:rPr>
              <w:t>=90万元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294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DED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250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B44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74D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BC93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40C8C">
            <w:pPr>
              <w:jc w:val="center"/>
            </w:pPr>
          </w:p>
        </w:tc>
      </w:tr>
      <w:tr w14:paraId="038652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AF57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A05A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85E6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F8D26">
            <w:pPr>
              <w:jc w:val="center"/>
            </w:pPr>
            <w:r>
              <w:rPr>
                <w:rFonts w:ascii="宋体" w:hAnsi="宋体" w:eastAsia="宋体"/>
                <w:sz w:val="16"/>
              </w:rPr>
              <w:t>项目实施设计费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3C1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E0691">
            <w:pPr>
              <w:jc w:val="center"/>
            </w:pPr>
            <w:r>
              <w:rPr>
                <w:rFonts w:ascii="宋体" w:hAnsi="宋体" w:eastAsia="宋体"/>
                <w:sz w:val="16"/>
              </w:rPr>
              <w:t>&lt;=100万元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A289E">
            <w:pPr>
              <w:jc w:val="center"/>
            </w:pPr>
            <w:r>
              <w:rPr>
                <w:rFonts w:ascii="宋体" w:hAnsi="宋体" w:eastAsia="宋体"/>
                <w:sz w:val="16"/>
              </w:rPr>
              <w:t>=90万元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DE3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A6B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DC4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90B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1D8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102D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E1C66">
            <w:pPr>
              <w:jc w:val="center"/>
            </w:pPr>
          </w:p>
        </w:tc>
      </w:tr>
      <w:tr w14:paraId="346EE5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5E6B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CE95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4066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A9C2D">
            <w:pPr>
              <w:jc w:val="center"/>
            </w:pPr>
            <w:r>
              <w:rPr>
                <w:rFonts w:ascii="宋体" w:hAnsi="宋体" w:eastAsia="宋体"/>
                <w:sz w:val="16"/>
              </w:rPr>
              <w:t>推进重点项目建设，研究成果为经济社会发展提供决策参考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BFA1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BC975">
            <w:pPr>
              <w:jc w:val="center"/>
            </w:pPr>
            <w:r>
              <w:rPr>
                <w:rFonts w:ascii="宋体" w:hAnsi="宋体" w:eastAsia="宋体"/>
                <w:sz w:val="16"/>
              </w:rPr>
              <w:t>作用明显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D7DC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D06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B0BA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D6E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5BB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8BFC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A03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047B1">
            <w:pPr>
              <w:jc w:val="center"/>
            </w:pPr>
          </w:p>
        </w:tc>
      </w:tr>
      <w:tr w14:paraId="00CEC0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4C75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A902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5AAC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94D4F">
            <w:pPr>
              <w:jc w:val="center"/>
            </w:pPr>
            <w:r>
              <w:rPr>
                <w:rFonts w:ascii="宋体" w:hAnsi="宋体" w:eastAsia="宋体"/>
                <w:sz w:val="16"/>
              </w:rPr>
              <w:t>各项目实施单位满意度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FA7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CAA2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8C6CF">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4AB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1BE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AA8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75F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0273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27A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3A4F2">
            <w:pPr>
              <w:jc w:val="center"/>
            </w:pPr>
            <w:r>
              <w:rPr>
                <w:rFonts w:ascii="宋体" w:hAnsi="宋体" w:eastAsia="宋体"/>
                <w:sz w:val="16"/>
              </w:rPr>
              <w:t>无</w:t>
            </w:r>
          </w:p>
        </w:tc>
      </w:tr>
      <w:tr w14:paraId="38BE823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4A0CEA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A64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C72F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26772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EF44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6D13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8DEF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DB916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4A8D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791F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EE81FF"/>
        </w:tc>
      </w:tr>
    </w:tbl>
    <w:p w14:paraId="248F61ED">
      <w:r>
        <w:br w:type="page"/>
      </w:r>
    </w:p>
    <w:p w14:paraId="6037BC0F">
      <w:pPr>
        <w:spacing w:line="640" w:lineRule="exact"/>
        <w:ind w:firstLine="640"/>
        <w:jc w:val="both"/>
        <w:outlineLvl w:val="2"/>
      </w:pPr>
      <w:r>
        <w:rPr>
          <w:rFonts w:ascii="黑体" w:hAnsi="黑体" w:eastAsia="黑体"/>
          <w:sz w:val="32"/>
        </w:rPr>
        <w:t>十二、其他需说明的事项</w:t>
      </w:r>
    </w:p>
    <w:p w14:paraId="42AB87D7">
      <w:pPr>
        <w:spacing w:line="580" w:lineRule="exact"/>
        <w:ind w:firstLine="640"/>
        <w:jc w:val="both"/>
      </w:pPr>
      <w:r>
        <w:rPr>
          <w:rFonts w:ascii="仿宋_GB2312" w:hAnsi="仿宋_GB2312" w:eastAsia="仿宋_GB2312"/>
          <w:b w:val="0"/>
          <w:sz w:val="32"/>
        </w:rPr>
        <w:t>本单位无其他需说明的事项。</w:t>
      </w:r>
    </w:p>
    <w:p w14:paraId="1D72D6C8">
      <w:r>
        <w:br w:type="page"/>
      </w:r>
    </w:p>
    <w:p w14:paraId="0A6495B6">
      <w:pPr>
        <w:spacing w:line="240" w:lineRule="auto"/>
        <w:jc w:val="center"/>
        <w:outlineLvl w:val="1"/>
      </w:pPr>
      <w:r>
        <w:rPr>
          <w:rFonts w:ascii="黑体" w:hAnsi="黑体" w:eastAsia="黑体"/>
          <w:sz w:val="32"/>
        </w:rPr>
        <w:t>第三部分 专业名词解释</w:t>
      </w:r>
    </w:p>
    <w:p w14:paraId="3FC99C4B">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0C03B781">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0549667A">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04449FA4">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4D8843CF">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D33716D">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76C8E061">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7345A8DD">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591BFBF">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633BE82E">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5AD092C">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B2C3E6B">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56CB5A64">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0BFFB7E4">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77D3F377">
      <w:r>
        <w:br w:type="page"/>
      </w:r>
    </w:p>
    <w:p w14:paraId="31989718">
      <w:pPr>
        <w:spacing w:line="240" w:lineRule="auto"/>
        <w:jc w:val="center"/>
        <w:outlineLvl w:val="1"/>
      </w:pPr>
      <w:r>
        <w:rPr>
          <w:rFonts w:ascii="黑体" w:hAnsi="黑体" w:eastAsia="黑体"/>
          <w:sz w:val="32"/>
        </w:rPr>
        <w:t>第四部分 部门决算报表（见附表）</w:t>
      </w:r>
    </w:p>
    <w:p w14:paraId="1484E9D9">
      <w:pPr>
        <w:spacing w:line="240" w:lineRule="auto"/>
        <w:ind w:firstLine="640"/>
        <w:jc w:val="both"/>
      </w:pPr>
      <w:r>
        <w:rPr>
          <w:rFonts w:ascii="仿宋_GB2312" w:hAnsi="仿宋_GB2312" w:eastAsia="仿宋_GB2312"/>
          <w:b w:val="0"/>
          <w:sz w:val="32"/>
        </w:rPr>
        <w:t>一、《收入支出决算总表》</w:t>
      </w:r>
    </w:p>
    <w:p w14:paraId="024F6685">
      <w:pPr>
        <w:spacing w:line="240" w:lineRule="auto"/>
        <w:ind w:firstLine="640"/>
        <w:jc w:val="both"/>
      </w:pPr>
      <w:r>
        <w:rPr>
          <w:rFonts w:ascii="仿宋_GB2312" w:hAnsi="仿宋_GB2312" w:eastAsia="仿宋_GB2312"/>
          <w:b w:val="0"/>
          <w:sz w:val="32"/>
        </w:rPr>
        <w:t>二、《收入决算表》</w:t>
      </w:r>
    </w:p>
    <w:p w14:paraId="547877F0">
      <w:pPr>
        <w:spacing w:line="240" w:lineRule="auto"/>
        <w:ind w:firstLine="640"/>
        <w:jc w:val="both"/>
      </w:pPr>
      <w:r>
        <w:rPr>
          <w:rFonts w:ascii="仿宋_GB2312" w:hAnsi="仿宋_GB2312" w:eastAsia="仿宋_GB2312"/>
          <w:b w:val="0"/>
          <w:sz w:val="32"/>
        </w:rPr>
        <w:t>三、《支出决算表》</w:t>
      </w:r>
    </w:p>
    <w:p w14:paraId="2C768232">
      <w:pPr>
        <w:spacing w:line="240" w:lineRule="auto"/>
        <w:ind w:firstLine="640"/>
        <w:jc w:val="both"/>
      </w:pPr>
      <w:r>
        <w:rPr>
          <w:rFonts w:ascii="仿宋_GB2312" w:hAnsi="仿宋_GB2312" w:eastAsia="仿宋_GB2312"/>
          <w:b w:val="0"/>
          <w:sz w:val="32"/>
        </w:rPr>
        <w:t>四、《财政拨款收入支出决算总表》</w:t>
      </w:r>
    </w:p>
    <w:p w14:paraId="3801DE54">
      <w:pPr>
        <w:spacing w:line="240" w:lineRule="auto"/>
        <w:ind w:firstLine="640"/>
        <w:jc w:val="both"/>
      </w:pPr>
      <w:r>
        <w:rPr>
          <w:rFonts w:ascii="仿宋_GB2312" w:hAnsi="仿宋_GB2312" w:eastAsia="仿宋_GB2312"/>
          <w:b w:val="0"/>
          <w:sz w:val="32"/>
        </w:rPr>
        <w:t>五、《一般公共预算财政拨款支出决算表》</w:t>
      </w:r>
    </w:p>
    <w:p w14:paraId="3DC0086C">
      <w:pPr>
        <w:spacing w:line="240" w:lineRule="auto"/>
        <w:ind w:firstLine="640"/>
        <w:jc w:val="both"/>
      </w:pPr>
      <w:r>
        <w:rPr>
          <w:rFonts w:ascii="仿宋_GB2312" w:hAnsi="仿宋_GB2312" w:eastAsia="仿宋_GB2312"/>
          <w:b w:val="0"/>
          <w:sz w:val="32"/>
        </w:rPr>
        <w:t>六、《一般公共预算财政拨款基本支出决算表》</w:t>
      </w:r>
    </w:p>
    <w:p w14:paraId="4C7B2913">
      <w:pPr>
        <w:spacing w:line="240" w:lineRule="auto"/>
        <w:ind w:firstLine="640"/>
        <w:jc w:val="both"/>
      </w:pPr>
      <w:r>
        <w:rPr>
          <w:rFonts w:ascii="仿宋_GB2312" w:hAnsi="仿宋_GB2312" w:eastAsia="仿宋_GB2312"/>
          <w:b w:val="0"/>
          <w:sz w:val="32"/>
        </w:rPr>
        <w:t>七、《政府性基金预算财政拨款收入支出决算表》</w:t>
      </w:r>
    </w:p>
    <w:p w14:paraId="37A3887B">
      <w:pPr>
        <w:spacing w:line="240" w:lineRule="auto"/>
        <w:ind w:firstLine="640"/>
        <w:jc w:val="both"/>
      </w:pPr>
      <w:r>
        <w:rPr>
          <w:rFonts w:ascii="仿宋_GB2312" w:hAnsi="仿宋_GB2312" w:eastAsia="仿宋_GB2312"/>
          <w:b w:val="0"/>
          <w:sz w:val="32"/>
        </w:rPr>
        <w:t>八、《国有资本经营预算财政拨款收入支出决算表》</w:t>
      </w:r>
    </w:p>
    <w:p w14:paraId="03FCA02C">
      <w:pPr>
        <w:spacing w:line="240" w:lineRule="auto"/>
        <w:ind w:firstLine="640"/>
        <w:jc w:val="both"/>
      </w:pPr>
      <w:r>
        <w:rPr>
          <w:rFonts w:ascii="仿宋_GB2312" w:hAnsi="仿宋_GB2312" w:eastAsia="仿宋_GB2312"/>
          <w:b w:val="0"/>
          <w:sz w:val="32"/>
        </w:rPr>
        <w:t>九、《财政拨款“三公”经费支出决算表》</w:t>
      </w:r>
    </w:p>
    <w:p w14:paraId="0D40AC31">
      <w:pPr>
        <w:spacing w:line="240" w:lineRule="auto"/>
        <w:ind w:firstLine="640"/>
        <w:jc w:val="both"/>
      </w:pPr>
    </w:p>
    <w:p w14:paraId="309185B1">
      <w:pPr>
        <w:spacing w:line="240" w:lineRule="auto"/>
        <w:ind w:firstLine="640"/>
        <w:jc w:val="both"/>
      </w:pPr>
    </w:p>
    <w:p w14:paraId="5510234E">
      <w:pPr>
        <w:spacing w:line="240" w:lineRule="auto"/>
        <w:ind w:firstLine="640"/>
        <w:jc w:val="both"/>
      </w:pPr>
    </w:p>
    <w:p w14:paraId="2A737704">
      <w:pPr>
        <w:spacing w:line="240" w:lineRule="auto"/>
        <w:ind w:firstLine="640"/>
        <w:jc w:val="both"/>
      </w:pPr>
    </w:p>
    <w:p w14:paraId="76860B95">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A7E786F-E9A3-4F9B-A236-78D13CB8ED4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EE313875-5DCB-4A0E-9FB8-69608C7C8897}"/>
  </w:font>
  <w:font w:name="仿宋_GB2312">
    <w:panose1 w:val="02010609030101010101"/>
    <w:charset w:val="86"/>
    <w:family w:val="modern"/>
    <w:pitch w:val="default"/>
    <w:sig w:usb0="00000001" w:usb1="080E0000" w:usb2="00000000" w:usb3="00000000" w:csb0="00040000" w:csb1="00000000"/>
    <w:embedRegular r:id="rId3" w:fontKey="{7731F0E4-58A7-490F-A6F7-1B932F8A7AB5}"/>
  </w:font>
  <w:font w:name="楷体_GB2312">
    <w:panose1 w:val="02010609030101010101"/>
    <w:charset w:val="86"/>
    <w:family w:val="auto"/>
    <w:pitch w:val="default"/>
    <w:sig w:usb0="00000001" w:usb1="080E0000" w:usb2="00000000" w:usb3="00000000" w:csb0="00040000" w:csb1="00000000"/>
    <w:embedRegular r:id="rId4" w:fontKey="{2FDE3273-FE38-4E91-8AC6-8F536866711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55DFB"/>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87761A"/>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6016</Words>
  <Characters>6852</Characters>
  <Lines>0</Lines>
  <Paragraphs>0</Paragraphs>
  <TotalTime>3</TotalTime>
  <ScaleCrop>false</ScaleCrop>
  <LinksUpToDate>false</LinksUpToDate>
  <CharactersWithSpaces>6861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2025-10-15T04:49:57Z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eyJoZGlkIjoiZTEwMTFjZmI3NWUwMGRmYWEyNzFiMzQ2OTlkZWE5ODAiLCJ1c2VySWQiOiIzNzI2MDMzNTYifQ==</vt:lpwstr>
  </property>
</Properties>
</file>