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昌吉州地质环境监测站2024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669EAA4">
      <w:r>
        <w:br w:type="page"/>
      </w:r>
    </w:p>
    <w:p w14:paraId="21F9882E">
      <w:pPr>
        <w:spacing w:line="640" w:lineRule="exact"/>
        <w:jc w:val="center"/>
        <w:outlineLvl w:val="1"/>
      </w:pPr>
      <w:r>
        <w:rPr>
          <w:rFonts w:ascii="黑体" w:hAnsi="黑体" w:eastAsia="黑体"/>
          <w:sz w:val="32"/>
        </w:rPr>
        <w:t>第一部分 单位概况</w:t>
      </w:r>
    </w:p>
    <w:p w14:paraId="279824C7">
      <w:pPr>
        <w:spacing w:line="640" w:lineRule="exact"/>
        <w:ind w:firstLine="640"/>
        <w:jc w:val="both"/>
        <w:outlineLvl w:val="2"/>
      </w:pPr>
      <w:r>
        <w:rPr>
          <w:rFonts w:ascii="黑体" w:hAnsi="黑体" w:eastAsia="黑体"/>
          <w:sz w:val="32"/>
        </w:rPr>
        <w:t>一、主要职能</w:t>
      </w:r>
    </w:p>
    <w:p w14:paraId="71228D7D">
      <w:pPr>
        <w:spacing w:line="580" w:lineRule="exact"/>
        <w:ind w:firstLine="640"/>
        <w:jc w:val="both"/>
      </w:pPr>
      <w:r>
        <w:rPr>
          <w:rFonts w:ascii="仿宋_GB2312" w:hAnsi="仿宋_GB2312" w:eastAsia="仿宋_GB2312"/>
          <w:sz w:val="32"/>
        </w:rPr>
        <w:t>承担区域地质环境调查，评价重要地质灾害、地下水动态及地下水环境监测以及监测数据资料汇总分析，为政府工作决策提供参考数据等职能，开展地下水动态监测，及时采集观测数据，按要求编制年度通报，组织编制年度地质环境监测工作计划及五年期地下水动态监测报告，编写地下水均衡试验及蒸发综合研究报告，开展凝结水高</w:t>
      </w:r>
      <w:r>
        <w:rPr>
          <w:rFonts w:hint="eastAsia" w:ascii="仿宋_GB2312" w:hAnsi="仿宋_GB2312" w:eastAsia="仿宋_GB2312"/>
          <w:sz w:val="32"/>
          <w:lang w:eastAsia="zh-CN"/>
        </w:rPr>
        <w:t>矿石</w:t>
      </w:r>
      <w:r>
        <w:rPr>
          <w:rFonts w:ascii="仿宋_GB2312" w:hAnsi="仿宋_GB2312" w:eastAsia="仿宋_GB2312"/>
          <w:sz w:val="32"/>
        </w:rPr>
        <w:t>地下水植被生长状态研究编制中子仪，负压计观测日报表，组织负压计除气（维护）及试验区作物管理工作，按时做好各项资料汇总工作，积极开展资料综合研究工作等。</w:t>
      </w:r>
    </w:p>
    <w:p w14:paraId="0F6082C5">
      <w:pPr>
        <w:spacing w:line="640" w:lineRule="exact"/>
        <w:ind w:firstLine="640"/>
        <w:jc w:val="both"/>
        <w:outlineLvl w:val="2"/>
      </w:pPr>
      <w:r>
        <w:rPr>
          <w:rFonts w:ascii="黑体" w:hAnsi="黑体" w:eastAsia="黑体"/>
          <w:sz w:val="32"/>
        </w:rPr>
        <w:t>二、机构设置及人员情况</w:t>
      </w:r>
    </w:p>
    <w:p w14:paraId="28A551B1">
      <w:pPr>
        <w:spacing w:line="580" w:lineRule="exact"/>
        <w:ind w:firstLine="640"/>
        <w:jc w:val="both"/>
      </w:pPr>
      <w:r>
        <w:rPr>
          <w:rFonts w:ascii="仿宋_GB2312" w:hAnsi="仿宋_GB2312" w:eastAsia="仿宋_GB2312"/>
          <w:sz w:val="32"/>
        </w:rPr>
        <w:t>昌吉州地质环境监测站2024年度，实有人数13人，其中：在职人员10人，减少1人；离休人员0人，增加0人；退休人员3人,增加2人。</w:t>
      </w:r>
    </w:p>
    <w:p w14:paraId="42EFE0FC">
      <w:pPr>
        <w:spacing w:line="580" w:lineRule="exact"/>
        <w:ind w:firstLine="640"/>
        <w:jc w:val="both"/>
      </w:pPr>
      <w:r>
        <w:rPr>
          <w:rFonts w:ascii="仿宋_GB2312" w:hAnsi="仿宋_GB2312" w:eastAsia="仿宋_GB2312"/>
          <w:sz w:val="32"/>
        </w:rPr>
        <w:t>昌吉州地质环境监测站无下属预算单位，下设3个科室，分别是：综合研究室、地下水监测科、地下水试验科。</w:t>
      </w:r>
    </w:p>
    <w:p w14:paraId="0224BD5B">
      <w:r>
        <w:br w:type="page"/>
      </w:r>
    </w:p>
    <w:p w14:paraId="79809286">
      <w:pPr>
        <w:spacing w:line="240" w:lineRule="auto"/>
        <w:jc w:val="center"/>
        <w:outlineLvl w:val="1"/>
      </w:pPr>
      <w:r>
        <w:rPr>
          <w:rFonts w:ascii="黑体" w:hAnsi="黑体" w:eastAsia="黑体"/>
          <w:sz w:val="32"/>
        </w:rPr>
        <w:t>第二部分 部门决算情况说明</w:t>
      </w:r>
    </w:p>
    <w:p w14:paraId="091D65E0">
      <w:pPr>
        <w:spacing w:line="640" w:lineRule="exact"/>
        <w:ind w:firstLine="640"/>
        <w:jc w:val="both"/>
        <w:outlineLvl w:val="2"/>
      </w:pPr>
      <w:r>
        <w:rPr>
          <w:rFonts w:ascii="黑体" w:hAnsi="黑体" w:eastAsia="黑体"/>
          <w:sz w:val="32"/>
        </w:rPr>
        <w:t>一、收入支出决算总体情况说明</w:t>
      </w:r>
    </w:p>
    <w:p w14:paraId="2BAD6CCA">
      <w:pPr>
        <w:spacing w:line="580" w:lineRule="exact"/>
        <w:ind w:firstLine="640"/>
        <w:jc w:val="both"/>
      </w:pPr>
      <w:r>
        <w:rPr>
          <w:rFonts w:ascii="仿宋_GB2312" w:hAnsi="仿宋_GB2312" w:eastAsia="仿宋_GB2312"/>
          <w:b/>
          <w:sz w:val="32"/>
        </w:rPr>
        <w:t>2024年度收入总计275.99万元，</w:t>
      </w:r>
      <w:r>
        <w:rPr>
          <w:rFonts w:ascii="仿宋_GB2312" w:hAnsi="仿宋_GB2312" w:eastAsia="仿宋_GB2312"/>
          <w:b w:val="0"/>
          <w:sz w:val="32"/>
        </w:rPr>
        <w:t>其中：本年收入合计268.03万元，使用非财政拨款结余（含专用结余）0.00万元，年初结转和结余7.96万元。</w:t>
      </w:r>
    </w:p>
    <w:p w14:paraId="6DC61361">
      <w:pPr>
        <w:spacing w:line="580" w:lineRule="exact"/>
        <w:ind w:firstLine="640"/>
        <w:jc w:val="both"/>
      </w:pPr>
      <w:r>
        <w:rPr>
          <w:rFonts w:ascii="仿宋_GB2312" w:hAnsi="仿宋_GB2312" w:eastAsia="仿宋_GB2312"/>
          <w:b/>
          <w:sz w:val="32"/>
        </w:rPr>
        <w:t>2024年度支出总计275.99万元，</w:t>
      </w:r>
      <w:r>
        <w:rPr>
          <w:rFonts w:ascii="仿宋_GB2312" w:hAnsi="仿宋_GB2312" w:eastAsia="仿宋_GB2312"/>
          <w:b w:val="0"/>
          <w:sz w:val="32"/>
        </w:rPr>
        <w:t>其中：本年支出合计270.65万元，结余分配0.00万元，年末结转和结余5.34万元。</w:t>
      </w:r>
    </w:p>
    <w:p w14:paraId="174693D5">
      <w:pPr>
        <w:spacing w:line="580" w:lineRule="exact"/>
        <w:ind w:firstLine="640"/>
        <w:jc w:val="both"/>
      </w:pPr>
      <w:r>
        <w:rPr>
          <w:rFonts w:ascii="仿宋_GB2312" w:hAnsi="仿宋_GB2312" w:eastAsia="仿宋_GB2312"/>
          <w:b w:val="0"/>
          <w:sz w:val="32"/>
        </w:rPr>
        <w:t>收入支出总体与上年相比，减少3.07万元，下降1.10%，主要原因是：本年在职人员减少，相关人员经费减少。</w:t>
      </w:r>
    </w:p>
    <w:p w14:paraId="364ECF77">
      <w:pPr>
        <w:spacing w:line="640" w:lineRule="exact"/>
        <w:ind w:firstLine="640"/>
        <w:jc w:val="both"/>
        <w:outlineLvl w:val="2"/>
      </w:pPr>
      <w:r>
        <w:rPr>
          <w:rFonts w:ascii="黑体" w:hAnsi="黑体" w:eastAsia="黑体"/>
          <w:sz w:val="32"/>
        </w:rPr>
        <w:t>二、收入决算情况说明</w:t>
      </w:r>
    </w:p>
    <w:p w14:paraId="657EFCD0">
      <w:pPr>
        <w:spacing w:line="580" w:lineRule="exact"/>
        <w:ind w:firstLine="640"/>
        <w:jc w:val="both"/>
      </w:pPr>
      <w:r>
        <w:rPr>
          <w:rFonts w:ascii="仿宋_GB2312" w:hAnsi="仿宋_GB2312" w:eastAsia="仿宋_GB2312"/>
          <w:b/>
          <w:sz w:val="32"/>
        </w:rPr>
        <w:t>本年收入268.03万元，</w:t>
      </w:r>
      <w:r>
        <w:rPr>
          <w:rFonts w:ascii="仿宋_GB2312" w:hAnsi="仿宋_GB2312" w:eastAsia="仿宋_GB2312"/>
          <w:b w:val="0"/>
          <w:sz w:val="32"/>
        </w:rPr>
        <w:t>其中：财政拨款收入268.03万元，占100.00%；上级补助收入0.00万元，占0.00%；事业收入0.00万元，占0.00%；经营收入0.00万元，占0.00%；附属单位上缴收入0.00万元，占0.00%；其他收入0.00万元，占0.00%。</w:t>
      </w:r>
    </w:p>
    <w:p w14:paraId="01C234DB">
      <w:pPr>
        <w:spacing w:line="640" w:lineRule="exact"/>
        <w:ind w:firstLine="640"/>
        <w:jc w:val="both"/>
        <w:outlineLvl w:val="2"/>
      </w:pPr>
      <w:r>
        <w:rPr>
          <w:rFonts w:ascii="黑体" w:hAnsi="黑体" w:eastAsia="黑体"/>
          <w:sz w:val="32"/>
        </w:rPr>
        <w:t>三、支出决算情况说明</w:t>
      </w:r>
    </w:p>
    <w:p w14:paraId="0B868E7F">
      <w:pPr>
        <w:spacing w:line="580" w:lineRule="exact"/>
        <w:ind w:firstLine="640"/>
        <w:jc w:val="both"/>
      </w:pPr>
      <w:r>
        <w:rPr>
          <w:rFonts w:ascii="仿宋_GB2312" w:hAnsi="仿宋_GB2312" w:eastAsia="仿宋_GB2312"/>
          <w:b/>
          <w:sz w:val="32"/>
        </w:rPr>
        <w:t>本年支出270.65万元，</w:t>
      </w:r>
      <w:r>
        <w:rPr>
          <w:rFonts w:ascii="仿宋_GB2312" w:hAnsi="仿宋_GB2312" w:eastAsia="仿宋_GB2312"/>
          <w:b w:val="0"/>
          <w:sz w:val="32"/>
        </w:rPr>
        <w:t>其中：基本支出238.03万元，占87.95%；项目支出32.62万元，占12.05%；上缴上级支出0.00万元，占0.00%；经营支出0.00万元，占0.00%；对附属单位补助支出0.00万元，占0.00%。</w:t>
      </w:r>
    </w:p>
    <w:p w14:paraId="5F83F2CD">
      <w:pPr>
        <w:spacing w:line="640" w:lineRule="exact"/>
        <w:ind w:firstLine="640"/>
        <w:jc w:val="both"/>
        <w:outlineLvl w:val="2"/>
      </w:pPr>
      <w:r>
        <w:rPr>
          <w:rFonts w:ascii="黑体" w:hAnsi="黑体" w:eastAsia="黑体"/>
          <w:sz w:val="32"/>
        </w:rPr>
        <w:t>四、财政拨款收入支出决算总体情况说明</w:t>
      </w:r>
    </w:p>
    <w:p w14:paraId="37DBF473">
      <w:pPr>
        <w:spacing w:line="580" w:lineRule="exact"/>
        <w:ind w:firstLine="640"/>
        <w:jc w:val="both"/>
      </w:pPr>
      <w:r>
        <w:rPr>
          <w:rFonts w:ascii="仿宋_GB2312" w:hAnsi="仿宋_GB2312" w:eastAsia="仿宋_GB2312"/>
          <w:b/>
          <w:sz w:val="32"/>
        </w:rPr>
        <w:t>2024年度财政拨款收入总计268.03万元，</w:t>
      </w:r>
      <w:r>
        <w:rPr>
          <w:rFonts w:ascii="仿宋_GB2312" w:hAnsi="仿宋_GB2312" w:eastAsia="仿宋_GB2312"/>
          <w:b w:val="0"/>
          <w:sz w:val="32"/>
        </w:rPr>
        <w:t>其中：年初财政拨款结转和结余0.00万元，本年财政拨款收入268.03万元。</w:t>
      </w:r>
      <w:r>
        <w:rPr>
          <w:rFonts w:ascii="仿宋_GB2312" w:hAnsi="仿宋_GB2312" w:eastAsia="仿宋_GB2312"/>
          <w:b/>
          <w:sz w:val="32"/>
        </w:rPr>
        <w:t>财政拨款支出总计268.03万元，</w:t>
      </w:r>
      <w:r>
        <w:rPr>
          <w:rFonts w:ascii="仿宋_GB2312" w:hAnsi="仿宋_GB2312" w:eastAsia="仿宋_GB2312"/>
          <w:b w:val="0"/>
          <w:sz w:val="32"/>
        </w:rPr>
        <w:t>其中：年末财政拨款结转和结余0.00万元，本年财政拨款支出268.03万元。</w:t>
      </w:r>
    </w:p>
    <w:p w14:paraId="2F2F14D9">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减少4.69万元，下降1.72%，主要原因是：本年在职人员减少，相关人员经费减少。</w:t>
      </w:r>
      <w:r>
        <w:rPr>
          <w:rFonts w:ascii="仿宋_GB2312" w:hAnsi="仿宋_GB2312" w:eastAsia="仿宋_GB2312"/>
          <w:b/>
          <w:sz w:val="32"/>
        </w:rPr>
        <w:t>与年初预算相比，</w:t>
      </w:r>
      <w:r>
        <w:rPr>
          <w:rFonts w:ascii="仿宋_GB2312" w:hAnsi="仿宋_GB2312" w:eastAsia="仿宋_GB2312"/>
          <w:b w:val="0"/>
          <w:sz w:val="32"/>
        </w:rPr>
        <w:t>年初预算数244.71万元，决算数268.03万元，预决算差异率9.53%，主要原因是：年中追加人员工资、社保、公积金基数调增部分资金，导致预决算存在差异。</w:t>
      </w:r>
    </w:p>
    <w:p w14:paraId="0301F8C1">
      <w:pPr>
        <w:spacing w:line="640" w:lineRule="exact"/>
        <w:ind w:firstLine="640"/>
        <w:jc w:val="both"/>
        <w:outlineLvl w:val="2"/>
      </w:pPr>
      <w:r>
        <w:rPr>
          <w:rFonts w:ascii="黑体" w:hAnsi="黑体" w:eastAsia="黑体"/>
          <w:sz w:val="32"/>
        </w:rPr>
        <w:t>五、一般公共预算财政拨款支出决算情况说明</w:t>
      </w:r>
    </w:p>
    <w:p w14:paraId="047E792A">
      <w:pPr>
        <w:spacing w:line="640" w:lineRule="exact"/>
        <w:ind w:firstLine="640"/>
        <w:jc w:val="both"/>
        <w:outlineLvl w:val="3"/>
      </w:pPr>
      <w:r>
        <w:rPr>
          <w:rFonts w:ascii="楷体_GB2312" w:hAnsi="楷体_GB2312" w:eastAsia="楷体_GB2312"/>
          <w:b/>
          <w:sz w:val="32"/>
        </w:rPr>
        <w:t>（一）一般公共预算财政拨款支出决算总体情况</w:t>
      </w:r>
    </w:p>
    <w:p w14:paraId="74F17526">
      <w:pPr>
        <w:spacing w:line="580" w:lineRule="exact"/>
        <w:ind w:firstLine="640"/>
        <w:jc w:val="both"/>
      </w:pPr>
      <w:r>
        <w:rPr>
          <w:rFonts w:ascii="仿宋_GB2312" w:hAnsi="仿宋_GB2312" w:eastAsia="仿宋_GB2312"/>
          <w:b/>
          <w:sz w:val="32"/>
        </w:rPr>
        <w:t>2024年度一般公共预算财政拨款支出268.03万元，</w:t>
      </w:r>
      <w:r>
        <w:rPr>
          <w:rFonts w:ascii="仿宋_GB2312" w:hAnsi="仿宋_GB2312" w:eastAsia="仿宋_GB2312"/>
          <w:b w:val="0"/>
          <w:sz w:val="32"/>
        </w:rPr>
        <w:t>占本年支出合计的99.03%。</w:t>
      </w:r>
      <w:r>
        <w:rPr>
          <w:rFonts w:ascii="仿宋_GB2312" w:hAnsi="仿宋_GB2312" w:eastAsia="仿宋_GB2312"/>
          <w:b/>
          <w:sz w:val="32"/>
        </w:rPr>
        <w:t>与上年相比，</w:t>
      </w:r>
      <w:r>
        <w:rPr>
          <w:rFonts w:ascii="仿宋_GB2312" w:hAnsi="仿宋_GB2312" w:eastAsia="仿宋_GB2312"/>
          <w:b w:val="0"/>
          <w:sz w:val="32"/>
        </w:rPr>
        <w:t>减少4.69万元，下降1.72%，主要原因是：本年在职人员减少，相关人员经费减少。</w:t>
      </w:r>
      <w:r>
        <w:rPr>
          <w:rFonts w:ascii="仿宋_GB2312" w:hAnsi="仿宋_GB2312" w:eastAsia="仿宋_GB2312"/>
          <w:b/>
          <w:sz w:val="32"/>
        </w:rPr>
        <w:t>与年初预算相比,</w:t>
      </w:r>
      <w:r>
        <w:rPr>
          <w:rFonts w:ascii="仿宋_GB2312" w:hAnsi="仿宋_GB2312" w:eastAsia="仿宋_GB2312"/>
          <w:b w:val="0"/>
          <w:sz w:val="32"/>
        </w:rPr>
        <w:t>年初预算数244.71万元，决算数268.03万元，预决算差异率9.53%，主要原因是：年中追加人员工资、社保、公积金基数调增部分资金，导致预决算存在差异。</w:t>
      </w:r>
    </w:p>
    <w:p w14:paraId="4175AAA7">
      <w:pPr>
        <w:spacing w:line="640" w:lineRule="exact"/>
        <w:ind w:firstLine="640"/>
        <w:jc w:val="both"/>
        <w:outlineLvl w:val="3"/>
      </w:pPr>
      <w:r>
        <w:rPr>
          <w:rFonts w:ascii="楷体_GB2312" w:hAnsi="楷体_GB2312" w:eastAsia="楷体_GB2312"/>
          <w:b/>
          <w:sz w:val="32"/>
        </w:rPr>
        <w:t>（二）一般公共预算财政拨款支出决算结构情况</w:t>
      </w:r>
    </w:p>
    <w:p w14:paraId="57B09D02">
      <w:pPr>
        <w:spacing w:line="580" w:lineRule="exact"/>
        <w:ind w:firstLine="640"/>
        <w:jc w:val="both"/>
      </w:pPr>
      <w:r>
        <w:rPr>
          <w:rFonts w:ascii="仿宋_GB2312" w:hAnsi="仿宋_GB2312" w:eastAsia="仿宋_GB2312"/>
          <w:b w:val="0"/>
          <w:sz w:val="32"/>
        </w:rPr>
        <w:t>1.社会保障和就业支出(类)48.37万元,占18.05%。</w:t>
      </w:r>
    </w:p>
    <w:p w14:paraId="21118866">
      <w:pPr>
        <w:spacing w:line="580" w:lineRule="exact"/>
        <w:ind w:firstLine="640"/>
        <w:jc w:val="both"/>
      </w:pPr>
      <w:r>
        <w:rPr>
          <w:rFonts w:ascii="仿宋_GB2312" w:hAnsi="仿宋_GB2312" w:eastAsia="仿宋_GB2312"/>
          <w:b w:val="0"/>
          <w:sz w:val="32"/>
        </w:rPr>
        <w:t>2.卫生健康支出(类)11.54万元,占4.31%。</w:t>
      </w:r>
    </w:p>
    <w:p w14:paraId="74CCF9BC">
      <w:pPr>
        <w:spacing w:line="580" w:lineRule="exact"/>
        <w:ind w:firstLine="640"/>
        <w:jc w:val="both"/>
      </w:pPr>
      <w:r>
        <w:rPr>
          <w:rFonts w:ascii="仿宋_GB2312" w:hAnsi="仿宋_GB2312" w:eastAsia="仿宋_GB2312"/>
          <w:b w:val="0"/>
          <w:sz w:val="32"/>
        </w:rPr>
        <w:t>3.自然资源海洋气象等支出(类)190.81万元,占71.19%。</w:t>
      </w:r>
    </w:p>
    <w:p w14:paraId="552D27C3">
      <w:pPr>
        <w:spacing w:line="580" w:lineRule="exact"/>
        <w:ind w:firstLine="640"/>
        <w:jc w:val="both"/>
      </w:pPr>
      <w:r>
        <w:rPr>
          <w:rFonts w:ascii="仿宋_GB2312" w:hAnsi="仿宋_GB2312" w:eastAsia="仿宋_GB2312"/>
          <w:b w:val="0"/>
          <w:sz w:val="32"/>
        </w:rPr>
        <w:t>4.住房保障支出(类)17.30万元,占6.45%。</w:t>
      </w:r>
    </w:p>
    <w:p w14:paraId="490FCDD0">
      <w:pPr>
        <w:spacing w:line="640" w:lineRule="exact"/>
        <w:ind w:firstLine="640"/>
        <w:jc w:val="both"/>
        <w:outlineLvl w:val="3"/>
      </w:pPr>
      <w:r>
        <w:rPr>
          <w:rFonts w:ascii="楷体_GB2312" w:hAnsi="楷体_GB2312" w:eastAsia="楷体_GB2312"/>
          <w:b/>
          <w:sz w:val="32"/>
        </w:rPr>
        <w:t>（三）一般公共预算财政拨款支出决算具体情况</w:t>
      </w:r>
    </w:p>
    <w:p w14:paraId="65733D54">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1.社会保障和就业支出(类)行政事业单位养老支出(款)事业单位离退休(项):支出决算数为0.62万元，比上年决算增加0.30万元，增长93.75%,主要原因是：本年增加退休人员基础绩效奖，退休费支出增加。</w:t>
      </w:r>
    </w:p>
    <w:p w14:paraId="58AC625A">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21.59万元，比上年决算增加1.52万元，增长7.57%,主要原因是：本年在职人员工资基数调增，养老缴费基数上涨，相应支出增加。</w:t>
      </w:r>
    </w:p>
    <w:p w14:paraId="190E9129">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3.社会保障和就业支出(类)行政事业单位养老支出(款)机关事业单位职业年金缴费支出(项):支出决算数为26.15万元，比上年决算增加9.54万元，增长57.44%,主要原因是：本年新增退休人员，职业年金缴费支出增加。</w:t>
      </w:r>
    </w:p>
    <w:p w14:paraId="1ED5B613">
      <w:pPr>
        <w:spacing w:line="580" w:lineRule="exact"/>
        <w:ind w:firstLine="640"/>
        <w:jc w:val="both"/>
      </w:pPr>
      <w:r>
        <w:rPr>
          <w:rFonts w:ascii="仿宋_GB2312" w:hAnsi="仿宋_GB2312" w:eastAsia="仿宋_GB2312"/>
          <w:b w:val="0"/>
          <w:sz w:val="32"/>
        </w:rPr>
        <w:t>4.卫生健康支出(类)行政事业单位医疗(款)事业单位医疗(项):支出决算数为10.80万元，比上年决算增加3.37万元，增长45.36%,主要原因是：本年在职人员工资基数调增，医疗缴费基数上涨，相应支出增加。</w:t>
      </w:r>
    </w:p>
    <w:p w14:paraId="2D6A932A">
      <w:pPr>
        <w:spacing w:line="580" w:lineRule="exact"/>
        <w:ind w:firstLine="640"/>
        <w:jc w:val="both"/>
      </w:pPr>
      <w:r>
        <w:rPr>
          <w:rFonts w:ascii="仿宋_GB2312" w:hAnsi="仿宋_GB2312" w:eastAsia="仿宋_GB2312"/>
          <w:b w:val="0"/>
          <w:sz w:val="32"/>
        </w:rPr>
        <w:t>5.卫生健康支出(类)行政事业单位医疗(款)公务员医疗补助(项):支出决算数为0.67万元，比上年决算增加0.23万元，增长52.27%,主要原因是：本年在职人员工资基数调增，医疗缴费基数上涨，相应支出增加。</w:t>
      </w:r>
    </w:p>
    <w:p w14:paraId="42874403">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6.卫生健康支出(类)行政事业单位医疗(款)其他行政事业单位医疗支出(项):支出决算数为0.07万元，比上年决算增加0.02万元，增长40.00%,主要原因是：本年在职人员工资基数调增，医疗缴费基数上涨，相应支出增加。</w:t>
      </w:r>
    </w:p>
    <w:p w14:paraId="40E048CE">
      <w:pPr>
        <w:spacing w:line="580" w:lineRule="exact"/>
        <w:ind w:firstLine="640"/>
        <w:jc w:val="both"/>
      </w:pPr>
      <w:r>
        <w:rPr>
          <w:rFonts w:ascii="仿宋_GB2312" w:hAnsi="仿宋_GB2312" w:eastAsia="仿宋_GB2312"/>
          <w:b w:val="0"/>
          <w:sz w:val="32"/>
        </w:rPr>
        <w:t>7.自然资源海洋气象等支出(类)自然资源事务(款)事业运行(项):支出决算数为160.81万元，比上年决算减少20.19万元，下降11.15%,主要原因是：本年在职人员减少，相关人员经费减少。</w:t>
      </w:r>
    </w:p>
    <w:p w14:paraId="5E920C69">
      <w:pPr>
        <w:spacing w:line="580" w:lineRule="exact"/>
        <w:ind w:firstLine="640"/>
        <w:jc w:val="both"/>
      </w:pPr>
      <w:r>
        <w:rPr>
          <w:rFonts w:ascii="仿宋_GB2312" w:hAnsi="仿宋_GB2312" w:eastAsia="仿宋_GB2312"/>
          <w:b w:val="0"/>
          <w:sz w:val="32"/>
        </w:rPr>
        <w:t>8.自然资源海洋气象等支出(类)自然资源事务(款)其他自然资源事务支出(项):支出决算数为30.00万元，比上年决算增加0.00万元，增长0.00%,主要原因是：本年机构运行补助经费项目较上年无变化。</w:t>
      </w:r>
    </w:p>
    <w:p w14:paraId="5807B6B3">
      <w:pPr>
        <w:spacing w:line="580" w:lineRule="exact"/>
        <w:ind w:firstLine="640"/>
        <w:jc w:val="both"/>
      </w:pPr>
      <w:r>
        <w:rPr>
          <w:rFonts w:ascii="仿宋_GB2312" w:hAnsi="仿宋_GB2312" w:eastAsia="仿宋_GB2312"/>
          <w:b w:val="0"/>
          <w:sz w:val="32"/>
        </w:rPr>
        <w:t>9.住房保障支出(类)住房改革支出(款)住房公积金(项):支出决算数为17.30万元，比上年决算增加0.51万元，增长3.04%,主要原因是：本年在职人员工资基数调增，公积金缴费基数上涨，相应支出增加。</w:t>
      </w:r>
    </w:p>
    <w:p w14:paraId="51FED845">
      <w:pPr>
        <w:spacing w:line="640" w:lineRule="exact"/>
        <w:ind w:firstLine="640"/>
        <w:jc w:val="both"/>
        <w:outlineLvl w:val="2"/>
      </w:pPr>
      <w:r>
        <w:rPr>
          <w:rFonts w:ascii="黑体" w:hAnsi="黑体" w:eastAsia="黑体"/>
          <w:sz w:val="32"/>
        </w:rPr>
        <w:t>六、一般公共预算财政拨款基本支出决算情况说明</w:t>
      </w:r>
    </w:p>
    <w:p w14:paraId="53867FBD">
      <w:pPr>
        <w:spacing w:line="580" w:lineRule="exact"/>
        <w:ind w:firstLine="640"/>
        <w:jc w:val="both"/>
      </w:pPr>
      <w:r>
        <w:rPr>
          <w:rFonts w:ascii="仿宋_GB2312" w:hAnsi="仿宋_GB2312" w:eastAsia="仿宋_GB2312"/>
          <w:b w:val="0"/>
          <w:sz w:val="32"/>
        </w:rPr>
        <w:t>2024年度一般公共预算财政拨款基本支出238.03万元，其中：</w:t>
      </w:r>
      <w:r>
        <w:rPr>
          <w:rFonts w:ascii="仿宋_GB2312" w:hAnsi="仿宋_GB2312" w:eastAsia="仿宋_GB2312"/>
          <w:b/>
          <w:sz w:val="32"/>
        </w:rPr>
        <w:t>人员经费221.65万元，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包括：基本工资、津贴补贴、奖金、绩效工资、机关事业单位基本养老保险缴费、职业年金缴费、职工基本医疗保险缴费、公务员医疗补助缴费、其他社会保障缴费、住房公积金、退休费、生活补助、奖励金。</w:t>
      </w:r>
    </w:p>
    <w:p w14:paraId="22885CB8">
      <w:pPr>
        <w:spacing w:line="580" w:lineRule="exact"/>
        <w:ind w:firstLine="640"/>
        <w:jc w:val="both"/>
      </w:pPr>
      <w:r>
        <w:rPr>
          <w:rFonts w:ascii="仿宋_GB2312" w:hAnsi="仿宋_GB2312" w:eastAsia="仿宋_GB2312"/>
          <w:b/>
          <w:sz w:val="32"/>
        </w:rPr>
        <w:t>公用经费16.38万元，</w:t>
      </w:r>
      <w:r>
        <w:rPr>
          <w:rFonts w:ascii="仿宋_GB2312" w:hAnsi="仿宋_GB2312" w:eastAsia="仿宋_GB2312"/>
          <w:b w:val="0"/>
          <w:sz w:val="32"/>
        </w:rPr>
        <w:t>包括：办公费、电费、邮电费、取暖费、差旅费、维修（护）费、工会经费、福利费、其他商品和服务支出。</w:t>
      </w:r>
    </w:p>
    <w:p w14:paraId="0A7B98DB">
      <w:pPr>
        <w:spacing w:line="640" w:lineRule="exact"/>
        <w:ind w:firstLine="640"/>
        <w:jc w:val="both"/>
        <w:outlineLvl w:val="2"/>
      </w:pPr>
      <w:r>
        <w:rPr>
          <w:rFonts w:ascii="黑体" w:hAnsi="黑体" w:eastAsia="黑体"/>
          <w:sz w:val="32"/>
        </w:rPr>
        <w:t>七、政府性基金预算财政拨款收入支出决算情况说明</w:t>
      </w:r>
    </w:p>
    <w:p w14:paraId="4BDD0DFB">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B46AB49">
      <w:pPr>
        <w:spacing w:line="640" w:lineRule="exact"/>
        <w:ind w:firstLine="640"/>
        <w:jc w:val="both"/>
        <w:outlineLvl w:val="2"/>
      </w:pPr>
      <w:r>
        <w:rPr>
          <w:rFonts w:ascii="黑体" w:hAnsi="黑体" w:eastAsia="黑体"/>
          <w:sz w:val="32"/>
        </w:rPr>
        <w:t>八、国有资本经营预算财政拨款收入支出决算情况说明</w:t>
      </w:r>
    </w:p>
    <w:p w14:paraId="533FF69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276178B">
      <w:pPr>
        <w:spacing w:line="640" w:lineRule="exact"/>
        <w:ind w:firstLine="640"/>
        <w:jc w:val="both"/>
        <w:outlineLvl w:val="2"/>
      </w:pPr>
      <w:r>
        <w:rPr>
          <w:rFonts w:ascii="黑体" w:hAnsi="黑体" w:eastAsia="黑体"/>
          <w:sz w:val="32"/>
        </w:rPr>
        <w:t>九、财政拨款“三公”经费支出决算情况说明</w:t>
      </w:r>
    </w:p>
    <w:p w14:paraId="52B3B88B">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72D81590">
      <w:pPr>
        <w:spacing w:line="580" w:lineRule="exact"/>
        <w:ind w:firstLine="640"/>
        <w:jc w:val="both"/>
      </w:pPr>
      <w:r>
        <w:rPr>
          <w:rFonts w:ascii="仿宋_GB2312" w:hAnsi="仿宋_GB2312" w:eastAsia="仿宋_GB2312"/>
          <w:b/>
          <w:sz w:val="32"/>
        </w:rPr>
        <w:t>具体情况如下：</w:t>
      </w:r>
    </w:p>
    <w:p w14:paraId="73EDB03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B7E853F">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0辆，与公务用车保有量差异原因是：本单位无固定资产车辆。</w:t>
      </w:r>
    </w:p>
    <w:p w14:paraId="13CC7D42">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627F4E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35F28960">
      <w:pPr>
        <w:spacing w:line="640" w:lineRule="exact"/>
        <w:ind w:firstLine="640"/>
        <w:jc w:val="both"/>
        <w:outlineLvl w:val="2"/>
      </w:pPr>
      <w:r>
        <w:rPr>
          <w:rFonts w:ascii="黑体" w:hAnsi="黑体" w:eastAsia="黑体"/>
          <w:sz w:val="32"/>
        </w:rPr>
        <w:t>十、其他重要事项的情况说明</w:t>
      </w:r>
    </w:p>
    <w:p w14:paraId="4B7034F3">
      <w:pPr>
        <w:spacing w:line="640" w:lineRule="exact"/>
        <w:ind w:firstLine="640"/>
        <w:jc w:val="both"/>
        <w:outlineLvl w:val="3"/>
      </w:pPr>
      <w:r>
        <w:rPr>
          <w:rFonts w:ascii="楷体_GB2312" w:hAnsi="楷体_GB2312" w:eastAsia="楷体_GB2312"/>
          <w:b/>
          <w:sz w:val="32"/>
        </w:rPr>
        <w:t>（一）机关运行经费及公用经费支出情况</w:t>
      </w:r>
    </w:p>
    <w:p w14:paraId="498B2284">
      <w:pPr>
        <w:spacing w:line="580" w:lineRule="exact"/>
        <w:ind w:firstLine="640"/>
        <w:jc w:val="both"/>
      </w:pPr>
      <w:r>
        <w:rPr>
          <w:rFonts w:ascii="仿宋_GB2312" w:hAnsi="仿宋_GB2312" w:eastAsia="仿宋_GB2312"/>
          <w:b w:val="0"/>
          <w:sz w:val="32"/>
        </w:rPr>
        <w:t>2024年度昌吉州地质环境监测站（事业单位）公用经费支出16.38万元，比上年减少1.01万元，下降5.81%，主要原因是：严格控制公用经费，合理节约办公用品，减少不必要开支。</w:t>
      </w:r>
    </w:p>
    <w:p w14:paraId="22B6527A">
      <w:pPr>
        <w:spacing w:line="640" w:lineRule="exact"/>
        <w:ind w:firstLine="640"/>
        <w:jc w:val="both"/>
        <w:outlineLvl w:val="3"/>
      </w:pPr>
      <w:r>
        <w:rPr>
          <w:rFonts w:ascii="楷体_GB2312" w:hAnsi="楷体_GB2312" w:eastAsia="楷体_GB2312"/>
          <w:b/>
          <w:sz w:val="32"/>
        </w:rPr>
        <w:t>（二）政府采购情况</w:t>
      </w:r>
    </w:p>
    <w:p w14:paraId="055FE118">
      <w:pPr>
        <w:spacing w:line="580" w:lineRule="exact"/>
        <w:ind w:firstLine="640"/>
        <w:jc w:val="both"/>
      </w:pPr>
      <w:r>
        <w:rPr>
          <w:rFonts w:ascii="仿宋_GB2312" w:hAnsi="仿宋_GB2312" w:eastAsia="仿宋_GB2312"/>
          <w:b w:val="0"/>
          <w:sz w:val="32"/>
        </w:rPr>
        <w:t>2024年度政府采购支出总额34.29万元，其中：政府采购货物支出12.80万元、政府采购工程支出0.00万元、政府采购服务支出21.49万元。</w:t>
      </w:r>
    </w:p>
    <w:p w14:paraId="42C1EE45">
      <w:pPr>
        <w:spacing w:line="580" w:lineRule="exact"/>
        <w:ind w:firstLine="640"/>
        <w:jc w:val="both"/>
      </w:pPr>
      <w:r>
        <w:rPr>
          <w:rFonts w:ascii="仿宋_GB2312" w:hAnsi="仿宋_GB2312" w:eastAsia="仿宋_GB2312"/>
          <w:b w:val="0"/>
          <w:sz w:val="32"/>
        </w:rPr>
        <w:t>授予中小企业合同金额34.29万元，占政府采购支出总额的100.00%，其中：授予小微企业合同金额34.29万元，占政府采购支出总额的100.00%。</w:t>
      </w:r>
    </w:p>
    <w:p w14:paraId="0EDA7D61">
      <w:pPr>
        <w:spacing w:line="640" w:lineRule="exact"/>
        <w:ind w:firstLine="640"/>
        <w:jc w:val="both"/>
        <w:outlineLvl w:val="3"/>
      </w:pPr>
      <w:r>
        <w:rPr>
          <w:rFonts w:ascii="楷体_GB2312" w:hAnsi="楷体_GB2312" w:eastAsia="楷体_GB2312"/>
          <w:b/>
          <w:sz w:val="32"/>
        </w:rPr>
        <w:t>（三）国有资产占用情况说明</w:t>
      </w:r>
    </w:p>
    <w:p w14:paraId="50792570">
      <w:pPr>
        <w:spacing w:line="580" w:lineRule="exact"/>
        <w:ind w:firstLine="640"/>
        <w:jc w:val="both"/>
      </w:pPr>
      <w:r>
        <w:rPr>
          <w:rFonts w:ascii="仿宋_GB2312" w:hAnsi="仿宋_GB2312" w:eastAsia="仿宋_GB2312"/>
          <w:b w:val="0"/>
          <w:sz w:val="32"/>
        </w:rPr>
        <w:t>截至2024年12月31日，房屋1,000.00平方米，价值345.81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w:t>
      </w:r>
      <w:r>
        <w:rPr>
          <w:rFonts w:hint="eastAsia" w:ascii="仿宋_GB2312" w:hAnsi="仿宋_GB2312" w:eastAsia="仿宋_GB2312"/>
          <w:b w:val="0"/>
          <w:sz w:val="32"/>
          <w:lang w:eastAsia="zh-CN"/>
        </w:rPr>
        <w:t>其他</w:t>
      </w:r>
      <w:r>
        <w:rPr>
          <w:rFonts w:ascii="仿宋_GB2312" w:hAnsi="仿宋_GB2312" w:eastAsia="仿宋_GB2312"/>
          <w:b w:val="0"/>
          <w:sz w:val="32"/>
        </w:rPr>
        <w:t>用车。单价100万元（含）以上设备（不含车辆）0台（套）。</w:t>
      </w:r>
    </w:p>
    <w:p w14:paraId="0A8F7450">
      <w:pPr>
        <w:spacing w:line="640" w:lineRule="exact"/>
        <w:ind w:firstLine="640"/>
        <w:jc w:val="both"/>
        <w:outlineLvl w:val="2"/>
      </w:pPr>
      <w:r>
        <w:rPr>
          <w:rFonts w:ascii="黑体" w:hAnsi="黑体" w:eastAsia="黑体"/>
          <w:sz w:val="32"/>
        </w:rPr>
        <w:t>十一、预算绩效的情况说明</w:t>
      </w:r>
    </w:p>
    <w:p w14:paraId="3876240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275.99万元，实际执行总额270.65万元；预算绩效评价项目2个，全年预算数32.62万元，全年执行数32.62万元。预算绩效管理取得的成效：一是持续性做好区域全年地下水动态监测维护点100个，水质化验样本68个，及时出具水质化验结果，健全监测点档案，保障覆盖率达标。依据地下水监测报告和水质分析数据，进一步完善区域地下水动态分析季报、年报、五年报告等。二是继续与新疆大学合作办好实习基地，共同申报与实验场地相关的研究课题，服务当地生态环境。依托新疆维吾尔自治区水文学及水资源重点学科，深入开展薄土层地区农业面源污染条件下地下水污染、冻融期土壤水-地下水水盐运移、高矿化潜水蒸发、内陆干旱区地下水水质演化等科学问题的研究，通过对外、对内合作研究，逐步提高本站科技人员的科研水平。发现的问题及原因：一是未按照项目实际内容及预算科目精准设置绩效目标值，导致业绩值与实际完成值存在偏差；二是对观测数据整理、成果研究不深入，作物区的管理不够；创新不够，观测流程、业务管理制度需继续完善；三是对地下水观测井的维护、确认需要进一步加强，加强与各县水利局地下水观测部门的联系，拓宽观测面，</w:t>
      </w:r>
      <w:r>
        <w:rPr>
          <w:rFonts w:hint="eastAsia" w:ascii="仿宋_GB2312" w:hAnsi="仿宋_GB2312" w:eastAsia="仿宋_GB2312"/>
          <w:b w:val="0"/>
          <w:sz w:val="32"/>
          <w:lang w:eastAsia="zh-CN"/>
        </w:rPr>
        <w:t>做好</w:t>
      </w:r>
      <w:r>
        <w:rPr>
          <w:rFonts w:ascii="仿宋_GB2312" w:hAnsi="仿宋_GB2312" w:eastAsia="仿宋_GB2312"/>
          <w:b w:val="0"/>
          <w:sz w:val="32"/>
        </w:rPr>
        <w:t>地下水生态环境方面横向延伸。下一步改进措施：一是今后需要加强科学的设定指标；健全内部控制制度；二是根据年初制定工作计划，按计划推进工作任务，并按计划执行，以提高预算在每个时间节点上执行率；三是经费支出合理化，加大经费支出的审核力度，保证每笔钱花得合理合规；四是把绩效考核与内部控制结合，进一步细化内部绩效考核评价制度，按季度定时考核，确保按时完成年度工作计划，提高预算执行率；五是根据预算科目的</w:t>
      </w:r>
      <w:r>
        <w:rPr>
          <w:rFonts w:hint="eastAsia" w:ascii="仿宋_GB2312" w:hAnsi="仿宋_GB2312" w:eastAsia="仿宋_GB2312"/>
          <w:b w:val="0"/>
          <w:sz w:val="32"/>
          <w:lang w:eastAsia="zh-CN"/>
        </w:rPr>
        <w:t>设置</w:t>
      </w:r>
      <w:r>
        <w:rPr>
          <w:rFonts w:ascii="仿宋_GB2312" w:hAnsi="仿宋_GB2312" w:eastAsia="仿宋_GB2312"/>
          <w:b w:val="0"/>
          <w:sz w:val="32"/>
        </w:rPr>
        <w:t>精准设置绩效目标值；六是未按照项目实际内容及预算科目精准设置绩效目标值，导致业绩值与实际完成值存在偏差。具体附整体支出绩效自评表，</w:t>
      </w:r>
      <w:bookmarkStart w:id="0" w:name="_GoBack"/>
      <w:r>
        <w:rPr>
          <w:rFonts w:ascii="仿宋_GB2312" w:hAnsi="仿宋_GB2312" w:eastAsia="仿宋_GB2312"/>
          <w:b w:val="0"/>
          <w:sz w:val="32"/>
        </w:rPr>
        <w:t>项目支出绩效自评表和评</w:t>
      </w:r>
      <w:bookmarkEnd w:id="0"/>
      <w:r>
        <w:rPr>
          <w:rFonts w:ascii="仿宋_GB2312" w:hAnsi="仿宋_GB2312" w:eastAsia="仿宋_GB2312"/>
          <w:b w:val="0"/>
          <w:sz w:val="32"/>
        </w:rPr>
        <w:t>价报告。</w:t>
      </w:r>
    </w:p>
    <w:p w14:paraId="237EB162">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B3A461C">
        <w:tc>
          <w:tcPr>
            <w:tcW w:w="8847" w:type="dxa"/>
            <w:gridSpan w:val="9"/>
            <w:vAlign w:val="center"/>
          </w:tcPr>
          <w:p w14:paraId="0B4AEB42">
            <w:pPr>
              <w:jc w:val="center"/>
            </w:pPr>
            <w:r>
              <w:rPr>
                <w:rFonts w:ascii="宋体" w:hAnsi="宋体" w:eastAsia="宋体"/>
                <w:sz w:val="24"/>
              </w:rPr>
              <w:t>单位整体支出绩效自评表</w:t>
            </w:r>
          </w:p>
        </w:tc>
      </w:tr>
      <w:tr w14:paraId="29A5D0DB">
        <w:tblPrEx>
          <w:tblCellMar>
            <w:top w:w="0" w:type="dxa"/>
            <w:left w:w="108" w:type="dxa"/>
            <w:bottom w:w="0" w:type="dxa"/>
            <w:right w:w="108" w:type="dxa"/>
          </w:tblCellMar>
        </w:tblPrEx>
        <w:tc>
          <w:tcPr>
            <w:tcW w:w="8847" w:type="dxa"/>
            <w:gridSpan w:val="9"/>
            <w:vAlign w:val="center"/>
          </w:tcPr>
          <w:p w14:paraId="7FCB52E0">
            <w:pPr>
              <w:jc w:val="center"/>
            </w:pPr>
            <w:r>
              <w:rPr>
                <w:rFonts w:ascii="宋体" w:hAnsi="宋体" w:eastAsia="宋体"/>
                <w:sz w:val="24"/>
              </w:rPr>
              <w:t>（2024年度）</w:t>
            </w:r>
          </w:p>
        </w:tc>
      </w:tr>
      <w:tr w14:paraId="7351BF2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8E77EA">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2899D71">
            <w:pPr>
              <w:jc w:val="center"/>
            </w:pPr>
            <w:r>
              <w:rPr>
                <w:rFonts w:ascii="宋体" w:hAnsi="宋体" w:eastAsia="宋体"/>
                <w:sz w:val="16"/>
              </w:rPr>
              <w:t>昌吉州地质环境监测站</w:t>
            </w:r>
          </w:p>
        </w:tc>
      </w:tr>
      <w:tr w14:paraId="5F06B67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A7D43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D5AB7">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DEA6A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18FCFC">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9652A6">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1BC80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1846A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E6DA59">
            <w:pPr>
              <w:jc w:val="center"/>
            </w:pPr>
            <w:r>
              <w:rPr>
                <w:rFonts w:ascii="宋体" w:hAnsi="宋体" w:eastAsia="宋体"/>
                <w:sz w:val="16"/>
              </w:rPr>
              <w:t>得分</w:t>
            </w:r>
          </w:p>
        </w:tc>
      </w:tr>
      <w:tr w14:paraId="177ABAA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B479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610431">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43AAB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CFB81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626EC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7D04C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B253D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AE38C2">
            <w:pPr>
              <w:jc w:val="center"/>
            </w:pPr>
            <w:r>
              <w:rPr>
                <w:rFonts w:ascii="宋体" w:hAnsi="宋体" w:eastAsia="宋体"/>
                <w:sz w:val="16"/>
              </w:rPr>
              <w:t>-</w:t>
            </w:r>
          </w:p>
        </w:tc>
      </w:tr>
      <w:tr w14:paraId="1680FA4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F31F2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714909">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908388">
            <w:pPr>
              <w:jc w:val="center"/>
            </w:pPr>
            <w:r>
              <w:rPr>
                <w:rFonts w:ascii="宋体" w:hAnsi="宋体" w:eastAsia="宋体"/>
                <w:sz w:val="16"/>
              </w:rPr>
              <w:t>244.71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1CF28F">
            <w:pPr>
              <w:jc w:val="center"/>
            </w:pPr>
            <w:r>
              <w:rPr>
                <w:rFonts w:ascii="宋体" w:hAnsi="宋体" w:eastAsia="宋体"/>
                <w:sz w:val="16"/>
              </w:rPr>
              <w:t>268.03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A10511">
            <w:pPr>
              <w:jc w:val="center"/>
            </w:pPr>
            <w:r>
              <w:rPr>
                <w:rFonts w:ascii="宋体" w:hAnsi="宋体" w:eastAsia="宋体"/>
                <w:sz w:val="16"/>
              </w:rPr>
              <w:t>268.03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F0E3E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D228A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AAAF2">
            <w:pPr>
              <w:jc w:val="center"/>
            </w:pPr>
            <w:r>
              <w:rPr>
                <w:rFonts w:ascii="宋体" w:hAnsi="宋体" w:eastAsia="宋体"/>
                <w:sz w:val="16"/>
              </w:rPr>
              <w:t>-</w:t>
            </w:r>
          </w:p>
        </w:tc>
      </w:tr>
      <w:tr w14:paraId="4EBF0D6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FF2F4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F671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F3CD00">
            <w:pPr>
              <w:jc w:val="center"/>
            </w:pPr>
            <w:r>
              <w:rPr>
                <w:rFonts w:ascii="宋体" w:hAnsi="宋体" w:eastAsia="宋体"/>
                <w:sz w:val="16"/>
              </w:rPr>
              <w:t>6.00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A8AFDF">
            <w:pPr>
              <w:jc w:val="center"/>
            </w:pPr>
            <w:r>
              <w:rPr>
                <w:rFonts w:ascii="宋体" w:hAnsi="宋体" w:eastAsia="宋体"/>
                <w:sz w:val="16"/>
              </w:rPr>
              <w:t>7.96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345C81">
            <w:pPr>
              <w:jc w:val="center"/>
            </w:pPr>
            <w:r>
              <w:rPr>
                <w:rFonts w:ascii="宋体" w:hAnsi="宋体" w:eastAsia="宋体"/>
                <w:sz w:val="16"/>
              </w:rPr>
              <w:t>2.62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62684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21AB4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3EB019">
            <w:pPr>
              <w:jc w:val="center"/>
            </w:pPr>
            <w:r>
              <w:rPr>
                <w:rFonts w:ascii="宋体" w:hAnsi="宋体" w:eastAsia="宋体"/>
                <w:sz w:val="16"/>
              </w:rPr>
              <w:t>-</w:t>
            </w:r>
          </w:p>
        </w:tc>
      </w:tr>
      <w:tr w14:paraId="3B280E9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593B5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E8E2C">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EF37B6">
            <w:pPr>
              <w:jc w:val="center"/>
            </w:pPr>
            <w:r>
              <w:rPr>
                <w:rFonts w:ascii="宋体" w:hAnsi="宋体" w:eastAsia="宋体"/>
                <w:sz w:val="16"/>
              </w:rPr>
              <w:t>250.71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775EE2">
            <w:pPr>
              <w:jc w:val="center"/>
            </w:pPr>
            <w:r>
              <w:rPr>
                <w:rFonts w:ascii="宋体" w:hAnsi="宋体" w:eastAsia="宋体"/>
                <w:sz w:val="16"/>
              </w:rPr>
              <w:t>275.99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04DB9E">
            <w:pPr>
              <w:jc w:val="center"/>
            </w:pPr>
            <w:r>
              <w:rPr>
                <w:rFonts w:ascii="宋体" w:hAnsi="宋体" w:eastAsia="宋体"/>
                <w:sz w:val="16"/>
              </w:rPr>
              <w:t>270.65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7C5AF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E50041">
            <w:pPr>
              <w:jc w:val="center"/>
            </w:pPr>
            <w:r>
              <w:rPr>
                <w:rFonts w:ascii="宋体" w:hAnsi="宋体" w:eastAsia="宋体"/>
                <w:sz w:val="16"/>
              </w:rPr>
              <w:t>98.07%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92D40E">
            <w:pPr>
              <w:jc w:val="center"/>
            </w:pPr>
            <w:r>
              <w:rPr>
                <w:rFonts w:ascii="宋体" w:hAnsi="宋体" w:eastAsia="宋体"/>
                <w:sz w:val="16"/>
              </w:rPr>
              <w:t>9.8</w:t>
            </w:r>
          </w:p>
        </w:tc>
      </w:tr>
      <w:tr w14:paraId="042F35B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B87F9E">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0D3C9B7">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F8B1C3">
            <w:pPr>
              <w:jc w:val="center"/>
            </w:pPr>
            <w:r>
              <w:rPr>
                <w:rFonts w:ascii="宋体" w:hAnsi="宋体" w:eastAsia="宋体"/>
                <w:sz w:val="16"/>
              </w:rPr>
              <w:t>实际完成情况</w:t>
            </w:r>
          </w:p>
        </w:tc>
      </w:tr>
      <w:tr w14:paraId="560589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56C50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7A11585">
            <w:pPr>
              <w:jc w:val="both"/>
            </w:pPr>
            <w:r>
              <w:rPr>
                <w:rFonts w:ascii="宋体" w:hAnsi="宋体" w:eastAsia="宋体"/>
                <w:sz w:val="16"/>
              </w:rPr>
              <w:t>承担区域地质环境调查，评价重要地质灾害、地下水动态及地下水环境监测以及监测数据资料汇总分析，为政府工作决策提供参考数据等职能，开展地下水动态监测，及时采集观测数据，按要求编制年度通报，组织编制年度地质环境监测工作计划及五年期地下水动态监测报告，编写地下水均衡试验及蒸发综合研究报告，开展凝结水高矿氏地下水植被生长状态研究编制中子仪，负压计观测日报表，组织负压计除气（维护）及试验区作物管理工作，按时做好各项资料汇总工作，积极开展资料综合研究工作等。</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C3A9BF">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全年预算数为275.99万元，全年执行数为270.65万元，总预算执行率为98.07%。2024年</w:t>
            </w:r>
            <w:r>
              <w:rPr>
                <w:rFonts w:hint="eastAsia" w:ascii="宋体" w:hAnsi="宋体"/>
                <w:sz w:val="16"/>
                <w:lang w:eastAsia="zh-CN"/>
              </w:rPr>
              <w:t>本单位</w:t>
            </w:r>
            <w:r>
              <w:rPr>
                <w:rFonts w:ascii="宋体" w:hAnsi="宋体" w:eastAsia="宋体"/>
                <w:sz w:val="16"/>
              </w:rPr>
              <w:t>完成以下工作内容：全年地下水动态监测维护点100个、监测点档案建立覆盖率达到90%、水质化验样本数量68个、编写地下水动态检测五年报告1篇、设置地下水均衡试验样田20个等，通过以上工作的实施提高对地下水利用和保护意识，持续掌控地下水区域水质变化情况。</w:t>
            </w:r>
          </w:p>
        </w:tc>
      </w:tr>
      <w:tr w14:paraId="278CF16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C4714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78846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E0D8F">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19251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6E2799">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F6193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C584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905BF7">
            <w:pPr>
              <w:jc w:val="center"/>
            </w:pPr>
            <w:r>
              <w:rPr>
                <w:rFonts w:ascii="宋体" w:hAnsi="宋体" w:eastAsia="宋体"/>
                <w:sz w:val="16"/>
              </w:rPr>
              <w:t>得分</w:t>
            </w:r>
          </w:p>
        </w:tc>
      </w:tr>
      <w:tr w14:paraId="6216E5D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C4285">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F5B12C">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59351">
            <w:pPr>
              <w:jc w:val="center"/>
            </w:pPr>
            <w:r>
              <w:rPr>
                <w:rFonts w:ascii="宋体" w:hAnsi="宋体" w:eastAsia="宋体"/>
                <w:sz w:val="16"/>
              </w:rPr>
              <w:t>监测点档案建立覆盖率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94D22D">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5EDD9F">
            <w:pPr>
              <w:jc w:val="center"/>
            </w:pPr>
            <w:r>
              <w:rPr>
                <w:rFonts w:ascii="宋体" w:hAnsi="宋体" w:eastAsia="宋体"/>
                <w:sz w:val="16"/>
              </w:rPr>
              <w:t>《昌吉州地环站2024年重点工作》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FC12A2">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79082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D0B36A">
            <w:pPr>
              <w:jc w:val="center"/>
            </w:pPr>
            <w:r>
              <w:rPr>
                <w:rFonts w:ascii="宋体" w:hAnsi="宋体" w:eastAsia="宋体"/>
                <w:sz w:val="16"/>
              </w:rPr>
              <w:t>12</w:t>
            </w:r>
          </w:p>
        </w:tc>
      </w:tr>
      <w:tr w14:paraId="78B190F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218A65">
            <w:pPr>
              <w:jc w:val="center"/>
            </w:pPr>
            <w:r>
              <w:rPr>
                <w:rFonts w:ascii="宋体" w:hAnsi="宋体" w:eastAsia="宋体"/>
                <w:sz w:val="16"/>
              </w:rPr>
              <w:t>履职效能</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05AB5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33E7E">
            <w:pPr>
              <w:jc w:val="center"/>
            </w:pPr>
            <w:r>
              <w:rPr>
                <w:rFonts w:ascii="宋体" w:hAnsi="宋体" w:eastAsia="宋体"/>
                <w:sz w:val="16"/>
              </w:rPr>
              <w:t>全年地下水动态监测维护点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9661C8">
            <w:pPr>
              <w:jc w:val="center"/>
            </w:pPr>
            <w:r>
              <w:rPr>
                <w:rFonts w:ascii="宋体" w:hAnsi="宋体" w:eastAsia="宋体"/>
                <w:sz w:val="16"/>
              </w:rPr>
              <w:t>&gt;=100个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93EBD8">
            <w:pPr>
              <w:jc w:val="center"/>
            </w:pPr>
            <w:r>
              <w:rPr>
                <w:rFonts w:ascii="宋体" w:hAnsi="宋体" w:eastAsia="宋体"/>
                <w:sz w:val="16"/>
              </w:rPr>
              <w:t>《昌吉州地环站2024年重点工作》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EDBF6A">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7345C8">
            <w:pPr>
              <w:jc w:val="center"/>
            </w:pPr>
            <w:r>
              <w:rPr>
                <w:rFonts w:ascii="宋体" w:hAnsi="宋体" w:eastAsia="宋体"/>
                <w:sz w:val="16"/>
              </w:rPr>
              <w:t>100个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C51B2">
            <w:pPr>
              <w:jc w:val="center"/>
            </w:pPr>
            <w:r>
              <w:rPr>
                <w:rFonts w:ascii="宋体" w:hAnsi="宋体" w:eastAsia="宋体"/>
                <w:sz w:val="16"/>
              </w:rPr>
              <w:t>13</w:t>
            </w:r>
          </w:p>
        </w:tc>
      </w:tr>
      <w:tr w14:paraId="7396879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96208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A650F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72558">
            <w:pPr>
              <w:jc w:val="center"/>
            </w:pPr>
            <w:r>
              <w:rPr>
                <w:rFonts w:ascii="宋体" w:hAnsi="宋体" w:eastAsia="宋体"/>
                <w:sz w:val="16"/>
              </w:rPr>
              <w:t>水质化验样本数量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C02BFE">
            <w:pPr>
              <w:jc w:val="center"/>
            </w:pPr>
            <w:r>
              <w:rPr>
                <w:rFonts w:ascii="宋体" w:hAnsi="宋体" w:eastAsia="宋体"/>
                <w:sz w:val="16"/>
              </w:rPr>
              <w:t>&gt;=68个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F481E7">
            <w:pPr>
              <w:jc w:val="center"/>
            </w:pPr>
            <w:r>
              <w:rPr>
                <w:rFonts w:ascii="宋体" w:hAnsi="宋体" w:eastAsia="宋体"/>
                <w:sz w:val="16"/>
              </w:rPr>
              <w:t>《昌吉州地环站2024年重点工作》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A566BD">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6C025B">
            <w:pPr>
              <w:jc w:val="center"/>
            </w:pPr>
            <w:r>
              <w:rPr>
                <w:rFonts w:ascii="宋体" w:hAnsi="宋体" w:eastAsia="宋体"/>
                <w:sz w:val="16"/>
              </w:rPr>
              <w:t>68个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9FBB9F">
            <w:pPr>
              <w:jc w:val="center"/>
            </w:pPr>
            <w:r>
              <w:rPr>
                <w:rFonts w:ascii="宋体" w:hAnsi="宋体" w:eastAsia="宋体"/>
                <w:sz w:val="16"/>
              </w:rPr>
              <w:t>13</w:t>
            </w:r>
          </w:p>
        </w:tc>
      </w:tr>
      <w:tr w14:paraId="0F3AED8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043401"/>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2BD4F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404D4">
            <w:pPr>
              <w:jc w:val="center"/>
            </w:pPr>
            <w:r>
              <w:rPr>
                <w:rFonts w:ascii="宋体" w:hAnsi="宋体" w:eastAsia="宋体"/>
                <w:sz w:val="16"/>
              </w:rPr>
              <w:t>编写地下水动态</w:t>
            </w:r>
            <w:r>
              <w:rPr>
                <w:rFonts w:hint="eastAsia" w:ascii="宋体" w:hAnsi="宋体"/>
                <w:sz w:val="16"/>
                <w:lang w:eastAsia="zh-CN"/>
              </w:rPr>
              <w:t>监测</w:t>
            </w:r>
            <w:r>
              <w:rPr>
                <w:rFonts w:ascii="宋体" w:hAnsi="宋体" w:eastAsia="宋体"/>
                <w:sz w:val="16"/>
              </w:rPr>
              <w:t>五年报告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63B0BA">
            <w:pPr>
              <w:jc w:val="center"/>
            </w:pPr>
            <w:r>
              <w:rPr>
                <w:rFonts w:ascii="宋体" w:hAnsi="宋体" w:eastAsia="宋体"/>
                <w:sz w:val="16"/>
              </w:rPr>
              <w:t>&gt;=1篇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24B26E">
            <w:pPr>
              <w:jc w:val="center"/>
            </w:pPr>
            <w:r>
              <w:rPr>
                <w:rFonts w:ascii="宋体" w:hAnsi="宋体" w:eastAsia="宋体"/>
                <w:sz w:val="16"/>
              </w:rPr>
              <w:t>《昌吉州地环站2024年重点工作》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966FB">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E63BBF">
            <w:pPr>
              <w:jc w:val="center"/>
            </w:pPr>
            <w:r>
              <w:rPr>
                <w:rFonts w:ascii="宋体" w:hAnsi="宋体" w:eastAsia="宋体"/>
                <w:sz w:val="16"/>
              </w:rPr>
              <w:t>1篇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A5E67C">
            <w:pPr>
              <w:jc w:val="center"/>
            </w:pPr>
            <w:r>
              <w:rPr>
                <w:rFonts w:ascii="宋体" w:hAnsi="宋体" w:eastAsia="宋体"/>
                <w:sz w:val="16"/>
              </w:rPr>
              <w:t>13</w:t>
            </w:r>
          </w:p>
        </w:tc>
      </w:tr>
      <w:tr w14:paraId="44BD8E1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C6DE9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F5771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36C29">
            <w:pPr>
              <w:jc w:val="center"/>
            </w:pPr>
            <w:r>
              <w:rPr>
                <w:rFonts w:ascii="宋体" w:hAnsi="宋体" w:eastAsia="宋体"/>
                <w:sz w:val="16"/>
              </w:rPr>
              <w:t>设置地下水均衡试验样田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CD0F3D">
            <w:pPr>
              <w:jc w:val="center"/>
            </w:pPr>
            <w:r>
              <w:rPr>
                <w:rFonts w:ascii="宋体" w:hAnsi="宋体" w:eastAsia="宋体"/>
                <w:sz w:val="16"/>
              </w:rPr>
              <w:t>&gt;=20个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2A2A31">
            <w:pPr>
              <w:jc w:val="center"/>
            </w:pPr>
            <w:r>
              <w:rPr>
                <w:rFonts w:ascii="宋体" w:hAnsi="宋体" w:eastAsia="宋体"/>
                <w:sz w:val="16"/>
              </w:rPr>
              <w:t>《昌吉州地环站2024年重点工作》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812B5A">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17ECFD">
            <w:pPr>
              <w:jc w:val="center"/>
            </w:pPr>
            <w:r>
              <w:rPr>
                <w:rFonts w:ascii="宋体" w:hAnsi="宋体" w:eastAsia="宋体"/>
                <w:sz w:val="16"/>
              </w:rPr>
              <w:t>20个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4450AF">
            <w:pPr>
              <w:jc w:val="center"/>
            </w:pPr>
            <w:r>
              <w:rPr>
                <w:rFonts w:ascii="宋体" w:hAnsi="宋体" w:eastAsia="宋体"/>
                <w:sz w:val="16"/>
              </w:rPr>
              <w:t>13</w:t>
            </w:r>
          </w:p>
        </w:tc>
      </w:tr>
      <w:tr w14:paraId="0119AA0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B7BCC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1B62F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7F81F">
            <w:pPr>
              <w:jc w:val="center"/>
            </w:pPr>
            <w:r>
              <w:rPr>
                <w:rFonts w:ascii="宋体" w:hAnsi="宋体" w:eastAsia="宋体"/>
                <w:sz w:val="16"/>
              </w:rPr>
              <w:t>监测结果出具及时率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8AA5E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808F94">
            <w:pPr>
              <w:jc w:val="center"/>
            </w:pPr>
            <w:r>
              <w:rPr>
                <w:rFonts w:ascii="宋体" w:hAnsi="宋体" w:eastAsia="宋体"/>
                <w:sz w:val="16"/>
              </w:rPr>
              <w:t>《昌吉州地环站2024年重点工作》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4CF036">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76198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2CF99C">
            <w:pPr>
              <w:jc w:val="center"/>
            </w:pPr>
            <w:r>
              <w:rPr>
                <w:rFonts w:ascii="宋体" w:hAnsi="宋体" w:eastAsia="宋体"/>
                <w:sz w:val="16"/>
              </w:rPr>
              <w:t>13</w:t>
            </w:r>
          </w:p>
        </w:tc>
      </w:tr>
      <w:tr w14:paraId="17DA87C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5C7A4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5991D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66A60">
            <w:pPr>
              <w:jc w:val="center"/>
            </w:pPr>
            <w:r>
              <w:rPr>
                <w:rFonts w:ascii="宋体" w:hAnsi="宋体" w:eastAsia="宋体"/>
                <w:sz w:val="16"/>
              </w:rPr>
              <w:t>全年对地下水区域水质变化掌控率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2CDEB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7B61C3">
            <w:pPr>
              <w:jc w:val="center"/>
            </w:pPr>
            <w:r>
              <w:rPr>
                <w:rFonts w:ascii="宋体" w:hAnsi="宋体" w:eastAsia="宋体"/>
                <w:sz w:val="16"/>
              </w:rPr>
              <w:t>《昌吉州地环站2024年重点工作》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6A199F">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333B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30D186">
            <w:pPr>
              <w:jc w:val="center"/>
            </w:pPr>
            <w:r>
              <w:rPr>
                <w:rFonts w:ascii="宋体" w:hAnsi="宋体" w:eastAsia="宋体"/>
                <w:sz w:val="16"/>
              </w:rPr>
              <w:t>13</w:t>
            </w:r>
          </w:p>
        </w:tc>
      </w:tr>
    </w:tbl>
    <w:p w14:paraId="49DC7C1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755"/>
      </w:tblGrid>
      <w:tr w14:paraId="0D240C02">
        <w:tblPrEx>
          <w:tblCellMar>
            <w:top w:w="0" w:type="dxa"/>
            <w:left w:w="108" w:type="dxa"/>
            <w:bottom w:w="0" w:type="dxa"/>
            <w:right w:w="108" w:type="dxa"/>
          </w:tblCellMar>
        </w:tblPrEx>
        <w:tc>
          <w:tcPr>
            <w:tcW w:w="9035" w:type="dxa"/>
            <w:gridSpan w:val="14"/>
            <w:vAlign w:val="center"/>
          </w:tcPr>
          <w:p w14:paraId="0FAC976B">
            <w:pPr>
              <w:jc w:val="center"/>
            </w:pPr>
            <w:r>
              <w:rPr>
                <w:rFonts w:ascii="宋体" w:hAnsi="宋体" w:eastAsia="宋体"/>
                <w:sz w:val="24"/>
              </w:rPr>
              <w:t>项目支出绩效自评表</w:t>
            </w:r>
          </w:p>
        </w:tc>
      </w:tr>
      <w:tr w14:paraId="3403276A">
        <w:tblPrEx>
          <w:tblCellMar>
            <w:top w:w="0" w:type="dxa"/>
            <w:left w:w="108" w:type="dxa"/>
            <w:bottom w:w="0" w:type="dxa"/>
            <w:right w:w="108" w:type="dxa"/>
          </w:tblCellMar>
        </w:tblPrEx>
        <w:tc>
          <w:tcPr>
            <w:tcW w:w="9035"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3E6F7EE">
            <w:pPr>
              <w:jc w:val="center"/>
            </w:pPr>
            <w:r>
              <w:rPr>
                <w:rFonts w:ascii="宋体" w:hAnsi="宋体" w:eastAsia="宋体"/>
                <w:sz w:val="24"/>
              </w:rPr>
              <w:t>(2024年度)</w:t>
            </w:r>
          </w:p>
        </w:tc>
      </w:tr>
      <w:tr w14:paraId="2E9687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4CE2E">
            <w:pPr>
              <w:jc w:val="center"/>
            </w:pPr>
            <w:r>
              <w:rPr>
                <w:rFonts w:ascii="宋体" w:hAnsi="宋体" w:eastAsia="宋体"/>
                <w:sz w:val="16"/>
              </w:rPr>
              <w:t>项目名称</w:t>
            </w:r>
          </w:p>
        </w:tc>
        <w:tc>
          <w:tcPr>
            <w:tcW w:w="8403"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4AF7E9">
            <w:pPr>
              <w:jc w:val="center"/>
            </w:pPr>
            <w:r>
              <w:rPr>
                <w:rFonts w:ascii="宋体" w:hAnsi="宋体" w:eastAsia="宋体"/>
                <w:sz w:val="16"/>
              </w:rPr>
              <w:t>机构运行保障补助经费</w:t>
            </w:r>
          </w:p>
        </w:tc>
      </w:tr>
      <w:tr w14:paraId="127D1B7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85645">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A99E75">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E0635">
            <w:pPr>
              <w:jc w:val="center"/>
            </w:pPr>
            <w:r>
              <w:rPr>
                <w:rFonts w:ascii="宋体" w:hAnsi="宋体" w:eastAsia="宋体"/>
                <w:sz w:val="16"/>
              </w:rPr>
              <w:t>实施单位</w:t>
            </w:r>
          </w:p>
        </w:tc>
        <w:tc>
          <w:tcPr>
            <w:tcW w:w="328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A301E6">
            <w:pPr>
              <w:jc w:val="center"/>
            </w:pPr>
            <w:r>
              <w:rPr>
                <w:rFonts w:ascii="宋体" w:hAnsi="宋体" w:eastAsia="宋体"/>
                <w:sz w:val="16"/>
              </w:rPr>
              <w:t>昌吉州地质环境监测站</w:t>
            </w:r>
          </w:p>
        </w:tc>
      </w:tr>
      <w:tr w14:paraId="044CBF9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2AACF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41DF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BD620">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CABF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187D3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7F2E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C1583">
            <w:pPr>
              <w:jc w:val="center"/>
            </w:pPr>
            <w:r>
              <w:rPr>
                <w:rFonts w:ascii="宋体" w:hAnsi="宋体" w:eastAsia="宋体"/>
                <w:sz w:val="16"/>
              </w:rPr>
              <w:t>执行率</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1840025F">
            <w:pPr>
              <w:jc w:val="center"/>
            </w:pPr>
            <w:r>
              <w:rPr>
                <w:rFonts w:ascii="宋体" w:hAnsi="宋体" w:eastAsia="宋体"/>
                <w:sz w:val="16"/>
              </w:rPr>
              <w:t>得分</w:t>
            </w:r>
          </w:p>
        </w:tc>
      </w:tr>
      <w:tr w14:paraId="03FD82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7C3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0AF1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E0E50">
            <w:pPr>
              <w:jc w:val="center"/>
            </w:pPr>
            <w:r>
              <w:rPr>
                <w:rFonts w:ascii="宋体" w:hAnsi="宋体" w:eastAsia="宋体"/>
                <w:sz w:val="16"/>
              </w:rPr>
              <w:t>6.00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7294E">
            <w:pPr>
              <w:jc w:val="center"/>
            </w:pPr>
            <w:r>
              <w:rPr>
                <w:rFonts w:ascii="宋体" w:hAnsi="宋体" w:eastAsia="宋体"/>
                <w:sz w:val="16"/>
              </w:rPr>
              <w:t>2.62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9F469">
            <w:pPr>
              <w:jc w:val="center"/>
            </w:pPr>
            <w:r>
              <w:rPr>
                <w:rFonts w:ascii="宋体" w:hAnsi="宋体" w:eastAsia="宋体"/>
                <w:sz w:val="16"/>
              </w:rPr>
              <w:t>2.62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3726A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E7DD7">
            <w:pPr>
              <w:jc w:val="center"/>
            </w:pPr>
            <w:r>
              <w:rPr>
                <w:rFonts w:ascii="宋体" w:hAnsi="宋体" w:eastAsia="宋体"/>
                <w:sz w:val="16"/>
              </w:rPr>
              <w:t>100.00%</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7CBEC0FE">
            <w:pPr>
              <w:jc w:val="center"/>
            </w:pPr>
            <w:r>
              <w:rPr>
                <w:rFonts w:ascii="宋体" w:hAnsi="宋体" w:eastAsia="宋体"/>
                <w:sz w:val="16"/>
              </w:rPr>
              <w:t>10.00</w:t>
            </w:r>
          </w:p>
        </w:tc>
      </w:tr>
      <w:tr w14:paraId="6233B7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2F04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E6E2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59581">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EDB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199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A8A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61922">
            <w:pPr>
              <w:jc w:val="center"/>
            </w:pPr>
            <w:r>
              <w:rPr>
                <w:rFonts w:ascii="宋体" w:hAnsi="宋体" w:eastAsia="宋体"/>
                <w:sz w:val="16"/>
              </w:rPr>
              <w:t>—</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2B480D10">
            <w:pPr>
              <w:jc w:val="center"/>
            </w:pPr>
            <w:r>
              <w:rPr>
                <w:rFonts w:ascii="宋体" w:hAnsi="宋体" w:eastAsia="宋体"/>
                <w:sz w:val="16"/>
              </w:rPr>
              <w:t>—</w:t>
            </w:r>
          </w:p>
        </w:tc>
      </w:tr>
      <w:tr w14:paraId="554FE1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56B44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2E5F3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CDC07">
            <w:pPr>
              <w:jc w:val="center"/>
            </w:pPr>
            <w:r>
              <w:rPr>
                <w:rFonts w:ascii="宋体" w:hAnsi="宋体" w:eastAsia="宋体"/>
                <w:sz w:val="16"/>
              </w:rPr>
              <w:t>6.00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5BB28">
            <w:pPr>
              <w:jc w:val="center"/>
            </w:pPr>
            <w:r>
              <w:rPr>
                <w:rFonts w:ascii="宋体" w:hAnsi="宋体" w:eastAsia="宋体"/>
                <w:sz w:val="16"/>
              </w:rPr>
              <w:t>2.62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37798">
            <w:pPr>
              <w:jc w:val="center"/>
            </w:pPr>
            <w:r>
              <w:rPr>
                <w:rFonts w:ascii="宋体" w:hAnsi="宋体" w:eastAsia="宋体"/>
                <w:sz w:val="16"/>
              </w:rPr>
              <w:t>2.62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FCB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99D08">
            <w:pPr>
              <w:jc w:val="center"/>
            </w:pPr>
            <w:r>
              <w:rPr>
                <w:rFonts w:ascii="宋体" w:hAnsi="宋体" w:eastAsia="宋体"/>
                <w:sz w:val="16"/>
              </w:rPr>
              <w:t>—</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6E3A6A7F">
            <w:pPr>
              <w:jc w:val="center"/>
            </w:pPr>
            <w:r>
              <w:rPr>
                <w:rFonts w:ascii="宋体" w:hAnsi="宋体" w:eastAsia="宋体"/>
                <w:sz w:val="16"/>
              </w:rPr>
              <w:t>—</w:t>
            </w:r>
          </w:p>
        </w:tc>
      </w:tr>
      <w:tr w14:paraId="697532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A8FC06">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E9C6A2">
            <w:pPr>
              <w:jc w:val="center"/>
            </w:pPr>
            <w:r>
              <w:rPr>
                <w:rFonts w:ascii="宋体" w:hAnsi="宋体" w:eastAsia="宋体"/>
                <w:sz w:val="16"/>
              </w:rPr>
              <w:t>预期目标</w:t>
            </w:r>
          </w:p>
        </w:tc>
        <w:tc>
          <w:tcPr>
            <w:tcW w:w="391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551E83">
            <w:pPr>
              <w:jc w:val="center"/>
            </w:pPr>
            <w:r>
              <w:rPr>
                <w:rFonts w:ascii="宋体" w:hAnsi="宋体" w:eastAsia="宋体"/>
                <w:sz w:val="16"/>
              </w:rPr>
              <w:t>实际完成情况</w:t>
            </w:r>
          </w:p>
        </w:tc>
      </w:tr>
      <w:tr w14:paraId="1CB13D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DEA2B"/>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B8B5F3">
            <w:pPr>
              <w:jc w:val="both"/>
            </w:pPr>
            <w:r>
              <w:rPr>
                <w:rFonts w:ascii="宋体" w:hAnsi="宋体" w:eastAsia="宋体"/>
                <w:sz w:val="16"/>
              </w:rPr>
              <w:t>保障单位正常运转12个月，保障单位管理人员11人，资金利用率达到90%，公用经费支付及时率达到90%，提高单位结算效率，保障单位正常运转，为部门业务开展提供有效支持。</w:t>
            </w:r>
          </w:p>
        </w:tc>
        <w:tc>
          <w:tcPr>
            <w:tcW w:w="391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B6A679">
            <w:pPr>
              <w:jc w:val="both"/>
            </w:pPr>
            <w:r>
              <w:rPr>
                <w:rFonts w:hint="eastAsia" w:ascii="宋体" w:hAnsi="宋体"/>
                <w:sz w:val="16"/>
                <w:lang w:eastAsia="zh-CN"/>
              </w:rPr>
              <w:t>截至2024</w:t>
            </w:r>
            <w:r>
              <w:rPr>
                <w:rFonts w:ascii="宋体" w:hAnsi="宋体" w:eastAsia="宋体"/>
                <w:sz w:val="16"/>
              </w:rPr>
              <w:t>年12月31日，该项目实际保障单位正常运转12个月，保障单位管理人员11人，资金利用率达到90%，公用经费支付及时率达到90%。通过该项目的实施，提高单位结算效率，保障单位正常运转，为部门业务开展提供有效支持。</w:t>
            </w:r>
          </w:p>
        </w:tc>
      </w:tr>
      <w:tr w14:paraId="120A67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B4C76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C73D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E080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5131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DBAD2">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3B351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8F33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493D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12CD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1C7B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E55B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A9C4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2FA9B">
            <w:pPr>
              <w:jc w:val="center"/>
            </w:pPr>
            <w:r>
              <w:rPr>
                <w:rFonts w:ascii="宋体" w:hAnsi="宋体" w:eastAsia="宋体"/>
                <w:sz w:val="16"/>
              </w:rPr>
              <w:t>佐证资料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2FBE0149">
            <w:pPr>
              <w:jc w:val="center"/>
            </w:pPr>
            <w:r>
              <w:rPr>
                <w:rFonts w:ascii="宋体" w:hAnsi="宋体" w:eastAsia="宋体"/>
                <w:sz w:val="16"/>
              </w:rPr>
              <w:t>偏差原因分析及改进措施</w:t>
            </w:r>
          </w:p>
        </w:tc>
      </w:tr>
      <w:tr w14:paraId="3F7B0F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13C2A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3E939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BC9C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83DA9">
            <w:pPr>
              <w:jc w:val="center"/>
            </w:pPr>
            <w:r>
              <w:rPr>
                <w:rFonts w:ascii="宋体" w:hAnsi="宋体" w:eastAsia="宋体"/>
                <w:sz w:val="16"/>
              </w:rPr>
              <w:t>保障工会福利人数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2F52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6F08E4">
            <w:pPr>
              <w:jc w:val="center"/>
            </w:pPr>
            <w:r>
              <w:rPr>
                <w:rFonts w:ascii="宋体" w:hAnsi="宋体" w:eastAsia="宋体"/>
                <w:sz w:val="16"/>
              </w:rPr>
              <w:t>&gt;=10人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42A89">
            <w:pPr>
              <w:jc w:val="center"/>
            </w:pPr>
            <w:r>
              <w:rPr>
                <w:rFonts w:ascii="宋体" w:hAnsi="宋体" w:eastAsia="宋体"/>
                <w:sz w:val="16"/>
              </w:rPr>
              <w:t>=11人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A9525">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36D6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3D5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837D6">
            <w:pPr>
              <w:jc w:val="center"/>
            </w:pPr>
            <w:r>
              <w:rPr>
                <w:rFonts w:ascii="宋体" w:hAnsi="宋体" w:eastAsia="宋体"/>
                <w:sz w:val="16"/>
              </w:rPr>
              <w: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B79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DCFA8">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3135065F">
            <w:pPr>
              <w:jc w:val="center"/>
            </w:pPr>
            <w:r>
              <w:rPr>
                <w:rFonts w:ascii="宋体" w:hAnsi="宋体" w:eastAsia="宋体"/>
                <w:sz w:val="16"/>
              </w:rPr>
              <w:t>年末调入1人，保障人员增加1人。</w:t>
            </w:r>
          </w:p>
        </w:tc>
      </w:tr>
      <w:tr w14:paraId="3BCBCC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5AB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A98A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78091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30914">
            <w:pPr>
              <w:jc w:val="center"/>
            </w:pPr>
            <w:r>
              <w:rPr>
                <w:rFonts w:ascii="宋体" w:hAnsi="宋体" w:eastAsia="宋体"/>
                <w:sz w:val="16"/>
              </w:rPr>
              <w:t>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F8B6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12F53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499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6872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D4CDD">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D72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3E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40C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26F56">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7F74F76C">
            <w:pPr>
              <w:jc w:val="center"/>
            </w:pPr>
            <w:r>
              <w:rPr>
                <w:rFonts w:ascii="宋体" w:hAnsi="宋体" w:eastAsia="宋体"/>
                <w:sz w:val="16"/>
              </w:rPr>
              <w:t>本项目采购全部合格，合格率达到100%</w:t>
            </w:r>
          </w:p>
        </w:tc>
      </w:tr>
      <w:tr w14:paraId="3CB8A0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8831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7CA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190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66096">
            <w:pPr>
              <w:jc w:val="center"/>
            </w:pPr>
            <w:r>
              <w:rPr>
                <w:rFonts w:ascii="宋体" w:hAnsi="宋体" w:eastAsia="宋体"/>
                <w:sz w:val="16"/>
              </w:rPr>
              <w:t>工会福利保障率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01A5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43FE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5DA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439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80F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D5D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99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C48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11FA6">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024B3E3B">
            <w:pPr>
              <w:jc w:val="center"/>
            </w:pPr>
          </w:p>
        </w:tc>
      </w:tr>
      <w:tr w14:paraId="021545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339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121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1588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8E9AE">
            <w:pPr>
              <w:jc w:val="center"/>
            </w:pPr>
            <w:r>
              <w:rPr>
                <w:rFonts w:ascii="宋体" w:hAnsi="宋体" w:eastAsia="宋体"/>
                <w:sz w:val="16"/>
              </w:rPr>
              <w:t>项目保障时间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3B97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1E116C">
            <w:pPr>
              <w:jc w:val="center"/>
            </w:pPr>
            <w:r>
              <w:rPr>
                <w:rFonts w:ascii="宋体" w:hAnsi="宋体" w:eastAsia="宋体"/>
                <w:sz w:val="16"/>
              </w:rPr>
              <w:t>&gt;=10个月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ADA9F">
            <w:pPr>
              <w:jc w:val="center"/>
            </w:pPr>
            <w:r>
              <w:rPr>
                <w:rFonts w:ascii="宋体" w:hAnsi="宋体" w:eastAsia="宋体"/>
                <w:sz w:val="16"/>
              </w:rPr>
              <w: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0C3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29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C30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29A2D">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389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02601">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2392CD99">
            <w:pPr>
              <w:jc w:val="center"/>
            </w:pPr>
          </w:p>
        </w:tc>
      </w:tr>
      <w:tr w14:paraId="4D1DBA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9998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25D67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0F080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8C18B">
            <w:pPr>
              <w:jc w:val="center"/>
            </w:pPr>
            <w:r>
              <w:rPr>
                <w:rFonts w:ascii="宋体" w:hAnsi="宋体" w:eastAsia="宋体"/>
                <w:sz w:val="16"/>
              </w:rPr>
              <w:t>单位自有资金工会保障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67A34">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5C7173">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EB332">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A2D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890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9B8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0C4C4">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578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A9C72">
            <w:pPr>
              <w:jc w:val="center"/>
            </w:pPr>
            <w:r>
              <w:rPr>
                <w:rFonts w:ascii="宋体" w:hAnsi="宋体" w:eastAsia="宋体"/>
                <w:sz w:val="16"/>
              </w:rPr>
              <w:t>原始凭证</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2E889F6B">
            <w:pPr>
              <w:jc w:val="center"/>
            </w:pPr>
          </w:p>
        </w:tc>
      </w:tr>
      <w:tr w14:paraId="0BEA47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BE5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AC8A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F2A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DDF3C">
            <w:pPr>
              <w:jc w:val="center"/>
            </w:pPr>
            <w:r>
              <w:rPr>
                <w:rFonts w:ascii="宋体" w:hAnsi="宋体" w:eastAsia="宋体"/>
                <w:sz w:val="16"/>
              </w:rPr>
              <w:t>单位自有资金运行保障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2E61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8395E7">
            <w:pPr>
              <w:jc w:val="center"/>
            </w:pPr>
            <w:r>
              <w:rPr>
                <w:rFonts w:ascii="宋体" w:hAnsi="宋体" w:eastAsia="宋体"/>
                <w:sz w:val="16"/>
              </w:rPr>
              <w:t>&lt;=1.62万元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20A73">
            <w:pPr>
              <w:jc w:val="center"/>
            </w:pPr>
            <w:r>
              <w:rPr>
                <w:rFonts w:ascii="宋体" w:hAnsi="宋体" w:eastAsia="宋体"/>
                <w:sz w:val="16"/>
              </w:rPr>
              <w:t>=1.62万元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59E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250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F7A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04F2B">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F4B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B57BB">
            <w:pPr>
              <w:jc w:val="center"/>
            </w:pPr>
            <w:r>
              <w:rPr>
                <w:rFonts w:ascii="宋体" w:hAnsi="宋体" w:eastAsia="宋体"/>
                <w:sz w:val="16"/>
              </w:rPr>
              <w:t>原始凭证</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38594965">
            <w:pPr>
              <w:jc w:val="center"/>
            </w:pPr>
          </w:p>
        </w:tc>
      </w:tr>
      <w:tr w14:paraId="26BC71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35B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18D2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A5A8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38281">
            <w:pPr>
              <w:jc w:val="center"/>
            </w:pPr>
            <w:r>
              <w:rPr>
                <w:rFonts w:ascii="宋体" w:hAnsi="宋体" w:eastAsia="宋体"/>
                <w:sz w:val="16"/>
              </w:rPr>
              <w:t>保障单位正常运转，为部门业务开展提供有效支持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4DD8D">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9029DF">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D4CE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6A3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FECE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F02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064F4">
            <w:pPr>
              <w:jc w:val="center"/>
              <w:rPr>
                <w:rFonts w:hint="eastAsia" w:eastAsia="宋体"/>
                <w:lang w:eastAsia="zh-CN"/>
              </w:rPr>
            </w:pPr>
            <w:r>
              <w:rPr>
                <w:rFonts w:hint="eastAsia" w:ascii="宋体" w:hAnsi="宋体"/>
                <w:sz w:val="16"/>
                <w:lang w:eastAsia="zh-CN"/>
              </w:rPr>
              <w:t>“</w:t>
            </w:r>
            <w:r>
              <w:rPr>
                <w:rFonts w:ascii="宋体" w:hAnsi="宋体" w:eastAsia="宋体"/>
                <w:sz w:val="16"/>
              </w:rPr>
              <w:t>单位职工满意度</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0BEF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A13B1">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7173C249">
            <w:pPr>
              <w:jc w:val="center"/>
            </w:pPr>
          </w:p>
        </w:tc>
      </w:tr>
      <w:tr w14:paraId="339235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D7F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871C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BB74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FC5C3">
            <w:pPr>
              <w:jc w:val="center"/>
              <w:rPr>
                <w:rFonts w:hint="eastAsia" w:eastAsia="宋体"/>
                <w:lang w:eastAsia="zh-CN"/>
              </w:rPr>
            </w:pPr>
            <w:r>
              <w:rPr>
                <w:rFonts w:hint="eastAsia" w:ascii="宋体" w:hAnsi="宋体"/>
                <w:sz w:val="16"/>
                <w:lang w:eastAsia="zh-CN"/>
              </w:rPr>
              <w:t>“</w:t>
            </w:r>
            <w:r>
              <w:rPr>
                <w:rFonts w:ascii="宋体" w:hAnsi="宋体" w:eastAsia="宋体"/>
                <w:sz w:val="16"/>
              </w:rPr>
              <w:t>单位职工满意度</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CA58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09948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937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ACD1B">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1E5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B9E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9D1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2E20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09F8C">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321DFD5B">
            <w:pPr>
              <w:jc w:val="center"/>
            </w:pPr>
            <w:r>
              <w:rPr>
                <w:rFonts w:ascii="宋体" w:hAnsi="宋体" w:eastAsia="宋体"/>
                <w:sz w:val="16"/>
              </w:rPr>
              <w:t>本项目落实全部在职职工福利，满意度达到100%</w:t>
            </w:r>
          </w:p>
        </w:tc>
      </w:tr>
      <w:tr w14:paraId="27ED4DA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836A40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14B9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A531B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226E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6781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C9442">
            <w:pPr>
              <w:jc w:val="center"/>
            </w:pPr>
            <w:r>
              <w:rPr>
                <w:rFonts w:ascii="宋体" w:hAnsi="宋体" w:eastAsia="宋体"/>
                <w:sz w:val="16"/>
              </w:rPr>
              <w:t>97.90分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9612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E099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DBED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050A6D"/>
        </w:tc>
        <w:tc>
          <w:tcPr>
            <w:tcW w:w="755" w:type="dxa"/>
            <w:tcBorders>
              <w:top w:val="single" w:color="auto" w:sz="10" w:space="0"/>
              <w:left w:val="single" w:color="auto" w:sz="10" w:space="0"/>
              <w:bottom w:val="single" w:color="auto" w:sz="10" w:space="0"/>
              <w:right w:val="single" w:color="auto" w:sz="10" w:space="0"/>
              <w:insideV w:val="single" w:sz="10" w:space="0"/>
            </w:tcBorders>
          </w:tcPr>
          <w:p w14:paraId="7A91344F"/>
        </w:tc>
      </w:tr>
    </w:tbl>
    <w:p w14:paraId="7F2683C4">
      <w:r>
        <w:br w:type="page"/>
      </w:r>
    </w:p>
    <w:tbl>
      <w:tblPr>
        <w:tblStyle w:val="9"/>
        <w:tblW w:w="0" w:type="auto"/>
        <w:tblInd w:w="0" w:type="dxa"/>
        <w:tblLayout w:type="fixed"/>
        <w:tblCellMar>
          <w:top w:w="0" w:type="dxa"/>
          <w:left w:w="108" w:type="dxa"/>
          <w:bottom w:w="0" w:type="dxa"/>
          <w:right w:w="108" w:type="dxa"/>
        </w:tblCellMar>
      </w:tblPr>
      <w:tblGrid>
        <w:gridCol w:w="632"/>
        <w:gridCol w:w="632"/>
        <w:gridCol w:w="632"/>
        <w:gridCol w:w="632"/>
        <w:gridCol w:w="185"/>
        <w:gridCol w:w="447"/>
        <w:gridCol w:w="632"/>
        <w:gridCol w:w="632"/>
        <w:gridCol w:w="632"/>
        <w:gridCol w:w="632"/>
        <w:gridCol w:w="632"/>
        <w:gridCol w:w="632"/>
        <w:gridCol w:w="632"/>
        <w:gridCol w:w="632"/>
        <w:gridCol w:w="632"/>
      </w:tblGrid>
      <w:tr w14:paraId="4B12B940">
        <w:tblPrEx>
          <w:tblCellMar>
            <w:top w:w="0" w:type="dxa"/>
            <w:left w:w="108" w:type="dxa"/>
            <w:bottom w:w="0" w:type="dxa"/>
            <w:right w:w="108" w:type="dxa"/>
          </w:tblCellMar>
        </w:tblPrEx>
        <w:tc>
          <w:tcPr>
            <w:tcW w:w="8848" w:type="dxa"/>
            <w:gridSpan w:val="15"/>
            <w:vAlign w:val="center"/>
          </w:tcPr>
          <w:p w14:paraId="4E766AEA">
            <w:pPr>
              <w:jc w:val="center"/>
            </w:pPr>
            <w:r>
              <w:rPr>
                <w:rFonts w:ascii="宋体" w:hAnsi="宋体" w:eastAsia="宋体"/>
                <w:sz w:val="24"/>
              </w:rPr>
              <w:t>项目支出绩效自评表</w:t>
            </w:r>
          </w:p>
        </w:tc>
      </w:tr>
      <w:tr w14:paraId="704C9FB2">
        <w:tblPrEx>
          <w:tblCellMar>
            <w:top w:w="0" w:type="dxa"/>
            <w:left w:w="108" w:type="dxa"/>
            <w:bottom w:w="0" w:type="dxa"/>
            <w:right w:w="108" w:type="dxa"/>
          </w:tblCellMar>
        </w:tblPrEx>
        <w:tc>
          <w:tcPr>
            <w:tcW w:w="8848"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510E484D">
            <w:pPr>
              <w:jc w:val="center"/>
            </w:pPr>
            <w:r>
              <w:rPr>
                <w:rFonts w:ascii="宋体" w:hAnsi="宋体" w:eastAsia="宋体"/>
                <w:sz w:val="24"/>
              </w:rPr>
              <w:t>(2024年度)</w:t>
            </w:r>
          </w:p>
        </w:tc>
      </w:tr>
      <w:tr w14:paraId="3E63EB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22DC2">
            <w:pPr>
              <w:jc w:val="center"/>
            </w:pPr>
            <w:r>
              <w:rPr>
                <w:rFonts w:ascii="宋体" w:hAnsi="宋体" w:eastAsia="宋体"/>
                <w:sz w:val="16"/>
              </w:rPr>
              <w:t>项目名称</w:t>
            </w:r>
          </w:p>
        </w:tc>
        <w:tc>
          <w:tcPr>
            <w:tcW w:w="821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DF501D">
            <w:pPr>
              <w:jc w:val="center"/>
            </w:pPr>
            <w:r>
              <w:rPr>
                <w:rFonts w:ascii="宋体" w:hAnsi="宋体" w:eastAsia="宋体"/>
                <w:sz w:val="16"/>
              </w:rPr>
              <w:t>机构运行补助经费</w:t>
            </w:r>
          </w:p>
        </w:tc>
      </w:tr>
      <w:tr w14:paraId="629C41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90858">
            <w:pPr>
              <w:jc w:val="center"/>
            </w:pPr>
            <w:r>
              <w:rPr>
                <w:rFonts w:ascii="宋体" w:hAnsi="宋体" w:eastAsia="宋体"/>
                <w:sz w:val="16"/>
              </w:rPr>
              <w:t>主管部门</w:t>
            </w:r>
          </w:p>
        </w:tc>
        <w:tc>
          <w:tcPr>
            <w:tcW w:w="442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7E941CC">
            <w:pPr>
              <w:jc w:val="center"/>
            </w:pPr>
            <w:r>
              <w:rPr>
                <w:rFonts w:ascii="宋体" w:hAnsi="宋体" w:eastAsia="宋体"/>
                <w:sz w:val="16"/>
              </w:rPr>
              <w:t>昌吉州地质环境监测站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250E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0F3FFA">
            <w:pPr>
              <w:jc w:val="center"/>
            </w:pPr>
            <w:r>
              <w:rPr>
                <w:rFonts w:ascii="宋体" w:hAnsi="宋体" w:eastAsia="宋体"/>
                <w:sz w:val="16"/>
              </w:rPr>
              <w:t>昌吉州地质环境监测站</w:t>
            </w:r>
          </w:p>
        </w:tc>
      </w:tr>
      <w:tr w14:paraId="659E0F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FDE36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2AB15">
            <w:pPr>
              <w:jc w:val="center"/>
            </w:pP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248DB2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FE80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21FB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D60F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32F4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80E0C">
            <w:pPr>
              <w:jc w:val="center"/>
            </w:pPr>
            <w:r>
              <w:rPr>
                <w:rFonts w:ascii="宋体" w:hAnsi="宋体" w:eastAsia="宋体"/>
                <w:sz w:val="16"/>
              </w:rPr>
              <w:t>得分</w:t>
            </w:r>
          </w:p>
        </w:tc>
      </w:tr>
      <w:tr w14:paraId="4AE7FC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EB1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6E17E">
            <w:pPr>
              <w:jc w:val="center"/>
            </w:pPr>
            <w:r>
              <w:rPr>
                <w:rFonts w:ascii="宋体" w:hAnsi="宋体" w:eastAsia="宋体"/>
                <w:sz w:val="16"/>
              </w:rPr>
              <w:t>年度资金总额</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AAC653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0ED0C">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E004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67C9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5FE9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C3F42">
            <w:pPr>
              <w:jc w:val="center"/>
            </w:pPr>
            <w:r>
              <w:rPr>
                <w:rFonts w:ascii="宋体" w:hAnsi="宋体" w:eastAsia="宋体"/>
                <w:sz w:val="16"/>
              </w:rPr>
              <w:t>10.00</w:t>
            </w:r>
          </w:p>
        </w:tc>
      </w:tr>
      <w:tr w14:paraId="6F13AE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6006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4840B">
            <w:pPr>
              <w:jc w:val="center"/>
            </w:pPr>
            <w:r>
              <w:rPr>
                <w:rFonts w:ascii="宋体" w:hAnsi="宋体" w:eastAsia="宋体"/>
                <w:sz w:val="16"/>
              </w:rPr>
              <w:t>其中：当年财政拨款</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841381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A99A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9EB8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780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9CE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29689">
            <w:pPr>
              <w:jc w:val="center"/>
            </w:pPr>
            <w:r>
              <w:rPr>
                <w:rFonts w:ascii="宋体" w:hAnsi="宋体" w:eastAsia="宋体"/>
                <w:sz w:val="16"/>
              </w:rPr>
              <w:t>—</w:t>
            </w:r>
          </w:p>
        </w:tc>
      </w:tr>
      <w:tr w14:paraId="726AFE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EF322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B45BD">
            <w:pPr>
              <w:jc w:val="center"/>
            </w:pPr>
            <w:r>
              <w:rPr>
                <w:rFonts w:ascii="宋体" w:hAnsi="宋体" w:eastAsia="宋体"/>
                <w:sz w:val="16"/>
              </w:rPr>
              <w:t xml:space="preserve">  其他资金</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A8266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F54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998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F054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413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B6C2D">
            <w:pPr>
              <w:jc w:val="center"/>
            </w:pPr>
            <w:r>
              <w:rPr>
                <w:rFonts w:ascii="宋体" w:hAnsi="宋体" w:eastAsia="宋体"/>
                <w:sz w:val="16"/>
              </w:rPr>
              <w:t>—</w:t>
            </w:r>
          </w:p>
        </w:tc>
      </w:tr>
      <w:tr w14:paraId="671B66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93BC11">
            <w:pPr>
              <w:jc w:val="center"/>
            </w:pPr>
            <w:r>
              <w:rPr>
                <w:rFonts w:ascii="宋体" w:hAnsi="宋体" w:eastAsia="宋体"/>
                <w:sz w:val="16"/>
              </w:rPr>
              <w:t>年度总体目标</w:t>
            </w:r>
          </w:p>
        </w:tc>
        <w:tc>
          <w:tcPr>
            <w:tcW w:w="442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C6E0D6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D85282">
            <w:pPr>
              <w:jc w:val="center"/>
            </w:pPr>
            <w:r>
              <w:rPr>
                <w:rFonts w:ascii="宋体" w:hAnsi="宋体" w:eastAsia="宋体"/>
                <w:sz w:val="16"/>
              </w:rPr>
              <w:t>实际完成情况</w:t>
            </w:r>
          </w:p>
        </w:tc>
      </w:tr>
      <w:tr w14:paraId="5458A2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97084"/>
        </w:tc>
        <w:tc>
          <w:tcPr>
            <w:tcW w:w="442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0BEE4BF">
            <w:pPr>
              <w:jc w:val="both"/>
            </w:pPr>
            <w:r>
              <w:rPr>
                <w:rFonts w:ascii="宋体" w:hAnsi="宋体" w:eastAsia="宋体"/>
                <w:sz w:val="16"/>
              </w:rPr>
              <w:t>合理高效完成地下水动态监测计划任务，及时掌握地下水位水质变动情况。目标1.试验设备调试维护95个；全年地下水动态监测维护点100个；2022年水质化验样本80个；采购设备设施验收合格率100%；监测结果出具及时性100%。目标2.提高对地下水利用和保护意识；持续掌控地下水区域水质变化情况。</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EE4A24">
            <w:pPr>
              <w:jc w:val="both"/>
            </w:pPr>
            <w:r>
              <w:rPr>
                <w:rFonts w:hint="eastAsia" w:ascii="宋体" w:hAnsi="宋体"/>
                <w:sz w:val="16"/>
                <w:lang w:eastAsia="zh-CN"/>
              </w:rPr>
              <w:t>截至</w:t>
            </w:r>
            <w:r>
              <w:rPr>
                <w:rFonts w:ascii="宋体" w:hAnsi="宋体" w:eastAsia="宋体"/>
                <w:sz w:val="16"/>
              </w:rPr>
              <w:t>2024年12月31日，该项目实际完成试验设备调试维护2次；全年地下水动态监测维护点100个；水质化验样本70个；采购设备设施验收合格率100%；监测结果出具及时性100%。通过该项目的实施，提高对地下水利用和保护意识，持续掌控地下水区域水质变化情况，合理高效完成地下水动态监测计划任务，及时掌握地下水位水质变动情况。</w:t>
            </w:r>
          </w:p>
        </w:tc>
      </w:tr>
      <w:tr w14:paraId="6E7DBE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58EB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6B9D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C0EA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47B29">
            <w:pPr>
              <w:jc w:val="center"/>
            </w:pPr>
            <w:r>
              <w:rPr>
                <w:rFonts w:ascii="宋体" w:hAnsi="宋体" w:eastAsia="宋体"/>
                <w:sz w:val="16"/>
              </w:rPr>
              <w:t>三级指标</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59EA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9AE5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86EE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6242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E67D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6A2F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4408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DC02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D60B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AD934">
            <w:pPr>
              <w:jc w:val="center"/>
            </w:pPr>
            <w:r>
              <w:rPr>
                <w:rFonts w:ascii="宋体" w:hAnsi="宋体" w:eastAsia="宋体"/>
                <w:sz w:val="16"/>
              </w:rPr>
              <w:t>偏差原因分析及改进措施</w:t>
            </w:r>
          </w:p>
        </w:tc>
      </w:tr>
      <w:tr w14:paraId="0D9DF0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1EE8D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FBC69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DF070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61ABA">
            <w:pPr>
              <w:jc w:val="center"/>
            </w:pPr>
            <w:r>
              <w:rPr>
                <w:rFonts w:ascii="宋体" w:hAnsi="宋体" w:eastAsia="宋体"/>
                <w:sz w:val="16"/>
              </w:rPr>
              <w:t>试验设备调试维护</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21DC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9A604">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6314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563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6126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465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A075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6FC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A0D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3C3A9">
            <w:pPr>
              <w:jc w:val="center"/>
            </w:pPr>
          </w:p>
        </w:tc>
      </w:tr>
      <w:tr w14:paraId="2DD83C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DFC3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2C8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F22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01EF6">
            <w:pPr>
              <w:jc w:val="center"/>
            </w:pPr>
            <w:r>
              <w:rPr>
                <w:rFonts w:ascii="宋体" w:hAnsi="宋体" w:eastAsia="宋体"/>
                <w:sz w:val="16"/>
              </w:rPr>
              <w:t>全年地下水动态监测维护点</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3D08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96EF1">
            <w:pPr>
              <w:jc w:val="center"/>
            </w:pPr>
            <w:r>
              <w:rPr>
                <w:rFonts w:ascii="宋体" w:hAnsi="宋体" w:eastAsia="宋体"/>
                <w:sz w:val="16"/>
              </w:rPr>
              <w:t>&gt;=100个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3E02A">
            <w:pPr>
              <w:jc w:val="center"/>
            </w:pPr>
            <w:r>
              <w:rPr>
                <w:rFonts w:ascii="宋体" w:hAnsi="宋体" w:eastAsia="宋体"/>
                <w:sz w:val="16"/>
              </w:rPr>
              <w:t>=100个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DD1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54B3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960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975A1">
            <w:pPr>
              <w:jc w:val="center"/>
            </w:pPr>
            <w:r>
              <w:rPr>
                <w:rFonts w:ascii="宋体" w:hAnsi="宋体" w:eastAsia="宋体"/>
                <w:sz w:val="16"/>
              </w:rPr>
              <w:t>86个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544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412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66BCB">
            <w:pPr>
              <w:jc w:val="center"/>
            </w:pPr>
          </w:p>
        </w:tc>
      </w:tr>
      <w:tr w14:paraId="049F91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1A82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BCB1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B45EF"/>
        </w:tc>
        <w:tc>
          <w:tcPr>
            <w:tcW w:w="8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032EA">
            <w:pPr>
              <w:jc w:val="center"/>
            </w:pPr>
            <w:r>
              <w:rPr>
                <w:rFonts w:ascii="宋体" w:hAnsi="宋体" w:eastAsia="宋体"/>
                <w:sz w:val="16"/>
              </w:rPr>
              <w:t>水质化验样本</w:t>
            </w:r>
          </w:p>
        </w:tc>
        <w:tc>
          <w:tcPr>
            <w:tcW w:w="447" w:type="dxa"/>
            <w:tcBorders>
              <w:top w:val="single" w:color="auto" w:sz="10" w:space="0"/>
              <w:left w:val="single" w:color="auto" w:sz="10" w:space="0"/>
              <w:bottom w:val="single" w:color="auto" w:sz="10" w:space="0"/>
              <w:right w:val="single" w:color="auto" w:sz="10" w:space="0"/>
              <w:insideV w:val="single" w:sz="10" w:space="0"/>
            </w:tcBorders>
            <w:vAlign w:val="center"/>
          </w:tcPr>
          <w:p w14:paraId="3F2C1B1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2BC8C">
            <w:pPr>
              <w:jc w:val="center"/>
            </w:pPr>
            <w:r>
              <w:rPr>
                <w:rFonts w:ascii="宋体" w:hAnsi="宋体" w:eastAsia="宋体"/>
                <w:sz w:val="16"/>
              </w:rPr>
              <w:t>&gt;=70个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D1538">
            <w:pPr>
              <w:jc w:val="center"/>
            </w:pPr>
            <w:r>
              <w:rPr>
                <w:rFonts w:ascii="宋体" w:hAnsi="宋体" w:eastAsia="宋体"/>
                <w:sz w:val="16"/>
              </w:rPr>
              <w:t>=70个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F3A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5C76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BA6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F10F7">
            <w:pPr>
              <w:jc w:val="center"/>
            </w:pPr>
            <w:r>
              <w:rPr>
                <w:rFonts w:ascii="宋体" w:hAnsi="宋体" w:eastAsia="宋体"/>
                <w:sz w:val="16"/>
              </w:rPr>
              <w:t>68个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D62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90B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BB6AA">
            <w:pPr>
              <w:jc w:val="center"/>
            </w:pPr>
          </w:p>
        </w:tc>
      </w:tr>
      <w:tr w14:paraId="4DE1B1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CAC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B2E4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23C87">
            <w:pPr>
              <w:jc w:val="center"/>
            </w:pPr>
            <w:r>
              <w:rPr>
                <w:rFonts w:ascii="宋体" w:hAnsi="宋体" w:eastAsia="宋体"/>
                <w:sz w:val="16"/>
              </w:rPr>
              <w:t>质量指标</w:t>
            </w:r>
          </w:p>
        </w:tc>
        <w:tc>
          <w:tcPr>
            <w:tcW w:w="8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9A5B0">
            <w:pPr>
              <w:jc w:val="center"/>
            </w:pPr>
            <w:r>
              <w:rPr>
                <w:rFonts w:ascii="宋体" w:hAnsi="宋体" w:eastAsia="宋体"/>
                <w:sz w:val="16"/>
              </w:rPr>
              <w:t>设备设施维修验收合格率</w:t>
            </w:r>
          </w:p>
        </w:tc>
        <w:tc>
          <w:tcPr>
            <w:tcW w:w="447" w:type="dxa"/>
            <w:tcBorders>
              <w:top w:val="single" w:color="auto" w:sz="10" w:space="0"/>
              <w:left w:val="single" w:color="auto" w:sz="10" w:space="0"/>
              <w:bottom w:val="single" w:color="auto" w:sz="10" w:space="0"/>
              <w:right w:val="single" w:color="auto" w:sz="10" w:space="0"/>
              <w:insideV w:val="single" w:sz="10" w:space="0"/>
            </w:tcBorders>
            <w:vAlign w:val="center"/>
          </w:tcPr>
          <w:p w14:paraId="270D6D6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A952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3CC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17F47">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0E081">
            <w:pPr>
              <w:jc w:val="center"/>
            </w:pPr>
            <w:r>
              <w:rPr>
                <w:rFonts w:ascii="宋体" w:hAnsi="宋体" w:eastAsia="宋体"/>
                <w:sz w:val="16"/>
              </w:rPr>
              <w:t>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261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15A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4F2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6F7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5CF4A">
            <w:pPr>
              <w:jc w:val="center"/>
            </w:pPr>
            <w:r>
              <w:rPr>
                <w:rFonts w:ascii="宋体" w:hAnsi="宋体" w:eastAsia="宋体"/>
                <w:sz w:val="16"/>
              </w:rPr>
              <w:t>年初指标设置错误，设备设施维修验收合格率应设置为100%</w:t>
            </w:r>
          </w:p>
        </w:tc>
      </w:tr>
      <w:tr w14:paraId="504927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D13F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C509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5B32B">
            <w:pPr>
              <w:jc w:val="center"/>
            </w:pPr>
            <w:r>
              <w:rPr>
                <w:rFonts w:ascii="宋体" w:hAnsi="宋体" w:eastAsia="宋体"/>
                <w:sz w:val="16"/>
              </w:rPr>
              <w:t>时效指标</w:t>
            </w:r>
          </w:p>
        </w:tc>
        <w:tc>
          <w:tcPr>
            <w:tcW w:w="8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F15BB">
            <w:pPr>
              <w:jc w:val="center"/>
            </w:pPr>
            <w:r>
              <w:rPr>
                <w:rFonts w:ascii="宋体" w:hAnsi="宋体" w:eastAsia="宋体"/>
                <w:sz w:val="16"/>
              </w:rPr>
              <w:t>监测结果出具时间</w:t>
            </w:r>
          </w:p>
        </w:tc>
        <w:tc>
          <w:tcPr>
            <w:tcW w:w="447" w:type="dxa"/>
            <w:tcBorders>
              <w:top w:val="single" w:color="auto" w:sz="10" w:space="0"/>
              <w:left w:val="single" w:color="auto" w:sz="10" w:space="0"/>
              <w:bottom w:val="single" w:color="auto" w:sz="10" w:space="0"/>
              <w:right w:val="single" w:color="auto" w:sz="10" w:space="0"/>
              <w:insideV w:val="single" w:sz="10" w:space="0"/>
            </w:tcBorders>
            <w:vAlign w:val="center"/>
          </w:tcPr>
          <w:p w14:paraId="7468B34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9934E">
            <w:pPr>
              <w:jc w:val="center"/>
            </w:pPr>
            <w:r>
              <w:rPr>
                <w:rFonts w:ascii="宋体" w:hAnsi="宋体" w:eastAsia="宋体"/>
                <w:sz w:val="16"/>
              </w:rPr>
              <w:t>&gt;=10个工作日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E1C0A">
            <w:pPr>
              <w:jc w:val="center"/>
            </w:pPr>
            <w:r>
              <w:rPr>
                <w:rFonts w:ascii="宋体" w:hAnsi="宋体" w:eastAsia="宋体"/>
                <w:sz w:val="16"/>
              </w:rPr>
              <w:t>=10个工作日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FF4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A234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20F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27F27">
            <w:pPr>
              <w:jc w:val="center"/>
            </w:pPr>
            <w:r>
              <w:rPr>
                <w:rFonts w:ascii="宋体" w:hAnsi="宋体" w:eastAsia="宋体"/>
                <w:sz w:val="16"/>
              </w:rPr>
              <w:t>5个工作日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C2E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F4A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542FF">
            <w:pPr>
              <w:jc w:val="center"/>
            </w:pPr>
          </w:p>
        </w:tc>
      </w:tr>
      <w:tr w14:paraId="5AE627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7B71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C031A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06B8B6">
            <w:pPr>
              <w:jc w:val="center"/>
            </w:pPr>
            <w:r>
              <w:rPr>
                <w:rFonts w:ascii="宋体" w:hAnsi="宋体" w:eastAsia="宋体"/>
                <w:sz w:val="16"/>
              </w:rPr>
              <w:t>经济成本指标</w:t>
            </w:r>
          </w:p>
        </w:tc>
        <w:tc>
          <w:tcPr>
            <w:tcW w:w="8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676CF">
            <w:pPr>
              <w:jc w:val="center"/>
            </w:pPr>
            <w:r>
              <w:rPr>
                <w:rFonts w:ascii="宋体" w:hAnsi="宋体" w:eastAsia="宋体"/>
                <w:sz w:val="16"/>
              </w:rPr>
              <w:t>地下水监测经费</w:t>
            </w:r>
          </w:p>
        </w:tc>
        <w:tc>
          <w:tcPr>
            <w:tcW w:w="447" w:type="dxa"/>
            <w:tcBorders>
              <w:top w:val="single" w:color="auto" w:sz="10" w:space="0"/>
              <w:left w:val="single" w:color="auto" w:sz="10" w:space="0"/>
              <w:bottom w:val="single" w:color="auto" w:sz="10" w:space="0"/>
              <w:right w:val="single" w:color="auto" w:sz="10" w:space="0"/>
              <w:insideV w:val="single" w:sz="10" w:space="0"/>
            </w:tcBorders>
            <w:vAlign w:val="center"/>
          </w:tcPr>
          <w:p w14:paraId="0D6A9C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BD0C">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38247">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1C9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775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59F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3FFA6">
            <w:pPr>
              <w:jc w:val="center"/>
            </w:pPr>
            <w:r>
              <w:rPr>
                <w:rFonts w:ascii="宋体" w:hAnsi="宋体" w:eastAsia="宋体"/>
                <w:sz w:val="16"/>
              </w:rPr>
              <w: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FAD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CA86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4B104">
            <w:pPr>
              <w:jc w:val="center"/>
            </w:pPr>
          </w:p>
        </w:tc>
      </w:tr>
      <w:tr w14:paraId="2F183F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B36E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96FF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7A722"/>
        </w:tc>
        <w:tc>
          <w:tcPr>
            <w:tcW w:w="8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35B0C">
            <w:pPr>
              <w:jc w:val="center"/>
            </w:pPr>
            <w:r>
              <w:rPr>
                <w:rFonts w:ascii="宋体" w:hAnsi="宋体" w:eastAsia="宋体"/>
                <w:sz w:val="16"/>
              </w:rPr>
              <w:t>业务开展保障经费</w:t>
            </w:r>
          </w:p>
        </w:tc>
        <w:tc>
          <w:tcPr>
            <w:tcW w:w="447" w:type="dxa"/>
            <w:tcBorders>
              <w:top w:val="single" w:color="auto" w:sz="10" w:space="0"/>
              <w:left w:val="single" w:color="auto" w:sz="10" w:space="0"/>
              <w:bottom w:val="single" w:color="auto" w:sz="10" w:space="0"/>
              <w:right w:val="single" w:color="auto" w:sz="10" w:space="0"/>
              <w:insideV w:val="single" w:sz="10" w:space="0"/>
            </w:tcBorders>
            <w:vAlign w:val="center"/>
          </w:tcPr>
          <w:p w14:paraId="6E20AC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8F7FB">
            <w:pPr>
              <w:jc w:val="center"/>
            </w:pPr>
            <w:r>
              <w:rPr>
                <w:rFonts w:ascii="宋体" w:hAnsi="宋体" w:eastAsia="宋体"/>
                <w:sz w:val="16"/>
              </w:rPr>
              <w:t>&lt;=26万元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D0526">
            <w:pPr>
              <w:jc w:val="center"/>
            </w:pPr>
            <w:r>
              <w:rPr>
                <w:rFonts w:ascii="宋体" w:hAnsi="宋体" w:eastAsia="宋体"/>
                <w:sz w:val="16"/>
              </w:rPr>
              <w: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9E9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993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BF7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E375A">
            <w:pPr>
              <w:jc w:val="center"/>
            </w:pPr>
            <w:r>
              <w:rPr>
                <w:rFonts w:ascii="宋体" w:hAnsi="宋体" w:eastAsia="宋体"/>
                <w:sz w:val="16"/>
              </w:rPr>
              <w:t>25.4万元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F45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E257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6A0EB">
            <w:pPr>
              <w:jc w:val="center"/>
            </w:pPr>
          </w:p>
        </w:tc>
      </w:tr>
      <w:tr w14:paraId="536125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C837F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8B052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71E706">
            <w:pPr>
              <w:jc w:val="center"/>
            </w:pPr>
            <w:r>
              <w:rPr>
                <w:rFonts w:ascii="宋体" w:hAnsi="宋体" w:eastAsia="宋体"/>
                <w:sz w:val="16"/>
              </w:rPr>
              <w:t>社会效益指标</w:t>
            </w:r>
          </w:p>
        </w:tc>
        <w:tc>
          <w:tcPr>
            <w:tcW w:w="8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3CD23">
            <w:pPr>
              <w:jc w:val="center"/>
            </w:pPr>
            <w:r>
              <w:rPr>
                <w:rFonts w:ascii="宋体" w:hAnsi="宋体" w:eastAsia="宋体"/>
                <w:sz w:val="16"/>
              </w:rPr>
              <w:t>提高对地下水利用和保护意识</w:t>
            </w:r>
          </w:p>
        </w:tc>
        <w:tc>
          <w:tcPr>
            <w:tcW w:w="447" w:type="dxa"/>
            <w:tcBorders>
              <w:top w:val="single" w:color="auto" w:sz="10" w:space="0"/>
              <w:left w:val="single" w:color="auto" w:sz="10" w:space="0"/>
              <w:bottom w:val="single" w:color="auto" w:sz="10" w:space="0"/>
              <w:right w:val="single" w:color="auto" w:sz="10" w:space="0"/>
              <w:insideV w:val="single" w:sz="10" w:space="0"/>
            </w:tcBorders>
            <w:vAlign w:val="center"/>
          </w:tcPr>
          <w:p w14:paraId="304A424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8D684">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6088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F83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855E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5CC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8C72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4023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8FE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B6ACC">
            <w:pPr>
              <w:jc w:val="center"/>
            </w:pPr>
          </w:p>
        </w:tc>
      </w:tr>
      <w:tr w14:paraId="02B7B6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673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EEB2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A9A37"/>
        </w:tc>
        <w:tc>
          <w:tcPr>
            <w:tcW w:w="8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B7934D">
            <w:pPr>
              <w:jc w:val="center"/>
            </w:pPr>
            <w:r>
              <w:rPr>
                <w:rFonts w:ascii="宋体" w:hAnsi="宋体" w:eastAsia="宋体"/>
                <w:sz w:val="16"/>
              </w:rPr>
              <w:t>持续掌控地下水区域水质变化情况</w:t>
            </w:r>
          </w:p>
        </w:tc>
        <w:tc>
          <w:tcPr>
            <w:tcW w:w="447" w:type="dxa"/>
            <w:tcBorders>
              <w:top w:val="single" w:color="auto" w:sz="10" w:space="0"/>
              <w:left w:val="single" w:color="auto" w:sz="10" w:space="0"/>
              <w:bottom w:val="single" w:color="auto" w:sz="10" w:space="0"/>
              <w:right w:val="single" w:color="auto" w:sz="10" w:space="0"/>
              <w:insideV w:val="single" w:sz="10" w:space="0"/>
            </w:tcBorders>
            <w:vAlign w:val="center"/>
          </w:tcPr>
          <w:p w14:paraId="42258CE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2953B">
            <w:pPr>
              <w:jc w:val="center"/>
            </w:pPr>
            <w:r>
              <w:rPr>
                <w:rFonts w:ascii="宋体" w:hAnsi="宋体" w:eastAsia="宋体"/>
                <w:sz w:val="16"/>
              </w:rPr>
              <w:t>持续掌控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9207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EC0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9CB8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54A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DC025">
            <w:pPr>
              <w:jc w:val="center"/>
            </w:pPr>
            <w:r>
              <w:rPr>
                <w:rFonts w:ascii="宋体" w:hAnsi="宋体" w:eastAsia="宋体"/>
                <w:sz w:val="16"/>
              </w:rPr>
              <w:t>持续掌控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1342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CF5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4C171">
            <w:pPr>
              <w:jc w:val="center"/>
            </w:pPr>
          </w:p>
        </w:tc>
      </w:tr>
      <w:tr w14:paraId="639AD962">
        <w:tblPrEx>
          <w:tblCellMar>
            <w:top w:w="0" w:type="dxa"/>
            <w:left w:w="108" w:type="dxa"/>
            <w:bottom w:w="0" w:type="dxa"/>
            <w:right w:w="108" w:type="dxa"/>
          </w:tblCellMar>
        </w:tblPrEx>
        <w:tc>
          <w:tcPr>
            <w:tcW w:w="271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F9E08B">
            <w:pPr>
              <w:jc w:val="center"/>
            </w:pPr>
            <w:r>
              <w:rPr>
                <w:rFonts w:ascii="宋体" w:hAnsi="宋体" w:eastAsia="宋体"/>
                <w:sz w:val="16"/>
              </w:rPr>
              <w:t>总分</w:t>
            </w:r>
          </w:p>
        </w:tc>
        <w:tc>
          <w:tcPr>
            <w:tcW w:w="447" w:type="dxa"/>
            <w:tcBorders>
              <w:top w:val="single" w:color="auto" w:sz="10" w:space="0"/>
              <w:left w:val="single" w:color="auto" w:sz="10" w:space="0"/>
              <w:bottom w:val="single" w:color="auto" w:sz="10" w:space="0"/>
              <w:right w:val="single" w:color="auto" w:sz="10" w:space="0"/>
              <w:insideV w:val="single" w:sz="10" w:space="0"/>
            </w:tcBorders>
            <w:vAlign w:val="center"/>
          </w:tcPr>
          <w:p w14:paraId="50730C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290D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F32D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1C0C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F5803">
            <w:pPr>
              <w:jc w:val="center"/>
            </w:pPr>
            <w:r>
              <w:rPr>
                <w:rFonts w:ascii="宋体" w:hAnsi="宋体" w:eastAsia="宋体"/>
                <w:sz w:val="16"/>
              </w:rPr>
              <w:t>99.60分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28A3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5E37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29EB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A08F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244D7C"/>
        </w:tc>
      </w:tr>
    </w:tbl>
    <w:p w14:paraId="5CFD98C6">
      <w:r>
        <w:br w:type="page"/>
      </w:r>
    </w:p>
    <w:p w14:paraId="1BE0D2EE">
      <w:pPr>
        <w:spacing w:line="640" w:lineRule="exact"/>
        <w:ind w:firstLine="640"/>
        <w:jc w:val="both"/>
        <w:outlineLvl w:val="2"/>
      </w:pPr>
      <w:r>
        <w:rPr>
          <w:rFonts w:ascii="黑体" w:hAnsi="黑体" w:eastAsia="黑体"/>
          <w:sz w:val="32"/>
        </w:rPr>
        <w:t>十二、其他需说明的事项</w:t>
      </w:r>
    </w:p>
    <w:p w14:paraId="4BC64BB9">
      <w:pPr>
        <w:spacing w:line="580" w:lineRule="exact"/>
        <w:ind w:firstLine="640"/>
        <w:jc w:val="both"/>
      </w:pPr>
      <w:r>
        <w:rPr>
          <w:rFonts w:ascii="仿宋_GB2312" w:hAnsi="仿宋_GB2312" w:eastAsia="仿宋_GB2312"/>
          <w:b w:val="0"/>
          <w:sz w:val="32"/>
        </w:rPr>
        <w:t>本单位无其他需说明的事项。</w:t>
      </w:r>
    </w:p>
    <w:p w14:paraId="5C36EBB4">
      <w:r>
        <w:br w:type="page"/>
      </w:r>
    </w:p>
    <w:p w14:paraId="70CD89AF">
      <w:pPr>
        <w:spacing w:line="240" w:lineRule="auto"/>
        <w:jc w:val="center"/>
        <w:outlineLvl w:val="1"/>
      </w:pPr>
      <w:r>
        <w:rPr>
          <w:rFonts w:ascii="黑体" w:hAnsi="黑体" w:eastAsia="黑体"/>
          <w:sz w:val="32"/>
        </w:rPr>
        <w:t>第三部分 专业名词解释</w:t>
      </w:r>
    </w:p>
    <w:p w14:paraId="29299514">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22693B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532A82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2586362">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ED3DECD">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FD1B09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A51786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BE2C50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7676D9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69BD9F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CCF8879">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57FA83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01A5D2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A1F0CA0">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320C905">
      <w:r>
        <w:br w:type="page"/>
      </w:r>
    </w:p>
    <w:p w14:paraId="33D4C620">
      <w:pPr>
        <w:spacing w:line="240" w:lineRule="auto"/>
        <w:jc w:val="center"/>
        <w:outlineLvl w:val="1"/>
      </w:pPr>
      <w:r>
        <w:rPr>
          <w:rFonts w:ascii="黑体" w:hAnsi="黑体" w:eastAsia="黑体"/>
          <w:sz w:val="32"/>
        </w:rPr>
        <w:t>第四部分 部门决算报表（见附表）</w:t>
      </w:r>
    </w:p>
    <w:p w14:paraId="1E810987">
      <w:pPr>
        <w:spacing w:line="240" w:lineRule="auto"/>
        <w:ind w:firstLine="640"/>
        <w:jc w:val="both"/>
      </w:pPr>
      <w:r>
        <w:rPr>
          <w:rFonts w:ascii="仿宋_GB2312" w:hAnsi="仿宋_GB2312" w:eastAsia="仿宋_GB2312"/>
          <w:b w:val="0"/>
          <w:sz w:val="32"/>
        </w:rPr>
        <w:t>一、《收入支出决算总表》</w:t>
      </w:r>
    </w:p>
    <w:p w14:paraId="2DC59EB6">
      <w:pPr>
        <w:spacing w:line="240" w:lineRule="auto"/>
        <w:ind w:firstLine="640"/>
        <w:jc w:val="both"/>
      </w:pPr>
      <w:r>
        <w:rPr>
          <w:rFonts w:ascii="仿宋_GB2312" w:hAnsi="仿宋_GB2312" w:eastAsia="仿宋_GB2312"/>
          <w:b w:val="0"/>
          <w:sz w:val="32"/>
        </w:rPr>
        <w:t>二、《收入决算表》</w:t>
      </w:r>
    </w:p>
    <w:p w14:paraId="6EDB03C3">
      <w:pPr>
        <w:spacing w:line="240" w:lineRule="auto"/>
        <w:ind w:firstLine="640"/>
        <w:jc w:val="both"/>
      </w:pPr>
      <w:r>
        <w:rPr>
          <w:rFonts w:ascii="仿宋_GB2312" w:hAnsi="仿宋_GB2312" w:eastAsia="仿宋_GB2312"/>
          <w:b w:val="0"/>
          <w:sz w:val="32"/>
        </w:rPr>
        <w:t>三、《支出决算表》</w:t>
      </w:r>
    </w:p>
    <w:p w14:paraId="439D1726">
      <w:pPr>
        <w:spacing w:line="240" w:lineRule="auto"/>
        <w:ind w:firstLine="640"/>
        <w:jc w:val="both"/>
      </w:pPr>
      <w:r>
        <w:rPr>
          <w:rFonts w:ascii="仿宋_GB2312" w:hAnsi="仿宋_GB2312" w:eastAsia="仿宋_GB2312"/>
          <w:b w:val="0"/>
          <w:sz w:val="32"/>
        </w:rPr>
        <w:t>四、《财政拨款收入支出决算总表》</w:t>
      </w:r>
    </w:p>
    <w:p w14:paraId="073A4837">
      <w:pPr>
        <w:spacing w:line="240" w:lineRule="auto"/>
        <w:ind w:firstLine="640"/>
        <w:jc w:val="both"/>
      </w:pPr>
      <w:r>
        <w:rPr>
          <w:rFonts w:ascii="仿宋_GB2312" w:hAnsi="仿宋_GB2312" w:eastAsia="仿宋_GB2312"/>
          <w:b w:val="0"/>
          <w:sz w:val="32"/>
        </w:rPr>
        <w:t>五、《一般公共预算财政拨款支出决算表》</w:t>
      </w:r>
    </w:p>
    <w:p w14:paraId="70AC284A">
      <w:pPr>
        <w:spacing w:line="240" w:lineRule="auto"/>
        <w:ind w:firstLine="640"/>
        <w:jc w:val="both"/>
      </w:pPr>
      <w:r>
        <w:rPr>
          <w:rFonts w:ascii="仿宋_GB2312" w:hAnsi="仿宋_GB2312" w:eastAsia="仿宋_GB2312"/>
          <w:b w:val="0"/>
          <w:sz w:val="32"/>
        </w:rPr>
        <w:t>六、《一般公共预算财政拨款基本支出决算表》</w:t>
      </w:r>
    </w:p>
    <w:p w14:paraId="6CC6B1C4">
      <w:pPr>
        <w:spacing w:line="240" w:lineRule="auto"/>
        <w:ind w:firstLine="640"/>
        <w:jc w:val="both"/>
      </w:pPr>
      <w:r>
        <w:rPr>
          <w:rFonts w:ascii="仿宋_GB2312" w:hAnsi="仿宋_GB2312" w:eastAsia="仿宋_GB2312"/>
          <w:b w:val="0"/>
          <w:sz w:val="32"/>
        </w:rPr>
        <w:t>七、《政府性基金预算财政拨款收入支出决算表》</w:t>
      </w:r>
    </w:p>
    <w:p w14:paraId="0B11CCC4">
      <w:pPr>
        <w:spacing w:line="240" w:lineRule="auto"/>
        <w:ind w:firstLine="640"/>
        <w:jc w:val="both"/>
      </w:pPr>
      <w:r>
        <w:rPr>
          <w:rFonts w:ascii="仿宋_GB2312" w:hAnsi="仿宋_GB2312" w:eastAsia="仿宋_GB2312"/>
          <w:b w:val="0"/>
          <w:sz w:val="32"/>
        </w:rPr>
        <w:t>八、《国有资本经营预算财政拨款收入支出决算表》</w:t>
      </w:r>
    </w:p>
    <w:p w14:paraId="42FC8CA1">
      <w:pPr>
        <w:spacing w:line="240" w:lineRule="auto"/>
        <w:ind w:firstLine="640"/>
        <w:jc w:val="both"/>
      </w:pPr>
      <w:r>
        <w:rPr>
          <w:rFonts w:ascii="仿宋_GB2312" w:hAnsi="仿宋_GB2312" w:eastAsia="仿宋_GB2312"/>
          <w:b w:val="0"/>
          <w:sz w:val="32"/>
        </w:rPr>
        <w:t>九、《财政拨款“三公”经费支出决算表》</w:t>
      </w:r>
    </w:p>
    <w:p w14:paraId="64652004">
      <w:pPr>
        <w:spacing w:line="240" w:lineRule="auto"/>
        <w:ind w:firstLine="640"/>
        <w:jc w:val="both"/>
      </w:pPr>
    </w:p>
    <w:p w14:paraId="2E348AA2">
      <w:pPr>
        <w:spacing w:line="240" w:lineRule="auto"/>
        <w:ind w:firstLine="640"/>
        <w:jc w:val="both"/>
      </w:pPr>
    </w:p>
    <w:p w14:paraId="5A0C3193">
      <w:pPr>
        <w:spacing w:line="240" w:lineRule="auto"/>
        <w:ind w:firstLine="640"/>
        <w:jc w:val="both"/>
      </w:pPr>
    </w:p>
    <w:p w14:paraId="036216F0">
      <w:pPr>
        <w:spacing w:line="240" w:lineRule="auto"/>
        <w:ind w:firstLine="640"/>
        <w:jc w:val="both"/>
      </w:pPr>
    </w:p>
    <w:p w14:paraId="275DC353">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F38606-7C98-4C2C-8E69-33E4F88DBF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3284F45-CE69-4C2A-8BD5-B614C60B72D4}"/>
  </w:font>
  <w:font w:name="仿宋_GB2312">
    <w:altName w:val="仿宋"/>
    <w:panose1 w:val="02010609030101010101"/>
    <w:charset w:val="86"/>
    <w:family w:val="modern"/>
    <w:pitch w:val="default"/>
    <w:sig w:usb0="00000000" w:usb1="00000000" w:usb2="00000000" w:usb3="00000000" w:csb0="00040000" w:csb1="00000000"/>
    <w:embedRegular r:id="rId3" w:fontKey="{4058F38C-4EF2-4868-BB4D-8ED9E3B1B8C2}"/>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123EDF83-5C12-420F-95F5-24B6C199E6DF}"/>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702E6F"/>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6F5A6008"/>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4918</Words>
  <Characters>5587</Characters>
  <Lines>0</Lines>
  <Paragraphs>0</Paragraphs>
  <TotalTime>2</TotalTime>
  <ScaleCrop>false</ScaleCrop>
  <LinksUpToDate>false</LinksUpToDate>
  <CharactersWithSpaces>5595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