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D71FAA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昌吉州政府投资建设项目代建管理中心</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D3DD16E">
      <w:r>
        <w:br w:type="page"/>
      </w:r>
    </w:p>
    <w:p w14:paraId="55A9198E">
      <w:pPr>
        <w:spacing w:line="640" w:lineRule="exact"/>
        <w:jc w:val="center"/>
        <w:outlineLvl w:val="1"/>
      </w:pPr>
      <w:r>
        <w:rPr>
          <w:rFonts w:ascii="黑体" w:hAnsi="黑体" w:eastAsia="黑体"/>
          <w:sz w:val="32"/>
        </w:rPr>
        <w:t>第一部分 单位概况</w:t>
      </w:r>
    </w:p>
    <w:p w14:paraId="64BCFE71">
      <w:pPr>
        <w:spacing w:line="640" w:lineRule="exact"/>
        <w:ind w:firstLine="640"/>
        <w:jc w:val="both"/>
        <w:outlineLvl w:val="2"/>
      </w:pPr>
      <w:r>
        <w:rPr>
          <w:rFonts w:ascii="黑体" w:hAnsi="黑体" w:eastAsia="黑体"/>
          <w:sz w:val="32"/>
        </w:rPr>
        <w:t>一、主要职能</w:t>
      </w:r>
    </w:p>
    <w:p w14:paraId="71F9026D">
      <w:pPr>
        <w:spacing w:line="580" w:lineRule="exact"/>
        <w:ind w:firstLine="640"/>
        <w:jc w:val="both"/>
      </w:pPr>
      <w:r>
        <w:rPr>
          <w:rFonts w:ascii="仿宋_GB2312" w:hAnsi="仿宋_GB2312" w:eastAsia="仿宋_GB2312"/>
          <w:sz w:val="32"/>
        </w:rPr>
        <w:t>（1）依据批准的政府投资建设项目报告，组织开展项目规划、勘察设计编制工作，办理项目建设前期各项手续。</w:t>
      </w:r>
    </w:p>
    <w:p w14:paraId="010766A6">
      <w:pPr>
        <w:spacing w:line="580" w:lineRule="exact"/>
        <w:ind w:firstLine="640"/>
        <w:jc w:val="both"/>
      </w:pPr>
      <w:r>
        <w:rPr>
          <w:rFonts w:ascii="仿宋_GB2312" w:hAnsi="仿宋_GB2312" w:eastAsia="仿宋_GB2312"/>
          <w:sz w:val="32"/>
        </w:rPr>
        <w:t>（2）组织编制项目预算，按规定程序报批后申请拨款。</w:t>
      </w:r>
    </w:p>
    <w:p w14:paraId="3CFF6F35">
      <w:pPr>
        <w:spacing w:line="580" w:lineRule="exact"/>
        <w:ind w:firstLine="640"/>
        <w:jc w:val="both"/>
      </w:pPr>
      <w:r>
        <w:rPr>
          <w:rFonts w:ascii="仿宋_GB2312" w:hAnsi="仿宋_GB2312" w:eastAsia="仿宋_GB2312"/>
          <w:sz w:val="32"/>
        </w:rPr>
        <w:t>（3）组织工程施工、监理和设备、材料采购招标工作并签订合同。</w:t>
      </w:r>
    </w:p>
    <w:p w14:paraId="1E7A43FF">
      <w:pPr>
        <w:spacing w:line="580" w:lineRule="exact"/>
        <w:ind w:firstLine="640"/>
        <w:jc w:val="both"/>
      </w:pPr>
      <w:r>
        <w:rPr>
          <w:rFonts w:ascii="仿宋_GB2312" w:hAnsi="仿宋_GB2312" w:eastAsia="仿宋_GB2312"/>
          <w:sz w:val="32"/>
        </w:rPr>
        <w:t>（4）负责对建设项目工程质量、安全生产实行管理。</w:t>
      </w:r>
    </w:p>
    <w:p w14:paraId="617B8D6B">
      <w:pPr>
        <w:spacing w:line="580" w:lineRule="exact"/>
        <w:ind w:firstLine="640"/>
        <w:jc w:val="both"/>
      </w:pPr>
      <w:r>
        <w:rPr>
          <w:rFonts w:ascii="仿宋_GB2312" w:hAnsi="仿宋_GB2312" w:eastAsia="仿宋_GB2312"/>
          <w:sz w:val="32"/>
        </w:rPr>
        <w:t>（5）负责编制项目竣工决算，组织项目竣工验收。</w:t>
      </w:r>
    </w:p>
    <w:p w14:paraId="0D9706F1">
      <w:pPr>
        <w:spacing w:line="580" w:lineRule="exact"/>
        <w:ind w:firstLine="640"/>
        <w:jc w:val="both"/>
      </w:pPr>
      <w:r>
        <w:rPr>
          <w:rFonts w:ascii="仿宋_GB2312" w:hAnsi="仿宋_GB2312" w:eastAsia="仿宋_GB2312"/>
          <w:sz w:val="32"/>
        </w:rPr>
        <w:t>（6）负责向使用单位移交工程建设资料、档案、并办理资产移交手续。</w:t>
      </w:r>
    </w:p>
    <w:p w14:paraId="6BBD933B">
      <w:pPr>
        <w:spacing w:line="640" w:lineRule="exact"/>
        <w:ind w:firstLine="640"/>
        <w:jc w:val="both"/>
        <w:outlineLvl w:val="2"/>
      </w:pPr>
      <w:r>
        <w:rPr>
          <w:rFonts w:ascii="黑体" w:hAnsi="黑体" w:eastAsia="黑体"/>
          <w:sz w:val="32"/>
        </w:rPr>
        <w:t>二、机构设置及人员情况</w:t>
      </w:r>
    </w:p>
    <w:p w14:paraId="0B368441">
      <w:pPr>
        <w:spacing w:line="580" w:lineRule="exact"/>
        <w:ind w:firstLine="640"/>
        <w:jc w:val="both"/>
      </w:pPr>
      <w:r>
        <w:rPr>
          <w:rFonts w:ascii="仿宋_GB2312" w:hAnsi="仿宋_GB2312" w:eastAsia="仿宋_GB2312"/>
          <w:sz w:val="32"/>
        </w:rPr>
        <w:t>昌吉州政府投资建设项目代建管理中心2024年度，实有人数9人，其中：在职人员9人，减少1人；离休人员0人，增加0人；退休人员0人,增加0人。</w:t>
      </w:r>
    </w:p>
    <w:p w14:paraId="128751B7">
      <w:pPr>
        <w:spacing w:line="580" w:lineRule="exact"/>
        <w:ind w:firstLine="640"/>
        <w:jc w:val="both"/>
      </w:pPr>
      <w:r>
        <w:rPr>
          <w:rFonts w:ascii="仿宋_GB2312" w:hAnsi="仿宋_GB2312" w:eastAsia="仿宋_GB2312"/>
          <w:sz w:val="32"/>
        </w:rPr>
        <w:t>昌吉州政府投资建设项目代建管理中心无下属预算单位，下设2个科室，分别是：综合科、工程建设管理科。</w:t>
      </w:r>
    </w:p>
    <w:p w14:paraId="7032AE45">
      <w:r>
        <w:br w:type="page"/>
      </w:r>
    </w:p>
    <w:p w14:paraId="4A4F9CCF">
      <w:pPr>
        <w:spacing w:line="240" w:lineRule="auto"/>
        <w:jc w:val="center"/>
        <w:outlineLvl w:val="1"/>
      </w:pPr>
      <w:r>
        <w:rPr>
          <w:rFonts w:ascii="黑体" w:hAnsi="黑体" w:eastAsia="黑体"/>
          <w:sz w:val="32"/>
        </w:rPr>
        <w:t>第二部分 部门决算情况说明</w:t>
      </w:r>
    </w:p>
    <w:p w14:paraId="19012E0B">
      <w:pPr>
        <w:spacing w:line="640" w:lineRule="exact"/>
        <w:ind w:firstLine="640"/>
        <w:jc w:val="both"/>
        <w:outlineLvl w:val="2"/>
      </w:pPr>
      <w:r>
        <w:rPr>
          <w:rFonts w:ascii="黑体" w:hAnsi="黑体" w:eastAsia="黑体"/>
          <w:sz w:val="32"/>
        </w:rPr>
        <w:t>一、收入支出决算总体情况说明</w:t>
      </w:r>
    </w:p>
    <w:p w14:paraId="612CAC74">
      <w:pPr>
        <w:spacing w:line="580" w:lineRule="exact"/>
        <w:ind w:firstLine="640"/>
        <w:jc w:val="both"/>
      </w:pPr>
      <w:r>
        <w:rPr>
          <w:rFonts w:ascii="仿宋_GB2312" w:hAnsi="仿宋_GB2312" w:eastAsia="仿宋_GB2312"/>
          <w:b/>
          <w:sz w:val="32"/>
        </w:rPr>
        <w:t>2024年度收入总计566.20万元，</w:t>
      </w:r>
      <w:r>
        <w:rPr>
          <w:rFonts w:ascii="仿宋_GB2312" w:hAnsi="仿宋_GB2312" w:eastAsia="仿宋_GB2312"/>
          <w:b w:val="0"/>
          <w:sz w:val="32"/>
        </w:rPr>
        <w:t>其中：本年收入合计538.61万元，使用非财政拨款结余（含专用结余）0.00万元，年初结转和结余27.59万元。</w:t>
      </w:r>
    </w:p>
    <w:p w14:paraId="1B8C5E3C">
      <w:pPr>
        <w:spacing w:line="580" w:lineRule="exact"/>
        <w:ind w:firstLine="640"/>
        <w:jc w:val="both"/>
      </w:pPr>
      <w:r>
        <w:rPr>
          <w:rFonts w:ascii="仿宋_GB2312" w:hAnsi="仿宋_GB2312" w:eastAsia="仿宋_GB2312"/>
          <w:b/>
          <w:sz w:val="32"/>
        </w:rPr>
        <w:t>2024年度支出总计566.20万元，</w:t>
      </w:r>
      <w:r>
        <w:rPr>
          <w:rFonts w:ascii="仿宋_GB2312" w:hAnsi="仿宋_GB2312" w:eastAsia="仿宋_GB2312"/>
          <w:b w:val="0"/>
          <w:sz w:val="32"/>
        </w:rPr>
        <w:t>其中：本年支出合计533.05万元，结余分配0.00万元，年末结转和结余33.15万元。</w:t>
      </w:r>
    </w:p>
    <w:p w14:paraId="60E9358C">
      <w:pPr>
        <w:spacing w:line="580" w:lineRule="exact"/>
        <w:ind w:firstLine="640"/>
        <w:jc w:val="both"/>
      </w:pPr>
      <w:r>
        <w:rPr>
          <w:rFonts w:ascii="仿宋_GB2312" w:hAnsi="仿宋_GB2312" w:eastAsia="仿宋_GB2312"/>
          <w:b w:val="0"/>
          <w:sz w:val="32"/>
        </w:rPr>
        <w:t>收入支出总体与上年相比，增加360.47万元，增长175.22%，主要原因是：本年增加传媒大厦建筑群热源及暖气改造工程等，导致经费较上年增加。</w:t>
      </w:r>
    </w:p>
    <w:p w14:paraId="7182437C">
      <w:pPr>
        <w:spacing w:line="640" w:lineRule="exact"/>
        <w:ind w:firstLine="640"/>
        <w:jc w:val="both"/>
        <w:outlineLvl w:val="2"/>
      </w:pPr>
      <w:r>
        <w:rPr>
          <w:rFonts w:ascii="黑体" w:hAnsi="黑体" w:eastAsia="黑体"/>
          <w:sz w:val="32"/>
        </w:rPr>
        <w:t>二、收入决算情况说明</w:t>
      </w:r>
    </w:p>
    <w:p w14:paraId="4ECDEBD1">
      <w:pPr>
        <w:spacing w:line="580" w:lineRule="exact"/>
        <w:ind w:firstLine="640"/>
        <w:jc w:val="both"/>
      </w:pPr>
      <w:r>
        <w:rPr>
          <w:rFonts w:ascii="仿宋_GB2312" w:hAnsi="仿宋_GB2312" w:eastAsia="仿宋_GB2312"/>
          <w:b/>
          <w:sz w:val="32"/>
        </w:rPr>
        <w:t>本年收入538.61万元，</w:t>
      </w:r>
      <w:r>
        <w:rPr>
          <w:rFonts w:ascii="仿宋_GB2312" w:hAnsi="仿宋_GB2312" w:eastAsia="仿宋_GB2312"/>
          <w:b w:val="0"/>
          <w:sz w:val="32"/>
        </w:rPr>
        <w:t>其中：财政拨款收入531.83万元，占98.74%；上级补助收入0.00万元，占0.00%；事业收入0.00万元，占0.00%；经营收入0.00万元，占0.00%；附属单位上缴收入0.00万元，占0.00%；其他收入6.77万元，占1.26%。</w:t>
      </w:r>
    </w:p>
    <w:p w14:paraId="49FDD07A">
      <w:pPr>
        <w:spacing w:line="640" w:lineRule="exact"/>
        <w:ind w:firstLine="640"/>
        <w:jc w:val="both"/>
        <w:outlineLvl w:val="2"/>
      </w:pPr>
      <w:r>
        <w:rPr>
          <w:rFonts w:ascii="黑体" w:hAnsi="黑体" w:eastAsia="黑体"/>
          <w:sz w:val="32"/>
        </w:rPr>
        <w:t>三、支出决算情况说明</w:t>
      </w:r>
    </w:p>
    <w:p w14:paraId="02E8470F">
      <w:pPr>
        <w:spacing w:line="580" w:lineRule="exact"/>
        <w:ind w:firstLine="640"/>
        <w:jc w:val="both"/>
      </w:pPr>
      <w:r>
        <w:rPr>
          <w:rFonts w:ascii="仿宋_GB2312" w:hAnsi="仿宋_GB2312" w:eastAsia="仿宋_GB2312"/>
          <w:b/>
          <w:sz w:val="32"/>
        </w:rPr>
        <w:t>本年支出533.05万元，</w:t>
      </w:r>
      <w:r>
        <w:rPr>
          <w:rFonts w:ascii="仿宋_GB2312" w:hAnsi="仿宋_GB2312" w:eastAsia="仿宋_GB2312"/>
          <w:b w:val="0"/>
          <w:sz w:val="32"/>
        </w:rPr>
        <w:t>其中：基本支出179.47万元，占33.67%；项目支出353.59万元，占66.33%；上缴上级支出0.00万元，占0.00%；经营支出0.00万元，占0.00%；对附属单位补助支出0.00万元，占0.00%。</w:t>
      </w:r>
    </w:p>
    <w:p w14:paraId="4DD6E1AC">
      <w:pPr>
        <w:spacing w:line="640" w:lineRule="exact"/>
        <w:ind w:firstLine="640"/>
        <w:jc w:val="both"/>
        <w:outlineLvl w:val="2"/>
      </w:pPr>
      <w:r>
        <w:rPr>
          <w:rFonts w:ascii="黑体" w:hAnsi="黑体" w:eastAsia="黑体"/>
          <w:sz w:val="32"/>
        </w:rPr>
        <w:t>四、财政拨款收入支出决算总体情况说明</w:t>
      </w:r>
    </w:p>
    <w:p w14:paraId="1DD792E7">
      <w:pPr>
        <w:spacing w:line="580" w:lineRule="exact"/>
        <w:ind w:firstLine="640"/>
        <w:jc w:val="both"/>
      </w:pPr>
      <w:r>
        <w:rPr>
          <w:rFonts w:ascii="仿宋_GB2312" w:hAnsi="仿宋_GB2312" w:eastAsia="仿宋_GB2312"/>
          <w:b/>
          <w:sz w:val="32"/>
        </w:rPr>
        <w:t>2024年度财政拨款收入总计531.83万元，</w:t>
      </w:r>
      <w:r>
        <w:rPr>
          <w:rFonts w:ascii="仿宋_GB2312" w:hAnsi="仿宋_GB2312" w:eastAsia="仿宋_GB2312"/>
          <w:b w:val="0"/>
          <w:sz w:val="32"/>
        </w:rPr>
        <w:t>其中：年初财政拨款结转和结余0.00万元，本年财政拨款收入531.83万元。</w:t>
      </w:r>
      <w:r>
        <w:rPr>
          <w:rFonts w:ascii="仿宋_GB2312" w:hAnsi="仿宋_GB2312" w:eastAsia="仿宋_GB2312"/>
          <w:b/>
          <w:sz w:val="32"/>
        </w:rPr>
        <w:t>财政拨款支出总计531.83万元，</w:t>
      </w:r>
      <w:r>
        <w:rPr>
          <w:rFonts w:ascii="仿宋_GB2312" w:hAnsi="仿宋_GB2312" w:eastAsia="仿宋_GB2312"/>
          <w:b w:val="0"/>
          <w:sz w:val="32"/>
        </w:rPr>
        <w:t>其中：年末财政拨款结转和结余0.00万元，本年财政拨款支出531.83万元。</w:t>
      </w:r>
    </w:p>
    <w:p w14:paraId="28F8BBA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增加356.97万元，增长204.15%，主要原因是：本年增加传媒大厦建筑群热源及暖气改造工程等，导致经费较上年增加。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年初预算数175.66万元，决算数531.83万元，预决算差异率202.76%，主要原因是：年中追加人员工资、社保、公积金基数调增部分资金，年中追加传媒大厦建筑群热源及暖气改造工程，导致预决算存在差异。</w:t>
      </w:r>
    </w:p>
    <w:p w14:paraId="3895F501">
      <w:pPr>
        <w:spacing w:line="640" w:lineRule="exact"/>
        <w:ind w:firstLine="640"/>
        <w:jc w:val="both"/>
        <w:outlineLvl w:val="2"/>
      </w:pPr>
      <w:r>
        <w:rPr>
          <w:rFonts w:ascii="黑体" w:hAnsi="黑体" w:eastAsia="黑体"/>
          <w:sz w:val="32"/>
        </w:rPr>
        <w:t>五、一般公共预算财政拨款支出决算情况说明</w:t>
      </w:r>
    </w:p>
    <w:p w14:paraId="659CCE82">
      <w:pPr>
        <w:spacing w:line="640" w:lineRule="exact"/>
        <w:ind w:firstLine="640"/>
        <w:jc w:val="both"/>
        <w:outlineLvl w:val="3"/>
      </w:pPr>
      <w:r>
        <w:rPr>
          <w:rFonts w:ascii="楷体_GB2312" w:hAnsi="楷体_GB2312" w:eastAsia="楷体_GB2312"/>
          <w:b/>
          <w:sz w:val="32"/>
        </w:rPr>
        <w:t>（一）一般公共预算财政拨款支出决算总体情况</w:t>
      </w:r>
    </w:p>
    <w:p w14:paraId="201969BB">
      <w:pPr>
        <w:spacing w:line="580" w:lineRule="exact"/>
        <w:ind w:firstLine="640"/>
        <w:jc w:val="both"/>
      </w:pPr>
      <w:r>
        <w:rPr>
          <w:rFonts w:ascii="仿宋_GB2312" w:hAnsi="仿宋_GB2312" w:eastAsia="仿宋_GB2312"/>
          <w:b/>
          <w:sz w:val="32"/>
        </w:rPr>
        <w:t>2024年度一般公共预算财政拨款支出531.83万元，</w:t>
      </w:r>
      <w:r>
        <w:rPr>
          <w:rFonts w:ascii="仿宋_GB2312" w:hAnsi="仿宋_GB2312" w:eastAsia="仿宋_GB2312"/>
          <w:b w:val="0"/>
          <w:sz w:val="32"/>
        </w:rPr>
        <w:t>占本年支出合计的99.77%。</w:t>
      </w:r>
      <w:r>
        <w:rPr>
          <w:rFonts w:ascii="仿宋_GB2312" w:hAnsi="仿宋_GB2312" w:eastAsia="仿宋_GB2312"/>
          <w:b/>
          <w:sz w:val="32"/>
        </w:rPr>
        <w:t>与上年相比，</w:t>
      </w:r>
      <w:r>
        <w:rPr>
          <w:rFonts w:ascii="仿宋_GB2312" w:hAnsi="仿宋_GB2312" w:eastAsia="仿宋_GB2312"/>
          <w:b w:val="0"/>
          <w:sz w:val="32"/>
        </w:rPr>
        <w:t>增加356.97万元，增长204.15%，主要原因是：本年增加传媒大厦建筑群热源及暖气改造工程等，导致经费较上年增加。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年初预算数175.66万元，决算数531.83万元，预决算差异率202.76%，主要原因是：年中追加人员工资、社保、公积金基数调增部分资金，年中追加传媒大厦建筑群热源及暖气改造工程，导致预决算存在差异。</w:t>
      </w:r>
    </w:p>
    <w:p w14:paraId="2DDF6A08">
      <w:pPr>
        <w:spacing w:line="640" w:lineRule="exact"/>
        <w:ind w:firstLine="640"/>
        <w:jc w:val="both"/>
        <w:outlineLvl w:val="3"/>
      </w:pPr>
      <w:r>
        <w:rPr>
          <w:rFonts w:ascii="楷体_GB2312" w:hAnsi="楷体_GB2312" w:eastAsia="楷体_GB2312"/>
          <w:b/>
          <w:sz w:val="32"/>
        </w:rPr>
        <w:t>（二）一般公共预算财政拨款支出决算结构情况</w:t>
      </w:r>
    </w:p>
    <w:p w14:paraId="66EB66A2">
      <w:pPr>
        <w:spacing w:line="580" w:lineRule="exact"/>
        <w:ind w:firstLine="640"/>
        <w:jc w:val="both"/>
      </w:pPr>
      <w:r>
        <w:rPr>
          <w:rFonts w:ascii="仿宋_GB2312" w:hAnsi="仿宋_GB2312" w:eastAsia="仿宋_GB2312"/>
          <w:b w:val="0"/>
          <w:sz w:val="32"/>
        </w:rPr>
        <w:t>1.社会保障和就业支出(类)26.51万元,占4.98%。</w:t>
      </w:r>
    </w:p>
    <w:p w14:paraId="0A0E12B6">
      <w:pPr>
        <w:spacing w:line="580" w:lineRule="exact"/>
        <w:ind w:firstLine="640"/>
        <w:jc w:val="both"/>
      </w:pPr>
      <w:r>
        <w:rPr>
          <w:rFonts w:ascii="仿宋_GB2312" w:hAnsi="仿宋_GB2312" w:eastAsia="仿宋_GB2312"/>
          <w:b w:val="0"/>
          <w:sz w:val="32"/>
        </w:rPr>
        <w:t>2.卫生健康支出(类)9.45万元,占1.78%。</w:t>
      </w:r>
    </w:p>
    <w:p w14:paraId="679B14C6">
      <w:pPr>
        <w:spacing w:line="580" w:lineRule="exact"/>
        <w:ind w:firstLine="640"/>
        <w:jc w:val="both"/>
      </w:pPr>
      <w:r>
        <w:rPr>
          <w:rFonts w:ascii="仿宋_GB2312" w:hAnsi="仿宋_GB2312" w:eastAsia="仿宋_GB2312"/>
          <w:b w:val="0"/>
          <w:sz w:val="32"/>
        </w:rPr>
        <w:t>3.城乡社区支出(类)481.62万元,占90.56%。</w:t>
      </w:r>
    </w:p>
    <w:p w14:paraId="7F9B58F6">
      <w:pPr>
        <w:spacing w:line="580" w:lineRule="exact"/>
        <w:ind w:firstLine="640"/>
        <w:jc w:val="both"/>
      </w:pPr>
      <w:r>
        <w:rPr>
          <w:rFonts w:ascii="仿宋_GB2312" w:hAnsi="仿宋_GB2312" w:eastAsia="仿宋_GB2312"/>
          <w:b w:val="0"/>
          <w:sz w:val="32"/>
        </w:rPr>
        <w:t>4.住房保障支出(类)14.26万元,占2.68%。</w:t>
      </w:r>
    </w:p>
    <w:p w14:paraId="27565F30">
      <w:pPr>
        <w:spacing w:line="640" w:lineRule="exact"/>
        <w:ind w:firstLine="640"/>
        <w:jc w:val="both"/>
        <w:outlineLvl w:val="3"/>
      </w:pPr>
      <w:r>
        <w:rPr>
          <w:rFonts w:ascii="楷体_GB2312" w:hAnsi="楷体_GB2312" w:eastAsia="楷体_GB2312"/>
          <w:b/>
          <w:sz w:val="32"/>
        </w:rPr>
        <w:t>（三）一般公共预算财政拨款支出决算具体情况</w:t>
      </w:r>
    </w:p>
    <w:p w14:paraId="721C2F5C">
      <w:pPr>
        <w:spacing w:line="580" w:lineRule="exact"/>
        <w:ind w:firstLine="640"/>
        <w:jc w:val="both"/>
      </w:pPr>
      <w:r>
        <w:rPr>
          <w:rFonts w:ascii="仿宋_GB2312" w:hAnsi="仿宋_GB2312" w:eastAsia="仿宋_GB2312"/>
          <w:b w:val="0"/>
          <w:sz w:val="32"/>
        </w:rPr>
        <w:t>1.社会保障和就业支出(类)行政事业单位养老支出(款)机关事业单位基本养老保险缴费支出(项):支出决算数为17.67万元，比上年决算增加1.70万元，增长10.64%,主要原因是：本年在职人员工资基数调增，养老缴费基数上涨，相应支出增加。</w:t>
      </w:r>
    </w:p>
    <w:p w14:paraId="33912634">
      <w:pPr>
        <w:spacing w:line="580" w:lineRule="exact"/>
        <w:ind w:firstLine="640"/>
        <w:jc w:val="both"/>
      </w:pPr>
      <w:r>
        <w:rPr>
          <w:rFonts w:ascii="仿宋_GB2312" w:hAnsi="仿宋_GB2312" w:eastAsia="仿宋_GB2312"/>
          <w:b w:val="0"/>
          <w:sz w:val="32"/>
        </w:rPr>
        <w:t>2.社会保障和就业支出(类)行政事业单位养老支出(款)机关事业单位职业年金缴费支出(项):支出决算数为8.84万元，比上年决算增加0.86万元，增长10.78%,主要原因是：本年在职人员工资基数调增，职业年金基数上涨，相应支出增加。</w:t>
      </w:r>
    </w:p>
    <w:p w14:paraId="3EDA69F2">
      <w:pPr>
        <w:spacing w:line="580" w:lineRule="exact"/>
        <w:ind w:firstLine="640"/>
        <w:jc w:val="both"/>
      </w:pPr>
      <w:r>
        <w:rPr>
          <w:rFonts w:ascii="仿宋_GB2312" w:hAnsi="仿宋_GB2312" w:eastAsia="仿宋_GB2312"/>
          <w:b w:val="0"/>
          <w:sz w:val="32"/>
        </w:rPr>
        <w:t>3.卫生健康支出(类)行政事业单位医疗(款)事业单位医疗(项):支出决算数为8.84万元，比上年决算增加0.86万元，增长10.78%,主要原因是：本年在职人员工资基数调增，医疗缴费基数上涨，相应支出增加。</w:t>
      </w:r>
    </w:p>
    <w:p w14:paraId="0675B224">
      <w:pPr>
        <w:spacing w:line="580" w:lineRule="exact"/>
        <w:ind w:firstLine="640"/>
        <w:jc w:val="both"/>
      </w:pPr>
      <w:r>
        <w:rPr>
          <w:rFonts w:ascii="仿宋_GB2312" w:hAnsi="仿宋_GB2312" w:eastAsia="仿宋_GB2312"/>
          <w:b w:val="0"/>
          <w:sz w:val="32"/>
        </w:rPr>
        <w:t>4.卫生健康支出(类)行政事业单位医疗(款)公务员医疗补助(项):支出决算数为0.55万元，比上年决算增加0.05万元，增长10.00%,主要原因是：本年在职人员工资基数调增，医疗缴费基数上涨，相应支出增加。</w:t>
      </w:r>
    </w:p>
    <w:p w14:paraId="3E2215BC">
      <w:pPr>
        <w:spacing w:line="580" w:lineRule="exact"/>
        <w:ind w:firstLine="640"/>
        <w:jc w:val="both"/>
      </w:pPr>
      <w:r>
        <w:rPr>
          <w:rFonts w:ascii="仿宋_GB2312" w:hAnsi="仿宋_GB2312" w:eastAsia="仿宋_GB2312"/>
          <w:b w:val="0"/>
          <w:sz w:val="32"/>
        </w:rPr>
        <w:t>5.卫生健康支出(类)行政事业单位医疗(款)其他行政事业单位医疗支出(项):支出决算数为0.06万元，比上年决算增加0.00万元，增长0.00%,主要原因是：本年度其他行政事业单位医疗支出与上年度保持一致。</w:t>
      </w:r>
    </w:p>
    <w:p w14:paraId="6983950C">
      <w:pPr>
        <w:spacing w:line="580" w:lineRule="exact"/>
        <w:ind w:firstLine="640"/>
        <w:jc w:val="both"/>
      </w:pPr>
      <w:r>
        <w:rPr>
          <w:rFonts w:ascii="仿宋_GB2312" w:hAnsi="仿宋_GB2312" w:eastAsia="仿宋_GB2312"/>
          <w:b w:val="0"/>
          <w:sz w:val="32"/>
        </w:rPr>
        <w:t>6.城乡社区支出(类)城乡社区管理事务(款)工程建设管理(项):支出决算数为481.62万元，比上年决算增加351.89万元，增长271.25%,主要原因是：本年增加传媒大厦建筑群热源及暖气改造工程。</w:t>
      </w:r>
    </w:p>
    <w:p w14:paraId="1F3CAC1E">
      <w:pPr>
        <w:spacing w:line="580" w:lineRule="exact"/>
        <w:ind w:firstLine="640"/>
        <w:jc w:val="both"/>
      </w:pPr>
      <w:r>
        <w:rPr>
          <w:rFonts w:ascii="仿宋_GB2312" w:hAnsi="仿宋_GB2312" w:eastAsia="仿宋_GB2312"/>
          <w:b w:val="0"/>
          <w:sz w:val="32"/>
        </w:rPr>
        <w:t>7.住房保障支出(类)住房改革支出(款)住房公积金(项):支出决算数为14.26万元，比上年决算增加1.63万元，增长12.91%,主要原因是：本年在职人员工资基数调增，公积金缴费基数上涨，相应支出增加。</w:t>
      </w:r>
    </w:p>
    <w:p w14:paraId="2E20B48D">
      <w:pPr>
        <w:spacing w:line="640" w:lineRule="exact"/>
        <w:ind w:firstLine="640"/>
        <w:jc w:val="both"/>
        <w:outlineLvl w:val="2"/>
      </w:pPr>
      <w:r>
        <w:rPr>
          <w:rFonts w:ascii="黑体" w:hAnsi="黑体" w:eastAsia="黑体"/>
          <w:sz w:val="32"/>
        </w:rPr>
        <w:t>六、一般公共预算财政拨款基本支出决算情况说明</w:t>
      </w:r>
    </w:p>
    <w:p w14:paraId="35F6DF52">
      <w:pPr>
        <w:spacing w:line="580" w:lineRule="exact"/>
        <w:ind w:firstLine="640"/>
        <w:jc w:val="both"/>
      </w:pPr>
      <w:r>
        <w:rPr>
          <w:rFonts w:ascii="仿宋_GB2312" w:hAnsi="仿宋_GB2312" w:eastAsia="仿宋_GB2312"/>
          <w:b w:val="0"/>
          <w:sz w:val="32"/>
        </w:rPr>
        <w:t>2024年度一般公共预算财政拨款基本支出179.47万元，其中：</w:t>
      </w:r>
      <w:r>
        <w:rPr>
          <w:rFonts w:ascii="仿宋_GB2312" w:hAnsi="仿宋_GB2312" w:eastAsia="仿宋_GB2312"/>
          <w:b/>
          <w:sz w:val="32"/>
        </w:rPr>
        <w:t>人员经费167.74万元，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3E31D5E6">
      <w:pPr>
        <w:spacing w:line="580" w:lineRule="exact"/>
        <w:ind w:firstLine="640"/>
        <w:jc w:val="both"/>
      </w:pPr>
      <w:r>
        <w:rPr>
          <w:rFonts w:ascii="仿宋_GB2312" w:hAnsi="仿宋_GB2312" w:eastAsia="仿宋_GB2312"/>
          <w:b/>
          <w:sz w:val="32"/>
        </w:rPr>
        <w:t>公用经费11.72万元，</w:t>
      </w:r>
      <w:r>
        <w:rPr>
          <w:rFonts w:ascii="仿宋_GB2312" w:hAnsi="仿宋_GB2312" w:eastAsia="仿宋_GB2312"/>
          <w:b w:val="0"/>
          <w:sz w:val="32"/>
        </w:rPr>
        <w:t>包括：办公费、印刷费、水费、电费、邮电费、差旅费、维修（护）费、工会经费、福利费、公务用车运行维护费、其他商品和服务支出。</w:t>
      </w:r>
    </w:p>
    <w:p w14:paraId="2B866BB7">
      <w:pPr>
        <w:spacing w:line="640" w:lineRule="exact"/>
        <w:ind w:firstLine="640"/>
        <w:jc w:val="both"/>
        <w:outlineLvl w:val="2"/>
      </w:pPr>
      <w:r>
        <w:rPr>
          <w:rFonts w:ascii="黑体" w:hAnsi="黑体" w:eastAsia="黑体"/>
          <w:sz w:val="32"/>
        </w:rPr>
        <w:t>七、政府性基金预算财政拨款收入支出决算情况说明</w:t>
      </w:r>
    </w:p>
    <w:p w14:paraId="7090646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20117A4">
      <w:pPr>
        <w:spacing w:line="640" w:lineRule="exact"/>
        <w:ind w:firstLine="640"/>
        <w:jc w:val="both"/>
        <w:outlineLvl w:val="2"/>
      </w:pPr>
      <w:r>
        <w:rPr>
          <w:rFonts w:ascii="黑体" w:hAnsi="黑体" w:eastAsia="黑体"/>
          <w:sz w:val="32"/>
        </w:rPr>
        <w:t>八、国有资本经营预算财政拨款收入支出决算情况说明</w:t>
      </w:r>
    </w:p>
    <w:p w14:paraId="62976A7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936943E">
      <w:pPr>
        <w:spacing w:line="640" w:lineRule="exact"/>
        <w:ind w:firstLine="640"/>
        <w:jc w:val="both"/>
        <w:outlineLvl w:val="2"/>
      </w:pPr>
      <w:r>
        <w:rPr>
          <w:rFonts w:ascii="黑体" w:hAnsi="黑体" w:eastAsia="黑体"/>
          <w:sz w:val="32"/>
        </w:rPr>
        <w:t>九、财政拨款“三公”经费支出决算情况说明</w:t>
      </w:r>
    </w:p>
    <w:p w14:paraId="3D7223AC">
      <w:pPr>
        <w:spacing w:line="580" w:lineRule="exact"/>
        <w:ind w:firstLine="640"/>
        <w:jc w:val="both"/>
      </w:pPr>
      <w:r>
        <w:rPr>
          <w:rFonts w:ascii="仿宋_GB2312" w:hAnsi="仿宋_GB2312" w:eastAsia="仿宋_GB2312"/>
          <w:b/>
          <w:sz w:val="32"/>
        </w:rPr>
        <w:t>2024年度财政拨款“三公”经费支出2.08万元，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2.08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43DB653C">
      <w:pPr>
        <w:spacing w:line="580" w:lineRule="exact"/>
        <w:ind w:firstLine="640"/>
        <w:jc w:val="both"/>
      </w:pPr>
      <w:r>
        <w:rPr>
          <w:rFonts w:ascii="仿宋_GB2312" w:hAnsi="仿宋_GB2312" w:eastAsia="仿宋_GB2312"/>
          <w:b/>
          <w:sz w:val="32"/>
        </w:rPr>
        <w:t>具体情况如下：</w:t>
      </w:r>
    </w:p>
    <w:p w14:paraId="161E35D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A88CA50">
      <w:pPr>
        <w:spacing w:line="580" w:lineRule="exact"/>
        <w:ind w:firstLine="640"/>
        <w:jc w:val="both"/>
      </w:pPr>
      <w:r>
        <w:rPr>
          <w:rFonts w:ascii="仿宋_GB2312" w:hAnsi="仿宋_GB2312" w:eastAsia="仿宋_GB2312"/>
          <w:b w:val="0"/>
          <w:sz w:val="32"/>
        </w:rPr>
        <w:t>公务用车购置及运行维护费2.08万元，其中：公务用车购置费0.00万元，公务用车运行维护费2.08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57B76EE">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A3CCA1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2.08万元，决算数2.08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2.08万元，决算数2.08万元，预决算差异率0.00%，主要原因是：严格按照预算执行，预决算无差异。公务接待费全年预算数0.00万元，决算数0.00万元，预决算差异率0.00%，主要原因是：本单位无公务接待费。</w:t>
      </w:r>
    </w:p>
    <w:p w14:paraId="1A0990F1">
      <w:pPr>
        <w:spacing w:line="640" w:lineRule="exact"/>
        <w:ind w:firstLine="640"/>
        <w:jc w:val="both"/>
        <w:outlineLvl w:val="2"/>
      </w:pPr>
      <w:r>
        <w:rPr>
          <w:rFonts w:ascii="黑体" w:hAnsi="黑体" w:eastAsia="黑体"/>
          <w:sz w:val="32"/>
        </w:rPr>
        <w:t>十、其他重要事项的情况说明</w:t>
      </w:r>
    </w:p>
    <w:p w14:paraId="291DD6EE">
      <w:pPr>
        <w:spacing w:line="640" w:lineRule="exact"/>
        <w:ind w:firstLine="640"/>
        <w:jc w:val="both"/>
        <w:outlineLvl w:val="3"/>
      </w:pPr>
      <w:r>
        <w:rPr>
          <w:rFonts w:ascii="楷体_GB2312" w:hAnsi="楷体_GB2312" w:eastAsia="楷体_GB2312"/>
          <w:b/>
          <w:sz w:val="32"/>
        </w:rPr>
        <w:t>（一）机关运行经费及公用经费支出情况</w:t>
      </w:r>
    </w:p>
    <w:p w14:paraId="24B8785E">
      <w:pPr>
        <w:spacing w:line="580" w:lineRule="exact"/>
        <w:ind w:firstLine="640"/>
        <w:jc w:val="both"/>
      </w:pPr>
      <w:r>
        <w:rPr>
          <w:rFonts w:ascii="仿宋_GB2312" w:hAnsi="仿宋_GB2312" w:eastAsia="仿宋_GB2312"/>
          <w:b w:val="0"/>
          <w:sz w:val="32"/>
        </w:rPr>
        <w:t>2024年度昌吉州政府投资建设项目代建管理中心（事业单位）公用经费支出11.72万元，比上年减少0.79万元，下降6.31%，主要原因是：严格控制公用经费，合理节约办公用品，减少不必要开支。</w:t>
      </w:r>
    </w:p>
    <w:p w14:paraId="3D237FA0">
      <w:pPr>
        <w:spacing w:line="640" w:lineRule="exact"/>
        <w:ind w:firstLine="640"/>
        <w:jc w:val="both"/>
        <w:outlineLvl w:val="3"/>
      </w:pPr>
      <w:r>
        <w:rPr>
          <w:rFonts w:ascii="楷体_GB2312" w:hAnsi="楷体_GB2312" w:eastAsia="楷体_GB2312"/>
          <w:b/>
          <w:sz w:val="32"/>
        </w:rPr>
        <w:t>（二）政府采购情况</w:t>
      </w:r>
    </w:p>
    <w:p w14:paraId="4DDF2E3C">
      <w:pPr>
        <w:spacing w:line="580" w:lineRule="exact"/>
        <w:ind w:firstLine="640"/>
        <w:jc w:val="both"/>
      </w:pPr>
      <w:r>
        <w:rPr>
          <w:rFonts w:ascii="仿宋_GB2312" w:hAnsi="仿宋_GB2312" w:eastAsia="仿宋_GB2312"/>
          <w:b w:val="0"/>
          <w:sz w:val="32"/>
        </w:rPr>
        <w:t>2024年度政府采购支出总额3.07万元，其中：政府采购货物支出1.75万元、政府采购工程支出0.00万元、政府采购服务支出1.32万元。</w:t>
      </w:r>
    </w:p>
    <w:p w14:paraId="045C6C77">
      <w:pPr>
        <w:spacing w:line="580" w:lineRule="exact"/>
        <w:ind w:firstLine="640"/>
        <w:jc w:val="both"/>
      </w:pPr>
      <w:r>
        <w:rPr>
          <w:rFonts w:ascii="仿宋_GB2312" w:hAnsi="仿宋_GB2312" w:eastAsia="仿宋_GB2312"/>
          <w:b w:val="0"/>
          <w:sz w:val="32"/>
        </w:rPr>
        <w:t>授予中小企业合同金额3.07万元，占政府采购支出总额的100.00%，其中：授予小微企业合同金额3.07万元，占政府采购支出总额的100.00%。</w:t>
      </w:r>
    </w:p>
    <w:p w14:paraId="044576AB">
      <w:pPr>
        <w:spacing w:line="640" w:lineRule="exact"/>
        <w:ind w:firstLine="640"/>
        <w:jc w:val="both"/>
        <w:outlineLvl w:val="3"/>
      </w:pPr>
      <w:r>
        <w:rPr>
          <w:rFonts w:ascii="楷体_GB2312" w:hAnsi="楷体_GB2312" w:eastAsia="楷体_GB2312"/>
          <w:b/>
          <w:sz w:val="32"/>
        </w:rPr>
        <w:t>（三）国有资产占用情况说明</w:t>
      </w:r>
    </w:p>
    <w:p w14:paraId="11CEEDF1">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1辆，价值23.25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2B13F5C1">
      <w:pPr>
        <w:spacing w:line="640" w:lineRule="exact"/>
        <w:ind w:firstLine="640"/>
        <w:jc w:val="both"/>
        <w:outlineLvl w:val="2"/>
      </w:pPr>
      <w:r>
        <w:rPr>
          <w:rFonts w:ascii="黑体" w:hAnsi="黑体" w:eastAsia="黑体"/>
          <w:sz w:val="32"/>
        </w:rPr>
        <w:t>十一、预算绩效的情况说明</w:t>
      </w:r>
    </w:p>
    <w:p w14:paraId="1E34E65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566.20万元，实际执行总额533.05万元；预算绩效评价项目1个，全年预算数98.63万元，全年执行数98.63万元。预算绩效管理取得的成效：一是2024年在履职过程中，取得了良好的效果，通过全力推进政府投资建设项目代建管理工作，规范了项目建设流程，保障了项目的工期和质量，提高了投资效益；二是在建设项目方面，多个代建项目顺利竣工验收并移交使用单位，为地区的发展提供了有力支持；三是在内部管理方面，严格的预算管理和规范资金的使用，确保了单位的稳定运行和各项工作的有序开展。发现的问题及原因：一是机构改革后，我中心在政府投资建设项目代建管理工作中的角色定位、业务内容和代建模式均发生较大变化，各项业务的具体内容、流程及机制均需要进一步规范；二是作为新成立的党支部，党员人数少，各项党建、党风廉政工作还需进一步完善、规范；三是代建项目普遍存在工程结算时间较长，导致工程款尾款支付效率不高，影响财政资金支付率。下一步改进措施：一是确定代建管理模式，明确代建管理职责，制定三定方案，加强内部管理；二是强化管理，依法依规做好各项目招投标、合同签订及工程结算、决算审计工作；三是对于跨年度建设的代建项目全面推行过程结算，随着工程形象进度节点完成相关分部分项结算定案和支付，将工程结算贯穿于整个施工管理过程中，提高竣工结算效率，从而提高工程尾款及财政资金的支付效率。具体附整体支出绩效自评表，项目支出绩效自评表和评价报告。</w:t>
      </w:r>
    </w:p>
    <w:p w14:paraId="5485628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BED7E17">
        <w:tc>
          <w:tcPr>
            <w:tcW w:w="8847" w:type="dxa"/>
            <w:gridSpan w:val="9"/>
            <w:vAlign w:val="center"/>
          </w:tcPr>
          <w:p w14:paraId="6C4A409C">
            <w:pPr>
              <w:jc w:val="center"/>
            </w:pPr>
            <w:r>
              <w:rPr>
                <w:rFonts w:ascii="宋体" w:hAnsi="宋体" w:eastAsia="宋体"/>
                <w:sz w:val="24"/>
              </w:rPr>
              <w:t>单位整体支出绩效自评表</w:t>
            </w:r>
          </w:p>
        </w:tc>
      </w:tr>
      <w:tr w14:paraId="45687A44">
        <w:tblPrEx>
          <w:tblCellMar>
            <w:top w:w="0" w:type="dxa"/>
            <w:left w:w="108" w:type="dxa"/>
            <w:bottom w:w="0" w:type="dxa"/>
            <w:right w:w="108" w:type="dxa"/>
          </w:tblCellMar>
        </w:tblPrEx>
        <w:tc>
          <w:tcPr>
            <w:tcW w:w="8847" w:type="dxa"/>
            <w:gridSpan w:val="9"/>
            <w:vAlign w:val="center"/>
          </w:tcPr>
          <w:p w14:paraId="2266C36A">
            <w:pPr>
              <w:jc w:val="center"/>
            </w:pPr>
            <w:r>
              <w:rPr>
                <w:rFonts w:ascii="宋体" w:hAnsi="宋体" w:eastAsia="宋体"/>
                <w:sz w:val="24"/>
              </w:rPr>
              <w:t>（2024年度）</w:t>
            </w:r>
          </w:p>
        </w:tc>
      </w:tr>
      <w:tr w14:paraId="2A700AA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6301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7F8F503">
            <w:pPr>
              <w:jc w:val="center"/>
            </w:pPr>
            <w:r>
              <w:rPr>
                <w:rFonts w:ascii="宋体" w:hAnsi="宋体" w:eastAsia="宋体"/>
                <w:sz w:val="16"/>
              </w:rPr>
              <w:t>昌吉州政府投资建设项目代建管理中心</w:t>
            </w:r>
          </w:p>
        </w:tc>
      </w:tr>
      <w:tr w14:paraId="38D141F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4B97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D30E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056F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334C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CE21C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8C55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42B06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962975">
            <w:pPr>
              <w:jc w:val="center"/>
            </w:pPr>
            <w:r>
              <w:rPr>
                <w:rFonts w:ascii="宋体" w:hAnsi="宋体" w:eastAsia="宋体"/>
                <w:sz w:val="16"/>
              </w:rPr>
              <w:t>得分</w:t>
            </w:r>
          </w:p>
        </w:tc>
      </w:tr>
      <w:tr w14:paraId="4579736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B4C0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DC47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2E41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B53C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EACD8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2CC1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5CE1C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7569F7">
            <w:pPr>
              <w:jc w:val="center"/>
            </w:pPr>
            <w:r>
              <w:rPr>
                <w:rFonts w:ascii="宋体" w:hAnsi="宋体" w:eastAsia="宋体"/>
                <w:sz w:val="16"/>
              </w:rPr>
              <w:t>-</w:t>
            </w:r>
          </w:p>
        </w:tc>
      </w:tr>
      <w:tr w14:paraId="3AE0EAC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90F6C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9828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683E2">
            <w:pPr>
              <w:jc w:val="center"/>
            </w:pPr>
            <w:r>
              <w:rPr>
                <w:rFonts w:ascii="宋体" w:hAnsi="宋体" w:eastAsia="宋体"/>
                <w:sz w:val="16"/>
              </w:rPr>
              <w:t>175.66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1408FF">
            <w:pPr>
              <w:jc w:val="center"/>
            </w:pPr>
            <w:r>
              <w:rPr>
                <w:rFonts w:ascii="宋体" w:hAnsi="宋体" w:eastAsia="宋体"/>
                <w:sz w:val="16"/>
              </w:rPr>
              <w:t>538.61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F3B84">
            <w:pPr>
              <w:jc w:val="center"/>
            </w:pPr>
            <w:r>
              <w:rPr>
                <w:rFonts w:ascii="宋体" w:hAnsi="宋体" w:eastAsia="宋体"/>
                <w:sz w:val="16"/>
              </w:rPr>
              <w:t>531.83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D094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111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324E9">
            <w:pPr>
              <w:jc w:val="center"/>
            </w:pPr>
            <w:r>
              <w:rPr>
                <w:rFonts w:ascii="宋体" w:hAnsi="宋体" w:eastAsia="宋体"/>
                <w:sz w:val="16"/>
              </w:rPr>
              <w:t>-</w:t>
            </w:r>
          </w:p>
        </w:tc>
      </w:tr>
      <w:tr w14:paraId="55C0C9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76B1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19AA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48C7B">
            <w:pPr>
              <w:jc w:val="center"/>
            </w:pPr>
            <w:r>
              <w:rPr>
                <w:rFonts w:ascii="宋体" w:hAnsi="宋体" w:eastAsia="宋体"/>
                <w:sz w:val="16"/>
              </w:rPr>
              <w:t>84.89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6C5612">
            <w:pPr>
              <w:jc w:val="center"/>
            </w:pPr>
            <w:r>
              <w:rPr>
                <w:rFonts w:ascii="宋体" w:hAnsi="宋体" w:eastAsia="宋体"/>
                <w:sz w:val="16"/>
              </w:rPr>
              <w:t>27.59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7B650">
            <w:pPr>
              <w:jc w:val="center"/>
            </w:pPr>
            <w:r>
              <w:rPr>
                <w:rFonts w:ascii="宋体" w:hAnsi="宋体" w:eastAsia="宋体"/>
                <w:sz w:val="16"/>
              </w:rPr>
              <w:t>1.22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3A06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D5CC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C7871">
            <w:pPr>
              <w:jc w:val="center"/>
            </w:pPr>
            <w:r>
              <w:rPr>
                <w:rFonts w:ascii="宋体" w:hAnsi="宋体" w:eastAsia="宋体"/>
                <w:sz w:val="16"/>
              </w:rPr>
              <w:t>-</w:t>
            </w:r>
          </w:p>
        </w:tc>
      </w:tr>
      <w:tr w14:paraId="6F3816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05841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FFD4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3F399">
            <w:pPr>
              <w:jc w:val="center"/>
            </w:pPr>
            <w:r>
              <w:rPr>
                <w:rFonts w:ascii="宋体" w:hAnsi="宋体" w:eastAsia="宋体"/>
                <w:sz w:val="16"/>
              </w:rPr>
              <w:t>260.55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24423">
            <w:pPr>
              <w:jc w:val="center"/>
            </w:pPr>
            <w:r>
              <w:rPr>
                <w:rFonts w:ascii="宋体" w:hAnsi="宋体" w:eastAsia="宋体"/>
                <w:sz w:val="16"/>
              </w:rPr>
              <w:t>566.20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05060">
            <w:pPr>
              <w:jc w:val="center"/>
            </w:pPr>
            <w:r>
              <w:rPr>
                <w:rFonts w:ascii="宋体" w:hAnsi="宋体" w:eastAsia="宋体"/>
                <w:sz w:val="16"/>
              </w:rPr>
              <w:t>533.05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3FB3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C3D5A">
            <w:pPr>
              <w:jc w:val="center"/>
            </w:pPr>
            <w:r>
              <w:rPr>
                <w:rFonts w:ascii="宋体" w:hAnsi="宋体" w:eastAsia="宋体"/>
                <w:sz w:val="16"/>
              </w:rPr>
              <w:t>94.15%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4BBB46">
            <w:pPr>
              <w:jc w:val="center"/>
            </w:pPr>
            <w:r>
              <w:rPr>
                <w:rFonts w:ascii="宋体" w:hAnsi="宋体" w:eastAsia="宋体"/>
                <w:sz w:val="16"/>
              </w:rPr>
              <w:t>9.4</w:t>
            </w:r>
          </w:p>
        </w:tc>
      </w:tr>
      <w:tr w14:paraId="460082B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2AEE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E4AF7B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DA5CDD">
            <w:pPr>
              <w:jc w:val="center"/>
            </w:pPr>
            <w:r>
              <w:rPr>
                <w:rFonts w:ascii="宋体" w:hAnsi="宋体" w:eastAsia="宋体"/>
                <w:sz w:val="16"/>
              </w:rPr>
              <w:t>实际完成情况</w:t>
            </w:r>
          </w:p>
        </w:tc>
      </w:tr>
      <w:tr w14:paraId="270765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CA0D0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192152">
            <w:pPr>
              <w:jc w:val="both"/>
            </w:pPr>
            <w:r>
              <w:rPr>
                <w:rFonts w:ascii="宋体" w:hAnsi="宋体" w:eastAsia="宋体"/>
                <w:sz w:val="16"/>
              </w:rPr>
              <w:t>坚持以习近平新时代中国特色社会主义思想为指导，认真贯彻落实党的二十大精神，全力推进政府投资项目代建管理工作，进一步规范州本级政府投资建设项目代建管理，加强建设项目投资控制,保证项目工期和质量，保障资金使用安全,提高投资效益和管理水平，推进政府投资项目管理高质量发展。一是全力推进在建项目建设，组织开展完成项目规划、勘察设计编制工作，办理项目建设前期各项手续。组织编制完成相关项目预算，按规定程序报批后申请拨款。二是加强内业管理工作，组织工程施工、监理和设备、材料采购招标工作并签订合同。三是扎实落实安全生产责任制，对建设项目工程质量、安全生产实行管理。四是认真做好已完工程收尾工作及移交工作，编制项目竣工决算，组织项目竣工验收。完成向使用单位移交工程建设资料、档案、并办理资产移交手续。</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70937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全年预算数为566.20万元，全年执行数为538.60万元，总预算执行率为94.15%。2024年</w:t>
            </w:r>
            <w:r>
              <w:rPr>
                <w:rFonts w:hint="eastAsia" w:ascii="宋体" w:hAnsi="宋体"/>
                <w:sz w:val="16"/>
                <w:lang w:eastAsia="zh-CN"/>
              </w:rPr>
              <w:t>本单位</w:t>
            </w:r>
            <w:r>
              <w:rPr>
                <w:rFonts w:ascii="宋体" w:hAnsi="宋体" w:eastAsia="宋体"/>
                <w:sz w:val="16"/>
              </w:rPr>
              <w:t>完成以下工作内容：1.代建（改造、修缮）项目竣工验收3个；2.代建（改造、修缮）项目移交3个；3.完成代建（改造、修缮）项目工程结算1个；4.月度安全、质量综合大检查工作5次；5、开展党建活动6次；6、完成代建（改造、修缮）项目竣工决算3个；7.完成帮扶慰问工作2次。通过以上工作的实施，对项目的各项费用进行实时监控和管理，及时发现并解决成本超支问题，完善质量监管体系，从原材料采购、施工工艺控制到工程竣工验收等各个环节，都有严格的质量标准和检验制度，确保项目质量相关规范和要求，达到预期目标。</w:t>
            </w:r>
          </w:p>
        </w:tc>
      </w:tr>
      <w:tr w14:paraId="155610B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003A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AA0D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D877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F60CB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C87F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E1540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D54EB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0E0F45">
            <w:pPr>
              <w:jc w:val="center"/>
            </w:pPr>
            <w:r>
              <w:rPr>
                <w:rFonts w:ascii="宋体" w:hAnsi="宋体" w:eastAsia="宋体"/>
                <w:sz w:val="16"/>
              </w:rPr>
              <w:t>得分</w:t>
            </w:r>
          </w:p>
        </w:tc>
      </w:tr>
      <w:tr w14:paraId="469F4EA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5C524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8080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6D6D5">
            <w:pPr>
              <w:jc w:val="center"/>
            </w:pPr>
            <w:r>
              <w:rPr>
                <w:rFonts w:ascii="宋体" w:hAnsi="宋体" w:eastAsia="宋体"/>
                <w:sz w:val="16"/>
              </w:rPr>
              <w:t>代建（改造、修缮）项目竣工验收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FE6ABF">
            <w:pPr>
              <w:jc w:val="center"/>
            </w:pPr>
            <w:r>
              <w:rPr>
                <w:rFonts w:ascii="宋体" w:hAnsi="宋体" w:eastAsia="宋体"/>
                <w:sz w:val="16"/>
              </w:rPr>
              <w:t>&gt;=3个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AFC7E">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CE9E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A48D7">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72736">
            <w:pPr>
              <w:jc w:val="center"/>
            </w:pPr>
            <w:r>
              <w:rPr>
                <w:rFonts w:ascii="宋体" w:hAnsi="宋体" w:eastAsia="宋体"/>
                <w:sz w:val="16"/>
              </w:rPr>
              <w:t>15</w:t>
            </w:r>
          </w:p>
        </w:tc>
      </w:tr>
      <w:tr w14:paraId="2D11C6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9C84E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83FFF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F0CC0">
            <w:pPr>
              <w:jc w:val="center"/>
            </w:pPr>
            <w:r>
              <w:rPr>
                <w:rFonts w:ascii="宋体" w:hAnsi="宋体" w:eastAsia="宋体"/>
                <w:sz w:val="16"/>
              </w:rPr>
              <w:t>代建（改造、修缮）项目移交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17F637">
            <w:pPr>
              <w:jc w:val="center"/>
            </w:pPr>
            <w:r>
              <w:rPr>
                <w:rFonts w:ascii="宋体" w:hAnsi="宋体" w:eastAsia="宋体"/>
                <w:sz w:val="16"/>
              </w:rPr>
              <w:t>&gt;=3个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0DED2B">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D3E8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93C86">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B24847">
            <w:pPr>
              <w:jc w:val="center"/>
            </w:pPr>
            <w:r>
              <w:rPr>
                <w:rFonts w:ascii="宋体" w:hAnsi="宋体" w:eastAsia="宋体"/>
                <w:sz w:val="16"/>
              </w:rPr>
              <w:t>10</w:t>
            </w:r>
          </w:p>
        </w:tc>
      </w:tr>
      <w:tr w14:paraId="128EE9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72444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8D776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5A09A">
            <w:pPr>
              <w:jc w:val="center"/>
            </w:pPr>
            <w:r>
              <w:rPr>
                <w:rFonts w:ascii="宋体" w:hAnsi="宋体" w:eastAsia="宋体"/>
                <w:sz w:val="16"/>
              </w:rPr>
              <w:t>完成代建（改造、修缮）项目工程结算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ADC55">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E7CB7">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6F3F3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E6C00E">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1B2E3">
            <w:pPr>
              <w:jc w:val="center"/>
            </w:pPr>
            <w:r>
              <w:rPr>
                <w:rFonts w:ascii="宋体" w:hAnsi="宋体" w:eastAsia="宋体"/>
                <w:sz w:val="16"/>
              </w:rPr>
              <w:t>15</w:t>
            </w:r>
          </w:p>
        </w:tc>
      </w:tr>
      <w:tr w14:paraId="2C7E16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A49DE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E863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6678A">
            <w:pPr>
              <w:jc w:val="center"/>
            </w:pPr>
            <w:r>
              <w:rPr>
                <w:rFonts w:ascii="宋体" w:hAnsi="宋体" w:eastAsia="宋体"/>
                <w:sz w:val="16"/>
              </w:rPr>
              <w:t>月度安全、质量综合大检查工作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7E361">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7AEC3">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10D0A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5539A">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98175">
            <w:pPr>
              <w:jc w:val="center"/>
            </w:pPr>
            <w:r>
              <w:rPr>
                <w:rFonts w:ascii="宋体" w:hAnsi="宋体" w:eastAsia="宋体"/>
                <w:sz w:val="16"/>
              </w:rPr>
              <w:t>15</w:t>
            </w:r>
          </w:p>
        </w:tc>
      </w:tr>
      <w:tr w14:paraId="53B0FB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3F210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5AB0A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6341F">
            <w:pPr>
              <w:jc w:val="center"/>
            </w:pPr>
            <w:r>
              <w:rPr>
                <w:rFonts w:ascii="宋体" w:hAnsi="宋体" w:eastAsia="宋体"/>
                <w:sz w:val="16"/>
              </w:rPr>
              <w:t>开展党建活动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71C15">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2F533">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6C99C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33577">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A152E">
            <w:pPr>
              <w:jc w:val="center"/>
            </w:pPr>
            <w:r>
              <w:rPr>
                <w:rFonts w:ascii="宋体" w:hAnsi="宋体" w:eastAsia="宋体"/>
                <w:sz w:val="16"/>
              </w:rPr>
              <w:t>10</w:t>
            </w:r>
          </w:p>
        </w:tc>
      </w:tr>
      <w:tr w14:paraId="036B39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5A317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D3B8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19D4E">
            <w:pPr>
              <w:jc w:val="center"/>
            </w:pPr>
            <w:r>
              <w:rPr>
                <w:rFonts w:ascii="宋体" w:hAnsi="宋体" w:eastAsia="宋体"/>
                <w:sz w:val="16"/>
              </w:rPr>
              <w:t>完成代建（改造、修缮）项目竣工决算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52342">
            <w:pPr>
              <w:jc w:val="center"/>
            </w:pPr>
            <w:r>
              <w:rPr>
                <w:rFonts w:ascii="宋体" w:hAnsi="宋体" w:eastAsia="宋体"/>
                <w:sz w:val="16"/>
              </w:rPr>
              <w:t>&gt;=3个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12C7E">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933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AC27D1">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B9CE34">
            <w:pPr>
              <w:jc w:val="center"/>
            </w:pPr>
            <w:r>
              <w:rPr>
                <w:rFonts w:ascii="宋体" w:hAnsi="宋体" w:eastAsia="宋体"/>
                <w:sz w:val="16"/>
              </w:rPr>
              <w:t>10</w:t>
            </w:r>
          </w:p>
        </w:tc>
      </w:tr>
      <w:tr w14:paraId="0D1EE7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460B60"/>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FE74E">
            <w:pPr>
              <w:jc w:val="center"/>
            </w:pPr>
            <w:r>
              <w:rPr>
                <w:rFonts w:ascii="宋体" w:hAnsi="宋体" w:eastAsia="宋体"/>
                <w:sz w:val="16"/>
              </w:rPr>
              <w:t>数量标准</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97C1B">
            <w:pPr>
              <w:jc w:val="center"/>
            </w:pPr>
            <w:r>
              <w:rPr>
                <w:rFonts w:ascii="宋体" w:hAnsi="宋体" w:eastAsia="宋体"/>
                <w:sz w:val="16"/>
              </w:rPr>
              <w:t>完成帮扶慰问工作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85F9D">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EBEBE">
            <w:pPr>
              <w:jc w:val="center"/>
            </w:pPr>
            <w:r>
              <w:rPr>
                <w:rFonts w:ascii="宋体" w:hAnsi="宋体" w:eastAsia="宋体"/>
                <w:sz w:val="16"/>
              </w:rPr>
              <w:t>（代建中心）2024年工作要点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DEFB7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51684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42A98C">
            <w:pPr>
              <w:jc w:val="center"/>
            </w:pPr>
            <w:r>
              <w:rPr>
                <w:rFonts w:ascii="宋体" w:hAnsi="宋体" w:eastAsia="宋体"/>
                <w:sz w:val="16"/>
              </w:rPr>
              <w:t>15</w:t>
            </w:r>
          </w:p>
        </w:tc>
      </w:tr>
    </w:tbl>
    <w:p w14:paraId="3E97C1D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776"/>
        <w:gridCol w:w="696"/>
        <w:gridCol w:w="629"/>
        <w:gridCol w:w="631"/>
        <w:gridCol w:w="624"/>
        <w:gridCol w:w="624"/>
        <w:gridCol w:w="624"/>
        <w:gridCol w:w="625"/>
        <w:gridCol w:w="632"/>
      </w:tblGrid>
      <w:tr w14:paraId="1D446BB7">
        <w:tblPrEx>
          <w:tblCellMar>
            <w:top w:w="0" w:type="dxa"/>
            <w:left w:w="108" w:type="dxa"/>
            <w:bottom w:w="0" w:type="dxa"/>
            <w:right w:w="108" w:type="dxa"/>
          </w:tblCellMar>
        </w:tblPrEx>
        <w:tc>
          <w:tcPr>
            <w:tcW w:w="8848" w:type="dxa"/>
            <w:gridSpan w:val="14"/>
            <w:vAlign w:val="center"/>
          </w:tcPr>
          <w:p w14:paraId="0911915C">
            <w:pPr>
              <w:jc w:val="center"/>
            </w:pPr>
            <w:r>
              <w:rPr>
                <w:rFonts w:ascii="宋体" w:hAnsi="宋体" w:eastAsia="宋体"/>
                <w:sz w:val="24"/>
              </w:rPr>
              <w:t>项目支出绩效自评表</w:t>
            </w:r>
          </w:p>
        </w:tc>
      </w:tr>
      <w:tr w14:paraId="10DF809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E40B2B">
            <w:pPr>
              <w:jc w:val="center"/>
            </w:pPr>
            <w:r>
              <w:rPr>
                <w:rFonts w:ascii="宋体" w:hAnsi="宋体" w:eastAsia="宋体"/>
                <w:sz w:val="24"/>
              </w:rPr>
              <w:t>(2024年度)</w:t>
            </w:r>
          </w:p>
        </w:tc>
      </w:tr>
      <w:tr w14:paraId="4D9D4B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E96B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B364E3">
            <w:pPr>
              <w:jc w:val="center"/>
            </w:pPr>
            <w:r>
              <w:rPr>
                <w:rFonts w:ascii="宋体" w:hAnsi="宋体" w:eastAsia="宋体"/>
                <w:sz w:val="16"/>
              </w:rPr>
              <w:t>传媒大厦建筑群热源及暖气改造工程项目</w:t>
            </w:r>
          </w:p>
        </w:tc>
      </w:tr>
      <w:tr w14:paraId="42E8E7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AA25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73991C">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1DB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A5398D">
            <w:pPr>
              <w:jc w:val="center"/>
            </w:pPr>
            <w:r>
              <w:rPr>
                <w:rFonts w:ascii="宋体" w:hAnsi="宋体" w:eastAsia="宋体"/>
                <w:sz w:val="16"/>
              </w:rPr>
              <w:t>昌吉回族自治州政府投资项目管理处</w:t>
            </w:r>
          </w:p>
        </w:tc>
      </w:tr>
      <w:tr w14:paraId="2F9EA7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8A0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6E8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0525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FBC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702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3B8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924E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D6D0">
            <w:pPr>
              <w:jc w:val="center"/>
            </w:pPr>
            <w:r>
              <w:rPr>
                <w:rFonts w:ascii="宋体" w:hAnsi="宋体" w:eastAsia="宋体"/>
                <w:sz w:val="16"/>
              </w:rPr>
              <w:t>得分</w:t>
            </w:r>
          </w:p>
        </w:tc>
      </w:tr>
      <w:tr w14:paraId="7E2A04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77F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1BB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398F7">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11D31">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0BC8B">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B96A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424C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AD29E">
            <w:pPr>
              <w:jc w:val="center"/>
            </w:pPr>
            <w:r>
              <w:rPr>
                <w:rFonts w:ascii="宋体" w:hAnsi="宋体" w:eastAsia="宋体"/>
                <w:sz w:val="16"/>
              </w:rPr>
              <w:t>10.00</w:t>
            </w:r>
          </w:p>
        </w:tc>
      </w:tr>
      <w:tr w14:paraId="13560F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BEB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71E4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AB251">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E5E15">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B86D0">
            <w:pPr>
              <w:jc w:val="center"/>
            </w:pPr>
            <w:r>
              <w:rPr>
                <w:rFonts w:ascii="宋体" w:hAnsi="宋体" w:eastAsia="宋体"/>
                <w:sz w:val="16"/>
              </w:rPr>
              <w:t>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8FB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EF3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14909">
            <w:pPr>
              <w:jc w:val="center"/>
            </w:pPr>
            <w:r>
              <w:rPr>
                <w:rFonts w:ascii="宋体" w:hAnsi="宋体" w:eastAsia="宋体"/>
                <w:sz w:val="16"/>
              </w:rPr>
              <w:t>—</w:t>
            </w:r>
          </w:p>
        </w:tc>
      </w:tr>
      <w:tr w14:paraId="26E945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50C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908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A00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49A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E8D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5E2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102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75E27">
            <w:pPr>
              <w:jc w:val="center"/>
            </w:pPr>
            <w:r>
              <w:rPr>
                <w:rFonts w:ascii="宋体" w:hAnsi="宋体" w:eastAsia="宋体"/>
                <w:sz w:val="16"/>
              </w:rPr>
              <w:t>—</w:t>
            </w:r>
          </w:p>
        </w:tc>
      </w:tr>
      <w:tr w14:paraId="16D46C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6C86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1932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119AD7">
            <w:pPr>
              <w:jc w:val="center"/>
            </w:pPr>
            <w:r>
              <w:rPr>
                <w:rFonts w:ascii="宋体" w:hAnsi="宋体" w:eastAsia="宋体"/>
                <w:sz w:val="16"/>
              </w:rPr>
              <w:t>实际完成情况</w:t>
            </w:r>
          </w:p>
        </w:tc>
      </w:tr>
      <w:tr w14:paraId="78460E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9819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A2D499">
            <w:pPr>
              <w:jc w:val="both"/>
            </w:pPr>
            <w:r>
              <w:rPr>
                <w:rFonts w:ascii="宋体" w:hAnsi="宋体" w:eastAsia="宋体"/>
                <w:sz w:val="16"/>
              </w:rPr>
              <w:t>项目的实施可为传媒大厦建筑群提供可靠的采暖热源，有利于改善各建筑物内采暖环境，解决传媒大厦建筑群供暖达不到要求的问题，缓解市政供热压力，能够积极促进昌吉市公共服务事业的健康有序发展。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0FD0E8">
            <w:pPr>
              <w:jc w:val="both"/>
            </w:pPr>
            <w:r>
              <w:rPr>
                <w:rFonts w:ascii="宋体" w:hAnsi="宋体" w:eastAsia="宋体"/>
                <w:sz w:val="16"/>
              </w:rPr>
              <w:t>本项目截止12月31日，该项目于2019年已完工并交付使用，该项目建设传媒大厦锅炉房1座，新建燃气管线长度（米）310米，锅炉房建设竣工率达到100%，新建燃气锅炉管道工程竣工率为100%，传媒大厦锅炉房完工及时率达到100%，支付传媒大厦锅炉房及天然气管道工程费用38万元，支付室内重点部位封堵及锅炉设备采购及安装等其他费用60.63万元。项目的实施可为传媒大厦建筑群提供可靠的采暖热源，有利于改善各建筑物内采暖环境，解决传媒大厦建筑群供暖达不到要求的问题，缓解市政供热压力，能够积极促进昌吉市公共服务事业的健康有序发展。部分达到预期且有一定的效果。该项目于2019年已完工并交付使用。</w:t>
            </w:r>
          </w:p>
        </w:tc>
      </w:tr>
      <w:tr w14:paraId="254DCE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0931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15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A33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5E57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89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3BD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51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E868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374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803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3C8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DD65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E29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64D7">
            <w:pPr>
              <w:jc w:val="center"/>
            </w:pPr>
            <w:r>
              <w:rPr>
                <w:rFonts w:ascii="宋体" w:hAnsi="宋体" w:eastAsia="宋体"/>
                <w:sz w:val="16"/>
              </w:rPr>
              <w:t>偏差原因分析及改进措施</w:t>
            </w:r>
          </w:p>
        </w:tc>
      </w:tr>
      <w:tr w14:paraId="6CFD9C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EB31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50E1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99FFD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EE20">
            <w:pPr>
              <w:jc w:val="center"/>
            </w:pPr>
            <w:r>
              <w:rPr>
                <w:rFonts w:ascii="宋体" w:hAnsi="宋体" w:eastAsia="宋体"/>
                <w:sz w:val="16"/>
              </w:rPr>
              <w:t>传媒大厦锅炉房建设数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EE36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AC7D">
            <w:pPr>
              <w:jc w:val="center"/>
            </w:pPr>
            <w:r>
              <w:rPr>
                <w:rFonts w:ascii="宋体" w:hAnsi="宋体" w:eastAsia="宋体"/>
                <w:sz w:val="16"/>
              </w:rPr>
              <w:t>=1座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439E">
            <w:pPr>
              <w:jc w:val="center"/>
            </w:pPr>
            <w:r>
              <w:rPr>
                <w:rFonts w:ascii="宋体" w:hAnsi="宋体" w:eastAsia="宋体"/>
                <w:sz w:val="16"/>
              </w:rPr>
              <w:t>=1座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837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5232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B6F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5E9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9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522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A0933">
            <w:pPr>
              <w:jc w:val="center"/>
            </w:pPr>
          </w:p>
        </w:tc>
      </w:tr>
      <w:tr w14:paraId="513A8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43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A5F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2CF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5CB38">
            <w:pPr>
              <w:jc w:val="center"/>
            </w:pPr>
            <w:r>
              <w:rPr>
                <w:rFonts w:ascii="宋体" w:hAnsi="宋体" w:eastAsia="宋体"/>
                <w:sz w:val="16"/>
              </w:rPr>
              <w:t>新建燃气管线长度（米）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E114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1EE92">
            <w:pPr>
              <w:jc w:val="center"/>
            </w:pPr>
            <w:r>
              <w:rPr>
                <w:rFonts w:ascii="宋体" w:hAnsi="宋体" w:eastAsia="宋体"/>
                <w:sz w:val="16"/>
              </w:rPr>
              <w:t>&gt;=200米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953E4">
            <w:pPr>
              <w:jc w:val="center"/>
            </w:pPr>
            <w:r>
              <w:rPr>
                <w:rFonts w:ascii="宋体" w:hAnsi="宋体" w:eastAsia="宋体"/>
                <w:sz w:val="16"/>
              </w:rPr>
              <w:t>=310米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ADEF6">
            <w:pPr>
              <w:jc w:val="center"/>
            </w:pPr>
            <w:r>
              <w:rPr>
                <w:rFonts w:ascii="宋体" w:hAnsi="宋体" w:eastAsia="宋体"/>
                <w:sz w:val="16"/>
              </w:rPr>
              <w:t>155%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441AC">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7D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D3B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E4F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B1E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5DE1D">
            <w:pPr>
              <w:jc w:val="center"/>
            </w:pPr>
            <w:r>
              <w:rPr>
                <w:rFonts w:ascii="宋体" w:hAnsi="宋体" w:eastAsia="宋体"/>
                <w:sz w:val="16"/>
              </w:rPr>
              <w:t>按照规划许可证，该项目新建燃气管道长度超出200米。</w:t>
            </w:r>
          </w:p>
        </w:tc>
      </w:tr>
      <w:tr w14:paraId="5B69FD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851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E7B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27C98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F0654">
            <w:pPr>
              <w:jc w:val="center"/>
            </w:pPr>
            <w:r>
              <w:rPr>
                <w:rFonts w:ascii="宋体" w:hAnsi="宋体" w:eastAsia="宋体"/>
                <w:sz w:val="16"/>
              </w:rPr>
              <w:t>锅炉房建设竣工率（%）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3F1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42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825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4A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BC8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78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0A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C2B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44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22B41">
            <w:pPr>
              <w:jc w:val="center"/>
            </w:pPr>
          </w:p>
        </w:tc>
      </w:tr>
      <w:tr w14:paraId="1143B7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B44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5B2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BC6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EBF22">
            <w:pPr>
              <w:jc w:val="center"/>
            </w:pPr>
            <w:r>
              <w:rPr>
                <w:rFonts w:ascii="宋体" w:hAnsi="宋体" w:eastAsia="宋体"/>
                <w:sz w:val="16"/>
              </w:rPr>
              <w:t>新建燃气锅炉管道工程竣工率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D39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56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6E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FD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AECA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74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D5D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55F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EB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0C34B">
            <w:pPr>
              <w:jc w:val="center"/>
            </w:pPr>
          </w:p>
        </w:tc>
      </w:tr>
      <w:tr w14:paraId="5830E2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5C8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FAB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28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A9EC2">
            <w:pPr>
              <w:jc w:val="center"/>
            </w:pPr>
            <w:r>
              <w:rPr>
                <w:rFonts w:ascii="宋体" w:hAnsi="宋体" w:eastAsia="宋体"/>
                <w:sz w:val="16"/>
              </w:rPr>
              <w:t>传媒大厦锅炉房完工及时率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E8D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653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30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70E5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6C8EA">
            <w:pPr>
              <w:jc w:val="center"/>
            </w:pPr>
            <w:r>
              <w:rPr>
                <w:rFonts w:ascii="宋体" w:hAnsi="宋体" w:eastAsia="宋体"/>
                <w:sz w:val="16"/>
              </w:rPr>
              <w:t>7.12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224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82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C4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49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D9C01">
            <w:pPr>
              <w:jc w:val="center"/>
            </w:pPr>
            <w:r>
              <w:rPr>
                <w:rFonts w:ascii="宋体" w:hAnsi="宋体" w:eastAsia="宋体"/>
                <w:sz w:val="16"/>
              </w:rPr>
              <w:t>考虑到实际工作中的困难，目标设置较低，目前超额完成。</w:t>
            </w:r>
          </w:p>
        </w:tc>
      </w:tr>
      <w:tr w14:paraId="112CC6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F25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E9AD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68B73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DB5C5">
            <w:pPr>
              <w:jc w:val="center"/>
            </w:pPr>
            <w:r>
              <w:rPr>
                <w:rFonts w:ascii="宋体" w:hAnsi="宋体" w:eastAsia="宋体"/>
                <w:sz w:val="16"/>
              </w:rPr>
              <w:t>传媒大厦锅炉房及天然气管道工程费用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A6A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08A5">
            <w:pPr>
              <w:jc w:val="center"/>
            </w:pPr>
            <w:r>
              <w:rPr>
                <w:rFonts w:ascii="宋体" w:hAnsi="宋体" w:eastAsia="宋体"/>
                <w:sz w:val="16"/>
              </w:rPr>
              <w:t>&lt;=38万元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8750">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226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2DE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03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45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7D5F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B8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BE60D">
            <w:pPr>
              <w:jc w:val="center"/>
            </w:pPr>
          </w:p>
        </w:tc>
      </w:tr>
      <w:tr w14:paraId="129C7D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3E8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798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F71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903C">
            <w:pPr>
              <w:jc w:val="center"/>
            </w:pPr>
            <w:r>
              <w:rPr>
                <w:rFonts w:ascii="宋体" w:hAnsi="宋体" w:eastAsia="宋体"/>
                <w:sz w:val="16"/>
              </w:rPr>
              <w:t>室内重点部位封堵及锅炉设备采购及安装等其他费用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30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F4AC6">
            <w:pPr>
              <w:jc w:val="center"/>
            </w:pPr>
            <w:r>
              <w:rPr>
                <w:rFonts w:ascii="宋体" w:hAnsi="宋体" w:eastAsia="宋体"/>
                <w:sz w:val="16"/>
              </w:rPr>
              <w:t>&lt;=60.63万元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18BDD">
            <w:pPr>
              <w:jc w:val="center"/>
            </w:pPr>
            <w:r>
              <w:rPr>
                <w:rFonts w:ascii="宋体" w:hAnsi="宋体" w:eastAsia="宋体"/>
                <w:sz w:val="16"/>
              </w:rPr>
              <w:t>=60.63万元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4C4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5F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C3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AC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97E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B6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18E9">
            <w:pPr>
              <w:jc w:val="center"/>
            </w:pPr>
          </w:p>
        </w:tc>
      </w:tr>
      <w:tr w14:paraId="48E7D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AE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825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F56A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D26D5">
            <w:pPr>
              <w:jc w:val="center"/>
            </w:pPr>
            <w:r>
              <w:rPr>
                <w:rFonts w:ascii="宋体" w:hAnsi="宋体" w:eastAsia="宋体"/>
                <w:sz w:val="16"/>
              </w:rPr>
              <w:t>项目的实施可为传媒大厦建筑群提供可靠的采暖热源，有利于改善各建筑物内采暖环境，解决传媒大厦建筑群供暖达不到要求的问题，缓解市政供热压力，能够积极促进昌吉市公共服务事业的健康有序发展。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19F0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7F36">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44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0C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CEB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D6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E6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211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4D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5C53A">
            <w:pPr>
              <w:jc w:val="center"/>
            </w:pPr>
          </w:p>
        </w:tc>
      </w:tr>
      <w:tr w14:paraId="6196E5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552D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ED4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0C5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7692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8C5B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2502">
            <w:pPr>
              <w:jc w:val="center"/>
            </w:pPr>
            <w:r>
              <w:rPr>
                <w:rFonts w:ascii="宋体" w:hAnsi="宋体" w:eastAsia="宋体"/>
                <w:sz w:val="16"/>
              </w:rPr>
              <w:t>94.72分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9B5E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BC4C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4B45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F8C0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33694"/>
        </w:tc>
      </w:tr>
    </w:tbl>
    <w:p w14:paraId="0D9BB648">
      <w:r>
        <w:br w:type="page"/>
      </w:r>
    </w:p>
    <w:p w14:paraId="0B63DDEE">
      <w:pPr>
        <w:spacing w:line="640" w:lineRule="exact"/>
        <w:ind w:firstLine="640"/>
        <w:jc w:val="both"/>
        <w:outlineLvl w:val="2"/>
      </w:pPr>
      <w:r>
        <w:rPr>
          <w:rFonts w:ascii="黑体" w:hAnsi="黑体" w:eastAsia="黑体"/>
          <w:sz w:val="32"/>
        </w:rPr>
        <w:t>十二、其他需说明的事项</w:t>
      </w:r>
    </w:p>
    <w:p w14:paraId="775703D6">
      <w:pPr>
        <w:spacing w:line="580" w:lineRule="exact"/>
        <w:ind w:firstLine="640"/>
        <w:jc w:val="both"/>
      </w:pPr>
      <w:r>
        <w:rPr>
          <w:rFonts w:ascii="仿宋_GB2312" w:hAnsi="仿宋_GB2312" w:eastAsia="仿宋_GB2312"/>
          <w:b w:val="0"/>
          <w:sz w:val="32"/>
        </w:rPr>
        <w:t>本单位无其他需说明的事项。</w:t>
      </w:r>
    </w:p>
    <w:p w14:paraId="1C639C4C">
      <w:r>
        <w:br w:type="page"/>
      </w:r>
    </w:p>
    <w:p w14:paraId="150F37FC">
      <w:pPr>
        <w:spacing w:line="240" w:lineRule="auto"/>
        <w:jc w:val="center"/>
        <w:outlineLvl w:val="1"/>
      </w:pPr>
      <w:r>
        <w:rPr>
          <w:rFonts w:ascii="黑体" w:hAnsi="黑体" w:eastAsia="黑体"/>
          <w:sz w:val="32"/>
        </w:rPr>
        <w:t>第三部分 专业名词解释</w:t>
      </w:r>
    </w:p>
    <w:p w14:paraId="4D7FEBD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D0A653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6BCA02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BC502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81EAC5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15DEA2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F62729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B34207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95D67A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36E37C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B9C7CD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673AA7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F30859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05F5C8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540B01A">
      <w:r>
        <w:br w:type="page"/>
      </w:r>
    </w:p>
    <w:p w14:paraId="1484F4D8">
      <w:pPr>
        <w:spacing w:line="240" w:lineRule="auto"/>
        <w:jc w:val="center"/>
        <w:outlineLvl w:val="1"/>
      </w:pPr>
      <w:r>
        <w:rPr>
          <w:rFonts w:ascii="黑体" w:hAnsi="黑体" w:eastAsia="黑体"/>
          <w:sz w:val="32"/>
        </w:rPr>
        <w:t>第四部分 部门决算报表（见附表）</w:t>
      </w:r>
    </w:p>
    <w:p w14:paraId="438A6775">
      <w:pPr>
        <w:spacing w:line="240" w:lineRule="auto"/>
        <w:ind w:firstLine="640"/>
        <w:jc w:val="both"/>
      </w:pPr>
      <w:r>
        <w:rPr>
          <w:rFonts w:ascii="仿宋_GB2312" w:hAnsi="仿宋_GB2312" w:eastAsia="仿宋_GB2312"/>
          <w:b w:val="0"/>
          <w:sz w:val="32"/>
        </w:rPr>
        <w:t>一、《收入支出决算总表》</w:t>
      </w:r>
    </w:p>
    <w:p w14:paraId="73B5201D">
      <w:pPr>
        <w:spacing w:line="240" w:lineRule="auto"/>
        <w:ind w:firstLine="640"/>
        <w:jc w:val="both"/>
      </w:pPr>
      <w:r>
        <w:rPr>
          <w:rFonts w:ascii="仿宋_GB2312" w:hAnsi="仿宋_GB2312" w:eastAsia="仿宋_GB2312"/>
          <w:b w:val="0"/>
          <w:sz w:val="32"/>
        </w:rPr>
        <w:t>二、《收入决算表》</w:t>
      </w:r>
    </w:p>
    <w:p w14:paraId="6577DD4B">
      <w:pPr>
        <w:spacing w:line="240" w:lineRule="auto"/>
        <w:ind w:firstLine="640"/>
        <w:jc w:val="both"/>
      </w:pPr>
      <w:r>
        <w:rPr>
          <w:rFonts w:ascii="仿宋_GB2312" w:hAnsi="仿宋_GB2312" w:eastAsia="仿宋_GB2312"/>
          <w:b w:val="0"/>
          <w:sz w:val="32"/>
        </w:rPr>
        <w:t>三、《支出决算表》</w:t>
      </w:r>
    </w:p>
    <w:p w14:paraId="46D855CE">
      <w:pPr>
        <w:spacing w:line="240" w:lineRule="auto"/>
        <w:ind w:firstLine="640"/>
        <w:jc w:val="both"/>
      </w:pPr>
      <w:r>
        <w:rPr>
          <w:rFonts w:ascii="仿宋_GB2312" w:hAnsi="仿宋_GB2312" w:eastAsia="仿宋_GB2312"/>
          <w:b w:val="0"/>
          <w:sz w:val="32"/>
        </w:rPr>
        <w:t>四、《财政拨款收入支出决算总表》</w:t>
      </w:r>
    </w:p>
    <w:p w14:paraId="589D3B35">
      <w:pPr>
        <w:spacing w:line="240" w:lineRule="auto"/>
        <w:ind w:firstLine="640"/>
        <w:jc w:val="both"/>
      </w:pPr>
      <w:r>
        <w:rPr>
          <w:rFonts w:ascii="仿宋_GB2312" w:hAnsi="仿宋_GB2312" w:eastAsia="仿宋_GB2312"/>
          <w:b w:val="0"/>
          <w:sz w:val="32"/>
        </w:rPr>
        <w:t>五、《一般公共预算财政拨款支出决算表》</w:t>
      </w:r>
    </w:p>
    <w:p w14:paraId="608CF20A">
      <w:pPr>
        <w:spacing w:line="240" w:lineRule="auto"/>
        <w:ind w:firstLine="640"/>
        <w:jc w:val="both"/>
      </w:pPr>
      <w:r>
        <w:rPr>
          <w:rFonts w:ascii="仿宋_GB2312" w:hAnsi="仿宋_GB2312" w:eastAsia="仿宋_GB2312"/>
          <w:b w:val="0"/>
          <w:sz w:val="32"/>
        </w:rPr>
        <w:t>六、《一般公共预算财政拨款基本支出决算表》</w:t>
      </w:r>
    </w:p>
    <w:p w14:paraId="63B77E85">
      <w:pPr>
        <w:spacing w:line="240" w:lineRule="auto"/>
        <w:ind w:firstLine="640"/>
        <w:jc w:val="both"/>
      </w:pPr>
      <w:r>
        <w:rPr>
          <w:rFonts w:ascii="仿宋_GB2312" w:hAnsi="仿宋_GB2312" w:eastAsia="仿宋_GB2312"/>
          <w:b w:val="0"/>
          <w:sz w:val="32"/>
        </w:rPr>
        <w:t>七、《政府性基金预算财政拨款收入支出决算表》</w:t>
      </w:r>
    </w:p>
    <w:p w14:paraId="58DA7289">
      <w:pPr>
        <w:spacing w:line="240" w:lineRule="auto"/>
        <w:ind w:firstLine="640"/>
        <w:jc w:val="both"/>
      </w:pPr>
      <w:r>
        <w:rPr>
          <w:rFonts w:ascii="仿宋_GB2312" w:hAnsi="仿宋_GB2312" w:eastAsia="仿宋_GB2312"/>
          <w:b w:val="0"/>
          <w:sz w:val="32"/>
        </w:rPr>
        <w:t>八、《国有资本经营预算财政拨款收入支出决算表》</w:t>
      </w:r>
    </w:p>
    <w:p w14:paraId="5EA514BE">
      <w:pPr>
        <w:spacing w:line="240" w:lineRule="auto"/>
        <w:ind w:firstLine="640"/>
        <w:jc w:val="both"/>
      </w:pPr>
      <w:r>
        <w:rPr>
          <w:rFonts w:ascii="仿宋_GB2312" w:hAnsi="仿宋_GB2312" w:eastAsia="仿宋_GB2312"/>
          <w:b w:val="0"/>
          <w:sz w:val="32"/>
        </w:rPr>
        <w:t>九、《财政拨款“三公”经费支出决算表》</w:t>
      </w:r>
    </w:p>
    <w:p w14:paraId="236F748A">
      <w:pPr>
        <w:spacing w:line="240" w:lineRule="auto"/>
        <w:ind w:firstLine="640"/>
        <w:jc w:val="both"/>
      </w:pPr>
    </w:p>
    <w:p w14:paraId="1168FDDD">
      <w:pPr>
        <w:spacing w:line="240" w:lineRule="auto"/>
        <w:ind w:firstLine="640"/>
        <w:jc w:val="both"/>
      </w:pPr>
    </w:p>
    <w:p w14:paraId="235A9021">
      <w:pPr>
        <w:spacing w:line="240" w:lineRule="auto"/>
        <w:ind w:firstLine="640"/>
        <w:jc w:val="both"/>
      </w:pPr>
    </w:p>
    <w:p w14:paraId="2DBE66A7">
      <w:pPr>
        <w:spacing w:line="240" w:lineRule="auto"/>
        <w:ind w:firstLine="640"/>
        <w:jc w:val="both"/>
      </w:pPr>
    </w:p>
    <w:p w14:paraId="486045C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17F93A-37CE-416A-958D-7023384AEC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59C45F4-073F-471C-8E48-9F7A19D4C5E5}"/>
  </w:font>
  <w:font w:name="仿宋_GB2312">
    <w:panose1 w:val="02010609030101010101"/>
    <w:charset w:val="86"/>
    <w:family w:val="modern"/>
    <w:pitch w:val="default"/>
    <w:sig w:usb0="00000001" w:usb1="080E0000" w:usb2="00000000" w:usb3="00000000" w:csb0="00040000" w:csb1="00000000"/>
    <w:embedRegular r:id="rId3" w:fontKey="{0C0C19EA-AF9E-423B-B290-1469DAC190A8}"/>
  </w:font>
  <w:font w:name="楷体_GB2312">
    <w:panose1 w:val="02010609030101010101"/>
    <w:charset w:val="86"/>
    <w:family w:val="auto"/>
    <w:pitch w:val="default"/>
    <w:sig w:usb0="00000001" w:usb1="080E0000" w:usb2="00000000" w:usb3="00000000" w:csb0="00040000" w:csb1="00000000"/>
    <w:embedRegular r:id="rId4" w:fontKey="{D23D8B34-7404-4500-8C82-4238B55CE7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99B74AC"/>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7745</Words>
  <Characters>8685</Characters>
  <Lines>0</Lines>
  <Paragraphs>0</Paragraphs>
  <TotalTime>0</TotalTime>
  <ScaleCrop>false</ScaleCrop>
  <LinksUpToDate>false</LinksUpToDate>
  <CharactersWithSpaces>8697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2025-10-14T10:28:37Z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