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bookmarkStart w:id="0" w:name="_GoBack"/>
      <w:bookmarkEnd w:id="0"/>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呼图壁县人民法院2024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C509FC6">
      <w:r>
        <w:br w:type="page"/>
      </w:r>
    </w:p>
    <w:p w14:paraId="01669EAE">
      <w:pPr>
        <w:spacing w:line="640" w:lineRule="exact"/>
        <w:jc w:val="center"/>
        <w:outlineLvl w:val="1"/>
      </w:pPr>
      <w:r>
        <w:rPr>
          <w:rFonts w:ascii="黑体" w:hAnsi="黑体" w:eastAsia="黑体"/>
          <w:sz w:val="32"/>
        </w:rPr>
        <w:t>第一部分 单位概况</w:t>
      </w:r>
    </w:p>
    <w:p w14:paraId="6D1624DF">
      <w:pPr>
        <w:spacing w:line="640" w:lineRule="exact"/>
        <w:ind w:firstLine="640"/>
        <w:jc w:val="both"/>
        <w:outlineLvl w:val="2"/>
      </w:pPr>
      <w:r>
        <w:rPr>
          <w:rFonts w:ascii="黑体" w:hAnsi="黑体" w:eastAsia="黑体"/>
          <w:sz w:val="32"/>
        </w:rPr>
        <w:t>一、主要职能</w:t>
      </w:r>
    </w:p>
    <w:p w14:paraId="31B006AC">
      <w:pPr>
        <w:spacing w:line="580" w:lineRule="exact"/>
        <w:ind w:firstLine="640"/>
        <w:jc w:val="both"/>
      </w:pPr>
      <w:r>
        <w:rPr>
          <w:rFonts w:ascii="仿宋_GB2312" w:hAnsi="仿宋_GB2312" w:eastAsia="仿宋_GB2312"/>
          <w:sz w:val="32"/>
        </w:rPr>
        <w:t>人民法院是通过审判刑事案件、民事案件、行政案件以及法律规定的其他案件，惩罚犯罪，保障无罪的人不受刑事追责，解决民事、行政纠纷，保护个人和组织的合法权益，监督行政机关依法行使职权，维护国家安全和社会秩序，维护社会公平正义，维护国家法制统一、尊严和权威，保障中国特色社会主义建设的顺利进行。</w:t>
      </w:r>
    </w:p>
    <w:p w14:paraId="7A6EDB9D">
      <w:pPr>
        <w:spacing w:line="640" w:lineRule="exact"/>
        <w:ind w:firstLine="640"/>
        <w:jc w:val="both"/>
        <w:outlineLvl w:val="2"/>
      </w:pPr>
      <w:r>
        <w:rPr>
          <w:rFonts w:ascii="黑体" w:hAnsi="黑体" w:eastAsia="黑体"/>
          <w:sz w:val="32"/>
        </w:rPr>
        <w:t>二、机构设置及人员情况</w:t>
      </w:r>
    </w:p>
    <w:p w14:paraId="7C59EE4E">
      <w:pPr>
        <w:spacing w:line="580" w:lineRule="exact"/>
        <w:ind w:firstLine="640"/>
        <w:jc w:val="both"/>
      </w:pPr>
      <w:r>
        <w:rPr>
          <w:rFonts w:ascii="仿宋_GB2312" w:hAnsi="仿宋_GB2312" w:eastAsia="仿宋_GB2312"/>
          <w:sz w:val="32"/>
        </w:rPr>
        <w:t>呼图壁县人民法院2024年度，实有人数101人，其中：在职人员68人，减少4人；离休人员0人，增加0人；退休人员33人,增加4人。</w:t>
      </w:r>
    </w:p>
    <w:p w14:paraId="3A9E2EB6">
      <w:pPr>
        <w:spacing w:line="580" w:lineRule="exact"/>
        <w:ind w:firstLine="640"/>
        <w:jc w:val="both"/>
      </w:pPr>
      <w:r>
        <w:rPr>
          <w:rFonts w:ascii="仿宋_GB2312" w:hAnsi="仿宋_GB2312" w:eastAsia="仿宋_GB2312"/>
          <w:sz w:val="32"/>
        </w:rPr>
        <w:t>呼图壁县人民法院无下属预算单位，下设9个科室，分别是：综合办公室（法警大队）、政治部、审批管理办公室、立案庭、行政庭、刑事审判庭、民事审判庭、执行局、大丰法庭。</w:t>
      </w:r>
    </w:p>
    <w:p w14:paraId="6E19DB20">
      <w:r>
        <w:br w:type="page"/>
      </w:r>
    </w:p>
    <w:p w14:paraId="4BEF781C">
      <w:pPr>
        <w:spacing w:line="240" w:lineRule="auto"/>
        <w:jc w:val="center"/>
        <w:outlineLvl w:val="1"/>
      </w:pPr>
      <w:r>
        <w:rPr>
          <w:rFonts w:ascii="黑体" w:hAnsi="黑体" w:eastAsia="黑体"/>
          <w:sz w:val="32"/>
        </w:rPr>
        <w:t>第二部分 部门决算情况说明</w:t>
      </w:r>
    </w:p>
    <w:p w14:paraId="6CF27A9F">
      <w:pPr>
        <w:spacing w:line="640" w:lineRule="exact"/>
        <w:ind w:firstLine="640"/>
        <w:jc w:val="both"/>
        <w:outlineLvl w:val="2"/>
      </w:pPr>
      <w:r>
        <w:rPr>
          <w:rFonts w:ascii="黑体" w:hAnsi="黑体" w:eastAsia="黑体"/>
          <w:sz w:val="32"/>
        </w:rPr>
        <w:t>一、收入支出决算总体情况说明</w:t>
      </w:r>
    </w:p>
    <w:p w14:paraId="2F6126F8">
      <w:pPr>
        <w:spacing w:line="580" w:lineRule="exact"/>
        <w:ind w:firstLine="640"/>
        <w:jc w:val="both"/>
      </w:pPr>
      <w:r>
        <w:rPr>
          <w:rFonts w:ascii="仿宋_GB2312" w:hAnsi="仿宋_GB2312" w:eastAsia="仿宋_GB2312"/>
          <w:b/>
          <w:sz w:val="32"/>
        </w:rPr>
        <w:t>2024年度收入总计2,542.10万元，</w:t>
      </w:r>
      <w:r>
        <w:rPr>
          <w:rFonts w:ascii="仿宋_GB2312" w:hAnsi="仿宋_GB2312" w:eastAsia="仿宋_GB2312"/>
          <w:b w:val="0"/>
          <w:sz w:val="32"/>
        </w:rPr>
        <w:t>其中：本年收入合计2,424.52万元，使用非财政拨款结余（含专用结余）0.00万元，年初结转和结余117.58万元。</w:t>
      </w:r>
    </w:p>
    <w:p w14:paraId="0CB09CFB">
      <w:pPr>
        <w:spacing w:line="580" w:lineRule="exact"/>
        <w:ind w:firstLine="640"/>
        <w:jc w:val="both"/>
      </w:pPr>
      <w:r>
        <w:rPr>
          <w:rFonts w:ascii="仿宋_GB2312" w:hAnsi="仿宋_GB2312" w:eastAsia="仿宋_GB2312"/>
          <w:b/>
          <w:sz w:val="32"/>
        </w:rPr>
        <w:t>2024年度支出总计2,542.10万元，</w:t>
      </w:r>
      <w:r>
        <w:rPr>
          <w:rFonts w:ascii="仿宋_GB2312" w:hAnsi="仿宋_GB2312" w:eastAsia="仿宋_GB2312"/>
          <w:b w:val="0"/>
          <w:sz w:val="32"/>
        </w:rPr>
        <w:t>其中：本年支出合计2,381.07万元，结余分配0.00万元，年末结转和结余161.03万元。</w:t>
      </w:r>
    </w:p>
    <w:p w14:paraId="1CF7EC97">
      <w:pPr>
        <w:spacing w:line="580" w:lineRule="exact"/>
        <w:ind w:firstLine="640"/>
        <w:jc w:val="both"/>
        <w:rPr>
          <w:spacing w:val="-6"/>
          <w:sz w:val="32"/>
        </w:rPr>
      </w:pPr>
      <w:r>
        <w:rPr>
          <w:rFonts w:ascii="仿宋_GB2312" w:hAnsi="仿宋_GB2312" w:eastAsia="仿宋_GB2312"/>
          <w:b w:val="0"/>
          <w:spacing w:val="-6"/>
          <w:sz w:val="32"/>
        </w:rPr>
        <w:t>收入支出总体与上年相比，减少1,345.37万元，下降34.61%，主要原因是：本年减少化解政府债务资金、业务费补助资金等项目。</w:t>
      </w:r>
    </w:p>
    <w:p w14:paraId="6AA2E93D">
      <w:pPr>
        <w:spacing w:line="640" w:lineRule="exact"/>
        <w:ind w:firstLine="640"/>
        <w:jc w:val="both"/>
        <w:outlineLvl w:val="2"/>
      </w:pPr>
      <w:r>
        <w:rPr>
          <w:rFonts w:ascii="黑体" w:hAnsi="黑体" w:eastAsia="黑体"/>
          <w:sz w:val="32"/>
        </w:rPr>
        <w:t>二、收入决算情况说明</w:t>
      </w:r>
    </w:p>
    <w:p w14:paraId="6C2BEC13">
      <w:pPr>
        <w:spacing w:line="580" w:lineRule="exact"/>
        <w:ind w:firstLine="640"/>
        <w:jc w:val="both"/>
      </w:pPr>
      <w:r>
        <w:rPr>
          <w:rFonts w:ascii="仿宋_GB2312" w:hAnsi="仿宋_GB2312" w:eastAsia="仿宋_GB2312"/>
          <w:b/>
          <w:sz w:val="32"/>
        </w:rPr>
        <w:t>本年收入2,424.52万元，</w:t>
      </w:r>
      <w:r>
        <w:rPr>
          <w:rFonts w:ascii="仿宋_GB2312" w:hAnsi="仿宋_GB2312" w:eastAsia="仿宋_GB2312"/>
          <w:b w:val="0"/>
          <w:sz w:val="32"/>
        </w:rPr>
        <w:t>其中：财政拨款收入2,329.16万元，占96.07%；上级补助收入0.00万元，占0.00%；事业收入0.00万元，占0.00%；经营收入0.00万元，占0.00%；附属单位上缴收入0.00万元，占0.00%；其他收入95.37万元，占3.93%。</w:t>
      </w:r>
    </w:p>
    <w:p w14:paraId="4F6725A6">
      <w:pPr>
        <w:spacing w:line="640" w:lineRule="exact"/>
        <w:ind w:firstLine="640"/>
        <w:jc w:val="both"/>
        <w:outlineLvl w:val="2"/>
      </w:pPr>
      <w:r>
        <w:rPr>
          <w:rFonts w:ascii="黑体" w:hAnsi="黑体" w:eastAsia="黑体"/>
          <w:sz w:val="32"/>
        </w:rPr>
        <w:t>三、支出决算情况说明</w:t>
      </w:r>
    </w:p>
    <w:p w14:paraId="50712CB7">
      <w:pPr>
        <w:spacing w:line="580" w:lineRule="exact"/>
        <w:ind w:firstLine="640"/>
        <w:jc w:val="both"/>
      </w:pPr>
      <w:r>
        <w:rPr>
          <w:rFonts w:ascii="仿宋_GB2312" w:hAnsi="仿宋_GB2312" w:eastAsia="仿宋_GB2312"/>
          <w:b/>
          <w:sz w:val="32"/>
        </w:rPr>
        <w:t>本年支出2,381.07万元，</w:t>
      </w:r>
      <w:r>
        <w:rPr>
          <w:rFonts w:ascii="仿宋_GB2312" w:hAnsi="仿宋_GB2312" w:eastAsia="仿宋_GB2312"/>
          <w:b w:val="0"/>
          <w:sz w:val="32"/>
        </w:rPr>
        <w:t>其中：基本支出1,909.16万元，占80.18%；项目支出471.92万元，占19.82%；上缴上级支出0.00万元，占0.00%；经营支出0.00万元，占0.00%；对附属单位补助支出0.00万元，占0.00%。</w:t>
      </w:r>
    </w:p>
    <w:p w14:paraId="240E83FE">
      <w:pPr>
        <w:spacing w:line="640" w:lineRule="exact"/>
        <w:ind w:firstLine="640"/>
        <w:jc w:val="both"/>
        <w:outlineLvl w:val="2"/>
      </w:pPr>
      <w:r>
        <w:rPr>
          <w:rFonts w:ascii="黑体" w:hAnsi="黑体" w:eastAsia="黑体"/>
          <w:sz w:val="32"/>
        </w:rPr>
        <w:t>四、财政拨款收入支出决算总体情况说明</w:t>
      </w:r>
    </w:p>
    <w:p w14:paraId="0F283D5A">
      <w:pPr>
        <w:spacing w:line="580" w:lineRule="exact"/>
        <w:ind w:firstLine="640"/>
        <w:jc w:val="both"/>
      </w:pPr>
      <w:r>
        <w:rPr>
          <w:rFonts w:ascii="仿宋_GB2312" w:hAnsi="仿宋_GB2312" w:eastAsia="仿宋_GB2312"/>
          <w:b/>
          <w:sz w:val="32"/>
        </w:rPr>
        <w:t>2024年度财政拨款收入总计2,329.16万元，</w:t>
      </w:r>
      <w:r>
        <w:rPr>
          <w:rFonts w:ascii="仿宋_GB2312" w:hAnsi="仿宋_GB2312" w:eastAsia="仿宋_GB2312"/>
          <w:b w:val="0"/>
          <w:sz w:val="32"/>
        </w:rPr>
        <w:t>其中：年初财政拨款结转和结余0.00万元，本年财政拨款收入2,329.16万元。</w:t>
      </w:r>
      <w:r>
        <w:rPr>
          <w:rFonts w:ascii="仿宋_GB2312" w:hAnsi="仿宋_GB2312" w:eastAsia="仿宋_GB2312"/>
          <w:b/>
          <w:sz w:val="32"/>
        </w:rPr>
        <w:t>财政拨款支出总计2,329.16万元，</w:t>
      </w:r>
      <w:r>
        <w:rPr>
          <w:rFonts w:ascii="仿宋_GB2312" w:hAnsi="仿宋_GB2312" w:eastAsia="仿宋_GB2312"/>
          <w:b w:val="0"/>
          <w:sz w:val="32"/>
        </w:rPr>
        <w:t>其中：年末财政拨款结转和结余0.00万元，本年财政拨款支出2,329.16万元。</w:t>
      </w:r>
    </w:p>
    <w:p w14:paraId="7C764DF0">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减少1,440.73万元，下降38.22%，主要原因是：本年减少化解政府债务资金、业务费补助资金等项目。</w:t>
      </w:r>
      <w:r>
        <w:rPr>
          <w:rFonts w:ascii="仿宋_GB2312" w:hAnsi="仿宋_GB2312" w:eastAsia="仿宋_GB2312"/>
          <w:b/>
          <w:sz w:val="32"/>
        </w:rPr>
        <w:t>与年初预算相比，</w:t>
      </w:r>
      <w:r>
        <w:rPr>
          <w:rFonts w:ascii="仿宋_GB2312" w:hAnsi="仿宋_GB2312" w:eastAsia="仿宋_GB2312"/>
          <w:b w:val="0"/>
          <w:sz w:val="32"/>
        </w:rPr>
        <w:t>年初预算数2,186.71万元，决算数2,329.16万元，预决算差异率6.51%，主要原因是：年中追加人员工资、社保、公积金基数调增部分资金，年中追加为民办实事好事项目，导致预决算存在差异。</w:t>
      </w:r>
    </w:p>
    <w:p w14:paraId="1BA7E403">
      <w:pPr>
        <w:spacing w:line="640" w:lineRule="exact"/>
        <w:ind w:firstLine="640"/>
        <w:jc w:val="both"/>
        <w:outlineLvl w:val="2"/>
      </w:pPr>
      <w:r>
        <w:rPr>
          <w:rFonts w:ascii="黑体" w:hAnsi="黑体" w:eastAsia="黑体"/>
          <w:sz w:val="32"/>
        </w:rPr>
        <w:t>五、一般公共预算财政拨款支出决算情况说明</w:t>
      </w:r>
    </w:p>
    <w:p w14:paraId="35DA919A">
      <w:pPr>
        <w:spacing w:line="640" w:lineRule="exact"/>
        <w:ind w:firstLine="640"/>
        <w:jc w:val="both"/>
        <w:outlineLvl w:val="3"/>
      </w:pPr>
      <w:r>
        <w:rPr>
          <w:rFonts w:ascii="楷体_GB2312" w:hAnsi="楷体_GB2312" w:eastAsia="楷体_GB2312"/>
          <w:b/>
          <w:sz w:val="32"/>
        </w:rPr>
        <w:t>（一）一般公共预算财政拨款支出决算总体情况</w:t>
      </w:r>
    </w:p>
    <w:p w14:paraId="6AAADF08">
      <w:pPr>
        <w:spacing w:line="580" w:lineRule="exact"/>
        <w:ind w:firstLine="640"/>
        <w:jc w:val="both"/>
      </w:pPr>
      <w:r>
        <w:rPr>
          <w:rFonts w:ascii="仿宋_GB2312" w:hAnsi="仿宋_GB2312" w:eastAsia="仿宋_GB2312"/>
          <w:b/>
          <w:sz w:val="32"/>
        </w:rPr>
        <w:t>2024年度一般公共预算财政拨款支出2,329.16万元，</w:t>
      </w:r>
      <w:r>
        <w:rPr>
          <w:rFonts w:ascii="仿宋_GB2312" w:hAnsi="仿宋_GB2312" w:eastAsia="仿宋_GB2312"/>
          <w:b w:val="0"/>
          <w:sz w:val="32"/>
        </w:rPr>
        <w:t>占本年支出合计的97.82%。</w:t>
      </w:r>
      <w:r>
        <w:rPr>
          <w:rFonts w:ascii="仿宋_GB2312" w:hAnsi="仿宋_GB2312" w:eastAsia="仿宋_GB2312"/>
          <w:b/>
          <w:sz w:val="32"/>
        </w:rPr>
        <w:t>与上年相比，</w:t>
      </w:r>
      <w:r>
        <w:rPr>
          <w:rFonts w:ascii="仿宋_GB2312" w:hAnsi="仿宋_GB2312" w:eastAsia="仿宋_GB2312"/>
          <w:b w:val="0"/>
          <w:sz w:val="32"/>
        </w:rPr>
        <w:t>减少1,440.73万元，下降38.22%，主要原因是：本年减少化解政府债务资金、业务费补助资金等项目。</w:t>
      </w:r>
      <w:r>
        <w:rPr>
          <w:rFonts w:ascii="仿宋_GB2312" w:hAnsi="仿宋_GB2312" w:eastAsia="仿宋_GB2312"/>
          <w:b/>
          <w:sz w:val="32"/>
        </w:rPr>
        <w:t>与年初预算相比,</w:t>
      </w:r>
      <w:r>
        <w:rPr>
          <w:rFonts w:ascii="仿宋_GB2312" w:hAnsi="仿宋_GB2312" w:eastAsia="仿宋_GB2312"/>
          <w:b w:val="0"/>
          <w:sz w:val="32"/>
        </w:rPr>
        <w:t>年初预算数2,186.71万元，决算数2,329.16万元，预决算差异率6.51%，主要原因是：年中追加人员工资、社保、公积金基数调增部分资金，年中追加为民办实事好事项目，导致预决算存在差异。</w:t>
      </w:r>
    </w:p>
    <w:p w14:paraId="0CAED3C8">
      <w:pPr>
        <w:spacing w:line="640" w:lineRule="exact"/>
        <w:ind w:firstLine="640"/>
        <w:jc w:val="both"/>
        <w:outlineLvl w:val="3"/>
      </w:pPr>
      <w:r>
        <w:rPr>
          <w:rFonts w:ascii="楷体_GB2312" w:hAnsi="楷体_GB2312" w:eastAsia="楷体_GB2312"/>
          <w:b/>
          <w:sz w:val="32"/>
        </w:rPr>
        <w:t>（二）一般公共预算财政拨款支出决算结构情况</w:t>
      </w:r>
    </w:p>
    <w:p w14:paraId="781E2DBC">
      <w:pPr>
        <w:spacing w:line="580" w:lineRule="exact"/>
        <w:ind w:firstLine="640"/>
        <w:jc w:val="both"/>
      </w:pPr>
      <w:r>
        <w:rPr>
          <w:rFonts w:ascii="仿宋_GB2312" w:hAnsi="仿宋_GB2312" w:eastAsia="仿宋_GB2312"/>
          <w:b w:val="0"/>
          <w:sz w:val="32"/>
        </w:rPr>
        <w:t>1.一般公共服务支出(类)20.00万元,占0.86%。</w:t>
      </w:r>
    </w:p>
    <w:p w14:paraId="04350111">
      <w:pPr>
        <w:spacing w:line="580" w:lineRule="exact"/>
        <w:ind w:firstLine="640"/>
        <w:jc w:val="both"/>
      </w:pPr>
      <w:r>
        <w:rPr>
          <w:rFonts w:ascii="仿宋_GB2312" w:hAnsi="仿宋_GB2312" w:eastAsia="仿宋_GB2312"/>
          <w:b w:val="0"/>
          <w:sz w:val="32"/>
        </w:rPr>
        <w:t>2.公共安全支出(类)1,898.59万元,占81.51%。</w:t>
      </w:r>
    </w:p>
    <w:p w14:paraId="20785E9D">
      <w:pPr>
        <w:spacing w:line="580" w:lineRule="exact"/>
        <w:ind w:firstLine="640"/>
        <w:jc w:val="both"/>
      </w:pPr>
      <w:r>
        <w:rPr>
          <w:rFonts w:ascii="仿宋_GB2312" w:hAnsi="仿宋_GB2312" w:eastAsia="仿宋_GB2312"/>
          <w:b w:val="0"/>
          <w:sz w:val="32"/>
        </w:rPr>
        <w:t>3.社会保障和就业支出(类)219.35万元,占9.42%。</w:t>
      </w:r>
    </w:p>
    <w:p w14:paraId="6B7D11F7">
      <w:pPr>
        <w:spacing w:line="580" w:lineRule="exact"/>
        <w:ind w:firstLine="640"/>
        <w:jc w:val="both"/>
      </w:pPr>
      <w:r>
        <w:rPr>
          <w:rFonts w:ascii="仿宋_GB2312" w:hAnsi="仿宋_GB2312" w:eastAsia="仿宋_GB2312"/>
          <w:b w:val="0"/>
          <w:sz w:val="32"/>
        </w:rPr>
        <w:t>4.卫生健康支出(类)70.50万元,占3.03%。</w:t>
      </w:r>
    </w:p>
    <w:p w14:paraId="1828DD08">
      <w:pPr>
        <w:spacing w:line="580" w:lineRule="exact"/>
        <w:ind w:firstLine="640"/>
        <w:jc w:val="both"/>
      </w:pPr>
      <w:r>
        <w:rPr>
          <w:rFonts w:ascii="仿宋_GB2312" w:hAnsi="仿宋_GB2312" w:eastAsia="仿宋_GB2312"/>
          <w:b w:val="0"/>
          <w:sz w:val="32"/>
        </w:rPr>
        <w:t>5.住房保障支出(类)105.72万元,占4.54%。</w:t>
      </w:r>
    </w:p>
    <w:p w14:paraId="6E0674A9">
      <w:pPr>
        <w:spacing w:line="580" w:lineRule="exact"/>
        <w:ind w:firstLine="640"/>
        <w:jc w:val="both"/>
      </w:pPr>
      <w:r>
        <w:rPr>
          <w:rFonts w:ascii="仿宋_GB2312" w:hAnsi="仿宋_GB2312" w:eastAsia="仿宋_GB2312"/>
          <w:b w:val="0"/>
          <w:sz w:val="32"/>
        </w:rPr>
        <w:t>6.其他支出(类)15.00万元,占0.64%。</w:t>
      </w:r>
    </w:p>
    <w:p w14:paraId="3D8792AF">
      <w:pPr>
        <w:spacing w:line="640" w:lineRule="exact"/>
        <w:ind w:firstLine="640"/>
        <w:jc w:val="both"/>
        <w:outlineLvl w:val="3"/>
      </w:pPr>
      <w:r>
        <w:rPr>
          <w:rFonts w:ascii="楷体_GB2312" w:hAnsi="楷体_GB2312" w:eastAsia="楷体_GB2312"/>
          <w:b/>
          <w:sz w:val="32"/>
        </w:rPr>
        <w:t>（三）一般公共预算财政拨款支出决算具体情况</w:t>
      </w:r>
    </w:p>
    <w:p w14:paraId="27F06095">
      <w:pPr>
        <w:spacing w:line="580" w:lineRule="exact"/>
        <w:ind w:firstLine="640"/>
        <w:jc w:val="both"/>
      </w:pPr>
      <w:r>
        <w:rPr>
          <w:rFonts w:ascii="仿宋_GB2312" w:hAnsi="仿宋_GB2312" w:eastAsia="仿宋_GB2312"/>
          <w:b w:val="0"/>
          <w:sz w:val="32"/>
        </w:rPr>
        <w:t>1.一般公共服务支出(类)信访事务(款)信访业务(项):支出决算数为20.00万元，比上年决算增加20.00万元，增长100.00%,主要原因是：本年增加信访化解资金，导致支出比上年增加。</w:t>
      </w:r>
    </w:p>
    <w:p w14:paraId="63BEA6C3">
      <w:pPr>
        <w:spacing w:line="580" w:lineRule="exact"/>
        <w:ind w:firstLine="640"/>
        <w:jc w:val="both"/>
      </w:pPr>
      <w:r>
        <w:rPr>
          <w:rFonts w:ascii="仿宋_GB2312" w:hAnsi="仿宋_GB2312" w:eastAsia="仿宋_GB2312"/>
          <w:b w:val="0"/>
          <w:sz w:val="32"/>
        </w:rPr>
        <w:t>2.公共安全支出(类)法院(款)行政运行(项):支出决算数为1,513.59万元，比上年决算增加19.83万元，增长1.33%,主要原因是：本年在职人员工资调增，导致相关人员经费较上年有所增加。</w:t>
      </w:r>
    </w:p>
    <w:p w14:paraId="6DA6989E">
      <w:pPr>
        <w:spacing w:line="580" w:lineRule="exact"/>
        <w:ind w:firstLine="640"/>
        <w:jc w:val="both"/>
      </w:pPr>
      <w:r>
        <w:rPr>
          <w:rFonts w:ascii="仿宋_GB2312" w:hAnsi="仿宋_GB2312" w:eastAsia="仿宋_GB2312"/>
          <w:b w:val="0"/>
          <w:sz w:val="32"/>
        </w:rPr>
        <w:t>3.公共安全支出(类)法院(款)一般行政管理事务(项):支出决算数为0.00万元，比上年决算减少1,337.89万元，下降100.00%,主要原因是：本年减少化解政府债务资金、业务费补助资金等项目。</w:t>
      </w:r>
    </w:p>
    <w:p w14:paraId="0E78F0F0">
      <w:pPr>
        <w:spacing w:line="580" w:lineRule="exact"/>
        <w:ind w:firstLine="640"/>
        <w:jc w:val="both"/>
      </w:pPr>
      <w:r>
        <w:rPr>
          <w:rFonts w:ascii="仿宋_GB2312" w:hAnsi="仿宋_GB2312" w:eastAsia="仿宋_GB2312"/>
          <w:b w:val="0"/>
          <w:sz w:val="32"/>
        </w:rPr>
        <w:t>4.公共安全支出(类)法院(款)其他法院支出(项):支出决算数为385.00万元，比上年决算减少113.67万元，下降22.79%,主要原因是：本年减少中央政法转移支付办案费。</w:t>
      </w:r>
    </w:p>
    <w:p w14:paraId="219F5C71">
      <w:pPr>
        <w:spacing w:line="580" w:lineRule="exact"/>
        <w:ind w:firstLine="640"/>
        <w:jc w:val="both"/>
      </w:pPr>
      <w:r>
        <w:rPr>
          <w:rFonts w:ascii="仿宋_GB2312" w:hAnsi="仿宋_GB2312" w:eastAsia="仿宋_GB2312"/>
          <w:b w:val="0"/>
          <w:sz w:val="32"/>
        </w:rPr>
        <w:t>5.社会保障和就业支出(类)行政事业单位养老支出(款)行政单位离退休(项):支出决算数为18.51万元，比上年决算增加7.00万元，增长60.82%,主要原因是：本年退休人员增加，发放退休人员基础绩效奖，退休费支出增加。</w:t>
      </w:r>
    </w:p>
    <w:p w14:paraId="74645F0C">
      <w:pPr>
        <w:spacing w:line="580" w:lineRule="exact"/>
        <w:ind w:firstLine="640"/>
        <w:jc w:val="both"/>
      </w:pPr>
      <w:r>
        <w:rPr>
          <w:rFonts w:ascii="仿宋_GB2312" w:hAnsi="仿宋_GB2312" w:eastAsia="仿宋_GB2312"/>
          <w:b w:val="0"/>
          <w:sz w:val="32"/>
        </w:rPr>
        <w:t>6.社会保障和就业支出(类)行政事业单位养老支出(款)机关事业单位基本养老保险缴费支出(项):支出决算数为131.55万元，比上年决算增加10.19万元，增长8.40%,主要原因是：本年在职人员工资基数调增，养老缴费基数上涨，相应支出增加。</w:t>
      </w:r>
    </w:p>
    <w:p w14:paraId="08C3D6D1">
      <w:pPr>
        <w:spacing w:line="580" w:lineRule="exact"/>
        <w:ind w:firstLine="640"/>
        <w:jc w:val="both"/>
      </w:pPr>
      <w:r>
        <w:rPr>
          <w:rFonts w:ascii="仿宋_GB2312" w:hAnsi="仿宋_GB2312" w:eastAsia="仿宋_GB2312"/>
          <w:b w:val="0"/>
          <w:sz w:val="32"/>
        </w:rPr>
        <w:t>7.社会保障和就业支出(类)行政事业单位养老支出(款)机关事业单位职业年金缴费支出(项):支出决算数为69.29万元，比上年决算增加6.75万元，增长10.79%,主要原因是：本年新增退休人员，职业年金缴费支出增加。</w:t>
      </w:r>
    </w:p>
    <w:p w14:paraId="7288A6E9">
      <w:pPr>
        <w:spacing w:line="580" w:lineRule="exact"/>
        <w:ind w:firstLine="640"/>
        <w:jc w:val="both"/>
      </w:pPr>
      <w:r>
        <w:rPr>
          <w:rFonts w:ascii="仿宋_GB2312" w:hAnsi="仿宋_GB2312" w:eastAsia="仿宋_GB2312"/>
          <w:b w:val="0"/>
          <w:sz w:val="32"/>
        </w:rPr>
        <w:t>8.卫生健康支出(类)行政事业单位医疗(款)行政单位医疗(项):支出决算数为65.78万元，比上年决算增加1.45万元，增长2.25%,主要原因是：本年在职人员工资基数调增，医疗缴费基数上涨，相应支出增加。</w:t>
      </w:r>
    </w:p>
    <w:p w14:paraId="75B7AFC2">
      <w:pPr>
        <w:spacing w:line="580" w:lineRule="exact"/>
        <w:ind w:firstLine="640"/>
        <w:jc w:val="both"/>
      </w:pPr>
      <w:r>
        <w:rPr>
          <w:rFonts w:ascii="仿宋_GB2312" w:hAnsi="仿宋_GB2312" w:eastAsia="仿宋_GB2312"/>
          <w:b w:val="0"/>
          <w:sz w:val="32"/>
        </w:rPr>
        <w:t>9.卫生健康支出(类)行政事业单位医疗(款)公务员医疗补助(项):支出决算数为4.11万元，比上年决算增加0.12万元，增长3.01%,主要原因是：本年在职人员工资基数调增，医疗缴费基数上涨，相应支出增加。</w:t>
      </w:r>
    </w:p>
    <w:p w14:paraId="4D0E799F">
      <w:pPr>
        <w:spacing w:line="580" w:lineRule="exact"/>
        <w:ind w:firstLine="640"/>
        <w:jc w:val="both"/>
      </w:pPr>
      <w:r>
        <w:rPr>
          <w:rFonts w:ascii="仿宋_GB2312" w:hAnsi="仿宋_GB2312" w:eastAsia="仿宋_GB2312"/>
          <w:b w:val="0"/>
          <w:sz w:val="32"/>
        </w:rPr>
        <w:t>10.卫生健康支出(类)行政事业单位医疗(款)其他行政事业单位医疗支出(项):支出决算数为0.61万元，比上年决算增加0.12万元，增长24.49%,主要原因是：本年在职人员工资基数调增，医疗缴费基数上涨，相应支出增加。</w:t>
      </w:r>
    </w:p>
    <w:p w14:paraId="7FF6C722">
      <w:pPr>
        <w:spacing w:line="580" w:lineRule="exact"/>
        <w:ind w:firstLine="640"/>
        <w:jc w:val="both"/>
      </w:pPr>
      <w:r>
        <w:rPr>
          <w:rFonts w:ascii="仿宋_GB2312" w:hAnsi="仿宋_GB2312" w:eastAsia="仿宋_GB2312"/>
          <w:b w:val="0"/>
          <w:sz w:val="32"/>
        </w:rPr>
        <w:t>11.住房保障支出(类)住房改革支出(款)住房公积金(项):支出决算数为105.72万元，比上年决算减少14.74万元，下降12.24%,主要原因是：本年在职人员减少，住房公积金缴费较上年减少。</w:t>
      </w:r>
    </w:p>
    <w:p w14:paraId="58E6B074">
      <w:pPr>
        <w:spacing w:line="580" w:lineRule="exact"/>
        <w:ind w:firstLine="640"/>
        <w:jc w:val="both"/>
      </w:pPr>
      <w:r>
        <w:rPr>
          <w:rFonts w:ascii="仿宋_GB2312" w:hAnsi="仿宋_GB2312" w:eastAsia="仿宋_GB2312"/>
          <w:b w:val="0"/>
          <w:sz w:val="32"/>
        </w:rPr>
        <w:t>12.其他支出(类)其他支出(款)其他支出(项):支出决算数为15.00万元，比上年决算减少39.88万元，下降72.67%,主要原因是：本年减少为民办实事经费。</w:t>
      </w:r>
    </w:p>
    <w:p w14:paraId="7CBD465B">
      <w:pPr>
        <w:spacing w:line="640" w:lineRule="exact"/>
        <w:ind w:firstLine="640"/>
        <w:jc w:val="both"/>
        <w:outlineLvl w:val="2"/>
      </w:pPr>
      <w:r>
        <w:rPr>
          <w:rFonts w:ascii="黑体" w:hAnsi="黑体" w:eastAsia="黑体"/>
          <w:sz w:val="32"/>
        </w:rPr>
        <w:t>六、一般公共预算财政拨款基本支出决算情况说明</w:t>
      </w:r>
    </w:p>
    <w:p w14:paraId="16ADC345">
      <w:pPr>
        <w:spacing w:line="580" w:lineRule="exact"/>
        <w:ind w:firstLine="640"/>
        <w:jc w:val="both"/>
      </w:pPr>
      <w:r>
        <w:rPr>
          <w:rFonts w:ascii="仿宋_GB2312" w:hAnsi="仿宋_GB2312" w:eastAsia="仿宋_GB2312"/>
          <w:b w:val="0"/>
          <w:sz w:val="32"/>
        </w:rPr>
        <w:t>2024年度一般公共预算财政拨款基本支出1,909.16万元，其中：</w:t>
      </w:r>
      <w:r>
        <w:rPr>
          <w:rFonts w:ascii="仿宋_GB2312" w:hAnsi="仿宋_GB2312" w:eastAsia="仿宋_GB2312"/>
          <w:b/>
          <w:sz w:val="32"/>
        </w:rPr>
        <w:t>人员经费1,716.88万元，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包括：基本工资、津贴补贴、奖金、机关事业单位基本养老保险缴费、职业年金缴费、职工基本医疗保险缴费、公务员医疗补助缴费、其他社会保障缴费、住房公积金、其他工资福利支出、退休费、奖励金。</w:t>
      </w:r>
    </w:p>
    <w:p w14:paraId="7E6902A7">
      <w:pPr>
        <w:spacing w:line="580" w:lineRule="exact"/>
        <w:ind w:firstLine="640"/>
        <w:jc w:val="both"/>
      </w:pPr>
      <w:r>
        <w:rPr>
          <w:rFonts w:ascii="仿宋_GB2312" w:hAnsi="仿宋_GB2312" w:eastAsia="仿宋_GB2312"/>
          <w:b/>
          <w:sz w:val="32"/>
        </w:rPr>
        <w:t>公用经费192.27万元，</w:t>
      </w:r>
      <w:r>
        <w:rPr>
          <w:rFonts w:ascii="仿宋_GB2312" w:hAnsi="仿宋_GB2312" w:eastAsia="仿宋_GB2312"/>
          <w:b w:val="0"/>
          <w:sz w:val="32"/>
        </w:rPr>
        <w:t>包括：办公费、水费、电费、邮电费、取暖费、物业管理费、维修（护）费、公务接待费、劳务费、工会经费、福利费、公务用车运行维护费、其他商品和服务支出。</w:t>
      </w:r>
    </w:p>
    <w:p w14:paraId="7D0638B0">
      <w:pPr>
        <w:spacing w:line="640" w:lineRule="exact"/>
        <w:ind w:firstLine="640"/>
        <w:jc w:val="both"/>
        <w:outlineLvl w:val="2"/>
      </w:pPr>
      <w:r>
        <w:rPr>
          <w:rFonts w:ascii="黑体" w:hAnsi="黑体" w:eastAsia="黑体"/>
          <w:sz w:val="32"/>
        </w:rPr>
        <w:t>七、政府性基金预算财政拨款收入支出决算情况说明</w:t>
      </w:r>
    </w:p>
    <w:p w14:paraId="328A265B">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4BC523A2">
      <w:pPr>
        <w:spacing w:line="640" w:lineRule="exact"/>
        <w:ind w:firstLine="640"/>
        <w:jc w:val="both"/>
        <w:outlineLvl w:val="2"/>
      </w:pPr>
      <w:r>
        <w:rPr>
          <w:rFonts w:ascii="黑体" w:hAnsi="黑体" w:eastAsia="黑体"/>
          <w:sz w:val="32"/>
        </w:rPr>
        <w:t>八、国有资本经营预算财政拨款收入支出决算情况说明</w:t>
      </w:r>
    </w:p>
    <w:p w14:paraId="3B58A555">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426DEA4C">
      <w:pPr>
        <w:spacing w:line="640" w:lineRule="exact"/>
        <w:ind w:firstLine="640"/>
        <w:jc w:val="both"/>
        <w:outlineLvl w:val="2"/>
      </w:pPr>
      <w:r>
        <w:rPr>
          <w:rFonts w:ascii="黑体" w:hAnsi="黑体" w:eastAsia="黑体"/>
          <w:sz w:val="32"/>
        </w:rPr>
        <w:t>九、财政拨款“三公”经费支出决算情况说明</w:t>
      </w:r>
    </w:p>
    <w:p w14:paraId="75EC8BD2">
      <w:pPr>
        <w:spacing w:line="580" w:lineRule="exact"/>
        <w:ind w:firstLine="640"/>
        <w:jc w:val="both"/>
      </w:pPr>
      <w:r>
        <w:rPr>
          <w:rFonts w:ascii="仿宋_GB2312" w:hAnsi="仿宋_GB2312" w:eastAsia="仿宋_GB2312"/>
          <w:b/>
          <w:sz w:val="32"/>
        </w:rPr>
        <w:t>2024年度财政拨款“三公”经费支出4.97万元，</w:t>
      </w:r>
      <w:r>
        <w:rPr>
          <w:rFonts w:ascii="仿宋_GB2312" w:hAnsi="仿宋_GB2312" w:eastAsia="仿宋_GB2312"/>
          <w:b w:val="0"/>
          <w:sz w:val="32"/>
        </w:rPr>
        <w:t>比上年增加4.97万元，增长100.00%，主要原因是：本年因业务需求，用车次数增加，燃油费增加，导致公务用车运行维护费较上年增加；本年度接待人次较上年增加，导致公务接待费较上年增加。其中：因公出国（境）费支出0.00万元，占0.00%，比上年增加0.00万元，增长0.00%，主要原因是：2023年与2024年均未安排因公出国（境）费支出。公务用车购置及运行维护费支出4.69万元，占94.37%，比上年增加4.69万元，增长100.00%，主要原因是：本年因业务需求，用车次数增加，燃油费增加，导致公务用车运行维护费较上年增加。公务接待费支出0.28万元，占5.63%，比上年增加0.28万元，增长100.00%，主要原因是：本年度接待人次较上年增加，导致公务接待费较上年增加。</w:t>
      </w:r>
    </w:p>
    <w:p w14:paraId="5DF1435D">
      <w:pPr>
        <w:spacing w:line="580" w:lineRule="exact"/>
        <w:ind w:firstLine="640"/>
        <w:jc w:val="both"/>
      </w:pPr>
      <w:r>
        <w:rPr>
          <w:rFonts w:ascii="仿宋_GB2312" w:hAnsi="仿宋_GB2312" w:eastAsia="仿宋_GB2312"/>
          <w:b/>
          <w:sz w:val="32"/>
        </w:rPr>
        <w:t>具体情况如下：</w:t>
      </w:r>
    </w:p>
    <w:p w14:paraId="387F7220">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6D964D9B">
      <w:pPr>
        <w:spacing w:line="580" w:lineRule="exact"/>
        <w:ind w:firstLine="640"/>
        <w:jc w:val="both"/>
      </w:pPr>
      <w:r>
        <w:rPr>
          <w:rFonts w:ascii="仿宋_GB2312" w:hAnsi="仿宋_GB2312" w:eastAsia="仿宋_GB2312"/>
          <w:b w:val="0"/>
          <w:sz w:val="32"/>
        </w:rPr>
        <w:t>公务用车购置及运行维护费4.69万元，其中：公务用车购置费0.00万元，公务用车运行维护费4.69万元。公务用车运行维护费开支内容包括车辆加油费、维修费、保险费、审车费、过路费。公务用车购置数0辆，公务用车保有量17辆。国有资产占用情况中固定资产车辆17辆，与公务用车保有量差异原因是：本单位固定资产车辆与公务用车保有量一致无差异。</w:t>
      </w:r>
    </w:p>
    <w:p w14:paraId="43191895">
      <w:pPr>
        <w:spacing w:line="580" w:lineRule="exact"/>
        <w:ind w:firstLine="640"/>
        <w:jc w:val="both"/>
      </w:pPr>
      <w:r>
        <w:rPr>
          <w:rFonts w:ascii="仿宋_GB2312" w:hAnsi="仿宋_GB2312" w:eastAsia="仿宋_GB2312"/>
          <w:b w:val="0"/>
          <w:sz w:val="32"/>
        </w:rPr>
        <w:t>公务接待费0.28万元，开支内容包括接待上级领导督导组检查产生的就餐费。单位全年安排的国内公务接待1批次，39人次。</w:t>
      </w:r>
    </w:p>
    <w:p w14:paraId="05977605">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5.00万元，决算数4.97万元，预决算差异率-0.60%，主要原因是：严格落实中央八项规定精神，厉行节约，减少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4.70万元，决算数4.69万元，预决算差异率-0.21%，主要原因是：严格落实中央八项规定精神，厉行节约，减少公务用车使用频次，燃油费减少。公务接待费全年预算数0.30万元，决算数0.28万元，预决算差异率-6.67%，主要原因是：严格控制公务接待活动，认真执行经费开支标准，减少公务接待运行成本费用。</w:t>
      </w:r>
    </w:p>
    <w:p w14:paraId="77346A3A">
      <w:pPr>
        <w:spacing w:line="640" w:lineRule="exact"/>
        <w:ind w:firstLine="640"/>
        <w:jc w:val="both"/>
        <w:outlineLvl w:val="2"/>
      </w:pPr>
      <w:r>
        <w:rPr>
          <w:rFonts w:ascii="黑体" w:hAnsi="黑体" w:eastAsia="黑体"/>
          <w:sz w:val="32"/>
        </w:rPr>
        <w:t>十、其他重要事项的情况说明</w:t>
      </w:r>
    </w:p>
    <w:p w14:paraId="7E9AECA8">
      <w:pPr>
        <w:spacing w:line="640" w:lineRule="exact"/>
        <w:ind w:firstLine="640"/>
        <w:jc w:val="both"/>
        <w:outlineLvl w:val="3"/>
      </w:pPr>
      <w:r>
        <w:rPr>
          <w:rFonts w:ascii="楷体_GB2312" w:hAnsi="楷体_GB2312" w:eastAsia="楷体_GB2312"/>
          <w:b/>
          <w:sz w:val="32"/>
        </w:rPr>
        <w:t>（一）机关运行经费及公用经费支出情况</w:t>
      </w:r>
    </w:p>
    <w:p w14:paraId="76D9B15D">
      <w:pPr>
        <w:spacing w:line="580" w:lineRule="exact"/>
        <w:ind w:firstLine="640"/>
        <w:jc w:val="both"/>
      </w:pPr>
      <w:r>
        <w:rPr>
          <w:rFonts w:ascii="仿宋_GB2312" w:hAnsi="仿宋_GB2312" w:eastAsia="仿宋_GB2312"/>
          <w:b w:val="0"/>
          <w:sz w:val="32"/>
        </w:rPr>
        <w:t>2024年度呼图壁县人民法院（行政单位和参照公务员法管理事业单位）机关运行经费支出192.27万元，比上年减少2.90万元，下降1.49%，主要原因是：严格控制公用经费，合理节约办公用品，减少不必要开支。</w:t>
      </w:r>
    </w:p>
    <w:p w14:paraId="130ACD22">
      <w:pPr>
        <w:spacing w:line="640" w:lineRule="exact"/>
        <w:ind w:firstLine="640"/>
        <w:jc w:val="both"/>
        <w:outlineLvl w:val="3"/>
      </w:pPr>
      <w:r>
        <w:rPr>
          <w:rFonts w:ascii="楷体_GB2312" w:hAnsi="楷体_GB2312" w:eastAsia="楷体_GB2312"/>
          <w:b/>
          <w:sz w:val="32"/>
        </w:rPr>
        <w:t>（二）政府采购情况</w:t>
      </w:r>
    </w:p>
    <w:p w14:paraId="5487C5A8">
      <w:pPr>
        <w:spacing w:line="580" w:lineRule="exact"/>
        <w:ind w:firstLine="640"/>
        <w:jc w:val="both"/>
      </w:pPr>
      <w:r>
        <w:rPr>
          <w:rFonts w:ascii="仿宋_GB2312" w:hAnsi="仿宋_GB2312" w:eastAsia="仿宋_GB2312"/>
          <w:b w:val="0"/>
          <w:sz w:val="32"/>
        </w:rPr>
        <w:t>2024年度政府采购支出总额197.29万元，其中：政府采购货物支出172.24万元、政府采购工程支出0.00万元、政府采购服务支出25.05万元。</w:t>
      </w:r>
    </w:p>
    <w:p w14:paraId="02B4329F">
      <w:pPr>
        <w:spacing w:line="580" w:lineRule="exact"/>
        <w:ind w:firstLine="640"/>
        <w:jc w:val="both"/>
      </w:pPr>
      <w:r>
        <w:rPr>
          <w:rFonts w:ascii="仿宋_GB2312" w:hAnsi="仿宋_GB2312" w:eastAsia="仿宋_GB2312"/>
          <w:b w:val="0"/>
          <w:sz w:val="32"/>
        </w:rPr>
        <w:t>授予中小企业合同金额197.29万元，占政府采购支出总额的100.00%，其中：授予小微企业合同金额197.29万元，占政府采购支出总额的100.00%。</w:t>
      </w:r>
    </w:p>
    <w:p w14:paraId="16DD2969">
      <w:pPr>
        <w:spacing w:line="640" w:lineRule="exact"/>
        <w:ind w:firstLine="640"/>
        <w:jc w:val="both"/>
        <w:outlineLvl w:val="3"/>
      </w:pPr>
      <w:r>
        <w:rPr>
          <w:rFonts w:ascii="楷体_GB2312" w:hAnsi="楷体_GB2312" w:eastAsia="楷体_GB2312"/>
          <w:b/>
          <w:sz w:val="32"/>
        </w:rPr>
        <w:t>（三）国有资产占用情况说明</w:t>
      </w:r>
    </w:p>
    <w:p w14:paraId="1CA25A28">
      <w:pPr>
        <w:spacing w:line="580" w:lineRule="exact"/>
        <w:ind w:firstLine="640"/>
        <w:jc w:val="both"/>
      </w:pPr>
      <w:r>
        <w:rPr>
          <w:rFonts w:ascii="仿宋_GB2312" w:hAnsi="仿宋_GB2312" w:eastAsia="仿宋_GB2312"/>
          <w:b w:val="0"/>
          <w:sz w:val="32"/>
        </w:rPr>
        <w:t>截至2024年12月31日，房屋10,605.00平方米，价值2,823.89万元。车辆17辆，价值257.05万元，其中：副部（省）级及以上领导用车0辆、主要负责人用车0辆、机要通信用车0辆、应急保障用车0辆、执法执勤用车11辆、特种专业技术用车4辆、离退休干部服务用车0辆、其他用车2辆，其他用车主要是：一般公务用车。单价100万元（含）以上设备（不含车辆）1台（套）。</w:t>
      </w:r>
    </w:p>
    <w:p w14:paraId="485480A5">
      <w:pPr>
        <w:spacing w:line="640" w:lineRule="exact"/>
        <w:ind w:firstLine="640"/>
        <w:jc w:val="both"/>
        <w:outlineLvl w:val="2"/>
      </w:pPr>
      <w:r>
        <w:rPr>
          <w:rFonts w:ascii="黑体" w:hAnsi="黑体" w:eastAsia="黑体"/>
          <w:sz w:val="32"/>
        </w:rPr>
        <w:t>十一、预算绩效的情况说明</w:t>
      </w:r>
    </w:p>
    <w:p w14:paraId="16D61E56">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根据预算绩效管理要求，本单位2024年度预算绩效管理形成整体支出绩效自评表1个，全年预算总额2,542.10万元，实际执行总额2,381.07万元；预算绩效评价项目</w:t>
      </w:r>
      <w:r>
        <w:rPr>
          <w:rFonts w:hint="eastAsia" w:ascii="仿宋_GB2312" w:hAnsi="仿宋_GB2312" w:eastAsia="仿宋_GB2312"/>
          <w:b w:val="0"/>
          <w:sz w:val="32"/>
          <w:lang w:val="en-US" w:eastAsia="zh-CN"/>
        </w:rPr>
        <w:t>4</w:t>
      </w:r>
      <w:r>
        <w:rPr>
          <w:rFonts w:ascii="仿宋_GB2312" w:hAnsi="仿宋_GB2312" w:eastAsia="仿宋_GB2312"/>
          <w:b w:val="0"/>
          <w:sz w:val="32"/>
        </w:rPr>
        <w:t>个，全年预算数</w:t>
      </w:r>
      <w:r>
        <w:rPr>
          <w:rFonts w:hint="eastAsia" w:ascii="仿宋_GB2312" w:hAnsi="仿宋_GB2312" w:eastAsia="仿宋_GB2312"/>
          <w:b w:val="0"/>
          <w:sz w:val="32"/>
        </w:rPr>
        <w:t>454.15</w:t>
      </w:r>
      <w:r>
        <w:rPr>
          <w:rFonts w:ascii="仿宋_GB2312" w:hAnsi="仿宋_GB2312" w:eastAsia="仿宋_GB2312"/>
          <w:b w:val="0"/>
          <w:sz w:val="32"/>
        </w:rPr>
        <w:t>万元，全年执行数</w:t>
      </w:r>
      <w:r>
        <w:rPr>
          <w:rFonts w:hint="eastAsia" w:ascii="仿宋_GB2312" w:hAnsi="仿宋_GB2312" w:eastAsia="仿宋_GB2312"/>
          <w:b w:val="0"/>
          <w:sz w:val="32"/>
        </w:rPr>
        <w:t>453.92</w:t>
      </w:r>
      <w:r>
        <w:rPr>
          <w:rFonts w:ascii="仿宋_GB2312" w:hAnsi="仿宋_GB2312" w:eastAsia="仿宋_GB2312"/>
          <w:b w:val="0"/>
          <w:sz w:val="32"/>
        </w:rPr>
        <w:t>万元。预算绩效管理取得的成效：一是有效</w:t>
      </w:r>
      <w:r>
        <w:rPr>
          <w:rFonts w:hint="eastAsia" w:ascii="仿宋_GB2312" w:hAnsi="仿宋_GB2312" w:eastAsia="仿宋_GB2312"/>
          <w:b w:val="0"/>
          <w:sz w:val="32"/>
          <w:lang w:eastAsia="zh-CN"/>
        </w:rPr>
        <w:t>地</w:t>
      </w:r>
      <w:r>
        <w:rPr>
          <w:rFonts w:ascii="仿宋_GB2312" w:hAnsi="仿宋_GB2312" w:eastAsia="仿宋_GB2312"/>
          <w:b w:val="0"/>
          <w:sz w:val="32"/>
        </w:rPr>
        <w:t>完成了年初设置的各项指标；二是对本年度开展的各项目进展状态进行更加全面的评价有助于为今后同类项目的开展</w:t>
      </w:r>
      <w:r>
        <w:rPr>
          <w:rFonts w:hint="eastAsia" w:ascii="仿宋_GB2312" w:hAnsi="仿宋_GB2312" w:eastAsia="仿宋_GB2312"/>
          <w:b w:val="0"/>
          <w:sz w:val="32"/>
          <w:lang w:eastAsia="zh-CN"/>
        </w:rPr>
        <w:t>提供</w:t>
      </w:r>
      <w:r>
        <w:rPr>
          <w:rFonts w:ascii="仿宋_GB2312" w:hAnsi="仿宋_GB2312" w:eastAsia="仿宋_GB2312"/>
          <w:b w:val="0"/>
          <w:sz w:val="32"/>
        </w:rPr>
        <w:t>更多样的数据分析。发现的问题及原因：一是本单位为全额拨款单位，年初的基本支出预算仅是29名在编人员的财政拨款部分的人员经费，和15名退休人员经费</w:t>
      </w:r>
      <w:r>
        <w:rPr>
          <w:rFonts w:hint="eastAsia" w:ascii="仿宋_GB2312" w:hAnsi="仿宋_GB2312" w:eastAsia="仿宋_GB2312"/>
          <w:b w:val="0"/>
          <w:sz w:val="32"/>
          <w:lang w:eastAsia="zh-CN"/>
        </w:rPr>
        <w:t>，在执行</w:t>
      </w:r>
      <w:r>
        <w:rPr>
          <w:rFonts w:ascii="仿宋_GB2312" w:hAnsi="仿宋_GB2312" w:eastAsia="仿宋_GB2312"/>
          <w:b w:val="0"/>
          <w:sz w:val="32"/>
        </w:rPr>
        <w:t>人员经费时，书记员经费未列入年初预算，导致人员经费实际执行数大于年初预算数；二是年初设置绩效目标时，成本未列示10名劳务派遣人员经费，导致成本指标与预算数不一致；三是财政年初公用经费不足，又受</w:t>
      </w:r>
      <w:r>
        <w:rPr>
          <w:rFonts w:hint="eastAsia" w:ascii="仿宋_GB2312" w:hAnsi="仿宋_GB2312" w:eastAsia="仿宋_GB2312"/>
          <w:b w:val="0"/>
          <w:sz w:val="32"/>
          <w:lang w:eastAsia="zh-CN"/>
        </w:rPr>
        <w:t>防疫</w:t>
      </w:r>
      <w:r>
        <w:rPr>
          <w:rFonts w:ascii="仿宋_GB2312" w:hAnsi="仿宋_GB2312" w:eastAsia="仿宋_GB2312"/>
          <w:b w:val="0"/>
          <w:sz w:val="32"/>
        </w:rPr>
        <w:t>影响，增加公用经费，导致执行数大于年初预算数；四是绩效指标的明确性、可衡量性、相关性还需进一步提升。预算精细化管理还需完善，预算编制管理水平仍有进一步提升的空间；五是业务人员绩效管理意识有待增强，未能全面深入认识理解绩效管理工作的意义。绩效管理经验不足，预算绩效管理工作有待进一步落实。下一步改进措施：一是高度重视财政预决算工作，加强预算的约束力；二是加强内部管理，严格执行预算，坚持厉行节约，进一步降低财务支出；三是严格财务管理，提高工作效率；四是加大绩效工作宣传力度，强化绩效理念，强化业务人员整体素质；五是加强对绩效的管理培训工作，设置目标时考虑目标的可实现，尽量做到目标的细化量化、明确清晰；六是完善绩效指标，提高整体绩效目标质量。提升预算精细化管理水平。具体附整体支出绩效自评表，项目支出绩效自评表和评价报告。</w:t>
      </w:r>
    </w:p>
    <w:p w14:paraId="16B51DC7">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C7D4B8F">
        <w:tblPrEx>
          <w:tblCellMar>
            <w:top w:w="0" w:type="dxa"/>
            <w:left w:w="108" w:type="dxa"/>
            <w:bottom w:w="0" w:type="dxa"/>
            <w:right w:w="108" w:type="dxa"/>
          </w:tblCellMar>
        </w:tblPrEx>
        <w:tc>
          <w:tcPr>
            <w:tcW w:w="8847" w:type="dxa"/>
            <w:gridSpan w:val="9"/>
            <w:vAlign w:val="center"/>
          </w:tcPr>
          <w:p w14:paraId="6B57A726">
            <w:pPr>
              <w:jc w:val="center"/>
            </w:pPr>
            <w:r>
              <w:rPr>
                <w:rFonts w:ascii="宋体" w:hAnsi="宋体" w:eastAsia="宋体"/>
                <w:sz w:val="24"/>
              </w:rPr>
              <w:t>单位整体支出绩效自评表</w:t>
            </w:r>
          </w:p>
        </w:tc>
      </w:tr>
      <w:tr w14:paraId="3CF14D12">
        <w:tblPrEx>
          <w:tblCellMar>
            <w:top w:w="0" w:type="dxa"/>
            <w:left w:w="108" w:type="dxa"/>
            <w:bottom w:w="0" w:type="dxa"/>
            <w:right w:w="108" w:type="dxa"/>
          </w:tblCellMar>
        </w:tblPrEx>
        <w:tc>
          <w:tcPr>
            <w:tcW w:w="8847" w:type="dxa"/>
            <w:gridSpan w:val="9"/>
            <w:vAlign w:val="center"/>
          </w:tcPr>
          <w:p w14:paraId="532A046E">
            <w:pPr>
              <w:jc w:val="center"/>
            </w:pPr>
            <w:r>
              <w:rPr>
                <w:rFonts w:ascii="宋体" w:hAnsi="宋体" w:eastAsia="宋体"/>
                <w:sz w:val="24"/>
              </w:rPr>
              <w:t>（2024年度）</w:t>
            </w:r>
          </w:p>
        </w:tc>
      </w:tr>
      <w:tr w14:paraId="06369AB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AB4E11">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6BDBD4E3">
            <w:pPr>
              <w:jc w:val="center"/>
            </w:pPr>
            <w:r>
              <w:rPr>
                <w:rFonts w:ascii="宋体" w:hAnsi="宋体" w:eastAsia="宋体"/>
                <w:sz w:val="16"/>
              </w:rPr>
              <w:t>呼图壁县人民法院</w:t>
            </w:r>
          </w:p>
        </w:tc>
      </w:tr>
      <w:tr w14:paraId="15E9921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339ED6">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0FB9AD">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45AB23">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2244EB">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13AE8F">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0E0FF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BB1AC4">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ECF71C">
            <w:pPr>
              <w:jc w:val="center"/>
            </w:pPr>
            <w:r>
              <w:rPr>
                <w:rFonts w:ascii="宋体" w:hAnsi="宋体" w:eastAsia="宋体"/>
                <w:sz w:val="16"/>
              </w:rPr>
              <w:t>得分</w:t>
            </w:r>
          </w:p>
        </w:tc>
      </w:tr>
      <w:tr w14:paraId="399C521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B978CF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F77E88">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0CA696">
            <w:pPr>
              <w:jc w:val="center"/>
            </w:pPr>
            <w:r>
              <w:rPr>
                <w:rFonts w:ascii="宋体" w:hAnsi="宋体" w:eastAsia="宋体"/>
                <w:sz w:val="16"/>
              </w:rPr>
              <w:t>281.00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6D30BE">
            <w:pPr>
              <w:jc w:val="center"/>
            </w:pPr>
            <w:r>
              <w:rPr>
                <w:rFonts w:ascii="宋体" w:hAnsi="宋体" w:eastAsia="宋体"/>
                <w:sz w:val="16"/>
              </w:rPr>
              <w:t>420.00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417128">
            <w:pPr>
              <w:jc w:val="center"/>
            </w:pPr>
            <w:r>
              <w:rPr>
                <w:rFonts w:ascii="宋体" w:hAnsi="宋体" w:eastAsia="宋体"/>
                <w:sz w:val="16"/>
              </w:rPr>
              <w:t>420.00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6AC83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1DF81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C19122">
            <w:pPr>
              <w:jc w:val="center"/>
            </w:pPr>
            <w:r>
              <w:rPr>
                <w:rFonts w:ascii="宋体" w:hAnsi="宋体" w:eastAsia="宋体"/>
                <w:sz w:val="16"/>
              </w:rPr>
              <w:t>-</w:t>
            </w:r>
          </w:p>
        </w:tc>
      </w:tr>
      <w:tr w14:paraId="0C0696E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843D20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861D1E">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D1E8B8">
            <w:pPr>
              <w:jc w:val="center"/>
            </w:pPr>
            <w:r>
              <w:rPr>
                <w:rFonts w:ascii="宋体" w:hAnsi="宋体" w:eastAsia="宋体"/>
                <w:sz w:val="16"/>
              </w:rPr>
              <w:t>1,905.71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125728">
            <w:pPr>
              <w:jc w:val="center"/>
            </w:pPr>
            <w:r>
              <w:rPr>
                <w:rFonts w:ascii="宋体" w:hAnsi="宋体" w:eastAsia="宋体"/>
                <w:sz w:val="16"/>
              </w:rPr>
              <w:t>2,032.10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F2FCA0">
            <w:pPr>
              <w:jc w:val="center"/>
            </w:pPr>
            <w:r>
              <w:rPr>
                <w:rFonts w:ascii="宋体" w:hAnsi="宋体" w:eastAsia="宋体"/>
                <w:sz w:val="16"/>
              </w:rPr>
              <w:t>1,909.15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6852E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FB3DE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5228ED">
            <w:pPr>
              <w:jc w:val="center"/>
            </w:pPr>
            <w:r>
              <w:rPr>
                <w:rFonts w:ascii="宋体" w:hAnsi="宋体" w:eastAsia="宋体"/>
                <w:sz w:val="16"/>
              </w:rPr>
              <w:t>-</w:t>
            </w:r>
          </w:p>
        </w:tc>
      </w:tr>
      <w:tr w14:paraId="50439D7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ED0507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D54FD0">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AE1434">
            <w:pPr>
              <w:jc w:val="center"/>
            </w:pPr>
            <w:r>
              <w:rPr>
                <w:rFonts w:ascii="宋体" w:hAnsi="宋体" w:eastAsia="宋体"/>
                <w:sz w:val="16"/>
              </w:rPr>
              <w:t>90.00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43FFD4">
            <w:pPr>
              <w:jc w:val="center"/>
            </w:pPr>
            <w:r>
              <w:rPr>
                <w:rFonts w:ascii="宋体" w:hAnsi="宋体" w:eastAsia="宋体"/>
                <w:sz w:val="16"/>
              </w:rPr>
              <w:t>90.00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6DAA56">
            <w:pPr>
              <w:jc w:val="center"/>
            </w:pPr>
            <w:r>
              <w:rPr>
                <w:rFonts w:ascii="宋体" w:hAnsi="宋体" w:eastAsia="宋体"/>
                <w:sz w:val="16"/>
              </w:rPr>
              <w:t>51.92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0FB80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E7DC0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7626CE">
            <w:pPr>
              <w:jc w:val="center"/>
            </w:pPr>
            <w:r>
              <w:rPr>
                <w:rFonts w:ascii="宋体" w:hAnsi="宋体" w:eastAsia="宋体"/>
                <w:sz w:val="16"/>
              </w:rPr>
              <w:t>-</w:t>
            </w:r>
          </w:p>
        </w:tc>
      </w:tr>
      <w:tr w14:paraId="42F7AD5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49447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9C9309">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1CE608">
            <w:pPr>
              <w:jc w:val="center"/>
            </w:pPr>
            <w:r>
              <w:rPr>
                <w:rFonts w:ascii="宋体" w:hAnsi="宋体" w:eastAsia="宋体"/>
                <w:sz w:val="16"/>
              </w:rPr>
              <w:t>2,276.71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F22773">
            <w:pPr>
              <w:jc w:val="center"/>
            </w:pPr>
            <w:r>
              <w:rPr>
                <w:rFonts w:ascii="宋体" w:hAnsi="宋体" w:eastAsia="宋体"/>
                <w:sz w:val="16"/>
              </w:rPr>
              <w:t>2,542.10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377ECE">
            <w:pPr>
              <w:jc w:val="center"/>
            </w:pPr>
            <w:r>
              <w:rPr>
                <w:rFonts w:ascii="宋体" w:hAnsi="宋体" w:eastAsia="宋体"/>
                <w:sz w:val="16"/>
              </w:rPr>
              <w:t>2,381.07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A4161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F32EC4">
            <w:pPr>
              <w:jc w:val="center"/>
            </w:pPr>
            <w:r>
              <w:rPr>
                <w:rFonts w:ascii="宋体" w:hAnsi="宋体" w:eastAsia="宋体"/>
                <w:sz w:val="16"/>
              </w:rPr>
              <w:t>93.67%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D4F5F4">
            <w:pPr>
              <w:jc w:val="center"/>
            </w:pPr>
            <w:r>
              <w:rPr>
                <w:rFonts w:ascii="宋体" w:hAnsi="宋体" w:eastAsia="宋体"/>
                <w:sz w:val="16"/>
              </w:rPr>
              <w:t>9.37</w:t>
            </w:r>
          </w:p>
        </w:tc>
      </w:tr>
      <w:tr w14:paraId="61F8963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F1E940">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3C4512E">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C14894C">
            <w:pPr>
              <w:jc w:val="center"/>
            </w:pPr>
            <w:r>
              <w:rPr>
                <w:rFonts w:ascii="宋体" w:hAnsi="宋体" w:eastAsia="宋体"/>
                <w:sz w:val="16"/>
              </w:rPr>
              <w:t>实际完成情况</w:t>
            </w:r>
          </w:p>
        </w:tc>
      </w:tr>
      <w:tr w14:paraId="6A37E37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7D21AF8"/>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4526F4F">
            <w:pPr>
              <w:jc w:val="both"/>
            </w:pPr>
            <w:r>
              <w:rPr>
                <w:rFonts w:ascii="宋体" w:hAnsi="宋体" w:eastAsia="宋体"/>
                <w:sz w:val="16"/>
              </w:rPr>
              <w:t>按照国家政策法规和部门实际情况，建立健全财务基础管理制度和约束制度，依法有效</w:t>
            </w:r>
            <w:r>
              <w:rPr>
                <w:rFonts w:hint="eastAsia" w:ascii="宋体" w:hAnsi="宋体"/>
                <w:sz w:val="16"/>
                <w:lang w:eastAsia="zh-CN"/>
              </w:rPr>
              <w:t>地</w:t>
            </w:r>
            <w:r>
              <w:rPr>
                <w:rFonts w:ascii="宋体" w:hAnsi="宋体" w:eastAsia="宋体"/>
                <w:sz w:val="16"/>
              </w:rPr>
              <w:t>使用财政资金，提高</w:t>
            </w:r>
            <w:r>
              <w:rPr>
                <w:rFonts w:hint="eastAsia" w:ascii="宋体" w:hAnsi="宋体"/>
                <w:sz w:val="16"/>
                <w:lang w:eastAsia="zh-CN"/>
              </w:rPr>
              <w:t>财政资金使用</w:t>
            </w:r>
            <w:r>
              <w:rPr>
                <w:rFonts w:ascii="宋体" w:hAnsi="宋体" w:eastAsia="宋体"/>
                <w:sz w:val="16"/>
              </w:rPr>
              <w:t>效益，在完成部门</w:t>
            </w:r>
            <w:r>
              <w:rPr>
                <w:rFonts w:hint="eastAsia" w:ascii="宋体" w:hAnsi="宋体"/>
                <w:sz w:val="16"/>
                <w:lang w:eastAsia="zh-CN"/>
              </w:rPr>
              <w:t>职能目标</w:t>
            </w:r>
            <w:r>
              <w:rPr>
                <w:rFonts w:ascii="宋体" w:hAnsi="宋体" w:eastAsia="宋体"/>
                <w:sz w:val="16"/>
              </w:rPr>
              <w:t>中合理分配人、财、物，使其达到较高的工作效率和水平，通过依法解决民事、行政纠纷，保护个人和组织的合法权益，监督行政机关依法行使职权，维护国家安全和社会秩序，维护社会公平正义。</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242EB0E">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全年预算数为2542.1万元，全年执行数为2381.07万元，总预算执行率为93.67%。2024年</w:t>
            </w:r>
            <w:r>
              <w:rPr>
                <w:rFonts w:hint="eastAsia" w:ascii="宋体" w:hAnsi="宋体"/>
                <w:sz w:val="16"/>
                <w:lang w:eastAsia="zh-CN"/>
              </w:rPr>
              <w:t>本单位</w:t>
            </w:r>
            <w:r>
              <w:rPr>
                <w:rFonts w:ascii="宋体" w:hAnsi="宋体" w:eastAsia="宋体"/>
                <w:sz w:val="16"/>
              </w:rPr>
              <w:t>完成以下工作内容：1、本年度新收案件8744件；2、本年度受理案件数量为8654件；3、本年度案件审理结案率91.39%；4、案件审限期内结案率99.98%。通过以上工作的实施，保障我院审判、执行工作运转更加正常。</w:t>
            </w:r>
          </w:p>
        </w:tc>
      </w:tr>
      <w:tr w14:paraId="057DD94C">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92C853">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93969D">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DF8F31">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9C2452">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45CB1C">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8CD878">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819194">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2629BF">
            <w:pPr>
              <w:jc w:val="center"/>
            </w:pPr>
            <w:r>
              <w:rPr>
                <w:rFonts w:ascii="宋体" w:hAnsi="宋体" w:eastAsia="宋体"/>
                <w:sz w:val="16"/>
              </w:rPr>
              <w:t>得分</w:t>
            </w:r>
          </w:p>
        </w:tc>
      </w:tr>
      <w:tr w14:paraId="772F15B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161E54">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A1A52F">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879B1E">
            <w:pPr>
              <w:jc w:val="center"/>
            </w:pPr>
            <w:r>
              <w:rPr>
                <w:rFonts w:ascii="宋体" w:hAnsi="宋体" w:eastAsia="宋体"/>
                <w:sz w:val="16"/>
              </w:rPr>
              <w:t>新收案件数量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D9364F">
            <w:pPr>
              <w:jc w:val="center"/>
            </w:pPr>
            <w:r>
              <w:rPr>
                <w:rFonts w:ascii="宋体" w:hAnsi="宋体" w:eastAsia="宋体"/>
                <w:sz w:val="16"/>
              </w:rPr>
              <w:t>&gt;=8000件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454B27">
            <w:pPr>
              <w:jc w:val="center"/>
            </w:pPr>
            <w:r>
              <w:rPr>
                <w:rFonts w:ascii="宋体" w:hAnsi="宋体" w:eastAsia="宋体"/>
                <w:sz w:val="16"/>
              </w:rPr>
              <w:t>2023年政府工作报告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3959EC">
            <w:pPr>
              <w:jc w:val="center"/>
            </w:pPr>
            <w:r>
              <w:rPr>
                <w:rFonts w:ascii="宋体" w:hAnsi="宋体" w:eastAsia="宋体"/>
                <w:sz w:val="16"/>
              </w:rPr>
              <w:t>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1936AE">
            <w:pPr>
              <w:jc w:val="center"/>
            </w:pPr>
            <w:r>
              <w:rPr>
                <w:rFonts w:ascii="宋体" w:hAnsi="宋体" w:eastAsia="宋体"/>
                <w:sz w:val="16"/>
              </w:rPr>
              <w:t>=8744件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ED7C9B">
            <w:pPr>
              <w:jc w:val="center"/>
            </w:pPr>
            <w:r>
              <w:rPr>
                <w:rFonts w:ascii="宋体" w:hAnsi="宋体" w:eastAsia="宋体"/>
                <w:sz w:val="16"/>
              </w:rPr>
              <w:t>25</w:t>
            </w:r>
          </w:p>
        </w:tc>
      </w:tr>
      <w:tr w14:paraId="2B32BB1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B6016A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5C0B73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21B01">
            <w:pPr>
              <w:jc w:val="center"/>
            </w:pPr>
            <w:r>
              <w:rPr>
                <w:rFonts w:ascii="宋体" w:hAnsi="宋体" w:eastAsia="宋体"/>
                <w:sz w:val="16"/>
              </w:rPr>
              <w:t>受理案件数量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A2B71E">
            <w:pPr>
              <w:jc w:val="center"/>
            </w:pPr>
            <w:r>
              <w:rPr>
                <w:rFonts w:ascii="宋体" w:hAnsi="宋体" w:eastAsia="宋体"/>
                <w:sz w:val="16"/>
              </w:rPr>
              <w:t>&gt;=8000件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ED0D22">
            <w:pPr>
              <w:jc w:val="center"/>
            </w:pPr>
            <w:r>
              <w:rPr>
                <w:rFonts w:ascii="宋体" w:hAnsi="宋体" w:eastAsia="宋体"/>
                <w:sz w:val="16"/>
              </w:rPr>
              <w:t>2023年政府工作报告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EE8833">
            <w:pPr>
              <w:jc w:val="center"/>
            </w:pPr>
            <w:r>
              <w:rPr>
                <w:rFonts w:ascii="宋体" w:hAnsi="宋体" w:eastAsia="宋体"/>
                <w:sz w:val="16"/>
              </w:rPr>
              <w:t>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B4E5CB">
            <w:pPr>
              <w:jc w:val="center"/>
            </w:pPr>
            <w:r>
              <w:rPr>
                <w:rFonts w:ascii="宋体" w:hAnsi="宋体" w:eastAsia="宋体"/>
                <w:sz w:val="16"/>
              </w:rPr>
              <w:t>=8654件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DF08D6">
            <w:pPr>
              <w:jc w:val="center"/>
            </w:pPr>
            <w:r>
              <w:rPr>
                <w:rFonts w:ascii="宋体" w:hAnsi="宋体" w:eastAsia="宋体"/>
                <w:sz w:val="16"/>
              </w:rPr>
              <w:t>25</w:t>
            </w:r>
          </w:p>
        </w:tc>
      </w:tr>
      <w:tr w14:paraId="7D1D73C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8E01EB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E33FCB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C85C69">
            <w:pPr>
              <w:jc w:val="center"/>
            </w:pPr>
            <w:r>
              <w:rPr>
                <w:rFonts w:ascii="宋体" w:hAnsi="宋体" w:eastAsia="宋体"/>
                <w:sz w:val="16"/>
              </w:rPr>
              <w:t>案件审理结案率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A4FAF3">
            <w:pPr>
              <w:jc w:val="center"/>
            </w:pPr>
            <w:r>
              <w:rPr>
                <w:rFonts w:ascii="宋体" w:hAnsi="宋体" w:eastAsia="宋体"/>
                <w:sz w:val="16"/>
              </w:rPr>
              <w:t>&gt;=85%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602342">
            <w:pPr>
              <w:jc w:val="center"/>
            </w:pPr>
            <w:r>
              <w:rPr>
                <w:rFonts w:ascii="宋体" w:hAnsi="宋体" w:eastAsia="宋体"/>
                <w:sz w:val="16"/>
              </w:rPr>
              <w:t>2023年政府工作报告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083913">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BD6228">
            <w:pPr>
              <w:jc w:val="center"/>
            </w:pPr>
            <w:r>
              <w:rPr>
                <w:rFonts w:ascii="宋体" w:hAnsi="宋体" w:eastAsia="宋体"/>
                <w:sz w:val="16"/>
              </w:rPr>
              <w:t>=91.39%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89C28B">
            <w:pPr>
              <w:jc w:val="center"/>
            </w:pPr>
            <w:r>
              <w:rPr>
                <w:rFonts w:ascii="宋体" w:hAnsi="宋体" w:eastAsia="宋体"/>
                <w:sz w:val="16"/>
              </w:rPr>
              <w:t>20</w:t>
            </w:r>
          </w:p>
        </w:tc>
      </w:tr>
      <w:tr w14:paraId="55055EF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AA143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402BC0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2AE13">
            <w:pPr>
              <w:jc w:val="center"/>
            </w:pPr>
            <w:r>
              <w:rPr>
                <w:rFonts w:ascii="宋体" w:hAnsi="宋体" w:eastAsia="宋体"/>
                <w:sz w:val="16"/>
              </w:rPr>
              <w:t>案件审限期内结案率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E92C50">
            <w:pPr>
              <w:jc w:val="center"/>
            </w:pPr>
            <w:r>
              <w:rPr>
                <w:rFonts w:ascii="宋体" w:hAnsi="宋体" w:eastAsia="宋体"/>
                <w:sz w:val="16"/>
              </w:rPr>
              <w:t>&gt;=85%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4C1310">
            <w:pPr>
              <w:jc w:val="center"/>
            </w:pPr>
            <w:r>
              <w:rPr>
                <w:rFonts w:ascii="宋体" w:hAnsi="宋体" w:eastAsia="宋体"/>
                <w:sz w:val="16"/>
              </w:rPr>
              <w:t>2023年政府工作报告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6EDF82">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84C8FE">
            <w:pPr>
              <w:jc w:val="center"/>
            </w:pPr>
            <w:r>
              <w:rPr>
                <w:rFonts w:ascii="宋体" w:hAnsi="宋体" w:eastAsia="宋体"/>
                <w:sz w:val="16"/>
              </w:rPr>
              <w:t>=99.98%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01E552">
            <w:pPr>
              <w:jc w:val="center"/>
            </w:pPr>
            <w:r>
              <w:rPr>
                <w:rFonts w:ascii="宋体" w:hAnsi="宋体" w:eastAsia="宋体"/>
                <w:sz w:val="16"/>
              </w:rPr>
              <w:t>20</w:t>
            </w:r>
          </w:p>
        </w:tc>
      </w:tr>
    </w:tbl>
    <w:p w14:paraId="602CD61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96"/>
        <w:gridCol w:w="632"/>
        <w:gridCol w:w="632"/>
        <w:gridCol w:w="632"/>
        <w:gridCol w:w="632"/>
        <w:gridCol w:w="632"/>
        <w:gridCol w:w="632"/>
        <w:gridCol w:w="632"/>
      </w:tblGrid>
      <w:tr w14:paraId="3DFFEACF">
        <w:tblPrEx>
          <w:tblCellMar>
            <w:top w:w="0" w:type="dxa"/>
            <w:left w:w="108" w:type="dxa"/>
            <w:bottom w:w="0" w:type="dxa"/>
            <w:right w:w="108" w:type="dxa"/>
          </w:tblCellMar>
        </w:tblPrEx>
        <w:tc>
          <w:tcPr>
            <w:tcW w:w="8848" w:type="dxa"/>
            <w:gridSpan w:val="14"/>
            <w:vAlign w:val="center"/>
          </w:tcPr>
          <w:p w14:paraId="1A8913DB">
            <w:pPr>
              <w:jc w:val="center"/>
            </w:pPr>
            <w:r>
              <w:rPr>
                <w:rFonts w:ascii="宋体" w:hAnsi="宋体" w:eastAsia="宋体"/>
                <w:sz w:val="24"/>
              </w:rPr>
              <w:t>项目支出绩效自评表</w:t>
            </w:r>
          </w:p>
        </w:tc>
      </w:tr>
      <w:tr w14:paraId="6EFC34B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DA6D9F3">
            <w:pPr>
              <w:jc w:val="center"/>
            </w:pPr>
            <w:r>
              <w:rPr>
                <w:rFonts w:ascii="宋体" w:hAnsi="宋体" w:eastAsia="宋体"/>
                <w:sz w:val="24"/>
              </w:rPr>
              <w:t>(2024年度)</w:t>
            </w:r>
          </w:p>
        </w:tc>
      </w:tr>
      <w:tr w14:paraId="5C6A643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8C00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B31B242">
            <w:pPr>
              <w:jc w:val="center"/>
            </w:pPr>
            <w:r>
              <w:rPr>
                <w:rFonts w:ascii="宋体" w:hAnsi="宋体" w:eastAsia="宋体"/>
                <w:sz w:val="16"/>
              </w:rPr>
              <w:t>机关运行补助</w:t>
            </w:r>
          </w:p>
        </w:tc>
      </w:tr>
      <w:tr w14:paraId="3650705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E6D5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BE1B93">
            <w:pPr>
              <w:jc w:val="center"/>
            </w:pPr>
            <w:r>
              <w:rPr>
                <w:rFonts w:ascii="宋体" w:hAnsi="宋体" w:eastAsia="宋体"/>
                <w:sz w:val="16"/>
              </w:rPr>
              <w:t>呼图壁县人民法院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3B72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C406D29">
            <w:pPr>
              <w:jc w:val="center"/>
            </w:pPr>
            <w:r>
              <w:rPr>
                <w:rFonts w:ascii="宋体" w:hAnsi="宋体" w:eastAsia="宋体"/>
                <w:sz w:val="16"/>
              </w:rPr>
              <w:t>呼图壁县人民法院</w:t>
            </w:r>
          </w:p>
        </w:tc>
      </w:tr>
      <w:tr w14:paraId="0D2BB32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8FF84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2B542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70E3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0DEF9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5766D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7D7F7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9EDB6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3A756">
            <w:pPr>
              <w:jc w:val="center"/>
            </w:pPr>
            <w:r>
              <w:rPr>
                <w:rFonts w:ascii="宋体" w:hAnsi="宋体" w:eastAsia="宋体"/>
                <w:sz w:val="16"/>
              </w:rPr>
              <w:t>得分</w:t>
            </w:r>
          </w:p>
        </w:tc>
      </w:tr>
      <w:tr w14:paraId="34ED8D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E196F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3E516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707438">
            <w:pPr>
              <w:jc w:val="center"/>
            </w:pPr>
            <w:r>
              <w:rPr>
                <w:rFonts w:ascii="宋体" w:hAnsi="宋体" w:eastAsia="宋体"/>
                <w:sz w:val="16"/>
              </w:rPr>
              <w:t>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8FC09E">
            <w:pPr>
              <w:jc w:val="center"/>
            </w:pPr>
            <w:r>
              <w:rPr>
                <w:rFonts w:ascii="宋体" w:hAnsi="宋体" w:eastAsia="宋体"/>
                <w:sz w:val="16"/>
              </w:rPr>
              <w:t>52.15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A6F0BA">
            <w:pPr>
              <w:jc w:val="center"/>
            </w:pPr>
            <w:r>
              <w:rPr>
                <w:rFonts w:ascii="宋体" w:hAnsi="宋体" w:eastAsia="宋体"/>
                <w:sz w:val="16"/>
              </w:rPr>
              <w:t>51.92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F90F7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C87094">
            <w:pPr>
              <w:jc w:val="center"/>
            </w:pPr>
            <w:r>
              <w:rPr>
                <w:rFonts w:ascii="宋体" w:hAnsi="宋体" w:eastAsia="宋体"/>
                <w:sz w:val="16"/>
              </w:rPr>
              <w:t>99.56%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55714">
            <w:pPr>
              <w:jc w:val="center"/>
            </w:pPr>
            <w:r>
              <w:rPr>
                <w:rFonts w:ascii="宋体" w:hAnsi="宋体" w:eastAsia="宋体"/>
                <w:sz w:val="16"/>
              </w:rPr>
              <w:t>9.89</w:t>
            </w:r>
          </w:p>
        </w:tc>
      </w:tr>
      <w:tr w14:paraId="0D3134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231E7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310A9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07D35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69952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7C9AF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2DA6D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50FB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6F39D">
            <w:pPr>
              <w:jc w:val="center"/>
            </w:pPr>
            <w:r>
              <w:rPr>
                <w:rFonts w:ascii="宋体" w:hAnsi="宋体" w:eastAsia="宋体"/>
                <w:sz w:val="16"/>
              </w:rPr>
              <w:t>—</w:t>
            </w:r>
          </w:p>
        </w:tc>
      </w:tr>
      <w:tr w14:paraId="2D426E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A65B9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494FE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252DCB">
            <w:pPr>
              <w:jc w:val="center"/>
            </w:pPr>
            <w:r>
              <w:rPr>
                <w:rFonts w:ascii="宋体" w:hAnsi="宋体" w:eastAsia="宋体"/>
                <w:sz w:val="16"/>
              </w:rPr>
              <w:t>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6664E1">
            <w:pPr>
              <w:jc w:val="center"/>
            </w:pPr>
            <w:r>
              <w:rPr>
                <w:rFonts w:ascii="宋体" w:hAnsi="宋体" w:eastAsia="宋体"/>
                <w:sz w:val="16"/>
              </w:rPr>
              <w:t>52.15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13FE67">
            <w:pPr>
              <w:jc w:val="center"/>
            </w:pPr>
            <w:r>
              <w:rPr>
                <w:rFonts w:ascii="宋体" w:hAnsi="宋体" w:eastAsia="宋体"/>
                <w:sz w:val="16"/>
              </w:rPr>
              <w:t>51.92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13678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D27A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3BB85">
            <w:pPr>
              <w:jc w:val="center"/>
            </w:pPr>
            <w:r>
              <w:rPr>
                <w:rFonts w:ascii="宋体" w:hAnsi="宋体" w:eastAsia="宋体"/>
                <w:sz w:val="16"/>
              </w:rPr>
              <w:t>—</w:t>
            </w:r>
          </w:p>
        </w:tc>
      </w:tr>
      <w:tr w14:paraId="0A66C2F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1EFA1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742D5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2572BB2">
            <w:pPr>
              <w:jc w:val="center"/>
            </w:pPr>
            <w:r>
              <w:rPr>
                <w:rFonts w:ascii="宋体" w:hAnsi="宋体" w:eastAsia="宋体"/>
                <w:sz w:val="16"/>
              </w:rPr>
              <w:t>实际完成情况</w:t>
            </w:r>
          </w:p>
        </w:tc>
      </w:tr>
      <w:tr w14:paraId="1C18AF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3A34B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ECE26C">
            <w:pPr>
              <w:jc w:val="both"/>
            </w:pPr>
            <w:r>
              <w:rPr>
                <w:rFonts w:ascii="宋体" w:hAnsi="宋体" w:eastAsia="宋体"/>
                <w:sz w:val="16"/>
              </w:rPr>
              <w:t>为保障法院日常工作有序开展，加强法院文化建设，塑造人民法院形象，提升青少年守法用法意识，需进行青少年模拟法庭打造，进一步提升司法为民形象。打造一个青少年模拟法庭，购置一批法庭用设备及耗材，预算成本控制在52.15万元以内，稳步提升青少年法律知识，稳步提高司法为民意识。</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8C26D43">
            <w:pPr>
              <w:jc w:val="both"/>
            </w:pPr>
            <w:r>
              <w:rPr>
                <w:rFonts w:ascii="宋体" w:hAnsi="宋体" w:eastAsia="宋体"/>
                <w:sz w:val="16"/>
              </w:rPr>
              <w:t>截至2024年12月31日，机关运行补助（自有资金）实际用于维修2个法庭，购买两批法庭设备，政府采购率预期达到100%，修缮验收合格率预期达到100%；维修设备购置等支付资金51.92万元</w:t>
            </w:r>
            <w:r>
              <w:rPr>
                <w:rFonts w:hint="eastAsia" w:ascii="宋体" w:hAnsi="宋体"/>
                <w:sz w:val="16"/>
                <w:lang w:eastAsia="zh-CN"/>
              </w:rPr>
              <w:t>。</w:t>
            </w:r>
            <w:r>
              <w:rPr>
                <w:rFonts w:ascii="宋体" w:hAnsi="宋体" w:eastAsia="宋体"/>
                <w:sz w:val="16"/>
              </w:rPr>
              <w:t>通过该项目的实施保障单位机关正常运行，有效提升了干警的业务能力，促进了持续提高为人民群众提供有效的公共法律服务水平。</w:t>
            </w:r>
          </w:p>
        </w:tc>
      </w:tr>
      <w:tr w14:paraId="3F56362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F7F3C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0E8A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A508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352A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E5E2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42EC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BA83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4141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B205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F4E1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C3BD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67FC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2ED0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6175B">
            <w:pPr>
              <w:jc w:val="center"/>
            </w:pPr>
            <w:r>
              <w:rPr>
                <w:rFonts w:ascii="宋体" w:hAnsi="宋体" w:eastAsia="宋体"/>
                <w:sz w:val="16"/>
              </w:rPr>
              <w:t>偏差原因分析及改进措施</w:t>
            </w:r>
          </w:p>
        </w:tc>
      </w:tr>
      <w:tr w14:paraId="6667BF1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EA6D3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63158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EDDCC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C333B">
            <w:pPr>
              <w:jc w:val="center"/>
            </w:pPr>
            <w:r>
              <w:rPr>
                <w:rFonts w:ascii="宋体" w:hAnsi="宋体" w:eastAsia="宋体"/>
                <w:sz w:val="16"/>
              </w:rPr>
              <w:t>维修法庭数量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7AE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BA4C8">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47B6D">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3B2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058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6D7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B14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933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B4E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BDE77">
            <w:pPr>
              <w:jc w:val="center"/>
            </w:pPr>
          </w:p>
        </w:tc>
      </w:tr>
      <w:tr w14:paraId="4BB5AA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C697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0C2C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340B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AA93F">
            <w:pPr>
              <w:jc w:val="center"/>
            </w:pPr>
            <w:r>
              <w:rPr>
                <w:rFonts w:ascii="宋体" w:hAnsi="宋体" w:eastAsia="宋体"/>
                <w:sz w:val="16"/>
              </w:rPr>
              <w:t>购置法庭设备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743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E6369">
            <w:pPr>
              <w:jc w:val="center"/>
            </w:pPr>
            <w:r>
              <w:rPr>
                <w:rFonts w:ascii="宋体" w:hAnsi="宋体" w:eastAsia="宋体"/>
                <w:sz w:val="16"/>
              </w:rPr>
              <w:t>&gt;=2批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BF8A3">
            <w:pPr>
              <w:jc w:val="center"/>
            </w:pPr>
            <w:r>
              <w:rPr>
                <w:rFonts w:ascii="宋体" w:hAnsi="宋体" w:eastAsia="宋体"/>
                <w:sz w:val="16"/>
              </w:rPr>
              <w:t>=2批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28D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9E7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1D8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BCF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694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021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72984">
            <w:pPr>
              <w:jc w:val="center"/>
            </w:pPr>
          </w:p>
        </w:tc>
      </w:tr>
      <w:tr w14:paraId="7169B2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5C40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0B4BD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753EF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A937E">
            <w:pPr>
              <w:jc w:val="center"/>
            </w:pPr>
            <w:r>
              <w:rPr>
                <w:rFonts w:ascii="宋体" w:hAnsi="宋体" w:eastAsia="宋体"/>
                <w:sz w:val="16"/>
              </w:rPr>
              <w:t>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5E9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EE7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DA6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85C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7460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DCE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DBA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379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A036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56F91">
            <w:pPr>
              <w:jc w:val="center"/>
            </w:pPr>
          </w:p>
        </w:tc>
      </w:tr>
      <w:tr w14:paraId="45704E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4D3AA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7816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BE34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5846C">
            <w:pPr>
              <w:jc w:val="center"/>
            </w:pPr>
            <w:r>
              <w:rPr>
                <w:rFonts w:ascii="宋体" w:hAnsi="宋体" w:eastAsia="宋体"/>
                <w:sz w:val="16"/>
              </w:rPr>
              <w:t>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D5B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6B8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8D0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DD9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87D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117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30B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75F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3A1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D1016">
            <w:pPr>
              <w:jc w:val="center"/>
            </w:pPr>
          </w:p>
        </w:tc>
      </w:tr>
      <w:tr w14:paraId="64653A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7F5FC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8F7CF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9F4D3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9D66D">
            <w:pPr>
              <w:jc w:val="center"/>
            </w:pPr>
            <w:r>
              <w:rPr>
                <w:rFonts w:ascii="宋体" w:hAnsi="宋体" w:eastAsia="宋体"/>
                <w:sz w:val="16"/>
              </w:rPr>
              <w:t>维修等费用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6513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42BA2">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92FF3">
            <w:pPr>
              <w:jc w:val="center"/>
            </w:pPr>
            <w:r>
              <w:rPr>
                <w:rFonts w:ascii="宋体" w:hAnsi="宋体" w:eastAsia="宋体"/>
                <w:sz w:val="16"/>
              </w:rPr>
              <w:t>=19万元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7BBC8">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6B340">
            <w:pPr>
              <w:jc w:val="center"/>
            </w:pPr>
            <w:r>
              <w:rPr>
                <w:rFonts w:ascii="宋体" w:hAnsi="宋体" w:eastAsia="宋体"/>
                <w:sz w:val="16"/>
              </w:rPr>
              <w:t>6.13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1F46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C272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DA5B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4251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EB547">
            <w:pPr>
              <w:jc w:val="center"/>
            </w:pPr>
            <w:r>
              <w:rPr>
                <w:rFonts w:ascii="宋体" w:hAnsi="宋体" w:eastAsia="宋体"/>
                <w:sz w:val="16"/>
              </w:rPr>
              <w:t>因该指标计划值设定根据上年度情况设定，因本年度维修费用</w:t>
            </w:r>
            <w:r>
              <w:rPr>
                <w:rFonts w:hint="eastAsia" w:ascii="宋体" w:hAnsi="宋体"/>
                <w:sz w:val="16"/>
                <w:lang w:eastAsia="zh-CN"/>
              </w:rPr>
              <w:t>减少</w:t>
            </w:r>
            <w:r>
              <w:rPr>
                <w:rFonts w:ascii="宋体" w:hAnsi="宋体" w:eastAsia="宋体"/>
                <w:sz w:val="16"/>
              </w:rPr>
              <w:t>，导致最后存在偏差</w:t>
            </w:r>
          </w:p>
        </w:tc>
      </w:tr>
      <w:tr w14:paraId="3C6D72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D9B7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2C1E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A0FC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0831D">
            <w:pPr>
              <w:jc w:val="center"/>
            </w:pPr>
            <w:r>
              <w:rPr>
                <w:rFonts w:ascii="宋体" w:hAnsi="宋体" w:eastAsia="宋体"/>
                <w:sz w:val="16"/>
              </w:rPr>
              <w:t>办公、委托业务费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6B23F">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09638">
            <w:pPr>
              <w:jc w:val="center"/>
            </w:pPr>
            <w:r>
              <w:rPr>
                <w:rFonts w:ascii="宋体" w:hAnsi="宋体" w:eastAsia="宋体"/>
                <w:sz w:val="16"/>
              </w:rPr>
              <w:t>&lt;=32.15万元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62487">
            <w:pPr>
              <w:jc w:val="center"/>
            </w:pPr>
            <w:r>
              <w:rPr>
                <w:rFonts w:ascii="宋体" w:hAnsi="宋体" w:eastAsia="宋体"/>
                <w:sz w:val="16"/>
              </w:rPr>
              <w:t>=28.06万元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973AF">
            <w:pPr>
              <w:jc w:val="center"/>
            </w:pPr>
            <w:r>
              <w:rPr>
                <w:rFonts w:ascii="宋体" w:hAnsi="宋体" w:eastAsia="宋体"/>
                <w:sz w:val="16"/>
              </w:rPr>
              <w:t>87%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25E2A">
            <w:pPr>
              <w:jc w:val="center"/>
            </w:pPr>
            <w:r>
              <w:rPr>
                <w:rFonts w:ascii="宋体" w:hAnsi="宋体" w:eastAsia="宋体"/>
                <w:sz w:val="16"/>
              </w:rPr>
              <w:t>8.78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6A7B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A48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E56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3720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DDF37">
            <w:pPr>
              <w:jc w:val="center"/>
            </w:pPr>
            <w:r>
              <w:rPr>
                <w:rFonts w:ascii="宋体" w:hAnsi="宋体" w:eastAsia="宋体"/>
                <w:sz w:val="16"/>
              </w:rPr>
              <w:t>该指标计划值设定根据上年度情况设定，因本年度紧控开支，导致办公费、委托业务费开支降低。</w:t>
            </w:r>
          </w:p>
        </w:tc>
      </w:tr>
      <w:tr w14:paraId="7B3B4B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676AE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04B729">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5AE81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068B2">
            <w:pPr>
              <w:jc w:val="center"/>
            </w:pPr>
            <w:r>
              <w:rPr>
                <w:rFonts w:ascii="宋体" w:hAnsi="宋体" w:eastAsia="宋体"/>
                <w:sz w:val="16"/>
              </w:rPr>
              <w:t>青少年法律知识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6EF6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C1EE8">
            <w:pPr>
              <w:jc w:val="center"/>
            </w:pPr>
            <w:r>
              <w:rPr>
                <w:rFonts w:ascii="宋体" w:hAnsi="宋体" w:eastAsia="宋体"/>
                <w:sz w:val="16"/>
              </w:rPr>
              <w:t>稳步提升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9ADE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576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3388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1F2A6">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F6F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24A1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DF15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781FB">
            <w:pPr>
              <w:jc w:val="center"/>
            </w:pPr>
          </w:p>
        </w:tc>
      </w:tr>
      <w:tr w14:paraId="4920A8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A7D9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C54E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AB29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07453">
            <w:pPr>
              <w:jc w:val="center"/>
            </w:pPr>
            <w:r>
              <w:rPr>
                <w:rFonts w:ascii="宋体" w:hAnsi="宋体" w:eastAsia="宋体"/>
                <w:sz w:val="16"/>
              </w:rPr>
              <w:t>司法为民意识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A333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0290E">
            <w:pPr>
              <w:jc w:val="center"/>
            </w:pPr>
            <w:r>
              <w:rPr>
                <w:rFonts w:ascii="宋体" w:hAnsi="宋体" w:eastAsia="宋体"/>
                <w:sz w:val="16"/>
              </w:rPr>
              <w:t>稳步提高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4D9C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1DD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BDC9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13DDA">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31B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B195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0298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5ED14">
            <w:pPr>
              <w:jc w:val="center"/>
            </w:pPr>
          </w:p>
        </w:tc>
      </w:tr>
      <w:tr w14:paraId="2709247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346268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33E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020B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0D60C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2EA2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420AC">
            <w:pPr>
              <w:jc w:val="center"/>
            </w:pPr>
            <w:r>
              <w:rPr>
                <w:rFonts w:ascii="宋体" w:hAnsi="宋体" w:eastAsia="宋体"/>
                <w:sz w:val="16"/>
              </w:rPr>
              <w:t>94.80分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38A6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5804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721D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41CC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5D97C7"/>
        </w:tc>
      </w:tr>
    </w:tbl>
    <w:p w14:paraId="6A8B2A92">
      <w:r>
        <w:br w:type="page"/>
      </w:r>
    </w:p>
    <w:p w14:paraId="55F0038E">
      <w:pPr>
        <w:spacing w:line="640" w:lineRule="exact"/>
        <w:ind w:firstLine="640"/>
        <w:jc w:val="both"/>
        <w:outlineLvl w:val="2"/>
      </w:pPr>
      <w:r>
        <w:rPr>
          <w:rFonts w:ascii="黑体" w:hAnsi="黑体" w:eastAsia="黑体"/>
          <w:sz w:val="32"/>
        </w:rPr>
        <w:t>十二、其他需说明的事项</w:t>
      </w:r>
    </w:p>
    <w:p w14:paraId="2AC2162E">
      <w:pPr>
        <w:spacing w:line="580" w:lineRule="exact"/>
        <w:ind w:firstLine="640"/>
        <w:jc w:val="both"/>
      </w:pPr>
      <w:r>
        <w:rPr>
          <w:rFonts w:ascii="仿宋_GB2312" w:hAnsi="仿宋_GB2312" w:eastAsia="仿宋_GB2312"/>
          <w:b w:val="0"/>
          <w:sz w:val="32"/>
        </w:rPr>
        <w:t>本年本单位SM项目3个，全年预算数402.00万元，全年执行数402.00万元。</w:t>
      </w:r>
    </w:p>
    <w:p w14:paraId="11D8517D">
      <w:r>
        <w:br w:type="page"/>
      </w:r>
    </w:p>
    <w:p w14:paraId="2D265E83">
      <w:pPr>
        <w:spacing w:line="240" w:lineRule="auto"/>
        <w:jc w:val="center"/>
        <w:outlineLvl w:val="1"/>
      </w:pPr>
      <w:r>
        <w:rPr>
          <w:rFonts w:ascii="黑体" w:hAnsi="黑体" w:eastAsia="黑体"/>
          <w:sz w:val="32"/>
        </w:rPr>
        <w:t>第三部分 专业名词解释</w:t>
      </w:r>
    </w:p>
    <w:p w14:paraId="25E2A2FE">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DD8FD7A">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3B3A1476">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3E61CBD8">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69C7E73">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74D4E5CD">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30B85EDC">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7B8527EC">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561730F3">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46039B0E">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5245A87D">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65E73DAB">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5713344">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02A1A2BE">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47EB7C4">
      <w:r>
        <w:br w:type="page"/>
      </w:r>
    </w:p>
    <w:p w14:paraId="1418BE9C">
      <w:pPr>
        <w:spacing w:line="240" w:lineRule="auto"/>
        <w:jc w:val="center"/>
        <w:outlineLvl w:val="1"/>
      </w:pPr>
      <w:r>
        <w:rPr>
          <w:rFonts w:ascii="黑体" w:hAnsi="黑体" w:eastAsia="黑体"/>
          <w:sz w:val="32"/>
        </w:rPr>
        <w:t>第四部分 部门决算报表（见附表）</w:t>
      </w:r>
    </w:p>
    <w:p w14:paraId="6032C018">
      <w:pPr>
        <w:spacing w:line="240" w:lineRule="auto"/>
        <w:ind w:firstLine="640"/>
        <w:jc w:val="both"/>
      </w:pPr>
      <w:r>
        <w:rPr>
          <w:rFonts w:ascii="仿宋_GB2312" w:hAnsi="仿宋_GB2312" w:eastAsia="仿宋_GB2312"/>
          <w:b w:val="0"/>
          <w:sz w:val="32"/>
        </w:rPr>
        <w:t>一、《收入支出决算总表》</w:t>
      </w:r>
    </w:p>
    <w:p w14:paraId="1E3E2AE6">
      <w:pPr>
        <w:spacing w:line="240" w:lineRule="auto"/>
        <w:ind w:firstLine="640"/>
        <w:jc w:val="both"/>
      </w:pPr>
      <w:r>
        <w:rPr>
          <w:rFonts w:ascii="仿宋_GB2312" w:hAnsi="仿宋_GB2312" w:eastAsia="仿宋_GB2312"/>
          <w:b w:val="0"/>
          <w:sz w:val="32"/>
        </w:rPr>
        <w:t>二、《收入决算表》</w:t>
      </w:r>
    </w:p>
    <w:p w14:paraId="35334CD7">
      <w:pPr>
        <w:spacing w:line="240" w:lineRule="auto"/>
        <w:ind w:firstLine="640"/>
        <w:jc w:val="both"/>
      </w:pPr>
      <w:r>
        <w:rPr>
          <w:rFonts w:ascii="仿宋_GB2312" w:hAnsi="仿宋_GB2312" w:eastAsia="仿宋_GB2312"/>
          <w:b w:val="0"/>
          <w:sz w:val="32"/>
        </w:rPr>
        <w:t>三、《支出决算表》</w:t>
      </w:r>
    </w:p>
    <w:p w14:paraId="09FB2245">
      <w:pPr>
        <w:spacing w:line="240" w:lineRule="auto"/>
        <w:ind w:firstLine="640"/>
        <w:jc w:val="both"/>
      </w:pPr>
      <w:r>
        <w:rPr>
          <w:rFonts w:ascii="仿宋_GB2312" w:hAnsi="仿宋_GB2312" w:eastAsia="仿宋_GB2312"/>
          <w:b w:val="0"/>
          <w:sz w:val="32"/>
        </w:rPr>
        <w:t>四、《财政拨款收入支出决算总表》</w:t>
      </w:r>
    </w:p>
    <w:p w14:paraId="6D336339">
      <w:pPr>
        <w:spacing w:line="240" w:lineRule="auto"/>
        <w:ind w:firstLine="640"/>
        <w:jc w:val="both"/>
      </w:pPr>
      <w:r>
        <w:rPr>
          <w:rFonts w:ascii="仿宋_GB2312" w:hAnsi="仿宋_GB2312" w:eastAsia="仿宋_GB2312"/>
          <w:b w:val="0"/>
          <w:sz w:val="32"/>
        </w:rPr>
        <w:t>五、《一般公共预算财政拨款支出决算表》</w:t>
      </w:r>
    </w:p>
    <w:p w14:paraId="23D010D8">
      <w:pPr>
        <w:spacing w:line="240" w:lineRule="auto"/>
        <w:ind w:firstLine="640"/>
        <w:jc w:val="both"/>
      </w:pPr>
      <w:r>
        <w:rPr>
          <w:rFonts w:ascii="仿宋_GB2312" w:hAnsi="仿宋_GB2312" w:eastAsia="仿宋_GB2312"/>
          <w:b w:val="0"/>
          <w:sz w:val="32"/>
        </w:rPr>
        <w:t>六、《一般公共预算财政拨款基本支出决算表》</w:t>
      </w:r>
    </w:p>
    <w:p w14:paraId="42940313">
      <w:pPr>
        <w:spacing w:line="240" w:lineRule="auto"/>
        <w:ind w:firstLine="640"/>
        <w:jc w:val="both"/>
      </w:pPr>
      <w:r>
        <w:rPr>
          <w:rFonts w:ascii="仿宋_GB2312" w:hAnsi="仿宋_GB2312" w:eastAsia="仿宋_GB2312"/>
          <w:b w:val="0"/>
          <w:sz w:val="32"/>
        </w:rPr>
        <w:t>七、《政府性基金预算财政拨款收入支出决算表》</w:t>
      </w:r>
    </w:p>
    <w:p w14:paraId="114EA1FB">
      <w:pPr>
        <w:spacing w:line="240" w:lineRule="auto"/>
        <w:ind w:firstLine="640"/>
        <w:jc w:val="both"/>
      </w:pPr>
      <w:r>
        <w:rPr>
          <w:rFonts w:ascii="仿宋_GB2312" w:hAnsi="仿宋_GB2312" w:eastAsia="仿宋_GB2312"/>
          <w:b w:val="0"/>
          <w:sz w:val="32"/>
        </w:rPr>
        <w:t>八、《国有资本经营预算财政拨款收入支出决算表》</w:t>
      </w:r>
    </w:p>
    <w:p w14:paraId="6CFE8F4D">
      <w:pPr>
        <w:spacing w:line="240" w:lineRule="auto"/>
        <w:ind w:firstLine="640"/>
        <w:jc w:val="both"/>
      </w:pPr>
      <w:r>
        <w:rPr>
          <w:rFonts w:ascii="仿宋_GB2312" w:hAnsi="仿宋_GB2312" w:eastAsia="仿宋_GB2312"/>
          <w:b w:val="0"/>
          <w:sz w:val="32"/>
        </w:rPr>
        <w:t>九、《财政拨款“三公”经费支出决算表》</w:t>
      </w:r>
    </w:p>
    <w:p w14:paraId="4F4C56AD">
      <w:pPr>
        <w:spacing w:line="240" w:lineRule="auto"/>
        <w:ind w:firstLine="640"/>
        <w:jc w:val="both"/>
      </w:pPr>
    </w:p>
    <w:p w14:paraId="4CF6E97E">
      <w:pPr>
        <w:spacing w:line="240" w:lineRule="auto"/>
        <w:ind w:firstLine="640"/>
        <w:jc w:val="both"/>
      </w:pPr>
    </w:p>
    <w:p w14:paraId="153A05BA">
      <w:pPr>
        <w:spacing w:line="240" w:lineRule="auto"/>
        <w:ind w:firstLine="640"/>
        <w:jc w:val="both"/>
      </w:pPr>
    </w:p>
    <w:p w14:paraId="1A2E1EAD">
      <w:pPr>
        <w:spacing w:line="240" w:lineRule="auto"/>
        <w:ind w:firstLine="640"/>
        <w:jc w:val="both"/>
      </w:pPr>
    </w:p>
    <w:p w14:paraId="0C135A1F">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0261887"/>
    <w:rsid w:val="306E3148"/>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4B3647"/>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5740</Words>
  <Characters>6748</Characters>
  <Lines>0</Lines>
  <Paragraphs>0</Paragraphs>
  <TotalTime>6</TotalTime>
  <ScaleCrop>false</ScaleCrop>
  <LinksUpToDate>false</LinksUpToDate>
  <CharactersWithSpaces>6756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2025-10-16T04:03:35Z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