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126A96">
      <w:pPr>
        <w:spacing w:line="540" w:lineRule="exact"/>
        <w:jc w:val="left"/>
        <w:rPr>
          <w:rFonts w:hint="eastAsia" w:ascii="仿宋" w:hAnsi="仿宋" w:eastAsia="仿宋" w:cs="宋体"/>
          <w:kern w:val="0"/>
          <w:sz w:val="32"/>
          <w:szCs w:val="32"/>
        </w:rPr>
      </w:pPr>
      <w:r>
        <w:rPr>
          <w:rFonts w:hint="eastAsia" w:ascii="仿宋" w:hAnsi="仿宋" w:eastAsia="仿宋" w:cs="宋体"/>
          <w:kern w:val="0"/>
          <w:sz w:val="32"/>
          <w:szCs w:val="32"/>
        </w:rPr>
        <w:t>附件2：</w:t>
      </w:r>
    </w:p>
    <w:p w14:paraId="5A8FB7E9">
      <w:pPr>
        <w:spacing w:line="540" w:lineRule="exact"/>
        <w:jc w:val="center"/>
        <w:rPr>
          <w:rFonts w:hint="eastAsia" w:ascii="华文中宋" w:hAnsi="华文中宋" w:eastAsia="华文中宋" w:cs="宋体"/>
          <w:b/>
          <w:kern w:val="0"/>
          <w:sz w:val="52"/>
          <w:szCs w:val="52"/>
        </w:rPr>
      </w:pPr>
    </w:p>
    <w:p w14:paraId="568F410E">
      <w:pPr>
        <w:spacing w:line="540" w:lineRule="exact"/>
        <w:jc w:val="center"/>
        <w:rPr>
          <w:rFonts w:hint="eastAsia" w:ascii="华文中宋" w:hAnsi="华文中宋" w:eastAsia="华文中宋" w:cs="宋体"/>
          <w:b/>
          <w:kern w:val="0"/>
          <w:sz w:val="52"/>
          <w:szCs w:val="52"/>
        </w:rPr>
      </w:pPr>
    </w:p>
    <w:p w14:paraId="50BFA701">
      <w:pPr>
        <w:spacing w:line="540" w:lineRule="exact"/>
        <w:jc w:val="center"/>
        <w:rPr>
          <w:rFonts w:hint="eastAsia" w:ascii="华文中宋" w:hAnsi="华文中宋" w:eastAsia="华文中宋" w:cs="宋体"/>
          <w:b/>
          <w:kern w:val="0"/>
          <w:sz w:val="52"/>
          <w:szCs w:val="52"/>
        </w:rPr>
      </w:pPr>
    </w:p>
    <w:p w14:paraId="6376A0EF">
      <w:pPr>
        <w:spacing w:line="540" w:lineRule="exact"/>
        <w:jc w:val="center"/>
        <w:rPr>
          <w:rFonts w:hint="eastAsia" w:ascii="华文中宋" w:hAnsi="华文中宋" w:eastAsia="华文中宋" w:cs="宋体"/>
          <w:b/>
          <w:kern w:val="0"/>
          <w:sz w:val="52"/>
          <w:szCs w:val="52"/>
        </w:rPr>
      </w:pPr>
    </w:p>
    <w:p w14:paraId="5908ED47">
      <w:pPr>
        <w:spacing w:line="540" w:lineRule="exact"/>
        <w:jc w:val="center"/>
        <w:rPr>
          <w:rFonts w:hint="eastAsia" w:ascii="华文中宋" w:hAnsi="华文中宋" w:eastAsia="华文中宋" w:cs="宋体"/>
          <w:b/>
          <w:kern w:val="0"/>
          <w:sz w:val="52"/>
          <w:szCs w:val="52"/>
        </w:rPr>
      </w:pPr>
    </w:p>
    <w:p w14:paraId="4683B1AE">
      <w:pPr>
        <w:spacing w:line="540" w:lineRule="exact"/>
        <w:jc w:val="center"/>
        <w:rPr>
          <w:rFonts w:hint="eastAsia" w:ascii="华文中宋" w:hAnsi="华文中宋" w:eastAsia="华文中宋" w:cs="宋体"/>
          <w:b/>
          <w:kern w:val="0"/>
          <w:sz w:val="52"/>
          <w:szCs w:val="52"/>
        </w:rPr>
      </w:pPr>
    </w:p>
    <w:p w14:paraId="454447D6">
      <w:pPr>
        <w:spacing w:line="540" w:lineRule="exact"/>
        <w:jc w:val="center"/>
        <w:rPr>
          <w:rFonts w:hint="eastAsia"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6784BE99">
      <w:pPr>
        <w:spacing w:line="540" w:lineRule="exact"/>
        <w:jc w:val="center"/>
        <w:rPr>
          <w:rFonts w:hint="eastAsia" w:ascii="华文中宋" w:hAnsi="华文中宋" w:eastAsia="华文中宋" w:cs="宋体"/>
          <w:b/>
          <w:kern w:val="0"/>
          <w:sz w:val="52"/>
          <w:szCs w:val="52"/>
        </w:rPr>
      </w:pPr>
    </w:p>
    <w:p w14:paraId="6A90D5F6">
      <w:pPr>
        <w:spacing w:line="540" w:lineRule="exact"/>
        <w:jc w:val="center"/>
        <w:rPr>
          <w:rFonts w:hint="eastAsia"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516D2B2A">
      <w:pPr>
        <w:spacing w:line="540" w:lineRule="exact"/>
        <w:jc w:val="center"/>
        <w:rPr>
          <w:rFonts w:hint="eastAsia" w:hAnsi="宋体" w:eastAsia="仿宋_GB2312" w:cs="宋体"/>
          <w:kern w:val="0"/>
          <w:sz w:val="30"/>
          <w:szCs w:val="30"/>
        </w:rPr>
      </w:pPr>
    </w:p>
    <w:p w14:paraId="641DBA34">
      <w:pPr>
        <w:spacing w:line="540" w:lineRule="exact"/>
        <w:jc w:val="center"/>
        <w:rPr>
          <w:rFonts w:hint="eastAsia" w:hAnsi="宋体" w:eastAsia="仿宋_GB2312" w:cs="宋体"/>
          <w:kern w:val="0"/>
          <w:sz w:val="30"/>
          <w:szCs w:val="30"/>
        </w:rPr>
      </w:pPr>
    </w:p>
    <w:p w14:paraId="637D55D3">
      <w:pPr>
        <w:spacing w:line="540" w:lineRule="exact"/>
        <w:jc w:val="center"/>
        <w:rPr>
          <w:rFonts w:hint="eastAsia" w:hAnsi="宋体" w:eastAsia="仿宋_GB2312" w:cs="宋体"/>
          <w:kern w:val="0"/>
          <w:sz w:val="30"/>
          <w:szCs w:val="30"/>
        </w:rPr>
      </w:pPr>
    </w:p>
    <w:p w14:paraId="5A525FEF">
      <w:pPr>
        <w:spacing w:line="540" w:lineRule="exact"/>
        <w:jc w:val="center"/>
        <w:rPr>
          <w:rFonts w:hint="eastAsia" w:hAnsi="宋体" w:eastAsia="仿宋_GB2312" w:cs="宋体"/>
          <w:kern w:val="0"/>
          <w:sz w:val="30"/>
          <w:szCs w:val="30"/>
        </w:rPr>
      </w:pPr>
    </w:p>
    <w:p w14:paraId="25373D53">
      <w:pPr>
        <w:spacing w:line="540" w:lineRule="exact"/>
        <w:jc w:val="center"/>
        <w:rPr>
          <w:rFonts w:hint="eastAsia" w:hAnsi="宋体" w:eastAsia="仿宋_GB2312" w:cs="宋体"/>
          <w:kern w:val="0"/>
          <w:sz w:val="30"/>
          <w:szCs w:val="30"/>
        </w:rPr>
      </w:pPr>
    </w:p>
    <w:p w14:paraId="53386966">
      <w:pPr>
        <w:spacing w:line="540" w:lineRule="exact"/>
        <w:jc w:val="center"/>
        <w:rPr>
          <w:rFonts w:hint="eastAsia" w:hAnsi="宋体" w:eastAsia="仿宋_GB2312" w:cs="宋体"/>
          <w:kern w:val="0"/>
          <w:sz w:val="30"/>
          <w:szCs w:val="30"/>
        </w:rPr>
      </w:pPr>
    </w:p>
    <w:p w14:paraId="36305C80">
      <w:pPr>
        <w:spacing w:line="540" w:lineRule="exact"/>
        <w:rPr>
          <w:rFonts w:hint="eastAsia" w:hAnsi="宋体" w:eastAsia="仿宋_GB2312" w:cs="宋体"/>
          <w:kern w:val="0"/>
          <w:sz w:val="30"/>
          <w:szCs w:val="30"/>
        </w:rPr>
      </w:pPr>
    </w:p>
    <w:p w14:paraId="78596A4C">
      <w:pPr>
        <w:spacing w:line="700" w:lineRule="exact"/>
        <w:jc w:val="left"/>
        <w:rPr>
          <w:rFonts w:hint="eastAsia" w:hAnsi="宋体" w:eastAsia="仿宋_GB2312" w:cs="宋体"/>
          <w:kern w:val="0"/>
          <w:sz w:val="36"/>
          <w:szCs w:val="36"/>
        </w:rPr>
      </w:pPr>
      <w:r>
        <w:rPr>
          <w:rFonts w:hint="eastAsia" w:hAnsi="宋体" w:eastAsia="仿宋_GB2312" w:cs="宋体"/>
          <w:kern w:val="0"/>
          <w:sz w:val="36"/>
          <w:szCs w:val="36"/>
        </w:rPr>
        <w:t xml:space="preserve">     </w:t>
      </w:r>
    </w:p>
    <w:p w14:paraId="194FD09C">
      <w:pPr>
        <w:spacing w:line="700" w:lineRule="exact"/>
        <w:ind w:firstLine="900" w:firstLineChars="250"/>
        <w:jc w:val="left"/>
        <w:rPr>
          <w:rFonts w:hint="eastAsia"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“我从天山来”昌吉州重点企业投融资及经营管理培训班</w:t>
      </w:r>
    </w:p>
    <w:p w14:paraId="2602B2D6">
      <w:pPr>
        <w:spacing w:line="540" w:lineRule="exact"/>
        <w:ind w:firstLine="567"/>
        <w:rPr>
          <w:rFonts w:hint="eastAsia"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昌吉回族自治州金融工作办公室</w:t>
      </w:r>
    </w:p>
    <w:p w14:paraId="50937E21">
      <w:pPr>
        <w:spacing w:line="540" w:lineRule="exact"/>
        <w:ind w:firstLine="900" w:firstLineChars="250"/>
        <w:rPr>
          <w:rFonts w:hint="eastAsia"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昌吉回族自治州金融工作办公室</w:t>
      </w:r>
    </w:p>
    <w:p w14:paraId="455A8F48">
      <w:pPr>
        <w:spacing w:line="540" w:lineRule="exact"/>
        <w:ind w:firstLine="900" w:firstLineChars="250"/>
        <w:rPr>
          <w:rFonts w:hint="eastAsia"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王晶磊</w:t>
      </w:r>
    </w:p>
    <w:p w14:paraId="3E378816">
      <w:pPr>
        <w:spacing w:line="540" w:lineRule="exact"/>
        <w:ind w:left="273" w:firstLine="567"/>
        <w:rPr>
          <w:rStyle w:val="18"/>
          <w:rFonts w:hint="eastAsia"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2024年03月29日</w:t>
      </w:r>
    </w:p>
    <w:p w14:paraId="736C800B">
      <w:pPr>
        <w:spacing w:line="700" w:lineRule="exact"/>
        <w:ind w:firstLine="708" w:firstLineChars="236"/>
        <w:jc w:val="left"/>
        <w:rPr>
          <w:rFonts w:hint="eastAsia" w:hAnsi="宋体" w:eastAsia="仿宋_GB2312" w:cs="宋体"/>
          <w:kern w:val="0"/>
          <w:sz w:val="30"/>
          <w:szCs w:val="30"/>
        </w:rPr>
      </w:pPr>
    </w:p>
    <w:p w14:paraId="24790DD9">
      <w:pPr>
        <w:spacing w:line="540" w:lineRule="exact"/>
        <w:rPr>
          <w:rStyle w:val="18"/>
          <w:rFonts w:hint="eastAsia" w:ascii="黑体" w:hAnsi="黑体" w:eastAsia="黑体"/>
          <w:b w:val="0"/>
          <w:spacing w:val="-4"/>
          <w:sz w:val="32"/>
          <w:szCs w:val="32"/>
        </w:rPr>
      </w:pPr>
    </w:p>
    <w:p w14:paraId="53150E61">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一、基本情况</w:t>
      </w:r>
    </w:p>
    <w:p w14:paraId="69D58331">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（一）项目概况。</w:t>
      </w:r>
    </w:p>
    <w:p w14:paraId="3F16D47B">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当前，股票发行注册制已全面落地，沪深北交易所也分别出台相关支持工作方案，自治区党委政府更是提出要集中力量打造以“八大产业集群”为支撑的新疆现代化产业体系，资本市场服务新疆经济社会高质量发展正处于难得的机遇期。为深入贯彻州党委、政府关于推动经济社会高质量发展决策部署，积极落实好《昌吉州推动企业上市三年行动计划（2021-2023年）》，抢抓注册制改革和北交所设立重大历史机遇，利用好新疆企业上市“绿色通道”政策，根据州委组织部统一培训安排，通过使用福建援疆资金开展资本市场培训，促进福建、昌吉两地企业家交流、交往、交融，帮助昌吉州企业家深入了解资本市场，主动对接资本市场，借助资本市场的力量做大做强。通过创新经营思维，转变发展理念，助力昌吉州各中小企业准确把握资本市场发展机遇，用活用好各类政策优势，全力推进企业挂牌上市工作，加快昌吉州多层次资本市场建设，持续优化营商环境，促进昌吉州经济社会高质量发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（1）项目名称：“我从天山来”昌吉州重点企业投融资及经营管理培训班项目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（2）项目主要内容：组织昌吉州重点拟上市企业高管以及各部门、各县市园区相关工作人员前往福州市、平潭县和厦门市进行学习考察，围绕</w:t>
      </w:r>
      <w:r>
        <w:rPr>
          <w:rStyle w:val="18"/>
          <w:rFonts w:hint="eastAsia" w:ascii="楷体" w:hAnsi="楷体" w:eastAsia="楷体"/>
          <w:b w:val="0"/>
          <w:bCs w:val="0"/>
          <w:spacing w:val="-4"/>
          <w:sz w:val="32"/>
          <w:szCs w:val="32"/>
          <w:lang w:eastAsia="zh-CN"/>
        </w:rPr>
        <w:t>党的</w:t>
      </w:r>
      <w:bookmarkStart w:id="0" w:name="_GoBack"/>
      <w:bookmarkEnd w:id="0"/>
      <w:r>
        <w:rPr>
          <w:rStyle w:val="18"/>
          <w:rFonts w:hint="eastAsia" w:ascii="楷体" w:hAnsi="楷体" w:eastAsia="楷体"/>
          <w:b w:val="0"/>
          <w:bCs w:val="0"/>
          <w:spacing w:val="-4"/>
          <w:sz w:val="32"/>
          <w:szCs w:val="32"/>
          <w:lang w:eastAsia="zh-CN"/>
        </w:rPr>
        <w:t>二十大精神</w:t>
      </w:r>
      <w:r>
        <w:rPr>
          <w:rStyle w:val="18"/>
          <w:rFonts w:hint="eastAsia" w:ascii="楷体" w:hAnsi="楷体" w:eastAsia="楷体"/>
          <w:b w:val="0"/>
          <w:bCs w:val="0"/>
          <w:spacing w:val="-4"/>
          <w:sz w:val="32"/>
          <w:szCs w:val="32"/>
        </w:rPr>
        <w:t>、</w:t>
      </w:r>
      <w:r>
        <w:rPr>
          <w:rStyle w:val="18"/>
          <w:rFonts w:hint="eastAsia" w:ascii="楷体" w:hAnsi="楷体" w:eastAsia="楷体"/>
          <w:b w:val="0"/>
          <w:bCs w:val="0"/>
          <w:spacing w:val="-4"/>
          <w:sz w:val="32"/>
          <w:szCs w:val="32"/>
          <w:lang w:eastAsia="zh-CN"/>
        </w:rPr>
        <w:t>习近平新时代中国特色社会主义思想</w:t>
      </w:r>
      <w:r>
        <w:rPr>
          <w:rStyle w:val="18"/>
          <w:rFonts w:hint="eastAsia" w:ascii="楷体" w:hAnsi="楷体" w:eastAsia="楷体"/>
          <w:b w:val="0"/>
          <w:bCs w:val="0"/>
          <w:spacing w:val="-4"/>
          <w:sz w:val="32"/>
          <w:szCs w:val="32"/>
        </w:rPr>
        <w:t>理论知识，深入学习了企业投融资及经营管理相关知识。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实施主体：昌吉州金融办。</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实施时间：本项目实施周期为2023年3月18日-2023年3月27日。</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为进一步提升昌吉州重点企业投融资及企业经营管理能力，昌吉州金融办积极向福建援疆指挥部申请“三交”项目安排我州相关部门干部、拟上市企业家前往福建学习资本市场相关知识，提升企业投融资和经营管理能力。经福建援疆指挥部批准，2023年3月18日-3月27日，全州40名州县市（园区）金融工作主管部门干部、重点企业代表、上市协会企业等前往福建福州市、平潭县和厦门市三地开展为期10天的“我从天山来”昌吉州重点企业投融资及经营管理培训班。本次培训共安排了</w:t>
      </w:r>
      <w:r>
        <w:rPr>
          <w:rStyle w:val="18"/>
          <w:rFonts w:hint="eastAsia" w:ascii="楷体" w:hAnsi="楷体" w:eastAsia="楷体"/>
          <w:b w:val="0"/>
          <w:bCs w:val="0"/>
          <w:spacing w:val="-4"/>
          <w:sz w:val="32"/>
          <w:szCs w:val="32"/>
          <w:lang w:eastAsia="zh-CN"/>
        </w:rPr>
        <w:t>习近平新时代中国特色社会主义思想</w:t>
      </w:r>
      <w:r>
        <w:rPr>
          <w:rStyle w:val="18"/>
          <w:rFonts w:hint="eastAsia" w:ascii="楷体" w:hAnsi="楷体" w:eastAsia="楷体"/>
          <w:b w:val="0"/>
          <w:bCs w:val="0"/>
          <w:spacing w:val="-4"/>
          <w:sz w:val="32"/>
          <w:szCs w:val="32"/>
        </w:rPr>
        <w:t>、《企业投融资管理实务》、《企业投资并购与资本市场运作》等十门理论课程。各位专家教授都从</w:t>
      </w:r>
      <w:r>
        <w:rPr>
          <w:rStyle w:val="18"/>
          <w:rFonts w:hint="eastAsia" w:ascii="楷体" w:hAnsi="楷体" w:eastAsia="楷体"/>
          <w:b w:val="0"/>
          <w:bCs w:val="0"/>
          <w:spacing w:val="-4"/>
          <w:sz w:val="32"/>
          <w:szCs w:val="32"/>
          <w:lang w:eastAsia="zh-CN"/>
        </w:rPr>
        <w:t>党的二十大精神</w:t>
      </w:r>
      <w:r>
        <w:rPr>
          <w:rStyle w:val="18"/>
          <w:rFonts w:hint="eastAsia" w:ascii="楷体" w:hAnsi="楷体" w:eastAsia="楷体"/>
          <w:b w:val="0"/>
          <w:bCs w:val="0"/>
          <w:spacing w:val="-4"/>
          <w:sz w:val="32"/>
          <w:szCs w:val="32"/>
        </w:rPr>
        <w:t>、</w:t>
      </w:r>
      <w:r>
        <w:rPr>
          <w:rStyle w:val="18"/>
          <w:rFonts w:hint="eastAsia" w:ascii="楷体" w:hAnsi="楷体" w:eastAsia="楷体"/>
          <w:b w:val="0"/>
          <w:bCs w:val="0"/>
          <w:spacing w:val="-4"/>
          <w:sz w:val="32"/>
          <w:szCs w:val="32"/>
          <w:lang w:eastAsia="zh-CN"/>
        </w:rPr>
        <w:t>全国两会精神</w:t>
      </w:r>
      <w:r>
        <w:rPr>
          <w:rStyle w:val="18"/>
          <w:rFonts w:hint="eastAsia" w:ascii="楷体" w:hAnsi="楷体" w:eastAsia="楷体"/>
          <w:b w:val="0"/>
          <w:bCs w:val="0"/>
          <w:spacing w:val="-4"/>
          <w:sz w:val="32"/>
          <w:szCs w:val="32"/>
        </w:rPr>
        <w:t>解读出发，深入分析了当前政治经济形势，并结合新疆拟上市企业具体实际，通过实际案例剖析，深入浅出地对企业投融资和经营管理知识进行了讲解，让学员们能学有所得、学有所悟。通过对福州市政务服务中心、城市规划馆、林则徐纪念馆的现场教学，让学员实地体验到</w:t>
      </w:r>
      <w:r>
        <w:rPr>
          <w:rStyle w:val="18"/>
          <w:rFonts w:hint="eastAsia" w:ascii="楷体" w:hAnsi="楷体" w:eastAsia="楷体"/>
          <w:b w:val="0"/>
          <w:bCs w:val="0"/>
          <w:spacing w:val="-4"/>
          <w:sz w:val="32"/>
          <w:szCs w:val="32"/>
          <w:lang w:eastAsia="zh-CN"/>
        </w:rPr>
        <w:t>习近平新时代中国特色社会主义思想</w:t>
      </w:r>
      <w:r>
        <w:rPr>
          <w:rStyle w:val="18"/>
          <w:rFonts w:hint="eastAsia" w:ascii="楷体" w:hAnsi="楷体" w:eastAsia="楷体"/>
          <w:b w:val="0"/>
          <w:bCs w:val="0"/>
          <w:spacing w:val="-4"/>
          <w:sz w:val="32"/>
          <w:szCs w:val="32"/>
        </w:rPr>
        <w:t>在福州的创新理念和生动实践。对厦门建发集团、钨业集团等上市公司的实地考察则令学员亲身感受到资本市场对企业发展的巨大助力，让昌吉州的企业家们坚定了主动对接资本市场的信心并从中吸取了如何对接资本市场的宝贵经验。对厦门环东云谷和平潭综合实验区创业示范村的观摩，让学员深入了解了沿海发达地区创新创业的新理念、新业态。通过理论讲授、实地观摩、分组研讨、交流发言等多种学习方式相结合，帮助各位企业家提升企业经营管理能力，主动对接资本市场，全面提高各部门、各县市园区工作人员的业务水平，更好地服务企业，共同助力昌吉州金融服务经济高质量发展。通过本次培训提高了昌吉州企业对接资本市场的积极性，促成了蓝山屯河进行上市申报，泰昆蛋白新三板成功挂牌，34家企业成功入选自治区上市后备企业资源库等成绩。</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①贯彻执行国家、自治区金融工作法律法规和方针政策，督促金融机构落实州党委、政府相关决议、决定和重要部署，引导各类金融机构为地方经济建设提供金融服务和支持。②研究分析经济和金融运行形势、国家金融政策、金融发展改革创新方向，引导、鼓励和支持各类金融机构改革创新、拓展业务。指导和推进引进金融机构工作。③协调组织防范和处置非法集资、防范化解互联网金融行业风险，协调组织处置地方金融风险和突发事件，维护地方金融安全。④加强同金融监管部门及各类驻州金融机构的业务联系和信息交流，牵头建立金融机构与政府的沟通协调机制,协调解决金融业发展中应由地方解决的矛盾和问题。⑤会同有关部门推进地方金融机构的改革重组、股权变更、风险评估等改革实施工作，协调农村金融改革发展工作，参与推动新型农村金融组织发展。⑥根据国家、自治区有关规定，负责对小额贷款公司、融资担保公司、区域性股权市场、典当行、融资租赁公司、商业保理公司、地方资产管理公司、投资公司、开展信用互助的农民专业合作社、社会众筹机构、地方各类交易场所设立、变更审核等和相关监督管理工作。⑦负责推进自治州企业上市工作。提出支持企业上市发展的政策建议；负责后备上市企业的筛选、培育、服务和推荐工作；督促落实区、州企业上市发展有关政策，协调解决企业上市有关问题；承担自治州企业上市推进领导小组办公室的日常工作。⑧承办自治州人民政府交办的其他事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（2）机构设置情况：昌吉州金融办，该单位纳入2023年部门决算编制范围的有3个科室，分别是：综合科、金融科和企业科。</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编制人数为13人，其中：事业编制13人。实有在职人数8人，其中：事业在职8人。离退休人员2人，其中：事业退休2人。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5.资金投入和使用情况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本项目预算安排总额为23.95万元，资金来源为福建援疆资金，其中：其他资金23.95万元，2023年实际收到预算资金23.95万元，预算资金到位率为100%。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23.95万元，预算执行率100%。本项目资金主要用于支付住宿费用9.72万元，伙食费用5.2万元，培训场地、资料、交通费1.2万元，师资费4.12万元，现场教学讲解费2.9万元，其他费用0.8万元。</w:t>
      </w:r>
    </w:p>
    <w:p w14:paraId="69E238D0">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（二）项目绩效目标</w:t>
      </w:r>
    </w:p>
    <w:p w14:paraId="26AA845E">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本项目计划组织昌吉州重点拟上市企业高管以及各部门、各县市园区相关工作人员共40人前往福州市、平潭县和厦门市进行为期10天的学习考察，围绕</w:t>
      </w:r>
      <w:r>
        <w:rPr>
          <w:rStyle w:val="18"/>
          <w:rFonts w:hint="eastAsia" w:ascii="楷体" w:hAnsi="楷体" w:eastAsia="楷体"/>
          <w:b w:val="0"/>
          <w:bCs w:val="0"/>
          <w:spacing w:val="-4"/>
          <w:sz w:val="32"/>
          <w:szCs w:val="32"/>
          <w:lang w:eastAsia="zh-CN"/>
        </w:rPr>
        <w:t>党的二十大精神</w:t>
      </w:r>
      <w:r>
        <w:rPr>
          <w:rStyle w:val="18"/>
          <w:rFonts w:hint="eastAsia" w:ascii="楷体" w:hAnsi="楷体" w:eastAsia="楷体"/>
          <w:b w:val="0"/>
          <w:bCs w:val="0"/>
          <w:spacing w:val="-4"/>
          <w:sz w:val="32"/>
          <w:szCs w:val="32"/>
        </w:rPr>
        <w:t>、</w:t>
      </w:r>
      <w:r>
        <w:rPr>
          <w:rStyle w:val="18"/>
          <w:rFonts w:hint="eastAsia" w:ascii="楷体" w:hAnsi="楷体" w:eastAsia="楷体"/>
          <w:b w:val="0"/>
          <w:bCs w:val="0"/>
          <w:spacing w:val="-4"/>
          <w:sz w:val="32"/>
          <w:szCs w:val="32"/>
          <w:lang w:eastAsia="zh-CN"/>
        </w:rPr>
        <w:t>习近平新时代中国特色社会主义思想</w:t>
      </w:r>
      <w:r>
        <w:rPr>
          <w:rStyle w:val="18"/>
          <w:rFonts w:hint="eastAsia" w:ascii="楷体" w:hAnsi="楷体" w:eastAsia="楷体"/>
          <w:b w:val="0"/>
          <w:bCs w:val="0"/>
          <w:spacing w:val="-4"/>
          <w:sz w:val="32"/>
          <w:szCs w:val="32"/>
        </w:rPr>
        <w:t>理论知识，深入学习了企业投融资及经营管理相关知识。培训过程中不得发生安全事故。通过理论讲授、实地观摩、分组研讨、交流发言等多种学习方式相结合，帮助各位企业家提升企业经营管理能力，主动对接资本市场，全面提高各部门、各县市园区工作人员的业务水平，更好地服务企业，共同助力昌吉州金融服务经济高质量发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“培训参加人数”指标，预期指标值为“等于40人”；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“培训合格率”指标，预期指标值为“等于100%”；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“培训天数”指标，预期指标值为“等于10天”；</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“培训费用”指标，预期指标值为“小于等于23.95万元”；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“预算成本控制率”指标，预期指标值为“小于等于100%”；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“安全事故发生率”指标，预期指标值为“小于等于100%”；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“培训人员满意率”指标，预期指标值为“大于等于90%”。</w:t>
      </w:r>
    </w:p>
    <w:p w14:paraId="76A4C6D6">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2A6D04E4">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33617020">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我从天山来”昌吉州重点企业投融资及经营管理培训班项目，评价核心为项目资金、项目产出、项目效益和项目安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（5）项目其他相关资料。</w:t>
      </w:r>
    </w:p>
    <w:p w14:paraId="3C175889">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66AC6299">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五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spacing w:val="-4"/>
          <w:sz w:val="32"/>
          <w:szCs w:val="32"/>
          <w:lang w:eastAsia="zh-CN"/>
        </w:rPr>
        <w:t>以及</w:t>
      </w:r>
      <w:r>
        <w:rPr>
          <w:rStyle w:val="18"/>
          <w:rFonts w:hint="eastAsia" w:ascii="楷体" w:hAnsi="楷体" w:eastAsia="楷体"/>
          <w:b w:val="0"/>
          <w:bCs w:val="0"/>
          <w:spacing w:val="-4"/>
          <w:sz w:val="32"/>
          <w:szCs w:val="32"/>
        </w:rPr>
        <w:t>公众评判法。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7E4F77D2">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（三）绩效评价工作过程</w:t>
      </w:r>
    </w:p>
    <w:p w14:paraId="49B4B73D">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1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朱宝成（评价小组组长）：主要负责项目策划和监督，全面负责项目绩效评价办稿的最终质量，对评估人员出具的最终报告质量进行复核，确保评估结果的客观性；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陈慧（评价小组组员）：主要负责资料的收集，取证、数据统计分析；项目报告的制定，指标的研判，数据分析及报告撰写。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2024年3月2日-3月30日，评价工作进入实施阶段。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经调研了解，该项目主要受益群体为参加本次培训的学员。我们根据绩效评价目标和绩效指标体系，设计满意度调查问卷进行问卷调查，其中培训学员共选取样本40人，共发放问卷40份，最终收回40份。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2024年4月1日-4月20日，评价小组按照绩效评价的原则和规范，对取得的资料进行审查核实，对采集的数据进行分析，按照绩效评价指标评分表逐项进行打分、分析、汇总各方评价结果。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2024年4月21日-4月28日，评价小组撰写绩效评价报告，按照新疆维吾尔自治区财政绩效管理信息系统绩效评价模块中统一格式和文本框架撰写绩效评价报告并提交审核。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34E6740E">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07FF0F36">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达成年初设立的绩效目标，在实施过程中取得了良好的成效，具体表现在：通过“我从天山来”昌吉州重点企业投融资及经营管理培训班项目的实施，组织昌吉州重点拟上市企业高管以及各部门、各县市园区相关工作人员40人前往福州市、平潭县和厦门市进行学习考察，通过理论讲授、实地观摩、分组研讨、交流发言等多种学习方式相结合，帮助各位企业家提升企业经营管理能力，主动对接资本市场，全面提高各部门、各县市园区工作人员的业务水平，更好地服务企业，共同助力昌吉州金融服务经济高质量发展。通过本次培训提高了昌吉州企业对接资本市场的积极性，促成了蓝山屯河进行上市申报，泰昆蛋白新三板成功挂牌，34家企业成功入选自治区上市后备企业资源库等成绩。但在实施过程中也存在一些不足：项目缺乏持续性。本次使用援疆资金开展的“我从天山来”昌吉州重点企业投融资及经营管理培训班项目，组织昌吉州重点拟上市企业高管以及各部门、各县市园区相关工作人员前往福州市、平潭县和厦门市进行学习考察，可以有效促进福建、昌吉两地企业家交流、交往、交融，帮助昌吉州企业家深入了解资本市场，创新经营思维，转变发展理念，促成了蓝山屯河进行上市申报，泰昆蛋白新三板成功挂牌，34家企业成功入选自治区上市后备企业资源库等成绩。但项目缺乏持续性，2024年未安排外出培训项目，减弱了对我州优质企业对接资本市场的支持力度。</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18个，实现三级指标数量18个，总体完成率为100.62%。最终评分结果：总分为100分，绩效评级为“优”。综合评价结论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过程管理类指标共设置5个，满分指标5个，得分率100%；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项目产出类指标共设置5个，满分指标5个，得分率100%；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项目效益类指标共设置2个，满分指标2个，得分率100%。</w:t>
      </w:r>
    </w:p>
    <w:p w14:paraId="5EF74117">
      <w:pPr>
        <w:spacing w:line="540" w:lineRule="exact"/>
        <w:ind w:firstLine="640"/>
        <w:rPr>
          <w:rStyle w:val="18"/>
          <w:rFonts w:hint="eastAsia"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4E88EB38">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75B49157">
      <w:pPr>
        <w:tabs>
          <w:tab w:val="center" w:pos="4295"/>
        </w:tabs>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昌吉州推动企业上市三年行动计划（2021-2023年）》（昌州政办发〔2021〕21号）中：“加强企业上市辅导”内容，符合行业发展规划和政策要求；本项目立项符合《昌吉州金融工作办公室配置内设机构和人员编制规定》中职责范围中的“负责推进自治州企业上市工作”，属于我单位履职所需；根据《财政资金直接支付申请书》，本项目资金性质为“39其他收入资金”功能分类为“2013602一般行政管理事务”经济分类为“50502商品和服务支出”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本项目为非基础建设类项目，属于援疆资金安排项目，不涉及事前绩效评估、可行性研究以及风险评估，由我单位严格按照福建援疆指挥部福建援疆交往交流交融项目要求实施项目。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顺利完成‘我从天山来’昌吉州重点企业投融资及经营管理培训班在福建省为期10天的培训”；本项目实际工作内容为：完成“我从天山来”昌吉州重点企业投融资及经营管理培训班培训任务，完成培训40人，为期10天；绩效目标与实际工作内容一致，两者具有相关性;本项目按照绩效目标完成了数量指标、质量指标、时效指标、成本指标，有效保障了各位企业家提升企业经营管理能力，主动对接资本市场，全面提高各部门、各县市园区工作人员的业务水平，更好地服务企业，共同助力昌吉州金融服务经济高质量发展，年度绩效目标完成，预期产出效益和效果符合正常的业绩水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经检查我单位年初设置的《项目支出绩效目标表》，得出如下结论：本项目已将年度绩效目标进行细化为绩效指标体系，共设置一级指标3个，二级指标6个，三级指标7个，定量指标7个，指标量化率为100%。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深入贯彻州党委、政府关于推动经济社会高质量发展决策部署，积极落实好《昌吉州推动企业上市三年行动计划（2021-2023年）》，抢抓注册制改革和北交所设立重大历史机遇，利用好新疆企业上市“绿色通道”政策，通过使用福建援疆资金开展资本市场培训，组织州县金融主管部门干部和拟上市企业高管参加培训，促进福建、昌吉两地企业家交流、交往、交融，帮助昌吉州企业家深入了解资本市场，主动对接资本市场，借助资本市场的力量做大做强。项目实际内容：经福建援疆指挥部批准，2023年3月18日-3月27日，全州40名州县市（园区）金融工作主管部门干部、重点企业代表、上市协会企业等前往福建福州市、平潭县和厦门市三地开展为期10天的“我从天山来”昌吉州重点企业投融资及经营管理培训班。预算申请与《福建援疆交往交流交融项目审批表》中涉及的项目内容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23.95万元，我单位在预算申请中严格按照单位标准和数量进行核算，其中：住宿费用9.72万元，伙食费用5.2万元，培训场地、资料、交通费1.2万元，师资费4.12万元，现场教学讲解费2.9万元，其他费用0.8万元。本项目预算额度测算依据充分，严格按照标准编制，预算确定资金量与实际工作任务相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福建援疆交往交流交融项目审批表》和《培训费用明细》为依据进行资金分配，预算资金分配依据充分。根据《关于下达昌吉州本级预算单位2023年部门预算的通知》（昌州财行〔2023〕1号）显示，本项目实际到位资金23.95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2B38BA2E">
      <w:pPr>
        <w:spacing w:line="540" w:lineRule="exact"/>
        <w:ind w:firstLine="567" w:firstLineChars="181"/>
        <w:rPr>
          <w:rStyle w:val="18"/>
          <w:rFonts w:hint="eastAsia"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3A4B4F0D">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项目过程管理类指标由2个二级指标和5个三级指标构成，权重分19.00分，实际得分19.00分。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本项目预算资金为23.95万元，其中：其他资金23.95万元，实际到位资金23.95万元，资金到位率=（实际到位资金/预算资金）×100.00%=100%。得分=资金到位率×分值=100%×4=4分。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本项目实际支出资金23.95万元，预算执行率=（实际支出资金/实际到位资金）×100.00%=（23.95/23.95）×100.00%=100%。得分=预算执行率×分值=100%×5=5分。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州金融办货币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综上所述，本指标满分为4.00分，根据评分标准得4.00分，资金支出符合我单位财务管理制度规定。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州金融办货币资金管理办法》《州金融办财务支出管理办法》《州金融办政府采购业务内部控制制度》《州金融办合同业务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我从天山来”昌吉州重点企业投融资及经营管理培训班项目工作领导小组，由党组书记周友仁任组长，负责项目的组织工作；王晶磊任副组长，负责项目的实施工作；组员包括：陈慧和金静，主要负责项目监督管理、验收以及资金核拨等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综上所述，本指标满分为4.00分，根据评分标准得4.00分，本项目所建立制度执行有效。</w:t>
      </w:r>
    </w:p>
    <w:p w14:paraId="7624857A">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72219EC4">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项目产出类指标由3个二级指标和3个三级指标构成，权重分20.0分，实际得分20.00分。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“培训参与人数”指标：预期指标值为“等于40人”，实际完成指标值为“40人”，指标完成率为100.0%。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综上所述，本指标满分为8.00分，根据评分标准得8.00分。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“培训合格率”指标：预期指标值为“100%”，实际完成指标值为“100%”，指标完成率为100%。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综上所述，本指标满分为8.00分，根据评分标准得8.00分。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“培训天数”指标：预期指标值为“10天”，实际完成指标值为“10天”，指标完成率为100%。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“培训费用”指标：预期指标值为“小于等于23.95万元”，实际完成指标值为“23.95万元”，指标完成率为100%。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“预算成本控制率”指标：预期指标值为“小于等于100%”，实际完成指标值为“100%”，指标完成率为100%。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p>
    <w:p w14:paraId="0ED4B261">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10CBD961">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项目效益类指标由2个二级指标和2个三级指标构成，权重分30.00分，实际得分30.00分。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“安全事故发生率”指标：预期指标值为“小于等于100%”，实际完成指标值为“0%”，指标完成率为100.0%。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综上所述，本指标满分为20.00分，根据评分标准得20.00分。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“培训人员满意度”指标：预期指标值为“大于等于90%”，实际完成指标值为“100%”，指标完成率为111.11%。</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p>
    <w:p w14:paraId="775F232B">
      <w:pPr>
        <w:spacing w:line="540" w:lineRule="exact"/>
        <w:ind w:firstLine="567"/>
        <w:rPr>
          <w:rStyle w:val="18"/>
          <w:rFonts w:hint="eastAsia" w:ascii="楷体" w:hAnsi="楷体" w:eastAsia="楷体"/>
          <w:spacing w:val="-4"/>
          <w:sz w:val="32"/>
          <w:szCs w:val="32"/>
        </w:rPr>
      </w:pPr>
    </w:p>
    <w:p w14:paraId="17D52D06">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预算执行进度与绩效指标偏差</w:t>
      </w:r>
    </w:p>
    <w:p w14:paraId="682CF128">
      <w:pPr>
        <w:spacing w:line="540" w:lineRule="exact"/>
        <w:ind w:firstLine="567"/>
        <w:rPr>
          <w:rStyle w:val="18"/>
          <w:rFonts w:hint="eastAsia" w:ascii="黑体" w:hAnsi="黑体" w:eastAsia="黑体"/>
          <w:b w:val="0"/>
          <w:spacing w:val="-4"/>
          <w:sz w:val="32"/>
          <w:szCs w:val="32"/>
        </w:rPr>
      </w:pPr>
      <w:r>
        <w:rPr>
          <w:rStyle w:val="18"/>
          <w:rFonts w:hint="eastAsia" w:ascii="楷体" w:hAnsi="楷体" w:eastAsia="楷体"/>
          <w:b w:val="0"/>
          <w:bCs w:val="0"/>
          <w:spacing w:val="-4"/>
          <w:sz w:val="32"/>
          <w:szCs w:val="32"/>
        </w:rPr>
        <w:t>本项目年初预算资金总额为23.95万元，全年预算数为23.95万元，全年执行数为23.95万元，预算执行率为100%。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本项目共设置三级指标数量18个，满分指标数量18个，经分析计算所有三级指标完成率得出，本项目总体完成率为100.62%。</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综上所述本项目预算执行进度与总体完成进度无偏差。</w:t>
      </w:r>
    </w:p>
    <w:p w14:paraId="1F2C6B4B">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061CD4F8">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一是理论课程内容新颖务实。本次培训共安排了</w:t>
      </w:r>
      <w:r>
        <w:rPr>
          <w:rStyle w:val="18"/>
          <w:rFonts w:hint="eastAsia" w:ascii="楷体" w:hAnsi="楷体" w:eastAsia="楷体"/>
          <w:b w:val="0"/>
          <w:bCs w:val="0"/>
          <w:spacing w:val="-4"/>
          <w:sz w:val="32"/>
          <w:szCs w:val="32"/>
          <w:lang w:eastAsia="zh-CN"/>
        </w:rPr>
        <w:t>习近平新时代中国特色社会主义思想</w:t>
      </w:r>
      <w:r>
        <w:rPr>
          <w:rStyle w:val="18"/>
          <w:rFonts w:hint="eastAsia" w:ascii="楷体" w:hAnsi="楷体" w:eastAsia="楷体"/>
          <w:b w:val="0"/>
          <w:bCs w:val="0"/>
          <w:spacing w:val="-4"/>
          <w:sz w:val="32"/>
          <w:szCs w:val="32"/>
        </w:rPr>
        <w:t>、《企业投融资管理实务》、《企业投资并购与资本市场运作》等十门理论课程。各位专家教授都从</w:t>
      </w:r>
      <w:r>
        <w:rPr>
          <w:rStyle w:val="18"/>
          <w:rFonts w:hint="eastAsia" w:ascii="楷体" w:hAnsi="楷体" w:eastAsia="楷体"/>
          <w:b w:val="0"/>
          <w:bCs w:val="0"/>
          <w:spacing w:val="-4"/>
          <w:sz w:val="32"/>
          <w:szCs w:val="32"/>
          <w:lang w:eastAsia="zh-CN"/>
        </w:rPr>
        <w:t>党的二十大精神</w:t>
      </w:r>
      <w:r>
        <w:rPr>
          <w:rStyle w:val="18"/>
          <w:rFonts w:hint="eastAsia" w:ascii="楷体" w:hAnsi="楷体" w:eastAsia="楷体"/>
          <w:b w:val="0"/>
          <w:bCs w:val="0"/>
          <w:spacing w:val="-4"/>
          <w:sz w:val="32"/>
          <w:szCs w:val="32"/>
        </w:rPr>
        <w:t>、</w:t>
      </w:r>
      <w:r>
        <w:rPr>
          <w:rStyle w:val="18"/>
          <w:rFonts w:hint="eastAsia" w:ascii="楷体" w:hAnsi="楷体" w:eastAsia="楷体"/>
          <w:b w:val="0"/>
          <w:bCs w:val="0"/>
          <w:spacing w:val="-4"/>
          <w:sz w:val="32"/>
          <w:szCs w:val="32"/>
          <w:lang w:eastAsia="zh-CN"/>
        </w:rPr>
        <w:t>全国两会精神</w:t>
      </w:r>
      <w:r>
        <w:rPr>
          <w:rStyle w:val="18"/>
          <w:rFonts w:hint="eastAsia" w:ascii="楷体" w:hAnsi="楷体" w:eastAsia="楷体"/>
          <w:b w:val="0"/>
          <w:bCs w:val="0"/>
          <w:spacing w:val="-4"/>
          <w:sz w:val="32"/>
          <w:szCs w:val="32"/>
        </w:rPr>
        <w:t>解读出发，深入分析了当前政治经济形势，并结合新疆拟上市企业具体实际，通过实际案例剖析，深入浅出地对企业投融资和经营管理知识进行了讲解，让学员们能学有所得、学有所悟。</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二是现场教学令人耳目一新。通过对福州市政务服务中心、城市规划馆、林则徐纪念馆的现场教学，让学员实地体验到</w:t>
      </w:r>
      <w:r>
        <w:rPr>
          <w:rStyle w:val="18"/>
          <w:rFonts w:hint="eastAsia" w:ascii="楷体" w:hAnsi="楷体" w:eastAsia="楷体"/>
          <w:b w:val="0"/>
          <w:bCs w:val="0"/>
          <w:spacing w:val="-4"/>
          <w:sz w:val="32"/>
          <w:szCs w:val="32"/>
          <w:lang w:eastAsia="zh-CN"/>
        </w:rPr>
        <w:t>习近平新时代中国特色社会主义思想</w:t>
      </w:r>
      <w:r>
        <w:rPr>
          <w:rStyle w:val="18"/>
          <w:rFonts w:hint="eastAsia" w:ascii="楷体" w:hAnsi="楷体" w:eastAsia="楷体"/>
          <w:b w:val="0"/>
          <w:bCs w:val="0"/>
          <w:spacing w:val="-4"/>
          <w:sz w:val="32"/>
          <w:szCs w:val="32"/>
        </w:rPr>
        <w:t>在福州的创新理念和生动实践。对厦门建发集团、钨业集团等上市公司的实地考察则令学员亲身感受到资本市场对企业发展的巨大助力，让昌吉州的企业家们坚定了主动对接资本市场的信心并从中吸取了如何对接资本市场的宝贵经验。对厦门环东云谷和平潭综合实验区创业示范村的观摩，让学员深入了解了沿海发达地区创新创业的新理念、新业态。</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是交流研讨共同提高。培训班多次开展分组讨论，各位学员相互交流学习收获，形成了相互学习、相互提高、共同交流、共同进步的良好学习氛围。各位学员通过共同研讨学习内容、积极交流各自想法、相互分享学习所得，不断通过思想上的碰撞，学会从不同的角度思考问题，不断深化自身思维的深度和广度，加深对问题的认识和对新知识的掌握，促使本次学习培训获得更大的收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（二）存在的问题及原因分析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1.绩效预算认识不够充分，绩效理念有待进一步强化</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部门绩效管理理念尚未牢固树立，绩效管理专业人员匮乏。单位对全面实施绩效管理认识不够，绩效水平不高，单位内部绩效管理工作力量薄弱，多数以业务科室人员牵头开展绩效管理，对财务工作制度掌握不清，业务人员财务管理能力和素质还有待进一步提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2.项目缺乏持续性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使用援疆资金开展的“我从天山来”昌吉州重点企业投融资及经营管理培训班项目，组织昌吉州重点拟上市企业高管以及各部门、各县市园区相关工作人员前往福州市、平潭县和厦门市进行学习考察，可以有效促进福建、昌吉两地企业家交流、交往、交融，帮助昌吉州企业家深入了解资本市场，创新经营思维，转变发展理念，促成了蓝山屯河进行上市申报，泰昆蛋白新三板成功挂牌，34家企业成功入选自治区上市后备企业资源库等成绩。但项目缺乏持续性，2024年未安排外出培训项目，减弱了对我州优质企业对接资本市场的支持力度。</w:t>
      </w:r>
    </w:p>
    <w:p w14:paraId="1B22F4D4">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七、有关建议</w:t>
      </w:r>
    </w:p>
    <w:p w14:paraId="27172E7A">
      <w:pPr>
        <w:spacing w:line="540" w:lineRule="exact"/>
        <w:ind w:firstLine="567"/>
        <w:rPr>
          <w:rStyle w:val="18"/>
          <w:rFonts w:hint="eastAsia" w:ascii="楷体" w:hAnsi="楷体" w:eastAsia="楷体"/>
          <w:spacing w:val="-4"/>
          <w:sz w:val="32"/>
          <w:szCs w:val="32"/>
        </w:rPr>
      </w:pPr>
      <w:r>
        <w:rPr>
          <w:rStyle w:val="18"/>
          <w:rFonts w:hint="eastAsia" w:ascii="楷体" w:hAnsi="楷体" w:eastAsia="楷体"/>
          <w:b w:val="0"/>
          <w:bCs w:val="0"/>
          <w:spacing w:val="-4"/>
          <w:sz w:val="32"/>
          <w:szCs w:val="32"/>
        </w:rPr>
        <w:t xml:space="preserve"> 1.加强培训，提高相关人员工作水平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采取多种培训形式对单位财务人员、业务科室人员进行集中培训，进一步树牢绩效观念，提高本单位工作人员的绩效管理能力和工作水平，为预算绩效管理相关工作的顺利开展提供保障。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2.实现培训项目常态化</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将资本市场培训项目列入每年的预算之中，实现外出培训项目常态化，促进我州企业家积极与内地企业进行沟通交流，主动学习先进经验，帮助昌吉州企业家深入了解资本市场，创新经营思维，转变发展理念。</w:t>
      </w:r>
    </w:p>
    <w:p w14:paraId="3F5EC068">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八、其他需要说明的问题</w:t>
      </w:r>
    </w:p>
    <w:p w14:paraId="31083790">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我单位对上述项目支出绩效评价报告内反映内容的真实性、完整性负责，接受上级部门及社会公众监督。</w:t>
      </w:r>
    </w:p>
    <w:p w14:paraId="23486ABA">
      <w:pPr>
        <w:spacing w:line="540" w:lineRule="exact"/>
        <w:ind w:firstLine="567"/>
        <w:rPr>
          <w:rStyle w:val="18"/>
          <w:rFonts w:hint="eastAsia" w:ascii="仿宋" w:hAnsi="仿宋" w:eastAsia="仿宋"/>
          <w:b w:val="0"/>
          <w:spacing w:val="-4"/>
          <w:sz w:val="32"/>
          <w:szCs w:val="32"/>
        </w:rPr>
      </w:pPr>
    </w:p>
    <w:p w14:paraId="2C332C20">
      <w:pPr>
        <w:spacing w:line="540" w:lineRule="exact"/>
        <w:ind w:firstLine="567"/>
        <w:rPr>
          <w:rStyle w:val="18"/>
          <w:rFonts w:hint="eastAsia" w:ascii="仿宋" w:hAnsi="仿宋" w:eastAsia="仿宋"/>
          <w:b w:val="0"/>
          <w:spacing w:val="-4"/>
          <w:sz w:val="32"/>
          <w:szCs w:val="32"/>
        </w:rPr>
      </w:pPr>
    </w:p>
    <w:p w14:paraId="42309733">
      <w:pPr>
        <w:spacing w:line="540" w:lineRule="exact"/>
        <w:ind w:firstLine="567"/>
        <w:rPr>
          <w:rStyle w:val="18"/>
          <w:rFonts w:hint="eastAsia" w:ascii="仿宋" w:hAnsi="仿宋" w:eastAsia="仿宋"/>
          <w:b w:val="0"/>
          <w:spacing w:val="-4"/>
          <w:sz w:val="32"/>
          <w:szCs w:val="32"/>
        </w:rPr>
      </w:pPr>
    </w:p>
    <w:p w14:paraId="5D25559E">
      <w:pPr>
        <w:spacing w:line="540" w:lineRule="exact"/>
        <w:ind w:firstLine="567"/>
        <w:rPr>
          <w:rStyle w:val="18"/>
          <w:rFonts w:hint="eastAsia" w:ascii="仿宋" w:hAnsi="仿宋" w:eastAsia="仿宋"/>
          <w:b w:val="0"/>
          <w:spacing w:val="-4"/>
          <w:sz w:val="32"/>
          <w:szCs w:val="32"/>
        </w:rPr>
      </w:pPr>
    </w:p>
    <w:p w14:paraId="7C528349">
      <w:pPr>
        <w:spacing w:line="540" w:lineRule="exact"/>
        <w:ind w:firstLine="567"/>
        <w:rPr>
          <w:rStyle w:val="18"/>
          <w:rFonts w:hint="eastAsia"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75B16BD0">
        <w:pPr>
          <w:pStyle w:val="12"/>
          <w:jc w:val="center"/>
        </w:pPr>
        <w:r>
          <w:fldChar w:fldCharType="begin"/>
        </w:r>
        <w:r>
          <w:instrText xml:space="preserve">PAGE   \* MERGEFORMAT</w:instrText>
        </w:r>
        <w:r>
          <w:fldChar w:fldCharType="separate"/>
        </w:r>
        <w:r>
          <w:rPr>
            <w:lang w:val="zh-CN"/>
          </w:rPr>
          <w:t>2</w:t>
        </w:r>
        <w:r>
          <w:fldChar w:fldCharType="end"/>
        </w:r>
      </w:p>
    </w:sdtContent>
  </w:sdt>
  <w:p w14:paraId="3281FE54">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73F6C"/>
    <w:rsid w:val="005D10D6"/>
    <w:rsid w:val="00714732"/>
    <w:rsid w:val="007D4494"/>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24A83"/>
    <w:rsid w:val="00D30354"/>
    <w:rsid w:val="00DF42A0"/>
    <w:rsid w:val="00E30E91"/>
    <w:rsid w:val="00E769FE"/>
    <w:rsid w:val="00EA2CBE"/>
    <w:rsid w:val="00F32FEE"/>
    <w:rsid w:val="00FB10BB"/>
    <w:rsid w:val="0856517C"/>
    <w:rsid w:val="0BFB189F"/>
    <w:rsid w:val="11BD75F7"/>
    <w:rsid w:val="13BE561A"/>
    <w:rsid w:val="15392994"/>
    <w:rsid w:val="15AC2F99"/>
    <w:rsid w:val="18FE139B"/>
    <w:rsid w:val="256217CF"/>
    <w:rsid w:val="3029612C"/>
    <w:rsid w:val="32A221C5"/>
    <w:rsid w:val="33F20F2A"/>
    <w:rsid w:val="34C44675"/>
    <w:rsid w:val="3B5B5607"/>
    <w:rsid w:val="3CE21B3C"/>
    <w:rsid w:val="4D2606A1"/>
    <w:rsid w:val="51830480"/>
    <w:rsid w:val="53A616BE"/>
    <w:rsid w:val="54662BFB"/>
    <w:rsid w:val="5C405665"/>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字符"/>
    <w:basedOn w:val="17"/>
    <w:link w:val="2"/>
    <w:qFormat/>
    <w:uiPriority w:val="9"/>
    <w:rPr>
      <w:rFonts w:asciiTheme="majorHAnsi" w:hAnsiTheme="majorHAnsi" w:eastAsiaTheme="majorEastAsia"/>
      <w:b/>
      <w:bCs/>
      <w:kern w:val="32"/>
      <w:sz w:val="32"/>
      <w:szCs w:val="32"/>
    </w:rPr>
  </w:style>
  <w:style w:type="character" w:customStyle="1" w:styleId="21">
    <w:name w:val="标题 2 字符"/>
    <w:basedOn w:val="17"/>
    <w:link w:val="3"/>
    <w:semiHidden/>
    <w:qFormat/>
    <w:uiPriority w:val="9"/>
    <w:rPr>
      <w:rFonts w:asciiTheme="majorHAnsi" w:hAnsiTheme="majorHAnsi" w:eastAsiaTheme="majorEastAsia"/>
      <w:b/>
      <w:bCs/>
      <w:i/>
      <w:iCs/>
      <w:sz w:val="28"/>
      <w:szCs w:val="28"/>
    </w:rPr>
  </w:style>
  <w:style w:type="character" w:customStyle="1" w:styleId="22">
    <w:name w:val="标题 3 字符"/>
    <w:basedOn w:val="17"/>
    <w:link w:val="4"/>
    <w:semiHidden/>
    <w:qFormat/>
    <w:uiPriority w:val="9"/>
    <w:rPr>
      <w:rFonts w:asciiTheme="majorHAnsi" w:hAnsiTheme="majorHAnsi" w:eastAsiaTheme="majorEastAsia"/>
      <w:b/>
      <w:bCs/>
      <w:sz w:val="26"/>
      <w:szCs w:val="26"/>
    </w:rPr>
  </w:style>
  <w:style w:type="character" w:customStyle="1" w:styleId="23">
    <w:name w:val="标题 4 字符"/>
    <w:basedOn w:val="17"/>
    <w:link w:val="5"/>
    <w:semiHidden/>
    <w:qFormat/>
    <w:uiPriority w:val="9"/>
    <w:rPr>
      <w:b/>
      <w:bCs/>
      <w:sz w:val="28"/>
      <w:szCs w:val="28"/>
    </w:rPr>
  </w:style>
  <w:style w:type="character" w:customStyle="1" w:styleId="24">
    <w:name w:val="标题 5 字符"/>
    <w:basedOn w:val="17"/>
    <w:link w:val="6"/>
    <w:semiHidden/>
    <w:qFormat/>
    <w:uiPriority w:val="9"/>
    <w:rPr>
      <w:b/>
      <w:bCs/>
      <w:i/>
      <w:iCs/>
      <w:sz w:val="26"/>
      <w:szCs w:val="26"/>
    </w:rPr>
  </w:style>
  <w:style w:type="character" w:customStyle="1" w:styleId="25">
    <w:name w:val="标题 6 字符"/>
    <w:basedOn w:val="17"/>
    <w:link w:val="7"/>
    <w:semiHidden/>
    <w:qFormat/>
    <w:uiPriority w:val="9"/>
    <w:rPr>
      <w:b/>
      <w:bCs/>
    </w:rPr>
  </w:style>
  <w:style w:type="character" w:customStyle="1" w:styleId="26">
    <w:name w:val="标题 7 字符"/>
    <w:basedOn w:val="17"/>
    <w:link w:val="8"/>
    <w:semiHidden/>
    <w:qFormat/>
    <w:uiPriority w:val="9"/>
    <w:rPr>
      <w:sz w:val="24"/>
      <w:szCs w:val="24"/>
    </w:rPr>
  </w:style>
  <w:style w:type="character" w:customStyle="1" w:styleId="27">
    <w:name w:val="标题 8 字符"/>
    <w:basedOn w:val="17"/>
    <w:link w:val="9"/>
    <w:semiHidden/>
    <w:qFormat/>
    <w:uiPriority w:val="9"/>
    <w:rPr>
      <w:i/>
      <w:iCs/>
      <w:sz w:val="24"/>
      <w:szCs w:val="24"/>
    </w:rPr>
  </w:style>
  <w:style w:type="character" w:customStyle="1" w:styleId="28">
    <w:name w:val="标题 9 字符"/>
    <w:basedOn w:val="17"/>
    <w:link w:val="10"/>
    <w:semiHidden/>
    <w:qFormat/>
    <w:uiPriority w:val="9"/>
    <w:rPr>
      <w:rFonts w:asciiTheme="majorHAnsi" w:hAnsiTheme="majorHAnsi" w:eastAsiaTheme="majorEastAsia"/>
    </w:rPr>
  </w:style>
  <w:style w:type="character" w:customStyle="1" w:styleId="29">
    <w:name w:val="标题 字符"/>
    <w:basedOn w:val="17"/>
    <w:link w:val="15"/>
    <w:qFormat/>
    <w:uiPriority w:val="10"/>
    <w:rPr>
      <w:rFonts w:asciiTheme="majorHAnsi" w:hAnsiTheme="majorHAnsi" w:eastAsiaTheme="majorEastAsia"/>
      <w:b/>
      <w:bCs/>
      <w:kern w:val="28"/>
      <w:sz w:val="32"/>
      <w:szCs w:val="32"/>
    </w:rPr>
  </w:style>
  <w:style w:type="character" w:customStyle="1" w:styleId="30">
    <w:name w:val="副标题 字符"/>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字符"/>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字符"/>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字符"/>
    <w:basedOn w:val="17"/>
    <w:link w:val="13"/>
    <w:qFormat/>
    <w:uiPriority w:val="99"/>
    <w:rPr>
      <w:rFonts w:ascii="Calibri" w:hAnsi="Calibri" w:eastAsia="宋体"/>
      <w:kern w:val="2"/>
      <w:sz w:val="18"/>
      <w:szCs w:val="18"/>
    </w:rPr>
  </w:style>
  <w:style w:type="character" w:customStyle="1" w:styleId="44">
    <w:name w:val="页脚 字符"/>
    <w:basedOn w:val="17"/>
    <w:link w:val="12"/>
    <w:qFormat/>
    <w:uiPriority w:val="99"/>
    <w:rPr>
      <w:rFonts w:ascii="Calibri" w:hAnsi="Calibri" w:eastAsia="宋体"/>
      <w:kern w:val="2"/>
      <w:sz w:val="18"/>
      <w:szCs w:val="18"/>
    </w:rPr>
  </w:style>
  <w:style w:type="character" w:customStyle="1" w:styleId="45">
    <w:name w:val="批注框文本 字符"/>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9215</Words>
  <Characters>9686</Characters>
  <Lines>86</Lines>
  <Paragraphs>24</Paragraphs>
  <TotalTime>6</TotalTime>
  <ScaleCrop>false</ScaleCrop>
  <LinksUpToDate>false</LinksUpToDate>
  <CharactersWithSpaces>9703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2025-07-21T10:18:04Z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A968A6CC3A6A41ADA260D038D605E81B_13</vt:lpwstr>
  </property>
  <property fmtid="{D5CDD505-2E9C-101B-9397-08002B2CF9AE}" pid="4" name="KSOTemplateDocerSaveRecord">
    <vt:lpwstr>eyJoZGlkIjoiMzcxN2Q5OGY0MzIxMzQ2YTVkNjkyNjY4OTc0MzQwMDIiLCJ1c2VySWQiOiIzMjQ5NjUzODcifQ==</vt:lpwstr>
  </property>
</Properties>
</file>