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昌吉州党员教育中心</w:t>
      </w:r>
      <w:r>
        <w:rPr>
          <w:rFonts w:hint="eastAsia" w:ascii="方正小标宋简体" w:hAnsi="方正小标宋简体" w:eastAsia="方正小标宋简体" w:cs="方正小标宋简体"/>
          <w:kern w:val="0"/>
          <w:sz w:val="44"/>
          <w:szCs w:val="44"/>
          <w:lang w:val="en-US" w:eastAsia="zh-CN"/>
        </w:rPr>
        <w:t>2023年</w:t>
      </w:r>
      <w:r>
        <w:rPr>
          <w:rFonts w:hint="eastAsia" w:ascii="方正小标宋简体" w:hAnsi="方正小标宋简体" w:eastAsia="方正小标宋简体" w:cs="方正小标宋简体"/>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昌吉州党员教育中心</w:t>
      </w:r>
      <w:r>
        <w:rPr>
          <w:rFonts w:hint="eastAsia" w:ascii="仿宋_GB2312" w:hAnsi="宋体" w:eastAsia="仿宋_GB2312"/>
          <w:b/>
          <w:kern w:val="0"/>
          <w:sz w:val="32"/>
          <w:szCs w:val="32"/>
          <w:lang w:val="en-US" w:eastAsia="zh-CN"/>
        </w:rPr>
        <w:t>单位</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w:t>
      </w:r>
      <w:r>
        <w:rPr>
          <w:rFonts w:hint="eastAsia" w:ascii="仿宋_GB2312" w:hAnsi="仿宋_GB2312" w:eastAsia="仿宋_GB2312" w:cs="仿宋_GB2312"/>
          <w:b/>
          <w:kern w:val="0"/>
          <w:sz w:val="32"/>
          <w:szCs w:val="32"/>
          <w:lang w:val="en-US" w:eastAsia="zh-CN"/>
        </w:rPr>
        <w:t>3</w:t>
      </w:r>
      <w:r>
        <w:rPr>
          <w:rFonts w:hint="eastAsia" w:ascii="仿宋_GB2312" w:hAnsi="仿宋_GB2312" w:eastAsia="仿宋_GB2312" w:cs="仿宋_GB2312"/>
          <w:b/>
          <w:kern w:val="0"/>
          <w:sz w:val="32"/>
          <w:szCs w:val="32"/>
        </w:rPr>
        <w:t>年单位预算公开表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Hans"/>
        </w:rPr>
        <w:t>八</w:t>
      </w:r>
      <w:r>
        <w:rPr>
          <w:rFonts w:hint="eastAsia" w:ascii="仿宋_GB2312" w:hAnsi="仿宋_GB2312" w:eastAsia="仿宋_GB2312" w:cs="仿宋_GB2312"/>
          <w:kern w:val="0"/>
          <w:sz w:val="32"/>
          <w:szCs w:val="32"/>
        </w:rPr>
        <w:t>、政府性基金预算支出情况表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Hans"/>
        </w:rPr>
        <w:t>九、</w:t>
      </w:r>
      <w:r>
        <w:rPr>
          <w:rFonts w:hint="eastAsia" w:ascii="仿宋_GB2312" w:hAnsi="仿宋_GB2312" w:eastAsia="仿宋_GB2312" w:cs="仿宋_GB2312"/>
          <w:kern w:val="0"/>
          <w:sz w:val="32"/>
          <w:szCs w:val="32"/>
        </w:rPr>
        <w:t>国有资本经营预算支出情况表</w:t>
      </w:r>
    </w:p>
    <w:p>
      <w:pPr>
        <w:spacing w:line="600" w:lineRule="exact"/>
        <w:ind w:firstLine="640" w:firstLineChars="200"/>
        <w:rPr>
          <w:rFonts w:hint="eastAsia" w:ascii="仿宋_GB2312" w:hAnsi="仿宋_GB2312" w:eastAsia="仿宋_GB2312" w:cs="仿宋_GB2312"/>
          <w:kern w:val="0"/>
          <w:sz w:val="32"/>
          <w:szCs w:val="32"/>
          <w:lang w:eastAsia="zh-Hans"/>
        </w:rPr>
      </w:pPr>
      <w:r>
        <w:rPr>
          <w:rFonts w:hint="eastAsia" w:ascii="仿宋_GB2312" w:hAnsi="仿宋_GB2312" w:eastAsia="仿宋_GB2312" w:cs="仿宋_GB2312"/>
          <w:kern w:val="0"/>
          <w:sz w:val="32"/>
          <w:szCs w:val="32"/>
          <w:lang w:eastAsia="zh-Hans"/>
        </w:rPr>
        <w:t>十</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“三公”经费支出情况表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w:t>
      </w:r>
      <w:r>
        <w:rPr>
          <w:rFonts w:hint="eastAsia" w:ascii="仿宋_GB2312" w:hAnsi="仿宋_GB2312" w:eastAsia="仿宋_GB2312" w:cs="仿宋_GB2312"/>
          <w:b/>
          <w:kern w:val="0"/>
          <w:sz w:val="32"/>
          <w:szCs w:val="32"/>
          <w:lang w:val="en-US" w:eastAsia="zh-CN"/>
        </w:rPr>
        <w:t>3</w:t>
      </w:r>
      <w:r>
        <w:rPr>
          <w:rFonts w:hint="eastAsia" w:ascii="仿宋_GB2312" w:hAnsi="仿宋_GB2312" w:eastAsia="仿宋_GB2312" w:cs="仿宋_GB2312"/>
          <w:b/>
          <w:kern w:val="0"/>
          <w:sz w:val="32"/>
          <w:szCs w:val="32"/>
        </w:rPr>
        <w:t>年单位预算情况说明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国有资本经营</w:t>
      </w:r>
      <w:r>
        <w:rPr>
          <w:rFonts w:hint="eastAsia" w:ascii="仿宋_GB2312" w:hAnsi="仿宋_GB2312" w:eastAsia="仿宋_GB2312" w:cs="仿宋_GB2312"/>
          <w:kern w:val="0"/>
          <w:sz w:val="32"/>
          <w:szCs w:val="32"/>
        </w:rPr>
        <w:t>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财政拨款</w:t>
      </w:r>
      <w:r>
        <w:rPr>
          <w:rFonts w:hint="eastAsia" w:ascii="仿宋_GB2312" w:hAnsi="仿宋_GB2312" w:eastAsia="仿宋_GB2312" w:cs="仿宋_GB2312"/>
          <w:kern w:val="0"/>
          <w:sz w:val="32"/>
          <w:szCs w:val="32"/>
        </w:rPr>
        <w:t>“三公”经费预算情况说明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十一、</w:t>
      </w:r>
      <w:r>
        <w:rPr>
          <w:rFonts w:hint="eastAsia" w:ascii="仿宋_GB2312" w:hAnsi="仿宋_GB2312" w:eastAsia="仿宋_GB2312" w:cs="仿宋_GB2312"/>
          <w:kern w:val="0"/>
          <w:sz w:val="32"/>
          <w:szCs w:val="32"/>
        </w:rPr>
        <w:t>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昌吉州党员教育中心概况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560" w:lineRule="exact"/>
        <w:ind w:firstLine="640" w:firstLineChars="200"/>
        <w:rPr>
          <w:rFonts w:ascii="仿宋_GB2312" w:hAnsi="宋体" w:eastAsia="仿宋_GB2312" w:cs="宋体"/>
          <w:bCs/>
          <w:kern w:val="0"/>
          <w:sz w:val="32"/>
          <w:szCs w:val="32"/>
        </w:rPr>
      </w:pPr>
      <w:r>
        <w:rPr>
          <w:rFonts w:hint="eastAsia" w:ascii="仿宋_GB2312" w:hAnsi="仿宋_GB2312" w:eastAsia="仿宋_GB2312" w:cs="仿宋_GB2312"/>
          <w:sz w:val="32"/>
          <w:szCs w:val="32"/>
        </w:rPr>
        <w:t>昌吉州党员教育中心主要职责：负责研究提出自治州党员教育工作规划和计划并组织实施，开展党员教育工作的调查研究并提出意见建议；负责自治州党员教育、远程教育工作的指导协调和督促检查；承担自治州党员干部现代远程教育以及党员教育信息化平台建设、管理使用和服务保障工作；承担自治州党员集中性和经常性学习教育活动有关具体事务和学习材料的组织编写；会同有关单位组织实施自治区、自治州党员教育培训重点工作；承担党员教育教材编写、课件开发，少数民族语言教学资源制作和译制工作；承担自治州党建网（博格达网）、博格达视野党建微信公众号平台运行管理和安全维护工作；承担部务会交办的其他工作。</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昌吉州党员教育中心无下属预算单位，下设3个科室，分别是：</w:t>
      </w:r>
      <w:r>
        <w:rPr>
          <w:rFonts w:hint="eastAsia" w:ascii="仿宋_GB2312" w:hAnsi="宋体" w:eastAsia="仿宋_GB2312" w:cs="宋体"/>
          <w:kern w:val="0"/>
          <w:sz w:val="32"/>
          <w:szCs w:val="32"/>
        </w:rPr>
        <w:t>综合科、教学资源科、培训科。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昌吉州党员教育中心</w:t>
      </w:r>
      <w:r>
        <w:rPr>
          <w:rFonts w:hint="eastAsia" w:ascii="仿宋_GB2312" w:hAnsi="宋体" w:eastAsia="仿宋_GB2312" w:cs="宋体"/>
          <w:kern w:val="0"/>
          <w:sz w:val="32"/>
          <w:szCs w:val="32"/>
        </w:rPr>
        <w:t>编制数11</w:t>
      </w:r>
      <w:r>
        <w:rPr>
          <w:rFonts w:hint="eastAsia" w:ascii="仿宋_GB2312" w:hAnsi="宋体" w:eastAsia="仿宋_GB2312" w:cs="宋体"/>
          <w:kern w:val="0"/>
          <w:sz w:val="32"/>
          <w:szCs w:val="32"/>
          <w:lang w:val="en-US" w:eastAsia="zh-CN"/>
        </w:rPr>
        <w:t>人</w:t>
      </w:r>
      <w:r>
        <w:rPr>
          <w:rFonts w:hint="eastAsia" w:ascii="仿宋_GB2312" w:hAnsi="宋体" w:eastAsia="仿宋_GB2312" w:cs="宋体"/>
          <w:kern w:val="0"/>
          <w:sz w:val="32"/>
          <w:szCs w:val="32"/>
        </w:rPr>
        <w:t>，实有人数10人，其中：在职10人，增加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人；退休0人，增加0人；离休0人，增加0人。</w:t>
      </w:r>
    </w:p>
    <w:p>
      <w:pPr>
        <w:widowControl/>
        <w:spacing w:line="54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40" w:lineRule="exact"/>
        <w:ind w:firstLine="640"/>
        <w:jc w:val="left"/>
        <w:rPr>
          <w:rFonts w:hint="eastAsia"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rPr>
          <w:rFonts w:hint="eastAsia" w:ascii="黑体" w:hAnsi="黑体" w:eastAsia="黑体"/>
          <w:kern w:val="0"/>
          <w:sz w:val="32"/>
          <w:szCs w:val="32"/>
        </w:rPr>
      </w:pPr>
      <w:r>
        <w:rPr>
          <w:rFonts w:hint="eastAsia" w:ascii="黑体" w:hAnsi="黑体" w:eastAsia="黑体"/>
          <w:kern w:val="0"/>
          <w:sz w:val="32"/>
          <w:szCs w:val="32"/>
        </w:rPr>
        <w:br w:type="page"/>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w:t>
      </w:r>
      <w:r>
        <w:rPr>
          <w:rFonts w:hint="eastAsia" w:ascii="黑体" w:hAnsi="黑体" w:eastAsia="黑体"/>
          <w:kern w:val="0"/>
          <w:sz w:val="32"/>
          <w:szCs w:val="32"/>
          <w:lang w:val="en-US" w:eastAsia="zh-CN"/>
        </w:rPr>
        <w:t>3</w:t>
      </w:r>
      <w:r>
        <w:rPr>
          <w:rFonts w:hint="eastAsia" w:ascii="黑体" w:hAnsi="黑体" w:eastAsia="黑体"/>
          <w:kern w:val="0"/>
          <w:sz w:val="32"/>
          <w:szCs w:val="32"/>
        </w:rPr>
        <w:t>年</w:t>
      </w:r>
      <w:r>
        <w:rPr>
          <w:rFonts w:hint="eastAsia" w:ascii="黑体" w:hAnsi="黑体" w:eastAsia="黑体"/>
          <w:kern w:val="0"/>
          <w:sz w:val="32"/>
          <w:szCs w:val="32"/>
          <w:lang w:val="en-US" w:eastAsia="zh-CN"/>
        </w:rPr>
        <w:t>昌吉州党员教育中心</w:t>
      </w:r>
      <w:r>
        <w:rPr>
          <w:rFonts w:hint="eastAsia" w:ascii="黑体" w:hAnsi="黑体" w:eastAsia="黑体"/>
          <w:kern w:val="0"/>
          <w:sz w:val="32"/>
          <w:szCs w:val="32"/>
        </w:rPr>
        <w:t>预算公开表</w:t>
      </w:r>
    </w:p>
    <w:p>
      <w:pPr>
        <w:widowControl/>
        <w:spacing w:line="240" w:lineRule="exact"/>
        <w:jc w:val="left"/>
        <w:textAlignment w:val="bottom"/>
        <w:rPr>
          <w:rFonts w:hint="eastAsia" w:ascii="宋体" w:hAnsi="宋体" w:cs="宋体"/>
          <w:color w:val="000000"/>
          <w:kern w:val="0"/>
          <w:sz w:val="20"/>
          <w:szCs w:val="20"/>
          <w:lang w:bidi="ar"/>
        </w:rPr>
      </w:pP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jc w:val="center"/>
        <w:rPr>
          <w:rFonts w:hint="eastAsia" w:ascii="仿宋_GB2312" w:hAnsi="宋体" w:eastAsia="仿宋_GB2312"/>
          <w:b/>
          <w:kern w:val="0"/>
          <w:sz w:val="32"/>
          <w:szCs w:val="32"/>
          <w:highlight w:val="none"/>
          <w:lang w:val="en-US" w:eastAsia="zh-CN"/>
        </w:rPr>
      </w:pPr>
      <w:r>
        <w:rPr>
          <w:rFonts w:hint="eastAsia" w:ascii="仿宋_GB2312" w:hAnsi="宋体" w:eastAsia="仿宋_GB2312"/>
          <w:b/>
          <w:kern w:val="0"/>
          <w:sz w:val="32"/>
          <w:szCs w:val="32"/>
          <w:highlight w:val="none"/>
          <w:lang w:val="en-US" w:eastAsia="zh-CN"/>
        </w:rPr>
        <w:t>昌吉州党员教育中心收支总体情况表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hint="eastAsia" w:ascii="仿宋_GB2312" w:hAnsi="宋体" w:eastAsia="仿宋_GB2312"/>
          <w:kern w:val="0"/>
          <w:sz w:val="24"/>
        </w:rPr>
      </w:pPr>
      <w:r>
        <w:rPr>
          <w:rFonts w:hint="eastAsia" w:ascii="仿宋_GB2312" w:hAnsi="宋体" w:eastAsia="仿宋_GB2312"/>
          <w:kern w:val="0"/>
          <w:sz w:val="24"/>
        </w:rPr>
        <w:t xml:space="preserve">编制部门：昌吉州党员教育中心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W w:w="8333" w:type="dxa"/>
        <w:tblInd w:w="93" w:type="dxa"/>
        <w:tblLayout w:type="fixed"/>
        <w:tblCellMar>
          <w:top w:w="0" w:type="dxa"/>
          <w:left w:w="108" w:type="dxa"/>
          <w:bottom w:w="0" w:type="dxa"/>
          <w:right w:w="108" w:type="dxa"/>
        </w:tblCellMar>
      </w:tblPr>
      <w:tblGrid>
        <w:gridCol w:w="3165"/>
        <w:gridCol w:w="1103"/>
        <w:gridCol w:w="2693"/>
        <w:gridCol w:w="1372"/>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0"/>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065" w:type="dxa"/>
            <w:gridSpan w:val="2"/>
            <w:tcBorders>
              <w:top w:val="single" w:color="auto" w:sz="4" w:space="0"/>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b/>
                <w:kern w:val="0"/>
                <w:sz w:val="20"/>
                <w:szCs w:val="20"/>
              </w:rPr>
              <w:t>项     目</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372"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一、本年收入</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230.36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261.11</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1.一般公共预算拨款</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230.36</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其中：一般财力</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230.36</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75"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上级一般公共预算安排转移支付</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2.基金预算拨款</w:t>
            </w:r>
            <w:r>
              <w:rPr>
                <w:rFonts w:hint="eastAsia" w:ascii="仿宋_GB2312" w:hAnsi="宋体" w:eastAsia="仿宋_GB2312" w:cs="宋体"/>
                <w:color w:val="000000"/>
                <w:kern w:val="0"/>
                <w:sz w:val="18"/>
                <w:szCs w:val="18"/>
              </w:rPr>
              <w:tab/>
            </w:r>
          </w:p>
        </w:tc>
        <w:tc>
          <w:tcPr>
            <w:tcW w:w="1103"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其中：政府性基金收入</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上级政府性基金安排转移支付</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3.国有资本经营预算拨款</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25.64</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5"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其中：国有资本经营收入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4"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上级国有资本经营预算安排转移支付</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9.14</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4.财政专户核拨</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5.单位资金</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其中：事业收入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上级补助收入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附属单位上缴收入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w:t>
            </w:r>
            <w:r>
              <w:rPr>
                <w:rFonts w:hint="eastAsia" w:ascii="仿宋_GB2312" w:hAnsi="宋体" w:eastAsia="仿宋_GB2312" w:cs="宋体"/>
                <w:kern w:val="0"/>
                <w:sz w:val="18"/>
                <w:szCs w:val="18"/>
                <w:lang w:eastAsia="zh-Hans"/>
              </w:rPr>
              <w:t>工业</w:t>
            </w:r>
            <w:r>
              <w:rPr>
                <w:rFonts w:hint="eastAsia" w:ascii="仿宋_GB2312" w:hAnsi="宋体" w:eastAsia="仿宋_GB2312" w:cs="宋体"/>
                <w:kern w:val="0"/>
                <w:sz w:val="18"/>
                <w:szCs w:val="18"/>
              </w:rPr>
              <w:t>信息等支出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事业单位经营收入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二、上年结转结余</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1.财政拨款结转</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其中：一般公共预算拨款</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13.47</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基金预算拨款</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国有资本经营预算拨款</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2.非财政拨款结转结余</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其中：财政专户核拨</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单位资金</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single" w:color="000000" w:sz="8" w:space="0"/>
              <w:left w:val="single" w:color="000000" w:sz="8" w:space="0"/>
              <w:bottom w:val="single" w:color="000000" w:sz="8" w:space="0"/>
              <w:right w:val="single" w:color="000000" w:sz="8" w:space="0"/>
            </w:tcBorders>
            <w:shd w:val="clear" w:color="auto" w:fill="FFFFFF"/>
            <w:noWrap w:val="0"/>
            <w:vAlign w:val="bottom"/>
          </w:tcPr>
          <w:p>
            <w:pPr>
              <w:widowControl/>
              <w:spacing w:line="280" w:lineRule="exact"/>
              <w:jc w:val="left"/>
              <w:rPr>
                <w:rFonts w:hint="eastAsia" w:ascii="仿宋_GB2312" w:hAnsi="宋体" w:eastAsia="仿宋_GB2312" w:cs="宋体"/>
                <w:color w:val="000000"/>
                <w:kern w:val="0"/>
                <w:sz w:val="18"/>
                <w:szCs w:val="18"/>
                <w:highlight w:val="yellow"/>
              </w:rPr>
            </w:pP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eastAsia"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p>
        </w:tc>
        <w:tc>
          <w:tcPr>
            <w:tcW w:w="1103"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0"/>
            <w:vAlign w:val="center"/>
          </w:tcPr>
          <w:p>
            <w:pPr>
              <w:widowControl/>
              <w:spacing w:line="280" w:lineRule="exact"/>
              <w:jc w:val="left"/>
              <w:textAlignment w:val="center"/>
              <w:rPr>
                <w:rFonts w:hint="eastAsia"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w:t>
            </w:r>
            <w:r>
              <w:rPr>
                <w:rFonts w:hint="eastAsia" w:ascii="仿宋_GB2312" w:hAnsi="宋体" w:eastAsia="仿宋_GB2312" w:cs="宋体"/>
                <w:color w:val="000000"/>
                <w:kern w:val="0"/>
                <w:sz w:val="18"/>
                <w:szCs w:val="18"/>
                <w:lang w:eastAsia="zh-Hans" w:bidi="ar"/>
              </w:rPr>
              <w:t>安排的</w:t>
            </w:r>
            <w:r>
              <w:rPr>
                <w:rFonts w:hint="eastAsia" w:ascii="仿宋_GB2312" w:hAnsi="宋体" w:eastAsia="仿宋_GB2312" w:cs="宋体"/>
                <w:color w:val="000000"/>
                <w:kern w:val="0"/>
                <w:sz w:val="18"/>
                <w:szCs w:val="18"/>
                <w:lang w:bidi="ar"/>
              </w:rPr>
              <w:t>支出</w:t>
            </w:r>
          </w:p>
        </w:tc>
        <w:tc>
          <w:tcPr>
            <w:tcW w:w="1372"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nil"/>
            </w:tcBorders>
            <w:noWrap w:val="0"/>
            <w:vAlign w:val="center"/>
          </w:tcPr>
          <w:p>
            <w:pPr>
              <w:widowControl/>
              <w:spacing w:line="280" w:lineRule="exact"/>
              <w:jc w:val="left"/>
              <w:rPr>
                <w:rFonts w:hint="eastAsia" w:ascii="仿宋_GB2312" w:hAnsi="宋体" w:eastAsia="仿宋_GB2312" w:cs="宋体"/>
                <w:kern w:val="0"/>
                <w:sz w:val="20"/>
                <w:szCs w:val="20"/>
              </w:rPr>
            </w:pPr>
          </w:p>
        </w:tc>
        <w:tc>
          <w:tcPr>
            <w:tcW w:w="1103"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0"/>
            <w:vAlign w:val="center"/>
          </w:tcPr>
          <w:p>
            <w:pPr>
              <w:widowControl/>
              <w:spacing w:line="280" w:lineRule="exact"/>
              <w:jc w:val="left"/>
              <w:textAlignment w:val="center"/>
              <w:rPr>
                <w:rFonts w:hint="eastAsia" w:ascii="仿宋_GB2312" w:hAnsi="宋体" w:eastAsia="仿宋_GB2312" w:cs="宋体"/>
                <w:kern w:val="0"/>
                <w:sz w:val="18"/>
                <w:szCs w:val="18"/>
                <w:lang w:bidi="ar"/>
              </w:rPr>
            </w:pPr>
          </w:p>
        </w:tc>
        <w:tc>
          <w:tcPr>
            <w:tcW w:w="1372"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3165" w:type="dxa"/>
            <w:tcBorders>
              <w:top w:val="nil"/>
              <w:left w:val="single" w:color="auto" w:sz="4" w:space="0"/>
              <w:bottom w:val="single" w:color="auto" w:sz="4" w:space="0"/>
              <w:right w:val="nil"/>
            </w:tcBorders>
            <w:noWrap w:val="0"/>
            <w:vAlign w:val="center"/>
          </w:tcPr>
          <w:p>
            <w:pPr>
              <w:widowControl/>
              <w:spacing w:line="28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收  入  总  计</w:t>
            </w:r>
          </w:p>
        </w:tc>
        <w:tc>
          <w:tcPr>
            <w:tcW w:w="1103"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仿宋_GB2312" w:hAnsi="宋体" w:eastAsia="仿宋_GB2312" w:cs="宋体"/>
                <w:b/>
                <w:bCs/>
                <w:kern w:val="0"/>
                <w:sz w:val="18"/>
                <w:szCs w:val="18"/>
                <w:lang w:val="en-US" w:eastAsia="zh-CN"/>
              </w:rPr>
            </w:pPr>
            <w:r>
              <w:rPr>
                <w:rFonts w:hint="eastAsia" w:ascii="仿宋_GB2312" w:hAnsi="宋体" w:eastAsia="仿宋_GB2312" w:cs="宋体"/>
                <w:kern w:val="0"/>
                <w:sz w:val="18"/>
                <w:szCs w:val="18"/>
                <w:lang w:val="en-US" w:eastAsia="zh-CN"/>
              </w:rPr>
              <w:t>309.36</w:t>
            </w:r>
          </w:p>
        </w:tc>
        <w:tc>
          <w:tcPr>
            <w:tcW w:w="2693" w:type="dxa"/>
            <w:tcBorders>
              <w:top w:val="nil"/>
              <w:left w:val="nil"/>
              <w:bottom w:val="single" w:color="auto" w:sz="4" w:space="0"/>
              <w:right w:val="nil"/>
            </w:tcBorders>
            <w:noWrap w:val="0"/>
            <w:vAlign w:val="center"/>
          </w:tcPr>
          <w:p>
            <w:pPr>
              <w:widowControl/>
              <w:spacing w:line="28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支  出  总  计</w:t>
            </w:r>
          </w:p>
        </w:tc>
        <w:tc>
          <w:tcPr>
            <w:tcW w:w="137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309.36</w:t>
            </w:r>
            <w:r>
              <w:rPr>
                <w:rFonts w:hint="eastAsia" w:ascii="仿宋_GB2312" w:hAnsi="宋体" w:eastAsia="仿宋_GB2312" w:cs="宋体"/>
                <w:kern w:val="0"/>
                <w:sz w:val="18"/>
                <w:szCs w:val="18"/>
              </w:rPr>
              <w:t>　</w:t>
            </w:r>
          </w:p>
        </w:tc>
      </w:tr>
    </w:tbl>
    <w:p>
      <w:pPr>
        <w:widowControl/>
        <w:spacing w:line="280" w:lineRule="exact"/>
        <w:outlineLvl w:val="1"/>
        <w:rPr>
          <w:rFonts w:hint="eastAsia" w:ascii="仿宋_GB2312" w:hAnsi="宋体" w:eastAsia="仿宋_GB2312"/>
          <w:kern w:val="0"/>
          <w:sz w:val="24"/>
        </w:rPr>
      </w:pPr>
    </w:p>
    <w:p>
      <w:pP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br w:type="page"/>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jc w:val="center"/>
        <w:rPr>
          <w:rFonts w:hint="eastAsia" w:ascii="仿宋_GB2312" w:hAnsi="宋体" w:eastAsia="仿宋_GB2312"/>
          <w:b/>
          <w:kern w:val="0"/>
          <w:sz w:val="32"/>
          <w:szCs w:val="32"/>
          <w:highlight w:val="none"/>
          <w:lang w:val="en-US" w:eastAsia="zh-CN"/>
        </w:rPr>
      </w:pPr>
      <w:r>
        <w:rPr>
          <w:rFonts w:hint="eastAsia" w:ascii="仿宋_GB2312" w:hAnsi="宋体" w:eastAsia="仿宋_GB2312"/>
          <w:b/>
          <w:kern w:val="0"/>
          <w:sz w:val="32"/>
          <w:szCs w:val="32"/>
          <w:highlight w:val="none"/>
          <w:lang w:val="en-US" w:eastAsia="zh-CN"/>
        </w:rPr>
        <w:t>昌吉州党员教育中心收入总体情况表</w:t>
      </w:r>
    </w:p>
    <w:tbl>
      <w:tblPr>
        <w:tblStyle w:val="7"/>
        <w:tblpPr w:leftFromText="180" w:rightFromText="180" w:vertAnchor="text" w:horzAnchor="page" w:tblpX="656" w:tblpY="595"/>
        <w:tblOverlap w:val="never"/>
        <w:tblW w:w="9914" w:type="dxa"/>
        <w:tblInd w:w="0" w:type="dxa"/>
        <w:tblLayout w:type="fixed"/>
        <w:tblCellMar>
          <w:top w:w="0" w:type="dxa"/>
          <w:left w:w="108" w:type="dxa"/>
          <w:bottom w:w="0" w:type="dxa"/>
          <w:right w:w="108" w:type="dxa"/>
        </w:tblCellMar>
      </w:tblPr>
      <w:tblGrid>
        <w:gridCol w:w="518"/>
        <w:gridCol w:w="388"/>
        <w:gridCol w:w="450"/>
        <w:gridCol w:w="1045"/>
        <w:gridCol w:w="798"/>
        <w:gridCol w:w="769"/>
        <w:gridCol w:w="794"/>
        <w:gridCol w:w="625"/>
        <w:gridCol w:w="437"/>
        <w:gridCol w:w="650"/>
        <w:gridCol w:w="550"/>
        <w:gridCol w:w="738"/>
        <w:gridCol w:w="687"/>
        <w:gridCol w:w="463"/>
        <w:gridCol w:w="550"/>
        <w:gridCol w:w="452"/>
      </w:tblGrid>
      <w:tr>
        <w:tblPrEx>
          <w:tblLayout w:type="fixed"/>
          <w:tblCellMar>
            <w:top w:w="0" w:type="dxa"/>
            <w:left w:w="108" w:type="dxa"/>
            <w:bottom w:w="0" w:type="dxa"/>
            <w:right w:w="108" w:type="dxa"/>
          </w:tblCellMar>
        </w:tblPrEx>
        <w:trPr>
          <w:trHeight w:val="697" w:hRule="atLeast"/>
        </w:trPr>
        <w:tc>
          <w:tcPr>
            <w:tcW w:w="135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4"/>
              </w:rPr>
              <w:t>功能分类科目编码</w:t>
            </w:r>
          </w:p>
        </w:tc>
        <w:tc>
          <w:tcPr>
            <w:tcW w:w="1045"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98"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4563"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b/>
                <w:color w:val="000000"/>
                <w:sz w:val="20"/>
                <w:szCs w:val="20"/>
              </w:rPr>
            </w:pPr>
            <w:r>
              <w:rPr>
                <w:rFonts w:hint="eastAsia" w:ascii="仿宋_GB2312" w:hAnsi="宋体" w:eastAsia="仿宋_GB2312" w:cs="宋体"/>
                <w:b/>
                <w:color w:val="000000"/>
                <w:sz w:val="24"/>
              </w:rPr>
              <w:t>财  政  拨  款  (  补  助  )</w:t>
            </w:r>
          </w:p>
        </w:tc>
        <w:tc>
          <w:tcPr>
            <w:tcW w:w="687"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财政专户（教育收费）</w:t>
            </w:r>
          </w:p>
        </w:tc>
        <w:tc>
          <w:tcPr>
            <w:tcW w:w="463"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单位资金</w:t>
            </w:r>
          </w:p>
        </w:tc>
        <w:tc>
          <w:tcPr>
            <w:tcW w:w="550"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财政拨款结转</w:t>
            </w:r>
          </w:p>
        </w:tc>
        <w:tc>
          <w:tcPr>
            <w:tcW w:w="452"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非财政拨款结转结余</w:t>
            </w:r>
          </w:p>
        </w:tc>
      </w:tr>
      <w:tr>
        <w:tblPrEx>
          <w:tblLayout w:type="fixed"/>
          <w:tblCellMar>
            <w:top w:w="0" w:type="dxa"/>
            <w:left w:w="108" w:type="dxa"/>
            <w:bottom w:w="0" w:type="dxa"/>
            <w:right w:w="108" w:type="dxa"/>
          </w:tblCellMar>
        </w:tblPrEx>
        <w:trPr>
          <w:trHeight w:val="2394" w:hRule="atLeast"/>
        </w:trPr>
        <w:tc>
          <w:tcPr>
            <w:tcW w:w="518" w:type="dxa"/>
            <w:tcBorders>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lang w:eastAsia="zh-Hans"/>
              </w:rPr>
            </w:pPr>
            <w:r>
              <w:rPr>
                <w:rFonts w:hint="eastAsia" w:ascii="仿宋_GB2312" w:eastAsia="仿宋_GB2312"/>
                <w:b/>
                <w:color w:val="000000"/>
                <w:sz w:val="20"/>
                <w:szCs w:val="20"/>
                <w:lang w:eastAsia="zh-Hans"/>
              </w:rPr>
              <w:t>类</w:t>
            </w:r>
          </w:p>
        </w:tc>
        <w:tc>
          <w:tcPr>
            <w:tcW w:w="388" w:type="dxa"/>
            <w:tcBorders>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lang w:eastAsia="zh-Hans"/>
              </w:rPr>
            </w:pPr>
            <w:r>
              <w:rPr>
                <w:rFonts w:hint="eastAsia" w:ascii="仿宋_GB2312" w:eastAsia="仿宋_GB2312"/>
                <w:b/>
                <w:color w:val="000000"/>
                <w:sz w:val="20"/>
                <w:szCs w:val="20"/>
                <w:lang w:eastAsia="zh-Hans"/>
              </w:rPr>
              <w:t>款</w:t>
            </w:r>
          </w:p>
        </w:tc>
        <w:tc>
          <w:tcPr>
            <w:tcW w:w="450" w:type="dxa"/>
            <w:tcBorders>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lang w:eastAsia="zh-Hans"/>
              </w:rPr>
            </w:pPr>
            <w:r>
              <w:rPr>
                <w:rFonts w:hint="eastAsia" w:ascii="仿宋_GB2312" w:eastAsia="仿宋_GB2312"/>
                <w:b/>
                <w:color w:val="000000"/>
                <w:sz w:val="20"/>
                <w:szCs w:val="20"/>
                <w:lang w:eastAsia="zh-Hans"/>
              </w:rPr>
              <w:t>项</w:t>
            </w:r>
          </w:p>
        </w:tc>
        <w:tc>
          <w:tcPr>
            <w:tcW w:w="1045" w:type="dxa"/>
            <w:vMerge w:val="continue"/>
            <w:tcBorders>
              <w:left w:val="single" w:color="auto" w:sz="4" w:space="0"/>
              <w:bottom w:val="single" w:color="000000" w:sz="4" w:space="0"/>
              <w:right w:val="single" w:color="auto" w:sz="4" w:space="0"/>
            </w:tcBorders>
            <w:noWrap w:val="0"/>
            <w:vAlign w:val="center"/>
          </w:tcPr>
          <w:p>
            <w:pPr>
              <w:rPr>
                <w:rFonts w:ascii="仿宋_GB2312" w:hAnsi="宋体" w:eastAsia="仿宋_GB2312" w:cs="宋体"/>
                <w:color w:val="000000"/>
                <w:sz w:val="20"/>
                <w:szCs w:val="20"/>
              </w:rPr>
            </w:pPr>
          </w:p>
        </w:tc>
        <w:tc>
          <w:tcPr>
            <w:tcW w:w="798" w:type="dxa"/>
            <w:vMerge w:val="continue"/>
            <w:tcBorders>
              <w:left w:val="single" w:color="auto" w:sz="4" w:space="0"/>
              <w:bottom w:val="single" w:color="000000" w:sz="4" w:space="0"/>
              <w:right w:val="single" w:color="auto" w:sz="4" w:space="0"/>
            </w:tcBorders>
            <w:noWrap w:val="0"/>
            <w:vAlign w:val="center"/>
          </w:tcPr>
          <w:p>
            <w:pPr>
              <w:rPr>
                <w:rFonts w:ascii="仿宋_GB2312" w:hAnsi="宋体" w:eastAsia="仿宋_GB2312" w:cs="宋体"/>
                <w:color w:val="000000"/>
                <w:sz w:val="20"/>
                <w:szCs w:val="20"/>
              </w:rPr>
            </w:pPr>
          </w:p>
        </w:tc>
        <w:tc>
          <w:tcPr>
            <w:tcW w:w="769" w:type="dxa"/>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财政拨款(补助)小计</w:t>
            </w:r>
          </w:p>
        </w:tc>
        <w:tc>
          <w:tcPr>
            <w:tcW w:w="794" w:type="dxa"/>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一般公共预算</w:t>
            </w:r>
          </w:p>
        </w:tc>
        <w:tc>
          <w:tcPr>
            <w:tcW w:w="625" w:type="dxa"/>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上级一般公共预算安排的转移支付</w:t>
            </w:r>
          </w:p>
        </w:tc>
        <w:tc>
          <w:tcPr>
            <w:tcW w:w="437" w:type="dxa"/>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政府性基金预算</w:t>
            </w:r>
          </w:p>
        </w:tc>
        <w:tc>
          <w:tcPr>
            <w:tcW w:w="650" w:type="dxa"/>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上级政府性基金安排的转移支付</w:t>
            </w:r>
          </w:p>
        </w:tc>
        <w:tc>
          <w:tcPr>
            <w:tcW w:w="550" w:type="dxa"/>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国有资本经营预算</w:t>
            </w:r>
          </w:p>
        </w:tc>
        <w:tc>
          <w:tcPr>
            <w:tcW w:w="738" w:type="dxa"/>
            <w:tcBorders>
              <w:top w:val="single" w:color="auto" w:sz="4" w:space="0"/>
              <w:left w:val="single" w:color="auto" w:sz="4" w:space="0"/>
              <w:bottom w:val="single" w:color="000000" w:sz="4" w:space="0"/>
              <w:right w:val="single" w:color="auto" w:sz="4" w:space="0"/>
            </w:tcBorders>
            <w:noWrap w:val="0"/>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上级国有资本经营预算安排的转移支付</w:t>
            </w:r>
          </w:p>
        </w:tc>
        <w:tc>
          <w:tcPr>
            <w:tcW w:w="687" w:type="dxa"/>
            <w:vMerge w:val="continue"/>
            <w:tcBorders>
              <w:left w:val="single" w:color="auto" w:sz="4" w:space="0"/>
              <w:bottom w:val="single" w:color="000000" w:sz="4" w:space="0"/>
              <w:right w:val="single" w:color="auto" w:sz="4" w:space="0"/>
            </w:tcBorders>
            <w:noWrap w:val="0"/>
            <w:vAlign w:val="center"/>
          </w:tcPr>
          <w:p>
            <w:pPr>
              <w:rPr>
                <w:rFonts w:ascii="仿宋_GB2312" w:hAnsi="宋体" w:eastAsia="仿宋_GB2312" w:cs="宋体"/>
                <w:color w:val="000000"/>
                <w:sz w:val="20"/>
                <w:szCs w:val="20"/>
              </w:rPr>
            </w:pPr>
          </w:p>
        </w:tc>
        <w:tc>
          <w:tcPr>
            <w:tcW w:w="463" w:type="dxa"/>
            <w:vMerge w:val="continue"/>
            <w:tcBorders>
              <w:left w:val="single" w:color="auto" w:sz="4" w:space="0"/>
              <w:bottom w:val="single" w:color="000000" w:sz="4" w:space="0"/>
              <w:right w:val="single" w:color="auto" w:sz="4" w:space="0"/>
            </w:tcBorders>
            <w:noWrap w:val="0"/>
            <w:vAlign w:val="center"/>
          </w:tcPr>
          <w:p>
            <w:pPr>
              <w:rPr>
                <w:rFonts w:ascii="仿宋_GB2312" w:hAnsi="宋体" w:eastAsia="仿宋_GB2312" w:cs="宋体"/>
                <w:color w:val="000000"/>
                <w:sz w:val="20"/>
                <w:szCs w:val="20"/>
              </w:rPr>
            </w:pPr>
          </w:p>
        </w:tc>
        <w:tc>
          <w:tcPr>
            <w:tcW w:w="550" w:type="dxa"/>
            <w:vMerge w:val="continue"/>
            <w:tcBorders>
              <w:left w:val="single" w:color="auto" w:sz="4" w:space="0"/>
              <w:bottom w:val="single" w:color="000000" w:sz="4" w:space="0"/>
              <w:right w:val="single" w:color="auto" w:sz="4" w:space="0"/>
            </w:tcBorders>
            <w:noWrap w:val="0"/>
            <w:vAlign w:val="center"/>
          </w:tcPr>
          <w:p>
            <w:pPr>
              <w:rPr>
                <w:rFonts w:ascii="仿宋_GB2312" w:hAnsi="宋体" w:eastAsia="仿宋_GB2312" w:cs="宋体"/>
                <w:color w:val="000000"/>
                <w:sz w:val="20"/>
                <w:szCs w:val="20"/>
              </w:rPr>
            </w:pPr>
          </w:p>
        </w:tc>
        <w:tc>
          <w:tcPr>
            <w:tcW w:w="452" w:type="dxa"/>
            <w:vMerge w:val="continue"/>
            <w:tcBorders>
              <w:left w:val="single" w:color="auto" w:sz="4" w:space="0"/>
              <w:bottom w:val="single" w:color="000000" w:sz="4" w:space="0"/>
              <w:right w:val="single" w:color="auto" w:sz="4" w:space="0"/>
            </w:tcBorders>
            <w:noWrap w:val="0"/>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201</w:t>
            </w:r>
          </w:p>
        </w:tc>
        <w:tc>
          <w:tcPr>
            <w:tcW w:w="388" w:type="dxa"/>
            <w:tcBorders>
              <w:top w:val="nil"/>
              <w:left w:val="nil"/>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p>
        </w:tc>
        <w:tc>
          <w:tcPr>
            <w:tcW w:w="450" w:type="dxa"/>
            <w:tcBorders>
              <w:top w:val="nil"/>
              <w:left w:val="nil"/>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p>
        </w:tc>
        <w:tc>
          <w:tcPr>
            <w:tcW w:w="1045" w:type="dxa"/>
            <w:tcBorders>
              <w:top w:val="nil"/>
              <w:left w:val="nil"/>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color w:val="000000"/>
                <w:kern w:val="0"/>
                <w:sz w:val="15"/>
                <w:szCs w:val="15"/>
                <w:lang w:val="en-US" w:eastAsia="zh-CN" w:bidi="ar-SA"/>
              </w:rPr>
            </w:pPr>
            <w:r>
              <w:rPr>
                <w:rFonts w:hint="eastAsia"/>
                <w:b w:val="0"/>
                <w:bCs/>
                <w:sz w:val="15"/>
                <w:szCs w:val="15"/>
              </w:rPr>
              <w:t>一般公共服务支出</w:t>
            </w:r>
          </w:p>
        </w:tc>
        <w:tc>
          <w:tcPr>
            <w:tcW w:w="79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261.11</w:t>
            </w:r>
          </w:p>
        </w:tc>
        <w:tc>
          <w:tcPr>
            <w:tcW w:w="769"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182.11</w:t>
            </w:r>
          </w:p>
        </w:tc>
        <w:tc>
          <w:tcPr>
            <w:tcW w:w="794"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182.11</w:t>
            </w:r>
          </w:p>
        </w:tc>
        <w:tc>
          <w:tcPr>
            <w:tcW w:w="625"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default" w:ascii="仿宋_GB2312" w:eastAsia="仿宋_GB2312"/>
                <w:b w:val="0"/>
                <w:bCs/>
                <w:color w:val="000000"/>
                <w:sz w:val="15"/>
                <w:szCs w:val="15"/>
                <w:lang w:val="en-US" w:eastAsia="zh-CN"/>
              </w:rPr>
            </w:pPr>
            <w:r>
              <w:rPr>
                <w:rFonts w:hint="eastAsia" w:ascii="仿宋_GB2312" w:eastAsia="仿宋_GB2312"/>
                <w:b w:val="0"/>
                <w:bCs/>
                <w:color w:val="000000"/>
                <w:sz w:val="15"/>
                <w:szCs w:val="15"/>
                <w:lang w:val="en-US" w:eastAsia="zh-CN"/>
              </w:rPr>
              <w:t>79</w:t>
            </w:r>
          </w:p>
        </w:tc>
        <w:tc>
          <w:tcPr>
            <w:tcW w:w="452"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201</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32</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color w:val="000000"/>
                <w:kern w:val="0"/>
                <w:sz w:val="15"/>
                <w:szCs w:val="15"/>
                <w:lang w:val="en-US" w:eastAsia="zh-CN" w:bidi="ar-SA"/>
              </w:rPr>
            </w:pPr>
            <w:r>
              <w:rPr>
                <w:rFonts w:hint="eastAsia"/>
                <w:b w:val="0"/>
                <w:bCs/>
                <w:sz w:val="15"/>
                <w:szCs w:val="15"/>
              </w:rPr>
              <w:t>组织事务</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261.11</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182.11</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182.11</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default" w:ascii="仿宋_GB2312" w:eastAsia="仿宋_GB2312"/>
                <w:b w:val="0"/>
                <w:bCs/>
                <w:color w:val="000000"/>
                <w:sz w:val="15"/>
                <w:szCs w:val="15"/>
                <w:lang w:val="en-US" w:eastAsia="zh-CN"/>
              </w:rPr>
            </w:pPr>
            <w:r>
              <w:rPr>
                <w:rFonts w:hint="eastAsia" w:ascii="仿宋_GB2312" w:eastAsia="仿宋_GB2312"/>
                <w:b w:val="0"/>
                <w:bCs/>
                <w:color w:val="000000"/>
                <w:sz w:val="15"/>
                <w:szCs w:val="15"/>
                <w:lang w:val="en-US" w:eastAsia="zh-CN"/>
              </w:rPr>
              <w:t>79</w:t>
            </w: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201</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32</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01</w:t>
            </w: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行政运行</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131.11</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131.11</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131.11</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201</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32</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02</w:t>
            </w: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lang w:eastAsia="zh-CN"/>
              </w:rPr>
              <w:t>一</w:t>
            </w:r>
            <w:r>
              <w:rPr>
                <w:rFonts w:hint="eastAsia"/>
                <w:b w:val="0"/>
                <w:bCs/>
                <w:sz w:val="15"/>
                <w:szCs w:val="15"/>
              </w:rPr>
              <w:t>般行政管理事务</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130.00</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51.00</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51.00</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default" w:ascii="仿宋_GB2312" w:eastAsia="仿宋_GB2312"/>
                <w:b w:val="0"/>
                <w:bCs/>
                <w:color w:val="000000"/>
                <w:sz w:val="15"/>
                <w:szCs w:val="15"/>
                <w:lang w:val="en-US" w:eastAsia="zh-CN"/>
              </w:rPr>
            </w:pPr>
            <w:r>
              <w:rPr>
                <w:rFonts w:hint="eastAsia" w:ascii="仿宋_GB2312" w:eastAsia="仿宋_GB2312"/>
                <w:b w:val="0"/>
                <w:bCs/>
                <w:color w:val="000000"/>
                <w:sz w:val="15"/>
                <w:szCs w:val="15"/>
                <w:lang w:val="en-US" w:eastAsia="zh-CN"/>
              </w:rPr>
              <w:t>79</w:t>
            </w: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208</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社会保障和就业支出</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540"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208</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05</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行政事业单位养老支出</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208</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05</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05</w:t>
            </w: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机关事业单位基本养老保险缴费支出</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25.64</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210</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卫生健康支出</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9.14</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9.14</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9.14</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210</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11</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行政事业单位医疗</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9.14</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9.14</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9.14</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210</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11</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01</w:t>
            </w: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行政单位医疗</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8.55</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8.55</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8.55</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210</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11</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03</w:t>
            </w: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公务员医疗补助</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0.53</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0.53</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0.53</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210</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11</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99</w:t>
            </w: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其他行政事业单位医疗支出</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0.06</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0.06</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0.06</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221</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104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住房改革支出</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221</w:t>
            </w:r>
          </w:p>
        </w:tc>
        <w:tc>
          <w:tcPr>
            <w:tcW w:w="38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02</w:t>
            </w:r>
          </w:p>
        </w:tc>
        <w:tc>
          <w:tcPr>
            <w:tcW w:w="4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val="0"/>
                <w:bCs/>
                <w:color w:val="000000"/>
                <w:kern w:val="0"/>
                <w:sz w:val="15"/>
                <w:szCs w:val="15"/>
                <w:lang w:val="en-US" w:eastAsia="zh-CN" w:bidi="ar-SA"/>
              </w:rPr>
            </w:pPr>
          </w:p>
        </w:tc>
        <w:tc>
          <w:tcPr>
            <w:tcW w:w="104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住房保障支出</w:t>
            </w:r>
          </w:p>
        </w:tc>
        <w:tc>
          <w:tcPr>
            <w:tcW w:w="7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7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79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625"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221</w:t>
            </w:r>
          </w:p>
        </w:tc>
        <w:tc>
          <w:tcPr>
            <w:tcW w:w="3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02</w:t>
            </w:r>
          </w:p>
        </w:tc>
        <w:tc>
          <w:tcPr>
            <w:tcW w:w="4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宋体" w:eastAsia="仿宋_GB2312" w:cs="宋体"/>
                <w:b w:val="0"/>
                <w:bCs/>
                <w:color w:val="000000"/>
                <w:kern w:val="0"/>
                <w:sz w:val="15"/>
                <w:szCs w:val="15"/>
                <w:lang w:val="en-US" w:eastAsia="zh-CN" w:bidi="ar-SA"/>
              </w:rPr>
            </w:pPr>
            <w:r>
              <w:rPr>
                <w:rFonts w:hint="eastAsia" w:ascii="仿宋_GB2312" w:hAnsi="宋体" w:eastAsia="仿宋_GB2312" w:cs="宋体"/>
                <w:b w:val="0"/>
                <w:bCs/>
                <w:color w:val="000000"/>
                <w:kern w:val="0"/>
                <w:sz w:val="15"/>
                <w:szCs w:val="15"/>
                <w:lang w:val="en-US" w:eastAsia="zh-CN"/>
              </w:rPr>
              <w:t>01</w:t>
            </w:r>
          </w:p>
        </w:tc>
        <w:tc>
          <w:tcPr>
            <w:tcW w:w="10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val="0"/>
                <w:bCs/>
                <w:color w:val="000000"/>
                <w:kern w:val="0"/>
                <w:sz w:val="15"/>
                <w:szCs w:val="15"/>
                <w:lang w:val="en-US" w:eastAsia="zh-CN" w:bidi="ar-SA"/>
              </w:rPr>
            </w:pPr>
            <w:r>
              <w:rPr>
                <w:rFonts w:hint="eastAsia"/>
                <w:b w:val="0"/>
                <w:bCs/>
                <w:sz w:val="15"/>
                <w:szCs w:val="15"/>
              </w:rPr>
              <w:t>住房公积金</w:t>
            </w:r>
          </w:p>
        </w:tc>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7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heme="majorEastAsia" w:hAnsiTheme="majorEastAsia" w:eastAsiaTheme="majorEastAsia" w:cstheme="majorEastAsia"/>
                <w:b w:val="0"/>
                <w:bCs/>
                <w:color w:val="000000"/>
                <w:kern w:val="0"/>
                <w:sz w:val="15"/>
                <w:szCs w:val="15"/>
                <w:lang w:val="en-US" w:eastAsia="zh-CN" w:bidi="ar-SA"/>
              </w:rPr>
            </w:pPr>
            <w:r>
              <w:rPr>
                <w:rFonts w:hint="eastAsia" w:asciiTheme="majorEastAsia" w:hAnsiTheme="majorEastAsia" w:eastAsiaTheme="majorEastAsia" w:cstheme="majorEastAsia"/>
                <w:b w:val="0"/>
                <w:bCs/>
                <w:color w:val="000000"/>
                <w:kern w:val="0"/>
                <w:sz w:val="15"/>
                <w:szCs w:val="15"/>
                <w:lang w:val="en-US" w:eastAsia="zh-CN"/>
              </w:rPr>
              <w:t>13.47</w:t>
            </w:r>
          </w:p>
        </w:tc>
        <w:tc>
          <w:tcPr>
            <w:tcW w:w="6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5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7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r>
              <w:rPr>
                <w:rFonts w:hint="eastAsia" w:ascii="仿宋_GB2312" w:eastAsia="仿宋_GB2312"/>
                <w:b w:val="0"/>
                <w:bCs/>
                <w:color w:val="000000"/>
                <w:sz w:val="15"/>
                <w:szCs w:val="15"/>
              </w:rPr>
              <w:t>　</w:t>
            </w:r>
          </w:p>
        </w:tc>
        <w:tc>
          <w:tcPr>
            <w:tcW w:w="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r>
        <w:tblPrEx>
          <w:tblLayout w:type="fixed"/>
          <w:tblCellMar>
            <w:top w:w="0" w:type="dxa"/>
            <w:left w:w="108" w:type="dxa"/>
            <w:bottom w:w="0" w:type="dxa"/>
            <w:right w:w="108" w:type="dxa"/>
          </w:tblCellMar>
        </w:tblPrEx>
        <w:trPr>
          <w:trHeight w:val="465"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宋体" w:eastAsia="仿宋_GB2312" w:cs="宋体"/>
                <w:b w:val="0"/>
                <w:bCs/>
                <w:color w:val="000000"/>
                <w:kern w:val="0"/>
                <w:sz w:val="15"/>
                <w:szCs w:val="15"/>
                <w:lang w:val="en-US" w:eastAsia="zh-CN"/>
              </w:rPr>
            </w:pPr>
          </w:p>
        </w:tc>
        <w:tc>
          <w:tcPr>
            <w:tcW w:w="3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宋体" w:eastAsia="仿宋_GB2312" w:cs="宋体"/>
                <w:b w:val="0"/>
                <w:bCs/>
                <w:color w:val="000000"/>
                <w:kern w:val="0"/>
                <w:sz w:val="15"/>
                <w:szCs w:val="15"/>
                <w:lang w:val="en-US" w:eastAsia="zh-CN"/>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宋体" w:eastAsia="仿宋_GB2312" w:cs="宋体"/>
                <w:b w:val="0"/>
                <w:bCs/>
                <w:color w:val="000000"/>
                <w:kern w:val="0"/>
                <w:sz w:val="15"/>
                <w:szCs w:val="15"/>
                <w:lang w:val="en-US" w:eastAsia="zh-CN"/>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eastAsia="宋体"/>
                <w:b w:val="0"/>
                <w:bCs/>
                <w:sz w:val="15"/>
                <w:szCs w:val="15"/>
                <w:lang w:val="en-US" w:eastAsia="zh-CN"/>
              </w:rPr>
            </w:pPr>
            <w:r>
              <w:rPr>
                <w:rFonts w:hint="eastAsia" w:ascii="仿宋_GB2312" w:eastAsia="仿宋_GB2312"/>
                <w:b w:val="0"/>
                <w:bCs/>
                <w:color w:val="000000"/>
                <w:sz w:val="18"/>
                <w:szCs w:val="18"/>
              </w:rPr>
              <w:t>合 计</w:t>
            </w:r>
          </w:p>
        </w:tc>
        <w:tc>
          <w:tcPr>
            <w:tcW w:w="79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val="0"/>
                <w:bCs/>
                <w:color w:val="000000"/>
                <w:sz w:val="18"/>
                <w:szCs w:val="18"/>
                <w:lang w:val="en-US" w:eastAsia="zh-CN"/>
              </w:rPr>
            </w:pPr>
            <w:r>
              <w:rPr>
                <w:rFonts w:hint="eastAsia" w:ascii="仿宋_GB2312" w:eastAsia="仿宋_GB2312"/>
                <w:b w:val="0"/>
                <w:bCs/>
                <w:color w:val="000000"/>
                <w:sz w:val="18"/>
                <w:szCs w:val="18"/>
                <w:lang w:val="en-US" w:eastAsia="zh-CN"/>
              </w:rPr>
              <w:t>309.36</w:t>
            </w:r>
          </w:p>
        </w:tc>
        <w:tc>
          <w:tcPr>
            <w:tcW w:w="7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val="0"/>
                <w:bCs/>
                <w:color w:val="000000"/>
                <w:sz w:val="18"/>
                <w:szCs w:val="18"/>
                <w:lang w:val="en-US" w:eastAsia="zh-CN"/>
              </w:rPr>
            </w:pPr>
            <w:r>
              <w:rPr>
                <w:rFonts w:hint="eastAsia" w:ascii="仿宋_GB2312" w:eastAsia="仿宋_GB2312"/>
                <w:b w:val="0"/>
                <w:bCs/>
                <w:color w:val="000000"/>
                <w:sz w:val="18"/>
                <w:szCs w:val="18"/>
                <w:lang w:val="en-US" w:eastAsia="zh-CN"/>
              </w:rPr>
              <w:t>230.36</w:t>
            </w:r>
          </w:p>
        </w:tc>
        <w:tc>
          <w:tcPr>
            <w:tcW w:w="7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val="0"/>
                <w:bCs/>
                <w:color w:val="000000"/>
                <w:sz w:val="18"/>
                <w:szCs w:val="18"/>
                <w:lang w:val="en-US" w:eastAsia="zh-CN"/>
              </w:rPr>
            </w:pPr>
            <w:r>
              <w:rPr>
                <w:rFonts w:hint="eastAsia" w:ascii="仿宋_GB2312" w:eastAsia="仿宋_GB2312"/>
                <w:b w:val="0"/>
                <w:bCs/>
                <w:color w:val="000000"/>
                <w:sz w:val="18"/>
                <w:szCs w:val="18"/>
                <w:lang w:val="en-US" w:eastAsia="zh-CN"/>
              </w:rPr>
              <w:t>230.36</w:t>
            </w:r>
          </w:p>
        </w:tc>
        <w:tc>
          <w:tcPr>
            <w:tcW w:w="6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ascii="仿宋_GB2312" w:hAnsi="宋体" w:eastAsia="仿宋_GB2312" w:cs="宋体"/>
                <w:b w:val="0"/>
                <w:bCs/>
                <w:color w:val="000000"/>
                <w:sz w:val="15"/>
                <w:szCs w:val="15"/>
              </w:rPr>
            </w:pPr>
          </w:p>
        </w:tc>
        <w:tc>
          <w:tcPr>
            <w:tcW w:w="4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6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7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4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c>
          <w:tcPr>
            <w:tcW w:w="5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default" w:ascii="仿宋_GB2312" w:eastAsia="仿宋_GB2312"/>
                <w:b w:val="0"/>
                <w:bCs/>
                <w:color w:val="000000"/>
                <w:sz w:val="15"/>
                <w:szCs w:val="15"/>
                <w:lang w:val="en-US" w:eastAsia="zh-CN"/>
              </w:rPr>
            </w:pPr>
            <w:r>
              <w:rPr>
                <w:rFonts w:hint="eastAsia" w:ascii="仿宋_GB2312" w:eastAsia="仿宋_GB2312"/>
                <w:b w:val="0"/>
                <w:bCs/>
                <w:color w:val="000000"/>
                <w:sz w:val="15"/>
                <w:szCs w:val="15"/>
                <w:lang w:val="en-US" w:eastAsia="zh-CN"/>
              </w:rPr>
              <w:t>79</w:t>
            </w:r>
          </w:p>
        </w:tc>
        <w:tc>
          <w:tcPr>
            <w:tcW w:w="4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jc w:val="right"/>
              <w:textAlignment w:val="auto"/>
              <w:rPr>
                <w:rFonts w:hint="eastAsia" w:ascii="仿宋_GB2312" w:eastAsia="仿宋_GB2312"/>
                <w:b w:val="0"/>
                <w:bCs/>
                <w:color w:val="000000"/>
                <w:sz w:val="15"/>
                <w:szCs w:val="15"/>
              </w:rPr>
            </w:pPr>
          </w:p>
        </w:tc>
      </w:tr>
    </w:tbl>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 xml:space="preserve">编制部门：昌吉州党员教育中心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p>
      <w:pPr>
        <w:widowControl/>
        <w:jc w:val="left"/>
        <w:textAlignment w:val="bottom"/>
        <w:rPr>
          <w:rFonts w:hint="eastAsia" w:ascii="宋体" w:hAnsi="宋体" w:cs="宋体"/>
          <w:b w:val="0"/>
          <w:bCs/>
          <w:color w:val="000000"/>
          <w:kern w:val="0"/>
          <w:sz w:val="20"/>
          <w:szCs w:val="20"/>
          <w:lang w:bidi="ar"/>
        </w:rPr>
      </w:pPr>
    </w:p>
    <w:p>
      <w:pPr>
        <w:rPr>
          <w:rFonts w:hint="eastAsia" w:ascii="宋体" w:hAnsi="宋体" w:cs="宋体"/>
          <w:color w:val="000000"/>
          <w:kern w:val="0"/>
          <w:sz w:val="20"/>
          <w:szCs w:val="20"/>
          <w:lang w:bidi="ar"/>
        </w:rPr>
      </w:pPr>
      <w:r>
        <w:rPr>
          <w:rFonts w:hint="eastAsia" w:ascii="宋体" w:hAnsi="宋体" w:cs="宋体"/>
          <w:b w:val="0"/>
          <w:bCs/>
          <w:color w:val="000000"/>
          <w:kern w:val="0"/>
          <w:sz w:val="20"/>
          <w:szCs w:val="20"/>
          <w:lang w:bidi="ar"/>
        </w:rPr>
        <w:br w:type="page"/>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jc w:val="center"/>
        <w:rPr>
          <w:rFonts w:hint="eastAsia" w:ascii="仿宋_GB2312" w:hAnsi="宋体" w:eastAsia="仿宋_GB2312"/>
          <w:b/>
          <w:kern w:val="0"/>
          <w:sz w:val="32"/>
          <w:szCs w:val="32"/>
        </w:rPr>
      </w:pPr>
      <w:r>
        <w:rPr>
          <w:rFonts w:hint="eastAsia" w:ascii="仿宋_GB2312" w:hAnsi="宋体" w:eastAsia="仿宋_GB2312"/>
          <w:b/>
          <w:kern w:val="0"/>
          <w:sz w:val="32"/>
          <w:szCs w:val="32"/>
          <w:lang w:val="en-US" w:eastAsia="zh-CN"/>
        </w:rPr>
        <w:t>昌吉州党员教育中心</w:t>
      </w:r>
      <w:r>
        <w:rPr>
          <w:rFonts w:hint="eastAsia" w:ascii="仿宋_GB2312" w:hAnsi="宋体" w:eastAsia="仿宋_GB2312"/>
          <w:b/>
          <w:kern w:val="0"/>
          <w:sz w:val="32"/>
          <w:szCs w:val="32"/>
        </w:rPr>
        <w:t>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编制部门：昌吉州党员教育中心                   单位：万元</w:t>
      </w:r>
    </w:p>
    <w:tbl>
      <w:tblPr>
        <w:tblStyle w:val="7"/>
        <w:tblpPr w:leftFromText="180" w:rightFromText="180" w:vertAnchor="text" w:horzAnchor="page" w:tblpX="844" w:tblpY="285"/>
        <w:tblOverlap w:val="never"/>
        <w:tblW w:w="9420" w:type="dxa"/>
        <w:tblInd w:w="0" w:type="dxa"/>
        <w:tblLayout w:type="fixed"/>
        <w:tblCellMar>
          <w:top w:w="0" w:type="dxa"/>
          <w:left w:w="108" w:type="dxa"/>
          <w:bottom w:w="0" w:type="dxa"/>
          <w:right w:w="108" w:type="dxa"/>
        </w:tblCellMar>
      </w:tblPr>
      <w:tblGrid>
        <w:gridCol w:w="486"/>
        <w:gridCol w:w="400"/>
        <w:gridCol w:w="400"/>
        <w:gridCol w:w="2571"/>
        <w:gridCol w:w="1840"/>
        <w:gridCol w:w="1841"/>
        <w:gridCol w:w="1882"/>
      </w:tblGrid>
      <w:tr>
        <w:tblPrEx>
          <w:tblLayout w:type="fixed"/>
          <w:tblCellMar>
            <w:top w:w="0" w:type="dxa"/>
            <w:left w:w="108" w:type="dxa"/>
            <w:bottom w:w="0" w:type="dxa"/>
            <w:right w:w="108" w:type="dxa"/>
          </w:tblCellMar>
        </w:tblPrEx>
        <w:trPr>
          <w:trHeight w:val="345" w:hRule="atLeast"/>
        </w:trPr>
        <w:tc>
          <w:tcPr>
            <w:tcW w:w="385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6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4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201</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一般公共服务支出</w:t>
            </w:r>
          </w:p>
        </w:tc>
        <w:tc>
          <w:tcPr>
            <w:tcW w:w="184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261.11</w:t>
            </w:r>
          </w:p>
        </w:tc>
        <w:tc>
          <w:tcPr>
            <w:tcW w:w="184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131.11</w:t>
            </w:r>
          </w:p>
        </w:tc>
        <w:tc>
          <w:tcPr>
            <w:tcW w:w="188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130</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201</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32</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组织事务</w:t>
            </w:r>
          </w:p>
        </w:tc>
        <w:tc>
          <w:tcPr>
            <w:tcW w:w="184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261.11</w:t>
            </w:r>
          </w:p>
        </w:tc>
        <w:tc>
          <w:tcPr>
            <w:tcW w:w="184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131.11</w:t>
            </w:r>
          </w:p>
        </w:tc>
        <w:tc>
          <w:tcPr>
            <w:tcW w:w="188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130</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201</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32</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01</w:t>
            </w: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行政运行</w:t>
            </w:r>
          </w:p>
        </w:tc>
        <w:tc>
          <w:tcPr>
            <w:tcW w:w="184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131.11</w:t>
            </w:r>
          </w:p>
        </w:tc>
        <w:tc>
          <w:tcPr>
            <w:tcW w:w="184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131.11</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201</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32</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02</w:t>
            </w: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一般行政管理事务</w:t>
            </w:r>
          </w:p>
        </w:tc>
        <w:tc>
          <w:tcPr>
            <w:tcW w:w="184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130</w:t>
            </w:r>
          </w:p>
        </w:tc>
        <w:tc>
          <w:tcPr>
            <w:tcW w:w="184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p>
        </w:tc>
        <w:tc>
          <w:tcPr>
            <w:tcW w:w="188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130</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社会保障和就业支出</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25.64</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25.64</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行政事业单位养老支出</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25.64</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25.64</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05</w:t>
            </w: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机关事业单位基本养老保险缴费支出</w:t>
            </w:r>
          </w:p>
        </w:tc>
        <w:tc>
          <w:tcPr>
            <w:tcW w:w="184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25.64</w:t>
            </w:r>
          </w:p>
        </w:tc>
        <w:tc>
          <w:tcPr>
            <w:tcW w:w="184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25.64</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卫生健康支出</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9.14</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9.14</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行政事业单位医疗</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9.14</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9.14</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01</w:t>
            </w: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行政单位医疗</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8.55</w:t>
            </w:r>
          </w:p>
        </w:tc>
        <w:tc>
          <w:tcPr>
            <w:tcW w:w="184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8.55</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03</w:t>
            </w: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公务员医疗补助</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0.53</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0.53</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99</w:t>
            </w: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其他行政事业单位医疗支出</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0.06</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0.06</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住房改革支出</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13.47</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13.47</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18"/>
                <w:szCs w:val="18"/>
                <w:lang w:val="en-US" w:eastAsia="zh-CN" w:bidi="ar-SA"/>
              </w:rPr>
            </w:pP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住房保障支出</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13.47</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13.47</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bidi="ar-SA"/>
              </w:rPr>
            </w:pPr>
            <w:r>
              <w:rPr>
                <w:rFonts w:hint="eastAsia" w:ascii="仿宋_GB2312" w:hAnsi="宋体" w:eastAsia="仿宋_GB2312" w:cs="宋体"/>
                <w:b w:val="0"/>
                <w:bCs/>
                <w:color w:val="000000"/>
                <w:kern w:val="0"/>
                <w:sz w:val="18"/>
                <w:szCs w:val="18"/>
                <w:lang w:val="en-US" w:eastAsia="zh-CN"/>
              </w:rPr>
              <w:t>01</w:t>
            </w:r>
          </w:p>
        </w:tc>
        <w:tc>
          <w:tcPr>
            <w:tcW w:w="257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住房公积金</w:t>
            </w:r>
          </w:p>
        </w:tc>
        <w:tc>
          <w:tcPr>
            <w:tcW w:w="184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13.47</w:t>
            </w:r>
          </w:p>
        </w:tc>
        <w:tc>
          <w:tcPr>
            <w:tcW w:w="184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13.47</w:t>
            </w:r>
          </w:p>
        </w:tc>
        <w:tc>
          <w:tcPr>
            <w:tcW w:w="188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8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8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8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8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8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8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pPr>
          </w:p>
        </w:tc>
        <w:tc>
          <w:tcPr>
            <w:tcW w:w="400" w:type="dxa"/>
            <w:tcBorders>
              <w:top w:val="nil"/>
              <w:left w:val="nil"/>
              <w:bottom w:val="single" w:color="auto" w:sz="4" w:space="0"/>
              <w:right w:val="single" w:color="auto" w:sz="4" w:space="0"/>
            </w:tcBorders>
            <w:vAlign w:val="center"/>
          </w:tcPr>
          <w:p>
            <w:pPr>
              <w:jc w:val="center"/>
            </w:pPr>
          </w:p>
        </w:tc>
        <w:tc>
          <w:tcPr>
            <w:tcW w:w="400" w:type="dxa"/>
            <w:tcBorders>
              <w:top w:val="nil"/>
              <w:left w:val="nil"/>
              <w:bottom w:val="single" w:color="auto" w:sz="4" w:space="0"/>
              <w:right w:val="single" w:color="auto" w:sz="4" w:space="0"/>
            </w:tcBorders>
            <w:vAlign w:val="center"/>
          </w:tcPr>
          <w:p>
            <w:pPr>
              <w:jc w:val="center"/>
            </w:pPr>
          </w:p>
        </w:tc>
        <w:tc>
          <w:tcPr>
            <w:tcW w:w="2571" w:type="dxa"/>
            <w:tcBorders>
              <w:top w:val="nil"/>
              <w:left w:val="nil"/>
              <w:bottom w:val="single" w:color="auto" w:sz="4" w:space="0"/>
              <w:right w:val="single" w:color="auto" w:sz="4" w:space="0"/>
            </w:tcBorders>
            <w:vAlign w:val="center"/>
          </w:tcPr>
          <w:p>
            <w:pPr>
              <w:jc w:val="center"/>
            </w:pPr>
          </w:p>
        </w:tc>
        <w:tc>
          <w:tcPr>
            <w:tcW w:w="1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8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仿宋_GB2312" w:eastAsia="仿宋_GB2312"/>
                <w:b/>
                <w:bCs/>
                <w:color w:val="000000"/>
                <w:sz w:val="18"/>
                <w:szCs w:val="18"/>
              </w:rPr>
              <w:t>合 计</w:t>
            </w:r>
          </w:p>
        </w:tc>
        <w:tc>
          <w:tcPr>
            <w:tcW w:w="184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309.36</w:t>
            </w:r>
          </w:p>
        </w:tc>
        <w:tc>
          <w:tcPr>
            <w:tcW w:w="184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179.36</w:t>
            </w:r>
          </w:p>
        </w:tc>
        <w:tc>
          <w:tcPr>
            <w:tcW w:w="188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18"/>
                <w:szCs w:val="18"/>
                <w:lang w:val="en-US" w:eastAsia="zh-CN"/>
              </w:rPr>
            </w:pPr>
            <w:r>
              <w:rPr>
                <w:rFonts w:hint="eastAsia" w:ascii="仿宋_GB2312" w:hAnsi="宋体" w:eastAsia="仿宋_GB2312" w:cs="宋体"/>
                <w:b w:val="0"/>
                <w:bCs/>
                <w:color w:val="000000"/>
                <w:kern w:val="0"/>
                <w:sz w:val="18"/>
                <w:szCs w:val="18"/>
                <w:lang w:val="en-US" w:eastAsia="zh-CN"/>
              </w:rPr>
              <w:t>130</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br w:type="page"/>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jc w:val="center"/>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 w:val="24"/>
          <w:szCs w:val="24"/>
        </w:rPr>
      </w:pPr>
      <w:r>
        <w:rPr>
          <w:rFonts w:hint="eastAsia" w:ascii="仿宋_GB2312" w:hAnsi="宋体" w:eastAsia="仿宋_GB2312"/>
          <w:kern w:val="0"/>
          <w:sz w:val="24"/>
          <w:szCs w:val="24"/>
        </w:rPr>
        <w:t>编制部门</w:t>
      </w:r>
      <w:r>
        <w:rPr>
          <w:rFonts w:hint="eastAsia" w:ascii="仿宋_GB2312" w:hAnsi="宋体" w:eastAsia="仿宋_GB2312"/>
          <w:kern w:val="0"/>
          <w:szCs w:val="21"/>
        </w:rPr>
        <w:t>：</w:t>
      </w:r>
      <w:r>
        <w:rPr>
          <w:rFonts w:hint="eastAsia" w:ascii="仿宋_GB2312" w:hAnsi="宋体" w:eastAsia="仿宋_GB2312"/>
          <w:kern w:val="0"/>
          <w:sz w:val="24"/>
        </w:rPr>
        <w:t xml:space="preserve">昌吉州党员教育中心                       </w:t>
      </w:r>
      <w:r>
        <w:rPr>
          <w:rFonts w:hint="eastAsia" w:ascii="仿宋_GB2312" w:hAnsi="宋体" w:eastAsia="仿宋_GB2312"/>
          <w:kern w:val="0"/>
          <w:sz w:val="24"/>
          <w:lang w:val="en-US" w:eastAsia="zh-CN"/>
        </w:rPr>
        <w:t xml:space="preserve">  </w:t>
      </w:r>
      <w:r>
        <w:rPr>
          <w:rFonts w:hint="eastAsia" w:ascii="仿宋_GB2312" w:hAnsi="宋体" w:eastAsia="仿宋_GB2312"/>
          <w:kern w:val="0"/>
          <w:szCs w:val="21"/>
        </w:rPr>
        <w:t xml:space="preserve"> </w:t>
      </w:r>
      <w:r>
        <w:rPr>
          <w:rFonts w:hint="eastAsia" w:ascii="仿宋_GB2312" w:hAnsi="宋体" w:eastAsia="仿宋_GB2312"/>
          <w:kern w:val="0"/>
          <w:sz w:val="24"/>
          <w:szCs w:val="24"/>
        </w:rPr>
        <w:t xml:space="preserve"> 单位：万元</w:t>
      </w:r>
    </w:p>
    <w:tbl>
      <w:tblPr>
        <w:tblStyle w:val="7"/>
        <w:tblpPr w:leftFromText="180" w:rightFromText="180" w:vertAnchor="text" w:horzAnchor="page" w:tblpX="919" w:tblpY="305"/>
        <w:tblOverlap w:val="never"/>
        <w:tblW w:w="9449" w:type="dxa"/>
        <w:tblInd w:w="0" w:type="dxa"/>
        <w:tblLayout w:type="fixed"/>
        <w:tblCellMar>
          <w:top w:w="0" w:type="dxa"/>
          <w:left w:w="108" w:type="dxa"/>
          <w:bottom w:w="0" w:type="dxa"/>
          <w:right w:w="108" w:type="dxa"/>
        </w:tblCellMar>
      </w:tblPr>
      <w:tblGrid>
        <w:gridCol w:w="1822"/>
        <w:gridCol w:w="1116"/>
        <w:gridCol w:w="2404"/>
        <w:gridCol w:w="1116"/>
        <w:gridCol w:w="843"/>
        <w:gridCol w:w="1074"/>
        <w:gridCol w:w="1074"/>
      </w:tblGrid>
      <w:tr>
        <w:tblPrEx>
          <w:tblLayout w:type="fixed"/>
          <w:tblCellMar>
            <w:top w:w="0" w:type="dxa"/>
            <w:left w:w="108" w:type="dxa"/>
            <w:bottom w:w="0" w:type="dxa"/>
            <w:right w:w="108" w:type="dxa"/>
          </w:tblCellMar>
        </w:tblPrEx>
        <w:trPr>
          <w:trHeight w:val="285" w:hRule="atLeast"/>
        </w:trPr>
        <w:tc>
          <w:tcPr>
            <w:tcW w:w="2938"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11"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75" w:hRule="atLeast"/>
        </w:trPr>
        <w:tc>
          <w:tcPr>
            <w:tcW w:w="1822"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16"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40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116"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4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7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07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一、</w:t>
            </w:r>
            <w:r>
              <w:rPr>
                <w:rFonts w:hint="eastAsia" w:ascii="仿宋_GB2312" w:hAnsi="宋体" w:eastAsia="仿宋_GB2312" w:cs="宋体"/>
                <w:kern w:val="0"/>
                <w:sz w:val="18"/>
                <w:szCs w:val="18"/>
              </w:rPr>
              <w:t>财政拨款（补助）</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230.36</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lang w:val="en-US" w:eastAsia="zh-CN"/>
              </w:rPr>
            </w:pPr>
            <w:r>
              <w:rPr>
                <w:rFonts w:hint="eastAsia" w:ascii="仿宋_GB2312" w:hAnsi="宋体" w:eastAsia="仿宋_GB2312" w:cs="宋体"/>
                <w:kern w:val="0"/>
                <w:sz w:val="18"/>
                <w:szCs w:val="18"/>
                <w:lang w:val="en-US" w:eastAsia="zh-CN"/>
              </w:rPr>
              <w:t>201 一般公共服务支出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182.11</w:t>
            </w: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182.11</w:t>
            </w: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230.36</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202 外交支出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25.64</w:t>
            </w: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25.64</w:t>
            </w: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9.14</w:t>
            </w: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9.14</w:t>
            </w: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1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843"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1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0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2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b/>
                <w:bCs/>
                <w:kern w:val="0"/>
                <w:sz w:val="20"/>
                <w:szCs w:val="20"/>
              </w:rPr>
              <w:t>收  入  总  计</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18"/>
                <w:szCs w:val="18"/>
                <w:lang w:val="en-US" w:eastAsia="zh-CN"/>
              </w:rPr>
              <w:t>230.36</w:t>
            </w:r>
            <w:r>
              <w:rPr>
                <w:rFonts w:hint="eastAsia" w:ascii="仿宋_GB2312" w:hAnsi="宋体" w:eastAsia="仿宋_GB2312" w:cs="宋体"/>
                <w:color w:val="000000"/>
                <w:kern w:val="0"/>
                <w:sz w:val="22"/>
                <w:szCs w:val="22"/>
              </w:rPr>
              <w:t>　</w:t>
            </w:r>
          </w:p>
        </w:tc>
        <w:tc>
          <w:tcPr>
            <w:tcW w:w="24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b/>
                <w:bCs/>
                <w:kern w:val="0"/>
                <w:sz w:val="20"/>
                <w:szCs w:val="20"/>
              </w:rPr>
              <w:t>支  出  总  计</w:t>
            </w:r>
          </w:p>
        </w:tc>
        <w:tc>
          <w:tcPr>
            <w:tcW w:w="1116"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230.36　</w:t>
            </w:r>
          </w:p>
        </w:tc>
        <w:tc>
          <w:tcPr>
            <w:tcW w:w="843"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230.36　</w:t>
            </w:r>
          </w:p>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ascii="仿宋_GB2312" w:hAnsi="宋体" w:eastAsia="仿宋_GB2312"/>
          <w:b/>
          <w:kern w:val="0"/>
          <w:sz w:val="28"/>
          <w:szCs w:val="32"/>
        </w:rPr>
        <w:t xml:space="preserve"> </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br w:type="page"/>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7"/>
        <w:tblpPr w:leftFromText="180" w:rightFromText="180" w:vertAnchor="text" w:horzAnchor="page" w:tblpX="1039" w:tblpY="210"/>
        <w:tblOverlap w:val="never"/>
        <w:tblW w:w="9214" w:type="dxa"/>
        <w:tblInd w:w="0" w:type="dxa"/>
        <w:tblLayout w:type="fixed"/>
        <w:tblCellMar>
          <w:top w:w="0" w:type="dxa"/>
          <w:left w:w="108" w:type="dxa"/>
          <w:bottom w:w="0" w:type="dxa"/>
          <w:right w:w="108" w:type="dxa"/>
        </w:tblCellMar>
      </w:tblPr>
      <w:tblGrid>
        <w:gridCol w:w="567"/>
        <w:gridCol w:w="492"/>
        <w:gridCol w:w="418"/>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仿宋_GB2312" w:hAnsi="宋体" w:eastAsia="仿宋_GB2312"/>
                <w:b/>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647"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昌吉州党员教育中心</w:t>
            </w: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一般公共服务支出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182.11</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131.11</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51</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32</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组织事务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182.11</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131.11</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51</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32</w:t>
            </w: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01</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行政运行</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131.11</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131.11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bidi="ar-SA"/>
              </w:rPr>
            </w:pPr>
            <w:r>
              <w:rPr>
                <w:rFonts w:hint="eastAsia" w:ascii="仿宋_GB2312" w:hAnsi="宋体" w:eastAsia="仿宋_GB2312" w:cs="宋体"/>
                <w:b w:val="0"/>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bidi="ar-SA"/>
              </w:rPr>
            </w:pPr>
            <w:r>
              <w:rPr>
                <w:rFonts w:hint="eastAsia" w:ascii="仿宋_GB2312" w:hAnsi="宋体" w:eastAsia="仿宋_GB2312" w:cs="宋体"/>
                <w:b w:val="0"/>
                <w:bCs/>
                <w:color w:val="000000"/>
                <w:kern w:val="0"/>
                <w:sz w:val="18"/>
                <w:szCs w:val="18"/>
                <w:lang w:val="en-US" w:eastAsia="zh-CN"/>
              </w:rPr>
              <w:t>32</w:t>
            </w: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bidi="ar-SA"/>
              </w:rPr>
            </w:pPr>
            <w:r>
              <w:rPr>
                <w:rFonts w:hint="eastAsia" w:ascii="仿宋_GB2312" w:hAnsi="宋体" w:eastAsia="仿宋_GB2312" w:cs="宋体"/>
                <w:b w:val="0"/>
                <w:bCs/>
                <w:color w:val="000000"/>
                <w:kern w:val="0"/>
                <w:sz w:val="18"/>
                <w:szCs w:val="18"/>
                <w:lang w:val="en-US" w:eastAsia="zh-CN"/>
              </w:rPr>
              <w:t>02</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一般行政管理事务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51</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51</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25.64</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25.64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05</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25.64</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25.64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05</w:t>
            </w: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05</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25.64</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25.64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9.14</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9.14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9.14</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9.14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01</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行政单位医疗</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8.55</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8.55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03</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0.53</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99</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0.06</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0.06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02</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02</w:t>
            </w: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18"/>
                <w:szCs w:val="18"/>
                <w:lang w:val="en-US" w:eastAsia="zh-CN"/>
              </w:rPr>
              <w:t>01</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仿宋_GB2312" w:eastAsia="仿宋_GB2312" w:cs="仿宋_GB2312"/>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230.36</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230.36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51</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br w:type="page"/>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7"/>
        <w:tblpPr w:leftFromText="180" w:rightFromText="180" w:vertAnchor="text" w:horzAnchor="page" w:tblpX="876" w:tblpY="396"/>
        <w:tblOverlap w:val="never"/>
        <w:tblW w:w="9328" w:type="dxa"/>
        <w:tblInd w:w="0"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仿宋_GB2312" w:hAnsi="宋体" w:eastAsia="仿宋_GB2312"/>
                <w:b/>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昌吉州党员教育中心 </w:t>
            </w: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工资</w:t>
            </w:r>
            <w:r>
              <w:rPr>
                <w:rFonts w:hint="eastAsia" w:ascii="仿宋_GB2312" w:hAnsi="宋体" w:eastAsia="仿宋_GB2312" w:cs="宋体"/>
                <w:color w:val="000000"/>
                <w:kern w:val="0"/>
                <w:sz w:val="18"/>
                <w:szCs w:val="18"/>
              </w:rPr>
              <w:t>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155.29</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155.29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45.15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45.15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45.92</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45.92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0</w:t>
            </w:r>
            <w:r>
              <w:rPr>
                <w:rFonts w:hint="eastAsia" w:ascii="仿宋_GB2312" w:hAnsi="宋体" w:eastAsia="仿宋_GB2312" w:cs="宋体"/>
                <w:color w:val="000000"/>
                <w:kern w:val="0"/>
                <w:sz w:val="18"/>
                <w:szCs w:val="18"/>
                <w:lang w:val="en-US" w:eastAsia="zh-CN"/>
              </w:rPr>
              <w:t>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15.76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15.76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0</w:t>
            </w:r>
            <w:r>
              <w:rPr>
                <w:rFonts w:hint="eastAsia" w:ascii="仿宋_GB2312" w:hAnsi="宋体" w:eastAsia="仿宋_GB2312" w:cs="宋体"/>
                <w:color w:val="000000"/>
                <w:kern w:val="0"/>
                <w:sz w:val="18"/>
                <w:szCs w:val="18"/>
                <w:lang w:val="en-US" w:eastAsia="zh-CN"/>
              </w:rPr>
              <w:t>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机关事业单位养老保险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职业年金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8.55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8.55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8.55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8.55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公务员医疗补助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职工大额医疗保险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0.06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0.06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22.18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22.18</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2.00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2.00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0.70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0.70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04</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手续费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0.08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0.08</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0.70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0.70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0.70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0.70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0.50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0.50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5.20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5.20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1.5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1.5</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lang w:eastAsia="zh-CN"/>
              </w:rPr>
              <w:t>维</w:t>
            </w:r>
            <w:r>
              <w:rPr>
                <w:rFonts w:hint="eastAsia" w:ascii="仿宋_GB2312" w:hAnsi="宋体" w:eastAsia="仿宋_GB2312" w:cs="宋体"/>
                <w:color w:val="auto"/>
                <w:kern w:val="0"/>
                <w:sz w:val="18"/>
                <w:szCs w:val="18"/>
              </w:rPr>
              <w:t>修(护</w:t>
            </w:r>
            <w:r>
              <w:rPr>
                <w:rFonts w:hint="eastAsia" w:ascii="仿宋_GB2312" w:hAnsi="宋体" w:eastAsia="仿宋_GB2312" w:cs="宋体"/>
                <w:color w:val="auto"/>
                <w:kern w:val="0"/>
                <w:sz w:val="18"/>
                <w:szCs w:val="18"/>
                <w:lang w:eastAsia="zh-CN"/>
              </w:rPr>
              <w:t>）</w:t>
            </w:r>
            <w:r>
              <w:rPr>
                <w:rFonts w:hint="eastAsia" w:ascii="仿宋_GB2312" w:hAnsi="宋体" w:eastAsia="仿宋_GB2312" w:cs="宋体"/>
                <w:color w:val="auto"/>
                <w:kern w:val="0"/>
                <w:sz w:val="18"/>
                <w:szCs w:val="18"/>
              </w:rPr>
              <w:t>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0.3</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0.14</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0.14</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仿宋_GB2312" w:hAnsi="宋体" w:eastAsia="仿宋_GB2312" w:cs="宋体"/>
                <w:color w:val="auto"/>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2.02</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2.02</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1.82</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1.82</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2.1</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2.1</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基层党组织活动费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0.89</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0.89</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3.53</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3.53</w:t>
            </w:r>
          </w:p>
        </w:tc>
      </w:tr>
      <w:tr>
        <w:tblPrEx>
          <w:tblLayout w:type="fixed"/>
          <w:tblCellMar>
            <w:top w:w="0" w:type="dxa"/>
            <w:left w:w="108" w:type="dxa"/>
            <w:bottom w:w="0" w:type="dxa"/>
            <w:right w:w="108" w:type="dxa"/>
          </w:tblCellMar>
        </w:tblPrEx>
        <w:trPr>
          <w:trHeight w:val="63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仿宋_GB2312" w:eastAsia="仿宋_GB2312" w:cs="仿宋_GB2312"/>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pPr>
            <w:r>
              <w:rPr>
                <w:rFonts w:hint="eastAsia" w:ascii="仿宋_GB2312" w:hAnsi="宋体" w:eastAsia="仿宋_GB2312" w:cs="宋体"/>
                <w:color w:val="000000"/>
                <w:kern w:val="0"/>
                <w:sz w:val="18"/>
                <w:szCs w:val="18"/>
                <w:lang w:val="en-US" w:eastAsia="zh-CN"/>
              </w:rPr>
              <w:t>177.47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155.29</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22.18</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br w:type="page"/>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7"/>
        <w:tblpPr w:leftFromText="180" w:rightFromText="180" w:vertAnchor="text" w:horzAnchor="page" w:tblpX="839" w:tblpY="362"/>
        <w:tblOverlap w:val="never"/>
        <w:tblW w:w="9540" w:type="dxa"/>
        <w:tblInd w:w="0" w:type="dxa"/>
        <w:tblLayout w:type="fixed"/>
        <w:tblCellMar>
          <w:top w:w="0" w:type="dxa"/>
          <w:left w:w="108" w:type="dxa"/>
          <w:bottom w:w="0" w:type="dxa"/>
          <w:right w:w="108" w:type="dxa"/>
        </w:tblCellMar>
      </w:tblPr>
      <w:tblGrid>
        <w:gridCol w:w="12"/>
        <w:gridCol w:w="519"/>
        <w:gridCol w:w="426"/>
        <w:gridCol w:w="426"/>
        <w:gridCol w:w="1018"/>
        <w:gridCol w:w="1147"/>
        <w:gridCol w:w="729"/>
        <w:gridCol w:w="553"/>
        <w:gridCol w:w="584"/>
        <w:gridCol w:w="627"/>
        <w:gridCol w:w="627"/>
        <w:gridCol w:w="378"/>
        <w:gridCol w:w="200"/>
        <w:gridCol w:w="418"/>
        <w:gridCol w:w="578"/>
        <w:gridCol w:w="418"/>
        <w:gridCol w:w="418"/>
        <w:gridCol w:w="386"/>
        <w:gridCol w:w="76"/>
      </w:tblGrid>
      <w:tr>
        <w:tblPrEx>
          <w:tblLayout w:type="fixed"/>
          <w:tblCellMar>
            <w:top w:w="0" w:type="dxa"/>
            <w:left w:w="108" w:type="dxa"/>
            <w:bottom w:w="0" w:type="dxa"/>
            <w:right w:w="108" w:type="dxa"/>
          </w:tblCellMar>
        </w:tblPrEx>
        <w:trPr>
          <w:gridBefore w:val="1"/>
          <w:gridAfter w:val="1"/>
          <w:wBefore w:w="12" w:type="dxa"/>
          <w:wAfter w:w="76" w:type="dxa"/>
          <w:trHeight w:val="375" w:hRule="atLeast"/>
        </w:trPr>
        <w:tc>
          <w:tcPr>
            <w:tcW w:w="9452"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仿宋_GB2312" w:hAnsi="宋体" w:eastAsia="仿宋_GB2312"/>
                <w:b/>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2" w:type="dxa"/>
          <w:wAfter w:w="76" w:type="dxa"/>
          <w:trHeight w:val="405" w:hRule="atLeast"/>
        </w:trPr>
        <w:tc>
          <w:tcPr>
            <w:tcW w:w="5402"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昌吉州党员教育中心                       </w:t>
            </w:r>
          </w:p>
        </w:tc>
        <w:tc>
          <w:tcPr>
            <w:tcW w:w="163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18"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83"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47"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2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8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2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2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1"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18"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4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2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2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2"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201</w:t>
            </w:r>
          </w:p>
        </w:tc>
        <w:tc>
          <w:tcPr>
            <w:tcW w:w="426"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426"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1018" w:type="dxa"/>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一般行政管理事务</w:t>
            </w:r>
          </w:p>
        </w:tc>
        <w:tc>
          <w:tcPr>
            <w:tcW w:w="1147"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729"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553"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584"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627" w:type="dxa"/>
            <w:vAlign w:val="center"/>
          </w:tcPr>
          <w:p>
            <w:pPr>
              <w:widowControl/>
              <w:jc w:val="center"/>
              <w:rPr>
                <w:rFonts w:hint="eastAsia" w:ascii="仿宋_GB2312" w:hAnsi="宋体" w:eastAsia="仿宋_GB2312" w:cs="宋体"/>
                <w:color w:val="000000"/>
                <w:kern w:val="0"/>
                <w:sz w:val="18"/>
                <w:szCs w:val="18"/>
                <w:lang w:eastAsia="zh-CN"/>
              </w:rPr>
            </w:pPr>
          </w:p>
        </w:tc>
        <w:tc>
          <w:tcPr>
            <w:tcW w:w="627" w:type="dxa"/>
            <w:vAlign w:val="center"/>
          </w:tcPr>
          <w:p>
            <w:pPr>
              <w:widowControl/>
              <w:jc w:val="center"/>
              <w:rPr>
                <w:rFonts w:hint="eastAsia" w:ascii="仿宋_GB2312" w:hAnsi="宋体" w:eastAsia="仿宋_GB2312" w:cs="宋体"/>
                <w:color w:val="000000"/>
                <w:kern w:val="0"/>
                <w:sz w:val="18"/>
                <w:szCs w:val="18"/>
              </w:rPr>
            </w:pPr>
          </w:p>
        </w:tc>
        <w:tc>
          <w:tcPr>
            <w:tcW w:w="578" w:type="dxa"/>
            <w:gridSpan w:val="2"/>
            <w:vAlign w:val="center"/>
          </w:tcPr>
          <w:p>
            <w:pPr>
              <w:widowControl/>
              <w:jc w:val="center"/>
              <w:rPr>
                <w:rFonts w:hint="eastAsia" w:ascii="仿宋_GB2312" w:hAnsi="宋体" w:eastAsia="仿宋_GB2312" w:cs="宋体"/>
                <w:color w:val="000000"/>
                <w:kern w:val="0"/>
                <w:sz w:val="18"/>
                <w:szCs w:val="18"/>
              </w:rPr>
            </w:pPr>
          </w:p>
        </w:tc>
        <w:tc>
          <w:tcPr>
            <w:tcW w:w="418"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62"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201</w:t>
            </w:r>
          </w:p>
        </w:tc>
        <w:tc>
          <w:tcPr>
            <w:tcW w:w="426" w:type="dxa"/>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32</w:t>
            </w:r>
          </w:p>
        </w:tc>
        <w:tc>
          <w:tcPr>
            <w:tcW w:w="426"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1018" w:type="dxa"/>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一般行政管理事务</w:t>
            </w:r>
          </w:p>
        </w:tc>
        <w:tc>
          <w:tcPr>
            <w:tcW w:w="1147"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729"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553"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584"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627" w:type="dxa"/>
            <w:vAlign w:val="center"/>
          </w:tcPr>
          <w:p>
            <w:pPr>
              <w:widowControl/>
              <w:jc w:val="center"/>
              <w:rPr>
                <w:rFonts w:hint="eastAsia" w:ascii="仿宋_GB2312" w:hAnsi="宋体" w:eastAsia="仿宋_GB2312" w:cs="宋体"/>
                <w:color w:val="000000"/>
                <w:kern w:val="0"/>
                <w:sz w:val="18"/>
                <w:szCs w:val="18"/>
                <w:lang w:eastAsia="zh-CN"/>
              </w:rPr>
            </w:pPr>
          </w:p>
        </w:tc>
        <w:tc>
          <w:tcPr>
            <w:tcW w:w="627" w:type="dxa"/>
            <w:vAlign w:val="center"/>
          </w:tcPr>
          <w:p>
            <w:pPr>
              <w:widowControl/>
              <w:jc w:val="center"/>
              <w:rPr>
                <w:rFonts w:hint="eastAsia" w:ascii="仿宋_GB2312" w:hAnsi="宋体" w:eastAsia="仿宋_GB2312" w:cs="宋体"/>
                <w:color w:val="000000"/>
                <w:kern w:val="0"/>
                <w:sz w:val="18"/>
                <w:szCs w:val="18"/>
              </w:rPr>
            </w:pPr>
          </w:p>
        </w:tc>
        <w:tc>
          <w:tcPr>
            <w:tcW w:w="578" w:type="dxa"/>
            <w:gridSpan w:val="2"/>
            <w:vAlign w:val="center"/>
          </w:tcPr>
          <w:p>
            <w:pPr>
              <w:widowControl/>
              <w:jc w:val="center"/>
              <w:rPr>
                <w:rFonts w:hint="eastAsia" w:ascii="仿宋_GB2312" w:hAnsi="宋体" w:eastAsia="仿宋_GB2312" w:cs="宋体"/>
                <w:color w:val="000000"/>
                <w:kern w:val="0"/>
                <w:sz w:val="18"/>
                <w:szCs w:val="18"/>
              </w:rPr>
            </w:pPr>
          </w:p>
        </w:tc>
        <w:tc>
          <w:tcPr>
            <w:tcW w:w="418"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62"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201</w:t>
            </w:r>
          </w:p>
        </w:tc>
        <w:tc>
          <w:tcPr>
            <w:tcW w:w="426" w:type="dxa"/>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32</w:t>
            </w:r>
          </w:p>
        </w:tc>
        <w:tc>
          <w:tcPr>
            <w:tcW w:w="426" w:type="dxa"/>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02</w:t>
            </w:r>
          </w:p>
        </w:tc>
        <w:tc>
          <w:tcPr>
            <w:tcW w:w="1018" w:type="dxa"/>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一般行政管理事务</w:t>
            </w:r>
          </w:p>
        </w:tc>
        <w:tc>
          <w:tcPr>
            <w:tcW w:w="1147" w:type="dxa"/>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昌吉州党员教育运转保障经费</w:t>
            </w:r>
          </w:p>
        </w:tc>
        <w:tc>
          <w:tcPr>
            <w:tcW w:w="729" w:type="dxa"/>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51</w:t>
            </w:r>
          </w:p>
        </w:tc>
        <w:tc>
          <w:tcPr>
            <w:tcW w:w="553" w:type="dxa"/>
            <w:vAlign w:val="center"/>
          </w:tcPr>
          <w:p>
            <w:pPr>
              <w:widowControl/>
              <w:jc w:val="center"/>
              <w:rPr>
                <w:rFonts w:hint="eastAsia" w:ascii="仿宋_GB2312" w:hAnsi="宋体" w:eastAsia="仿宋_GB2312" w:cs="宋体"/>
                <w:color w:val="000000"/>
                <w:kern w:val="0"/>
                <w:sz w:val="18"/>
                <w:szCs w:val="18"/>
                <w:lang w:val="en-US" w:eastAsia="zh-CN"/>
              </w:rPr>
            </w:pPr>
          </w:p>
        </w:tc>
        <w:tc>
          <w:tcPr>
            <w:tcW w:w="584" w:type="dxa"/>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51</w:t>
            </w:r>
          </w:p>
        </w:tc>
        <w:tc>
          <w:tcPr>
            <w:tcW w:w="627" w:type="dxa"/>
            <w:vAlign w:val="center"/>
          </w:tcPr>
          <w:p>
            <w:pPr>
              <w:widowControl/>
              <w:jc w:val="center"/>
              <w:rPr>
                <w:rFonts w:hint="eastAsia" w:ascii="仿宋_GB2312" w:hAnsi="宋体" w:eastAsia="仿宋_GB2312" w:cs="宋体"/>
                <w:color w:val="000000"/>
                <w:kern w:val="0"/>
                <w:sz w:val="18"/>
                <w:szCs w:val="18"/>
                <w:lang w:eastAsia="zh-CN"/>
              </w:rPr>
            </w:pPr>
          </w:p>
        </w:tc>
        <w:tc>
          <w:tcPr>
            <w:tcW w:w="627" w:type="dxa"/>
            <w:vAlign w:val="center"/>
          </w:tcPr>
          <w:p>
            <w:pPr>
              <w:widowControl/>
              <w:jc w:val="center"/>
              <w:rPr>
                <w:rFonts w:hint="eastAsia" w:ascii="仿宋_GB2312" w:hAnsi="宋体" w:eastAsia="仿宋_GB2312" w:cs="宋体"/>
                <w:color w:val="000000"/>
                <w:kern w:val="0"/>
                <w:sz w:val="18"/>
                <w:szCs w:val="18"/>
              </w:rPr>
            </w:pPr>
          </w:p>
        </w:tc>
        <w:tc>
          <w:tcPr>
            <w:tcW w:w="578" w:type="dxa"/>
            <w:gridSpan w:val="2"/>
            <w:vAlign w:val="center"/>
          </w:tcPr>
          <w:p>
            <w:pPr>
              <w:widowControl/>
              <w:jc w:val="center"/>
              <w:rPr>
                <w:rFonts w:hint="eastAsia" w:ascii="仿宋_GB2312" w:hAnsi="宋体" w:eastAsia="仿宋_GB2312" w:cs="宋体"/>
                <w:color w:val="000000"/>
                <w:kern w:val="0"/>
                <w:sz w:val="18"/>
                <w:szCs w:val="18"/>
              </w:rPr>
            </w:pPr>
          </w:p>
        </w:tc>
        <w:tc>
          <w:tcPr>
            <w:tcW w:w="418"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62"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tcPr>
          <w:p>
            <w:pPr>
              <w:widowControl/>
              <w:spacing w:line="280" w:lineRule="exact"/>
              <w:jc w:val="center"/>
              <w:rPr>
                <w:rFonts w:hint="eastAsia"/>
                <w:lang w:val="en-US" w:eastAsia="zh-CN"/>
              </w:rPr>
            </w:pPr>
          </w:p>
        </w:tc>
        <w:tc>
          <w:tcPr>
            <w:tcW w:w="729" w:type="dxa"/>
          </w:tcPr>
          <w:p>
            <w:pPr>
              <w:widowControl/>
              <w:spacing w:line="280" w:lineRule="exact"/>
              <w:jc w:val="center"/>
              <w:rPr>
                <w:rFonts w:hint="eastAsia"/>
                <w:lang w:val="en-US" w:eastAsia="zh-CN"/>
              </w:rPr>
            </w:pPr>
          </w:p>
        </w:tc>
        <w:tc>
          <w:tcPr>
            <w:tcW w:w="553" w:type="dxa"/>
          </w:tcPr>
          <w:p>
            <w:pPr>
              <w:widowControl/>
              <w:spacing w:line="280" w:lineRule="exact"/>
              <w:jc w:val="center"/>
              <w:rPr>
                <w:rFonts w:hint="eastAsia"/>
                <w:lang w:val="en-US" w:eastAsia="zh-CN"/>
              </w:rPr>
            </w:pPr>
          </w:p>
        </w:tc>
        <w:tc>
          <w:tcPr>
            <w:tcW w:w="584" w:type="dxa"/>
          </w:tcPr>
          <w:p>
            <w:pPr>
              <w:widowControl/>
              <w:spacing w:line="280" w:lineRule="exact"/>
              <w:jc w:val="center"/>
              <w:rPr>
                <w:rFonts w:hint="eastAsia"/>
                <w:lang w:val="en-US" w:eastAsia="zh-CN"/>
              </w:rPr>
            </w:pPr>
          </w:p>
        </w:tc>
        <w:tc>
          <w:tcPr>
            <w:tcW w:w="627" w:type="dxa"/>
          </w:tcPr>
          <w:p>
            <w:pPr>
              <w:widowControl/>
              <w:spacing w:line="280" w:lineRule="exact"/>
              <w:jc w:val="center"/>
              <w:rPr>
                <w:rFonts w:hint="eastAsia"/>
                <w:lang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426" w:type="dxa"/>
          </w:tcPr>
          <w:p>
            <w:pPr>
              <w:widowControl/>
              <w:spacing w:line="280" w:lineRule="exact"/>
              <w:jc w:val="center"/>
              <w:rPr>
                <w:rFonts w:hint="eastAsia"/>
                <w:lang w:val="en-US" w:eastAsia="zh-CN"/>
              </w:rPr>
            </w:pPr>
          </w:p>
        </w:tc>
        <w:tc>
          <w:tcPr>
            <w:tcW w:w="1018" w:type="dxa"/>
          </w:tcPr>
          <w:p>
            <w:pPr>
              <w:widowControl/>
              <w:spacing w:line="280" w:lineRule="exact"/>
              <w:jc w:val="center"/>
              <w:rPr>
                <w:rFonts w:hint="eastAsia"/>
                <w:lang w:val="en-US" w:eastAsia="zh-CN"/>
              </w:rPr>
            </w:pPr>
          </w:p>
        </w:tc>
        <w:tc>
          <w:tcPr>
            <w:tcW w:w="1147" w:type="dxa"/>
            <w:vAlign w:val="center"/>
          </w:tcPr>
          <w:p>
            <w:pPr>
              <w:widowControl/>
              <w:spacing w:line="280" w:lineRule="exact"/>
              <w:jc w:val="center"/>
              <w:rPr>
                <w:rFonts w:hint="eastAsia"/>
                <w:lang w:val="en-US" w:eastAsia="zh-CN"/>
              </w:rPr>
            </w:pPr>
            <w:r>
              <w:rPr>
                <w:rFonts w:hint="eastAsia" w:ascii="仿宋_GB2312" w:hAnsi="宋体" w:eastAsia="仿宋_GB2312"/>
                <w:b/>
                <w:bCs/>
                <w:kern w:val="0"/>
                <w:sz w:val="18"/>
                <w:szCs w:val="18"/>
              </w:rPr>
              <w:t>合 计</w:t>
            </w:r>
          </w:p>
        </w:tc>
        <w:tc>
          <w:tcPr>
            <w:tcW w:w="729" w:type="dxa"/>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51</w:t>
            </w:r>
          </w:p>
        </w:tc>
        <w:tc>
          <w:tcPr>
            <w:tcW w:w="553" w:type="dxa"/>
          </w:tcPr>
          <w:p>
            <w:pPr>
              <w:widowControl/>
              <w:jc w:val="center"/>
              <w:rPr>
                <w:rFonts w:hint="eastAsia" w:ascii="仿宋_GB2312" w:hAnsi="宋体" w:eastAsia="仿宋_GB2312" w:cs="宋体"/>
                <w:color w:val="000000"/>
                <w:kern w:val="0"/>
                <w:sz w:val="18"/>
                <w:szCs w:val="18"/>
                <w:lang w:val="en-US" w:eastAsia="zh-CN"/>
              </w:rPr>
            </w:pPr>
          </w:p>
          <w:p/>
        </w:tc>
        <w:tc>
          <w:tcPr>
            <w:tcW w:w="584" w:type="dxa"/>
            <w:vAlign w:val="center"/>
          </w:tcPr>
          <w:p>
            <w:pPr>
              <w:rPr>
                <w:rFonts w:hint="default"/>
                <w:lang w:val="en-US"/>
              </w:rPr>
            </w:pPr>
            <w:r>
              <w:rPr>
                <w:rFonts w:hint="eastAsia" w:ascii="仿宋_GB2312" w:hAnsi="宋体" w:eastAsia="仿宋_GB2312" w:cs="宋体"/>
                <w:color w:val="000000"/>
                <w:kern w:val="0"/>
                <w:sz w:val="18"/>
                <w:szCs w:val="18"/>
                <w:lang w:val="en-US" w:eastAsia="zh-CN"/>
              </w:rPr>
              <w:t>51</w:t>
            </w:r>
          </w:p>
        </w:tc>
        <w:tc>
          <w:tcPr>
            <w:tcW w:w="627" w:type="dxa"/>
          </w:tcPr>
          <w:p>
            <w:pPr>
              <w:widowControl/>
              <w:jc w:val="center"/>
              <w:rPr>
                <w:rFonts w:hint="eastAsia" w:ascii="仿宋_GB2312" w:hAnsi="宋体" w:eastAsia="仿宋_GB2312" w:cs="宋体"/>
                <w:color w:val="000000"/>
                <w:kern w:val="0"/>
                <w:sz w:val="18"/>
                <w:szCs w:val="18"/>
                <w:lang w:val="en-US" w:eastAsia="zh-CN"/>
              </w:rPr>
            </w:pPr>
          </w:p>
        </w:tc>
        <w:tc>
          <w:tcPr>
            <w:tcW w:w="62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ind w:firstLine="2249" w:firstLineChars="700"/>
        <w:jc w:val="both"/>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编制部门：昌吉州党员教育中心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pPr w:leftFromText="180" w:rightFromText="180" w:vertAnchor="text" w:horzAnchor="page" w:tblpX="819" w:tblpY="230"/>
        <w:tblOverlap w:val="never"/>
        <w:tblW w:w="9214" w:type="dxa"/>
        <w:tblInd w:w="0"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bCs/>
          <w:kern w:val="0"/>
          <w:sz w:val="28"/>
          <w:szCs w:val="28"/>
        </w:rPr>
        <w:t>昌吉州党员教育中心</w:t>
      </w:r>
      <w:r>
        <w:rPr>
          <w:rFonts w:hint="eastAsia" w:ascii="仿宋_GB2312" w:hAnsi="宋体" w:eastAsia="仿宋_GB2312"/>
          <w:b/>
          <w:kern w:val="0"/>
          <w:sz w:val="28"/>
          <w:szCs w:val="32"/>
          <w:lang w:val="en-US" w:eastAsia="zh-CN"/>
        </w:rPr>
        <w:t>没有使用</w:t>
      </w:r>
      <w:r>
        <w:rPr>
          <w:rFonts w:hint="eastAsia" w:ascii="仿宋_GB2312" w:hAnsi="宋体" w:eastAsia="仿宋_GB2312"/>
          <w:b/>
          <w:kern w:val="0"/>
          <w:sz w:val="28"/>
          <w:szCs w:val="32"/>
        </w:rPr>
        <w:t>政府性基金预算</w:t>
      </w:r>
      <w:r>
        <w:rPr>
          <w:rFonts w:hint="eastAsia" w:ascii="仿宋_GB2312" w:hAnsi="宋体" w:eastAsia="仿宋_GB2312"/>
          <w:b/>
          <w:kern w:val="0"/>
          <w:sz w:val="28"/>
          <w:szCs w:val="32"/>
          <w:lang w:val="en-US" w:eastAsia="zh-CN"/>
        </w:rPr>
        <w:t>拨款安排的支出</w:t>
      </w:r>
      <w:r>
        <w:rPr>
          <w:rFonts w:hint="eastAsia" w:ascii="仿宋_GB2312" w:hAnsi="宋体" w:eastAsia="仿宋_GB2312"/>
          <w:b/>
          <w:kern w:val="0"/>
          <w:sz w:val="28"/>
          <w:szCs w:val="32"/>
        </w:rPr>
        <w:t>，</w:t>
      </w:r>
      <w:r>
        <w:rPr>
          <w:rFonts w:hint="eastAsia" w:ascii="仿宋_GB2312" w:hAnsi="宋体" w:eastAsia="仿宋_GB2312"/>
          <w:b/>
          <w:kern w:val="0"/>
          <w:sz w:val="28"/>
          <w:szCs w:val="32"/>
          <w:lang w:val="en-US" w:eastAsia="zh-CN"/>
        </w:rPr>
        <w:t>政府性基金预算支出情况表</w:t>
      </w:r>
      <w:r>
        <w:rPr>
          <w:rFonts w:hint="eastAsia" w:ascii="仿宋_GB2312" w:hAnsi="宋体" w:eastAsia="仿宋_GB2312"/>
          <w:b/>
          <w:kern w:val="0"/>
          <w:sz w:val="28"/>
          <w:szCs w:val="32"/>
        </w:rPr>
        <w:t>为空表。</w:t>
      </w:r>
    </w:p>
    <w:p>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br w:type="page"/>
      </w:r>
    </w:p>
    <w:tbl>
      <w:tblPr>
        <w:tblStyle w:val="7"/>
        <w:tblW w:w="8838" w:type="dxa"/>
        <w:tblInd w:w="0" w:type="dxa"/>
        <w:tblLayout w:type="fixed"/>
        <w:tblCellMar>
          <w:top w:w="0" w:type="dxa"/>
          <w:left w:w="108" w:type="dxa"/>
          <w:bottom w:w="0" w:type="dxa"/>
          <w:right w:w="108" w:type="dxa"/>
        </w:tblCellMar>
      </w:tblPr>
      <w:tblGrid>
        <w:gridCol w:w="817"/>
        <w:gridCol w:w="427"/>
        <w:gridCol w:w="565"/>
        <w:gridCol w:w="601"/>
        <w:gridCol w:w="180"/>
        <w:gridCol w:w="212"/>
        <w:gridCol w:w="1281"/>
        <w:gridCol w:w="612"/>
        <w:gridCol w:w="930"/>
        <w:gridCol w:w="1063"/>
        <w:gridCol w:w="236"/>
        <w:gridCol w:w="1175"/>
        <w:gridCol w:w="651"/>
        <w:gridCol w:w="88"/>
      </w:tblGrid>
      <w:tr>
        <w:tblPrEx>
          <w:tblLayout w:type="fixed"/>
          <w:tblCellMar>
            <w:top w:w="0" w:type="dxa"/>
            <w:left w:w="108" w:type="dxa"/>
            <w:bottom w:w="0" w:type="dxa"/>
            <w:right w:w="108" w:type="dxa"/>
          </w:tblCellMar>
        </w:tblPrEx>
        <w:trPr>
          <w:trHeight w:val="240" w:hRule="atLeast"/>
        </w:trPr>
        <w:tc>
          <w:tcPr>
            <w:tcW w:w="1244" w:type="dxa"/>
            <w:gridSpan w:val="2"/>
            <w:tcBorders>
              <w:top w:val="nil"/>
              <w:left w:val="nil"/>
              <w:bottom w:val="nil"/>
              <w:right w:val="nil"/>
            </w:tcBorders>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0"/>
                <w:szCs w:val="20"/>
                <w:lang w:bidi="ar"/>
              </w:rPr>
              <w:t>表</w:t>
            </w:r>
            <w:r>
              <w:rPr>
                <w:rFonts w:ascii="宋体" w:hAnsi="宋体" w:cs="宋体"/>
                <w:color w:val="000000"/>
                <w:kern w:val="0"/>
                <w:sz w:val="20"/>
                <w:szCs w:val="20"/>
                <w:lang w:bidi="ar"/>
              </w:rPr>
              <w:t>9</w:t>
            </w:r>
          </w:p>
        </w:tc>
        <w:tc>
          <w:tcPr>
            <w:tcW w:w="1346" w:type="dxa"/>
            <w:gridSpan w:val="3"/>
            <w:tcBorders>
              <w:top w:val="nil"/>
              <w:left w:val="nil"/>
              <w:bottom w:val="nil"/>
              <w:right w:val="nil"/>
            </w:tcBorders>
            <w:noWrap/>
            <w:vAlign w:val="center"/>
          </w:tcPr>
          <w:p>
            <w:pPr>
              <w:rPr>
                <w:rFonts w:hint="eastAsia" w:ascii="宋体" w:hAnsi="宋体" w:cs="宋体"/>
                <w:color w:val="000000"/>
                <w:sz w:val="22"/>
                <w:szCs w:val="22"/>
              </w:rPr>
            </w:pPr>
          </w:p>
        </w:tc>
        <w:tc>
          <w:tcPr>
            <w:tcW w:w="1493" w:type="dxa"/>
            <w:gridSpan w:val="2"/>
            <w:tcBorders>
              <w:top w:val="nil"/>
              <w:left w:val="nil"/>
              <w:bottom w:val="nil"/>
              <w:right w:val="nil"/>
            </w:tcBorders>
            <w:noWrap/>
            <w:vAlign w:val="center"/>
          </w:tcPr>
          <w:p>
            <w:pPr>
              <w:rPr>
                <w:rFonts w:hint="eastAsia" w:ascii="宋体" w:hAnsi="宋体" w:cs="宋体"/>
                <w:color w:val="000000"/>
                <w:sz w:val="22"/>
                <w:szCs w:val="22"/>
              </w:rPr>
            </w:pPr>
          </w:p>
        </w:tc>
        <w:tc>
          <w:tcPr>
            <w:tcW w:w="2841" w:type="dxa"/>
            <w:gridSpan w:val="4"/>
            <w:tcBorders>
              <w:top w:val="nil"/>
              <w:left w:val="nil"/>
              <w:bottom w:val="nil"/>
              <w:right w:val="nil"/>
            </w:tcBorders>
            <w:noWrap w:val="0"/>
            <w:vAlign w:val="top"/>
          </w:tcPr>
          <w:p>
            <w:pPr>
              <w:rPr>
                <w:rFonts w:hint="eastAsia" w:ascii="宋体" w:hAnsi="宋体" w:cs="宋体"/>
                <w:color w:val="000000"/>
                <w:sz w:val="22"/>
                <w:szCs w:val="22"/>
              </w:rPr>
            </w:pPr>
          </w:p>
        </w:tc>
        <w:tc>
          <w:tcPr>
            <w:tcW w:w="1914" w:type="dxa"/>
            <w:gridSpan w:val="3"/>
            <w:tcBorders>
              <w:top w:val="nil"/>
              <w:left w:val="nil"/>
              <w:bottom w:val="nil"/>
              <w:right w:val="nil"/>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gridAfter w:val="2"/>
          <w:wAfter w:w="739" w:type="dxa"/>
          <w:trHeight w:val="560" w:hRule="atLeast"/>
        </w:trPr>
        <w:tc>
          <w:tcPr>
            <w:tcW w:w="2410" w:type="dxa"/>
            <w:gridSpan w:val="4"/>
            <w:tcBorders>
              <w:top w:val="nil"/>
              <w:left w:val="nil"/>
              <w:bottom w:val="nil"/>
              <w:right w:val="nil"/>
            </w:tcBorders>
            <w:noWrap w:val="0"/>
            <w:vAlign w:val="top"/>
          </w:tcPr>
          <w:p>
            <w:pPr>
              <w:widowControl/>
              <w:jc w:val="center"/>
              <w:textAlignment w:val="center"/>
              <w:rPr>
                <w:rFonts w:hint="eastAsia" w:ascii="仿宋_GB2312" w:hAnsi="宋体" w:eastAsia="仿宋_GB2312"/>
                <w:b/>
                <w:kern w:val="0"/>
                <w:sz w:val="32"/>
                <w:szCs w:val="32"/>
              </w:rPr>
            </w:pPr>
          </w:p>
        </w:tc>
        <w:tc>
          <w:tcPr>
            <w:tcW w:w="5689" w:type="dxa"/>
            <w:gridSpan w:val="8"/>
            <w:tcBorders>
              <w:top w:val="nil"/>
              <w:left w:val="nil"/>
              <w:bottom w:val="nil"/>
              <w:right w:val="nil"/>
            </w:tcBorders>
            <w:noWrap/>
            <w:vAlign w:val="center"/>
          </w:tcPr>
          <w:p>
            <w:pPr>
              <w:widowControl/>
              <w:textAlignment w:val="center"/>
              <w:rPr>
                <w:rFonts w:hint="eastAsia" w:ascii="宋体" w:hAnsi="宋体" w:cs="宋体"/>
                <w:b/>
                <w:bCs/>
                <w:color w:val="000000"/>
                <w:sz w:val="28"/>
                <w:szCs w:val="28"/>
              </w:rPr>
            </w:pPr>
            <w:r>
              <w:rPr>
                <w:rFonts w:hint="eastAsia" w:ascii="仿宋_GB2312" w:hAnsi="宋体" w:eastAsia="仿宋_GB2312"/>
                <w:b/>
                <w:kern w:val="0"/>
                <w:sz w:val="32"/>
                <w:szCs w:val="32"/>
              </w:rPr>
              <w:t>国有资本经营预算支出情况表</w:t>
            </w:r>
          </w:p>
        </w:tc>
      </w:tr>
      <w:tr>
        <w:tblPrEx>
          <w:tblLayout w:type="fixed"/>
          <w:tblCellMar>
            <w:top w:w="0" w:type="dxa"/>
            <w:left w:w="108" w:type="dxa"/>
            <w:bottom w:w="0" w:type="dxa"/>
            <w:right w:w="108" w:type="dxa"/>
          </w:tblCellMar>
        </w:tblPrEx>
        <w:trPr>
          <w:gridAfter w:val="1"/>
          <w:wAfter w:w="88" w:type="dxa"/>
          <w:trHeight w:val="240" w:hRule="atLeast"/>
        </w:trPr>
        <w:tc>
          <w:tcPr>
            <w:tcW w:w="4695" w:type="dxa"/>
            <w:gridSpan w:val="8"/>
            <w:tcBorders>
              <w:top w:val="nil"/>
              <w:left w:val="nil"/>
              <w:bottom w:val="nil"/>
              <w:right w:val="nil"/>
            </w:tcBorders>
            <w:noWrap/>
            <w:vAlign w:val="center"/>
          </w:tcPr>
          <w:p>
            <w:pPr>
              <w:widowControl/>
              <w:spacing w:line="280" w:lineRule="exact"/>
              <w:outlineLvl w:val="1"/>
              <w:rPr>
                <w:rFonts w:hint="eastAsia"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昌吉州党员教育中心</w:t>
            </w:r>
          </w:p>
        </w:tc>
        <w:tc>
          <w:tcPr>
            <w:tcW w:w="3404" w:type="dxa"/>
            <w:gridSpan w:val="4"/>
            <w:tcBorders>
              <w:top w:val="nil"/>
              <w:left w:val="nil"/>
              <w:bottom w:val="nil"/>
              <w:right w:val="nil"/>
            </w:tcBorders>
            <w:noWrap w:val="0"/>
            <w:vAlign w:val="top"/>
          </w:tcPr>
          <w:p>
            <w:pPr>
              <w:widowControl/>
              <w:spacing w:line="280" w:lineRule="exact"/>
              <w:ind w:right="480" w:firstLine="960" w:firstLineChars="400"/>
              <w:outlineLvl w:val="1"/>
              <w:rPr>
                <w:rFonts w:hint="eastAsia" w:ascii="仿宋_GB2312" w:hAnsi="宋体" w:eastAsia="仿宋_GB2312"/>
                <w:kern w:val="0"/>
                <w:sz w:val="24"/>
              </w:rPr>
            </w:pPr>
            <w:r>
              <w:rPr>
                <w:rFonts w:hint="eastAsia" w:ascii="仿宋_GB2312" w:hAnsi="宋体" w:eastAsia="仿宋_GB2312"/>
                <w:kern w:val="0"/>
                <w:sz w:val="24"/>
              </w:rPr>
              <w:t>单位：万元</w:t>
            </w:r>
          </w:p>
        </w:tc>
        <w:tc>
          <w:tcPr>
            <w:tcW w:w="651" w:type="dxa"/>
            <w:tcBorders>
              <w:top w:val="nil"/>
              <w:left w:val="nil"/>
              <w:bottom w:val="nil"/>
              <w:right w:val="nil"/>
            </w:tcBorders>
            <w:noWrap/>
            <w:vAlign w:val="center"/>
          </w:tcPr>
          <w:p>
            <w:pPr>
              <w:widowControl/>
              <w:spacing w:line="280" w:lineRule="exact"/>
              <w:ind w:right="480"/>
              <w:jc w:val="center"/>
              <w:outlineLvl w:val="1"/>
              <w:rPr>
                <w:rFonts w:hint="eastAsia" w:ascii="仿宋_GB2312" w:hAnsi="宋体" w:eastAsia="仿宋_GB2312"/>
                <w:kern w:val="0"/>
                <w:sz w:val="24"/>
              </w:rPr>
            </w:pPr>
          </w:p>
        </w:tc>
      </w:tr>
      <w:tr>
        <w:tblPrEx>
          <w:tblLayout w:type="fixed"/>
          <w:tblCellMar>
            <w:top w:w="0" w:type="dxa"/>
            <w:left w:w="108" w:type="dxa"/>
            <w:bottom w:w="0" w:type="dxa"/>
            <w:right w:w="108" w:type="dxa"/>
          </w:tblCellMar>
        </w:tblPrEx>
        <w:trPr>
          <w:gridAfter w:val="2"/>
          <w:wAfter w:w="739" w:type="dxa"/>
          <w:trHeight w:val="559" w:hRule="atLeast"/>
        </w:trPr>
        <w:tc>
          <w:tcPr>
            <w:tcW w:w="4695" w:type="dxa"/>
            <w:gridSpan w:val="8"/>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3404"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国有资本经营预算支出</w:t>
            </w:r>
          </w:p>
        </w:tc>
      </w:tr>
      <w:tr>
        <w:tblPrEx>
          <w:tblLayout w:type="fixed"/>
          <w:tblCellMar>
            <w:top w:w="0" w:type="dxa"/>
            <w:left w:w="108" w:type="dxa"/>
            <w:bottom w:w="0" w:type="dxa"/>
            <w:right w:w="108" w:type="dxa"/>
          </w:tblCellMar>
        </w:tblPrEx>
        <w:trPr>
          <w:gridAfter w:val="2"/>
          <w:wAfter w:w="739" w:type="dxa"/>
          <w:trHeight w:val="425" w:hRule="atLeast"/>
        </w:trPr>
        <w:tc>
          <w:tcPr>
            <w:tcW w:w="2802"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0"/>
                <w:szCs w:val="20"/>
              </w:rPr>
            </w:pPr>
            <w:r>
              <w:rPr>
                <w:rFonts w:hint="eastAsia" w:ascii="仿宋_GB2312" w:hAnsi="宋体" w:eastAsia="仿宋_GB2312" w:cs="宋体"/>
                <w:b/>
                <w:bCs/>
                <w:color w:val="000000"/>
                <w:kern w:val="0"/>
                <w:sz w:val="20"/>
                <w:szCs w:val="20"/>
              </w:rPr>
              <w:t>功能分类科目编码</w:t>
            </w:r>
          </w:p>
        </w:tc>
        <w:tc>
          <w:tcPr>
            <w:tcW w:w="189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930" w:type="dxa"/>
            <w:vMerge w:val="restart"/>
            <w:tcBorders>
              <w:top w:val="single" w:color="000000" w:sz="4" w:space="0"/>
              <w:left w:val="single" w:color="000000" w:sz="4" w:space="0"/>
              <w:right w:val="single" w:color="000000" w:sz="4" w:space="0"/>
            </w:tcBorders>
            <w:noWrap w:val="0"/>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合计</w:t>
            </w:r>
          </w:p>
        </w:tc>
        <w:tc>
          <w:tcPr>
            <w:tcW w:w="1063" w:type="dxa"/>
            <w:vMerge w:val="restart"/>
            <w:tcBorders>
              <w:top w:val="single" w:color="000000" w:sz="4" w:space="0"/>
              <w:left w:val="single" w:color="000000" w:sz="4" w:space="0"/>
              <w:bottom w:val="single" w:color="000000" w:sz="4" w:space="0"/>
              <w:right w:val="single" w:color="auto" w:sz="4" w:space="0"/>
            </w:tcBorders>
            <w:noWrap w:val="0"/>
            <w:vAlign w:val="center"/>
          </w:tcPr>
          <w:p>
            <w:pPr>
              <w:widowControl/>
              <w:spacing w:line="280" w:lineRule="exact"/>
              <w:jc w:val="center"/>
              <w:rPr>
                <w:rFonts w:hint="eastAsia" w:ascii="仿宋_GB2312" w:hAnsi="宋体" w:eastAsia="仿宋_GB2312" w:cs="宋体"/>
                <w:b/>
                <w:bCs/>
                <w:color w:val="000000"/>
                <w:kern w:val="0"/>
                <w:sz w:val="20"/>
                <w:szCs w:val="20"/>
                <w:lang w:eastAsia="zh-Hans"/>
              </w:rPr>
            </w:pPr>
            <w:r>
              <w:rPr>
                <w:rFonts w:hint="eastAsia" w:ascii="仿宋_GB2312" w:hAnsi="宋体" w:eastAsia="仿宋_GB2312" w:cs="宋体"/>
                <w:b/>
                <w:bCs/>
                <w:color w:val="000000"/>
                <w:kern w:val="0"/>
                <w:sz w:val="20"/>
                <w:szCs w:val="20"/>
                <w:lang w:eastAsia="zh-Hans"/>
              </w:rPr>
              <w:t>基本支出</w:t>
            </w:r>
          </w:p>
        </w:tc>
        <w:tc>
          <w:tcPr>
            <w:tcW w:w="1411" w:type="dxa"/>
            <w:gridSpan w:val="2"/>
            <w:vMerge w:val="restart"/>
            <w:tcBorders>
              <w:top w:val="single" w:color="000000" w:sz="4" w:space="0"/>
              <w:left w:val="single" w:color="auto" w:sz="4" w:space="0"/>
              <w:bottom w:val="single" w:color="000000" w:sz="4" w:space="0"/>
              <w:right w:val="single" w:color="000000" w:sz="4" w:space="0"/>
            </w:tcBorders>
            <w:noWrap w:val="0"/>
            <w:vAlign w:val="center"/>
          </w:tcPr>
          <w:p>
            <w:pPr>
              <w:widowControl/>
              <w:spacing w:line="280" w:lineRule="exact"/>
              <w:jc w:val="center"/>
              <w:rPr>
                <w:rFonts w:hint="eastAsia" w:ascii="仿宋_GB2312" w:hAnsi="宋体" w:eastAsia="仿宋_GB2312" w:cs="宋体"/>
                <w:b/>
                <w:bCs/>
                <w:color w:val="000000"/>
                <w:kern w:val="0"/>
                <w:sz w:val="20"/>
                <w:szCs w:val="20"/>
                <w:lang w:eastAsia="zh-Hans"/>
              </w:rPr>
            </w:pPr>
            <w:r>
              <w:rPr>
                <w:rFonts w:hint="eastAsia" w:ascii="仿宋_GB2312" w:hAnsi="宋体" w:eastAsia="仿宋_GB2312" w:cs="宋体"/>
                <w:b/>
                <w:bCs/>
                <w:color w:val="000000"/>
                <w:kern w:val="0"/>
                <w:sz w:val="20"/>
                <w:szCs w:val="20"/>
                <w:lang w:eastAsia="zh-Hans"/>
              </w:rPr>
              <w:t>项目支出</w:t>
            </w:r>
          </w:p>
        </w:tc>
      </w:tr>
      <w:tr>
        <w:tblPrEx>
          <w:tblLayout w:type="fixed"/>
          <w:tblCellMar>
            <w:top w:w="0" w:type="dxa"/>
            <w:left w:w="108" w:type="dxa"/>
            <w:bottom w:w="0" w:type="dxa"/>
            <w:right w:w="108" w:type="dxa"/>
          </w:tblCellMar>
        </w:tblPrEx>
        <w:trPr>
          <w:gridAfter w:val="2"/>
          <w:wAfter w:w="739" w:type="dxa"/>
          <w:trHeight w:val="558"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189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b/>
                <w:bCs/>
                <w:color w:val="000000"/>
                <w:sz w:val="22"/>
                <w:szCs w:val="22"/>
              </w:rPr>
            </w:pPr>
          </w:p>
        </w:tc>
        <w:tc>
          <w:tcPr>
            <w:tcW w:w="930" w:type="dxa"/>
            <w:vMerge w:val="continue"/>
            <w:tcBorders>
              <w:left w:val="single" w:color="000000" w:sz="4" w:space="0"/>
              <w:bottom w:val="single" w:color="000000" w:sz="4" w:space="0"/>
              <w:right w:val="single" w:color="000000" w:sz="4" w:space="0"/>
            </w:tcBorders>
            <w:noWrap w:val="0"/>
            <w:vAlign w:val="top"/>
          </w:tcPr>
          <w:p>
            <w:pPr>
              <w:jc w:val="center"/>
              <w:rPr>
                <w:rFonts w:hint="eastAsia" w:ascii="宋体" w:hAnsi="宋体" w:cs="宋体"/>
                <w:b/>
                <w:bCs/>
                <w:color w:val="FF0000"/>
                <w:sz w:val="22"/>
                <w:szCs w:val="22"/>
              </w:rPr>
            </w:pPr>
          </w:p>
        </w:tc>
        <w:tc>
          <w:tcPr>
            <w:tcW w:w="1063"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cs="宋体"/>
                <w:b/>
                <w:bCs/>
                <w:color w:val="FF0000"/>
                <w:sz w:val="22"/>
                <w:szCs w:val="22"/>
              </w:rPr>
            </w:pPr>
          </w:p>
        </w:tc>
        <w:tc>
          <w:tcPr>
            <w:tcW w:w="1411" w:type="dxa"/>
            <w:gridSpan w:val="2"/>
            <w:vMerge w:val="continue"/>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宋体" w:hAnsi="宋体" w:cs="宋体"/>
                <w:b/>
                <w:bCs/>
                <w:color w:val="FF0000"/>
                <w:sz w:val="22"/>
                <w:szCs w:val="22"/>
              </w:rPr>
            </w:pPr>
          </w:p>
        </w:tc>
      </w:tr>
      <w:tr>
        <w:tblPrEx>
          <w:tblLayout w:type="fixed"/>
          <w:tblCellMar>
            <w:top w:w="0" w:type="dxa"/>
            <w:left w:w="108" w:type="dxa"/>
            <w:bottom w:w="0" w:type="dxa"/>
            <w:right w:w="108" w:type="dxa"/>
          </w:tblCellMar>
        </w:tblPrEx>
        <w:trPr>
          <w:gridAfter w:val="2"/>
          <w:wAfter w:w="739" w:type="dxa"/>
          <w:trHeight w:val="582"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4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28"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8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6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6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4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4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60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6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4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86"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8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646"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739" w:type="dxa"/>
          <w:trHeight w:val="59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0"/>
                <w:szCs w:val="20"/>
              </w:rPr>
              <w:t>合计</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c>
          <w:tcPr>
            <w:tcW w:w="1063"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41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right"/>
              <w:rPr>
                <w:rFonts w:hint="eastAsia" w:ascii="仿宋_GB2312" w:hAnsi="宋体" w:eastAsia="仿宋_GB2312" w:cs="宋体"/>
                <w:color w:val="000000"/>
                <w:kern w:val="0"/>
                <w:sz w:val="24"/>
              </w:rPr>
            </w:pPr>
          </w:p>
        </w:tc>
      </w:tr>
    </w:tbl>
    <w:p>
      <w:pPr>
        <w:widowControl/>
        <w:spacing w:line="280" w:lineRule="exact"/>
        <w:outlineLvl w:val="1"/>
        <w:rPr>
          <w:rFonts w:hint="eastAsia" w:ascii="仿宋_GB2312" w:hAnsi="宋体" w:eastAsia="仿宋_GB2312"/>
          <w:b/>
          <w:kern w:val="0"/>
          <w:sz w:val="28"/>
          <w:szCs w:val="32"/>
          <w:lang w:val="en-US" w:eastAsia="zh-CN"/>
        </w:rPr>
      </w:pPr>
      <w:r>
        <w:rPr>
          <w:rFonts w:hint="eastAsia" w:ascii="仿宋_GB2312" w:hAnsi="宋体" w:eastAsia="仿宋_GB2312"/>
          <w:b/>
          <w:bCs/>
          <w:kern w:val="0"/>
          <w:sz w:val="28"/>
          <w:szCs w:val="28"/>
        </w:rPr>
        <w:t>昌吉州党员教育中心</w:t>
      </w:r>
      <w:r>
        <w:rPr>
          <w:rFonts w:hint="eastAsia" w:ascii="仿宋_GB2312" w:hAnsi="宋体" w:eastAsia="仿宋_GB2312"/>
          <w:b/>
          <w:kern w:val="0"/>
          <w:sz w:val="28"/>
          <w:szCs w:val="32"/>
          <w:lang w:val="en-US" w:eastAsia="zh-CN"/>
        </w:rPr>
        <w:t>没有使用国有资本经营预算拨款安排的支出，国有资本经营预算支出情况表为空表。</w:t>
      </w:r>
    </w:p>
    <w:p>
      <w:pPr>
        <w:widowControl/>
        <w:jc w:val="center"/>
        <w:outlineLvl w:val="1"/>
        <w:rPr>
          <w:rFonts w:hint="eastAsia" w:ascii="方正小标宋_GBK" w:hAnsi="方正小标宋_GBK" w:eastAsia="方正小标宋_GBK" w:cs="方正小标宋_GBK"/>
          <w:bCs/>
          <w:kern w:val="0"/>
          <w:sz w:val="32"/>
          <w:szCs w:val="32"/>
        </w:rPr>
      </w:pPr>
    </w:p>
    <w:p>
      <w:pPr>
        <w:widowControl/>
        <w:jc w:val="both"/>
        <w:outlineLvl w:val="1"/>
        <w:rPr>
          <w:rFonts w:hint="eastAsia" w:ascii="宋体" w:hAnsi="宋体" w:cs="宋体"/>
          <w:color w:val="000000"/>
          <w:kern w:val="0"/>
          <w:sz w:val="20"/>
          <w:szCs w:val="20"/>
          <w:lang w:bidi="ar"/>
        </w:rPr>
      </w:pPr>
    </w:p>
    <w:p>
      <w:pPr>
        <w:widowControl/>
        <w:jc w:val="both"/>
        <w:outlineLvl w:val="1"/>
        <w:rPr>
          <w:rFonts w:hint="eastAsia" w:ascii="宋体" w:hAnsi="宋体" w:cs="宋体"/>
          <w:color w:val="000000"/>
          <w:kern w:val="0"/>
          <w:sz w:val="20"/>
          <w:szCs w:val="20"/>
          <w:lang w:bidi="ar"/>
        </w:rPr>
      </w:pPr>
    </w:p>
    <w:p>
      <w:pP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br w:type="page"/>
      </w:r>
    </w:p>
    <w:p>
      <w:pPr>
        <w:widowControl/>
        <w:jc w:val="both"/>
        <w:outlineLvl w:val="1"/>
        <w:rPr>
          <w:rFonts w:hint="default" w:ascii="方正小标宋_GBK" w:hAnsi="方正小标宋_GBK" w:eastAsia="宋体" w:cs="方正小标宋_GBK"/>
          <w:bCs/>
          <w:kern w:val="0"/>
          <w:sz w:val="32"/>
          <w:szCs w:val="32"/>
          <w:lang w:val="en-US" w:eastAsia="zh-CN"/>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10</w:t>
      </w:r>
    </w:p>
    <w:p>
      <w:pPr>
        <w:widowControl/>
        <w:jc w:val="center"/>
        <w:outlineLvl w:val="1"/>
        <w:rPr>
          <w:rFonts w:ascii="方正小标宋_GBK" w:hAnsi="方正小标宋_GBK" w:eastAsia="方正小标宋_GBK" w:cs="方正小标宋_GBK"/>
          <w:bCs/>
          <w:kern w:val="0"/>
          <w:sz w:val="32"/>
          <w:szCs w:val="32"/>
        </w:rPr>
      </w:pPr>
      <w:r>
        <w:rPr>
          <w:rFonts w:hint="eastAsia" w:ascii="仿宋_GB2312" w:hAnsi="宋体" w:eastAsia="仿宋_GB2312"/>
          <w:b/>
          <w:kern w:val="0"/>
          <w:sz w:val="32"/>
          <w:szCs w:val="32"/>
          <w:lang w:eastAsia="zh-Hans"/>
        </w:rPr>
        <w:t>财政拨款</w:t>
      </w:r>
      <w:r>
        <w:rPr>
          <w:rFonts w:hint="eastAsia" w:ascii="仿宋_GB2312" w:hAnsi="宋体" w:eastAsia="仿宋_GB2312"/>
          <w:b/>
          <w:kern w:val="0"/>
          <w:sz w:val="32"/>
          <w:szCs w:val="32"/>
        </w:rPr>
        <w:t>“三公”经费支出情况表</w:t>
      </w: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编制部门（单位）： 昌吉州党员教育中心                       单位：万元</w:t>
      </w:r>
    </w:p>
    <w:tbl>
      <w:tblPr>
        <w:tblStyle w:val="7"/>
        <w:tblW w:w="8929" w:type="dxa"/>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6"/>
        <w:gridCol w:w="1165"/>
        <w:gridCol w:w="1255"/>
        <w:gridCol w:w="1474"/>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6" w:type="dxa"/>
            <w:vMerge w:val="restart"/>
            <w:shd w:val="clear" w:color="auto" w:fill="auto"/>
            <w:noWrap w:val="0"/>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三公支出内容</w:t>
            </w:r>
          </w:p>
        </w:tc>
        <w:tc>
          <w:tcPr>
            <w:tcW w:w="1165" w:type="dxa"/>
            <w:vMerge w:val="restart"/>
            <w:shd w:val="clear" w:color="auto" w:fill="auto"/>
            <w:noWrap w:val="0"/>
            <w:vAlign w:val="center"/>
          </w:tcPr>
          <w:p>
            <w:pPr>
              <w:widowControl/>
              <w:jc w:val="center"/>
              <w:outlineLvl w:val="1"/>
              <w:rPr>
                <w:rFonts w:hint="eastAsia" w:ascii="仿宋_GB2312" w:hAnsi="宋体" w:eastAsia="仿宋_GB2312"/>
                <w:b/>
                <w:kern w:val="0"/>
                <w:sz w:val="28"/>
                <w:szCs w:val="32"/>
                <w:lang w:eastAsia="zh-Hans"/>
              </w:rPr>
            </w:pPr>
            <w:r>
              <w:rPr>
                <w:rFonts w:hint="eastAsia" w:ascii="仿宋_GB2312" w:hAnsi="宋体" w:eastAsia="仿宋_GB2312"/>
                <w:b/>
                <w:kern w:val="0"/>
                <w:sz w:val="28"/>
                <w:szCs w:val="32"/>
                <w:lang w:eastAsia="zh-Hans"/>
              </w:rPr>
              <w:t>合计</w:t>
            </w:r>
          </w:p>
        </w:tc>
        <w:tc>
          <w:tcPr>
            <w:tcW w:w="4188" w:type="dxa"/>
            <w:gridSpan w:val="3"/>
            <w:shd w:val="clear" w:color="auto" w:fill="auto"/>
            <w:noWrap w:val="0"/>
            <w:vAlign w:val="center"/>
          </w:tcPr>
          <w:p>
            <w:pPr>
              <w:widowControl/>
              <w:jc w:val="center"/>
              <w:outlineLvl w:val="1"/>
              <w:rPr>
                <w:rFonts w:hint="eastAsia" w:ascii="仿宋_GB2312" w:hAnsi="宋体" w:eastAsia="仿宋_GB2312"/>
                <w:b/>
                <w:kern w:val="0"/>
                <w:sz w:val="28"/>
                <w:szCs w:val="32"/>
                <w:lang w:eastAsia="zh-Hans"/>
              </w:rPr>
            </w:pPr>
            <w:r>
              <w:rPr>
                <w:rFonts w:hint="eastAsia" w:ascii="仿宋_GB2312" w:hAnsi="宋体" w:eastAsia="仿宋_GB2312"/>
                <w:b/>
                <w:kern w:val="0"/>
                <w:sz w:val="28"/>
                <w:szCs w:val="32"/>
                <w:lang w:eastAsia="zh-Hans"/>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6" w:type="dxa"/>
            <w:vMerge w:val="continue"/>
            <w:shd w:val="clear" w:color="auto" w:fill="auto"/>
            <w:noWrap w:val="0"/>
            <w:vAlign w:val="top"/>
          </w:tcPr>
          <w:p>
            <w:pPr>
              <w:widowControl/>
              <w:outlineLvl w:val="1"/>
              <w:rPr>
                <w:rFonts w:hint="eastAsia" w:ascii="仿宋_GB2312" w:hAnsi="宋体" w:eastAsia="仿宋_GB2312"/>
                <w:b/>
                <w:kern w:val="0"/>
                <w:sz w:val="28"/>
                <w:szCs w:val="32"/>
              </w:rPr>
            </w:pPr>
          </w:p>
        </w:tc>
        <w:tc>
          <w:tcPr>
            <w:tcW w:w="1165" w:type="dxa"/>
            <w:vMerge w:val="continue"/>
            <w:shd w:val="clear" w:color="auto" w:fill="auto"/>
            <w:noWrap w:val="0"/>
            <w:vAlign w:val="top"/>
          </w:tcPr>
          <w:p>
            <w:pPr>
              <w:widowControl/>
              <w:outlineLvl w:val="1"/>
              <w:rPr>
                <w:rFonts w:hint="eastAsia" w:ascii="仿宋_GB2312" w:hAnsi="宋体" w:eastAsia="仿宋_GB2312"/>
                <w:b/>
                <w:kern w:val="0"/>
                <w:sz w:val="28"/>
                <w:szCs w:val="32"/>
              </w:rPr>
            </w:pPr>
          </w:p>
        </w:tc>
        <w:tc>
          <w:tcPr>
            <w:tcW w:w="1255" w:type="dxa"/>
            <w:shd w:val="clear" w:color="auto" w:fill="auto"/>
            <w:noWrap w:val="0"/>
            <w:vAlign w:val="center"/>
          </w:tcPr>
          <w:p>
            <w:pPr>
              <w:widowControl/>
              <w:jc w:val="center"/>
              <w:outlineLvl w:val="1"/>
              <w:rPr>
                <w:rFonts w:hint="eastAsia" w:ascii="仿宋_GB2312" w:hAnsi="宋体" w:eastAsia="仿宋_GB2312"/>
                <w:b/>
                <w:kern w:val="0"/>
                <w:sz w:val="28"/>
                <w:szCs w:val="32"/>
                <w:lang w:eastAsia="zh-Hans"/>
              </w:rPr>
            </w:pPr>
            <w:r>
              <w:rPr>
                <w:rFonts w:hint="eastAsia" w:ascii="仿宋_GB2312" w:hAnsi="宋体" w:eastAsia="仿宋_GB2312"/>
                <w:b/>
                <w:kern w:val="0"/>
                <w:sz w:val="28"/>
                <w:szCs w:val="32"/>
                <w:lang w:eastAsia="zh-Hans"/>
              </w:rPr>
              <w:t>一般公共预算</w:t>
            </w:r>
          </w:p>
        </w:tc>
        <w:tc>
          <w:tcPr>
            <w:tcW w:w="1474" w:type="dxa"/>
            <w:shd w:val="clear" w:color="auto" w:fill="auto"/>
            <w:noWrap w:val="0"/>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政府性基金</w:t>
            </w:r>
          </w:p>
        </w:tc>
        <w:tc>
          <w:tcPr>
            <w:tcW w:w="1459" w:type="dxa"/>
            <w:shd w:val="clear" w:color="auto" w:fill="auto"/>
            <w:noWrap w:val="0"/>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国有资本经营预算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3576" w:type="dxa"/>
            <w:shd w:val="clear" w:color="auto" w:fill="auto"/>
            <w:noWrap w:val="0"/>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合计</w:t>
            </w:r>
          </w:p>
        </w:tc>
        <w:tc>
          <w:tcPr>
            <w:tcW w:w="1165" w:type="dxa"/>
            <w:shd w:val="clear" w:color="auto" w:fill="auto"/>
            <w:noWrap w:val="0"/>
            <w:vAlign w:val="center"/>
          </w:tcPr>
          <w:p>
            <w:pPr>
              <w:widowControl/>
              <w:jc w:val="center"/>
              <w:outlineLvl w:val="1"/>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2.24</w:t>
            </w:r>
          </w:p>
        </w:tc>
        <w:tc>
          <w:tcPr>
            <w:tcW w:w="1255" w:type="dxa"/>
            <w:shd w:val="clear" w:color="auto" w:fill="auto"/>
            <w:noWrap w:val="0"/>
            <w:vAlign w:val="center"/>
          </w:tcPr>
          <w:p>
            <w:pPr>
              <w:widowControl/>
              <w:jc w:val="center"/>
              <w:outlineLvl w:val="1"/>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2.24</w:t>
            </w:r>
          </w:p>
        </w:tc>
        <w:tc>
          <w:tcPr>
            <w:tcW w:w="1474"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c>
          <w:tcPr>
            <w:tcW w:w="1459"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3576" w:type="dxa"/>
            <w:shd w:val="clear" w:color="auto" w:fill="auto"/>
            <w:noWrap w:val="0"/>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因公出国（境）费</w:t>
            </w:r>
          </w:p>
        </w:tc>
        <w:tc>
          <w:tcPr>
            <w:tcW w:w="1165" w:type="dxa"/>
            <w:shd w:val="clear" w:color="auto" w:fill="auto"/>
            <w:noWrap w:val="0"/>
            <w:vAlign w:val="center"/>
          </w:tcPr>
          <w:p>
            <w:pPr>
              <w:widowControl/>
              <w:jc w:val="center"/>
              <w:outlineLvl w:val="1"/>
              <w:rPr>
                <w:rFonts w:hint="eastAsia" w:ascii="仿宋_GB2312" w:hAnsi="宋体" w:eastAsia="仿宋_GB2312"/>
                <w:b w:val="0"/>
                <w:bCs/>
                <w:kern w:val="0"/>
                <w:sz w:val="20"/>
                <w:szCs w:val="20"/>
                <w:lang w:val="en-US" w:eastAsia="zh-CN"/>
              </w:rPr>
            </w:pPr>
          </w:p>
        </w:tc>
        <w:tc>
          <w:tcPr>
            <w:tcW w:w="1255" w:type="dxa"/>
            <w:shd w:val="clear" w:color="auto" w:fill="auto"/>
            <w:noWrap w:val="0"/>
            <w:vAlign w:val="center"/>
          </w:tcPr>
          <w:p>
            <w:pPr>
              <w:widowControl/>
              <w:jc w:val="center"/>
              <w:outlineLvl w:val="1"/>
              <w:rPr>
                <w:rFonts w:hint="eastAsia" w:ascii="仿宋_GB2312" w:hAnsi="宋体" w:eastAsia="仿宋_GB2312"/>
                <w:b w:val="0"/>
                <w:bCs/>
                <w:kern w:val="0"/>
                <w:sz w:val="20"/>
                <w:szCs w:val="20"/>
                <w:lang w:val="en-US" w:eastAsia="zh-CN"/>
              </w:rPr>
            </w:pPr>
          </w:p>
        </w:tc>
        <w:tc>
          <w:tcPr>
            <w:tcW w:w="1474"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c>
          <w:tcPr>
            <w:tcW w:w="1459"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3576" w:type="dxa"/>
            <w:shd w:val="clear" w:color="auto" w:fill="auto"/>
            <w:noWrap w:val="0"/>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公务接待费</w:t>
            </w:r>
          </w:p>
        </w:tc>
        <w:tc>
          <w:tcPr>
            <w:tcW w:w="1165" w:type="dxa"/>
            <w:shd w:val="clear" w:color="auto" w:fill="auto"/>
            <w:noWrap w:val="0"/>
            <w:vAlign w:val="center"/>
          </w:tcPr>
          <w:p>
            <w:pPr>
              <w:widowControl/>
              <w:jc w:val="center"/>
              <w:outlineLvl w:val="1"/>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0.14</w:t>
            </w:r>
          </w:p>
        </w:tc>
        <w:tc>
          <w:tcPr>
            <w:tcW w:w="1255" w:type="dxa"/>
            <w:shd w:val="clear" w:color="auto" w:fill="auto"/>
            <w:noWrap w:val="0"/>
            <w:vAlign w:val="center"/>
          </w:tcPr>
          <w:p>
            <w:pPr>
              <w:widowControl/>
              <w:jc w:val="center"/>
              <w:outlineLvl w:val="1"/>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0.14</w:t>
            </w:r>
          </w:p>
        </w:tc>
        <w:tc>
          <w:tcPr>
            <w:tcW w:w="1474"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c>
          <w:tcPr>
            <w:tcW w:w="1459"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6" w:type="dxa"/>
            <w:shd w:val="clear" w:color="auto" w:fill="auto"/>
            <w:noWrap w:val="0"/>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公务用车购置及运行费</w:t>
            </w:r>
          </w:p>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（小计）</w:t>
            </w:r>
          </w:p>
        </w:tc>
        <w:tc>
          <w:tcPr>
            <w:tcW w:w="1165" w:type="dxa"/>
            <w:shd w:val="clear" w:color="auto" w:fill="auto"/>
            <w:noWrap w:val="0"/>
            <w:vAlign w:val="center"/>
          </w:tcPr>
          <w:p>
            <w:pPr>
              <w:widowControl/>
              <w:jc w:val="center"/>
              <w:outlineLvl w:val="1"/>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2.1</w:t>
            </w:r>
          </w:p>
        </w:tc>
        <w:tc>
          <w:tcPr>
            <w:tcW w:w="1255" w:type="dxa"/>
            <w:shd w:val="clear" w:color="auto" w:fill="auto"/>
            <w:noWrap w:val="0"/>
            <w:vAlign w:val="center"/>
          </w:tcPr>
          <w:p>
            <w:pPr>
              <w:widowControl/>
              <w:jc w:val="center"/>
              <w:outlineLvl w:val="1"/>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2.1</w:t>
            </w:r>
          </w:p>
        </w:tc>
        <w:tc>
          <w:tcPr>
            <w:tcW w:w="1474"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c>
          <w:tcPr>
            <w:tcW w:w="1459"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3576" w:type="dxa"/>
            <w:shd w:val="clear" w:color="auto" w:fill="auto"/>
            <w:noWrap w:val="0"/>
            <w:vAlign w:val="center"/>
          </w:tcPr>
          <w:p>
            <w:pPr>
              <w:widowControl/>
              <w:ind w:firstLine="241" w:firstLineChars="100"/>
              <w:jc w:val="center"/>
              <w:outlineLvl w:val="1"/>
              <w:rPr>
                <w:rFonts w:hint="eastAsia" w:ascii="仿宋_GB2312" w:hAnsi="宋体" w:eastAsia="仿宋_GB2312"/>
                <w:b/>
                <w:kern w:val="0"/>
                <w:sz w:val="24"/>
              </w:rPr>
            </w:pPr>
            <w:r>
              <w:rPr>
                <w:rFonts w:hint="eastAsia" w:ascii="仿宋_GB2312" w:hAnsi="宋体" w:eastAsia="仿宋_GB2312"/>
                <w:b/>
                <w:kern w:val="0"/>
                <w:sz w:val="24"/>
              </w:rPr>
              <w:t>其中：公务用车购置费</w:t>
            </w:r>
          </w:p>
        </w:tc>
        <w:tc>
          <w:tcPr>
            <w:tcW w:w="1165" w:type="dxa"/>
            <w:shd w:val="clear" w:color="auto" w:fill="auto"/>
            <w:noWrap w:val="0"/>
            <w:vAlign w:val="center"/>
          </w:tcPr>
          <w:p>
            <w:pPr>
              <w:widowControl/>
              <w:jc w:val="center"/>
              <w:outlineLvl w:val="1"/>
              <w:rPr>
                <w:rFonts w:hint="eastAsia" w:ascii="仿宋_GB2312" w:hAnsi="宋体" w:eastAsia="仿宋_GB2312"/>
                <w:b w:val="0"/>
                <w:bCs/>
                <w:kern w:val="0"/>
                <w:sz w:val="20"/>
                <w:szCs w:val="20"/>
                <w:lang w:val="en-US" w:eastAsia="zh-CN"/>
              </w:rPr>
            </w:pPr>
          </w:p>
        </w:tc>
        <w:tc>
          <w:tcPr>
            <w:tcW w:w="1255" w:type="dxa"/>
            <w:shd w:val="clear" w:color="auto" w:fill="auto"/>
            <w:noWrap w:val="0"/>
            <w:vAlign w:val="center"/>
          </w:tcPr>
          <w:p>
            <w:pPr>
              <w:widowControl/>
              <w:jc w:val="center"/>
              <w:outlineLvl w:val="1"/>
              <w:rPr>
                <w:rFonts w:hint="eastAsia" w:ascii="仿宋_GB2312" w:hAnsi="宋体" w:eastAsia="仿宋_GB2312"/>
                <w:b w:val="0"/>
                <w:bCs/>
                <w:kern w:val="0"/>
                <w:sz w:val="20"/>
                <w:szCs w:val="20"/>
                <w:lang w:val="en-US" w:eastAsia="zh-CN"/>
              </w:rPr>
            </w:pPr>
          </w:p>
        </w:tc>
        <w:tc>
          <w:tcPr>
            <w:tcW w:w="1474"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c>
          <w:tcPr>
            <w:tcW w:w="1459"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3576" w:type="dxa"/>
            <w:shd w:val="clear" w:color="auto" w:fill="auto"/>
            <w:noWrap w:val="0"/>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公务用车运行费</w:t>
            </w:r>
          </w:p>
        </w:tc>
        <w:tc>
          <w:tcPr>
            <w:tcW w:w="1165" w:type="dxa"/>
            <w:shd w:val="clear" w:color="auto" w:fill="auto"/>
            <w:noWrap w:val="0"/>
            <w:vAlign w:val="center"/>
          </w:tcPr>
          <w:p>
            <w:pPr>
              <w:widowControl/>
              <w:jc w:val="center"/>
              <w:outlineLvl w:val="1"/>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2.1</w:t>
            </w:r>
          </w:p>
        </w:tc>
        <w:tc>
          <w:tcPr>
            <w:tcW w:w="1255" w:type="dxa"/>
            <w:shd w:val="clear" w:color="auto" w:fill="auto"/>
            <w:noWrap w:val="0"/>
            <w:vAlign w:val="center"/>
          </w:tcPr>
          <w:p>
            <w:pPr>
              <w:widowControl/>
              <w:jc w:val="center"/>
              <w:outlineLvl w:val="1"/>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2.1</w:t>
            </w:r>
          </w:p>
        </w:tc>
        <w:tc>
          <w:tcPr>
            <w:tcW w:w="1474"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c>
          <w:tcPr>
            <w:tcW w:w="1459" w:type="dxa"/>
            <w:shd w:val="clear" w:color="auto" w:fill="auto"/>
            <w:noWrap w:val="0"/>
            <w:vAlign w:val="center"/>
          </w:tcPr>
          <w:p>
            <w:pPr>
              <w:widowControl/>
              <w:jc w:val="right"/>
              <w:outlineLvl w:val="1"/>
              <w:rPr>
                <w:rFonts w:hint="eastAsia" w:ascii="仿宋_GB2312" w:hAnsi="宋体" w:eastAsia="仿宋_GB2312"/>
                <w:b/>
                <w:kern w:val="0"/>
                <w:sz w:val="20"/>
                <w:szCs w:val="20"/>
              </w:rPr>
            </w:pPr>
          </w:p>
        </w:tc>
      </w:tr>
    </w:tbl>
    <w:p>
      <w:pPr>
        <w:widowControl/>
        <w:jc w:val="left"/>
        <w:outlineLvl w:val="1"/>
        <w:rPr>
          <w:rFonts w:hint="eastAsia" w:ascii="仿宋_GB2312" w:hAnsi="宋体" w:eastAsia="仿宋_GB2312"/>
          <w:kern w:val="0"/>
          <w:sz w:val="24"/>
        </w:rPr>
      </w:pPr>
    </w:p>
    <w:p>
      <w:pPr>
        <w:widowControl/>
        <w:outlineLvl w:val="1"/>
        <w:rPr>
          <w:rFonts w:ascii="仿宋_GB2312" w:hAnsi="宋体" w:eastAsia="仿宋_GB2312"/>
          <w:kern w:val="0"/>
          <w:sz w:val="32"/>
          <w:szCs w:val="32"/>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rPr>
          <w:rFonts w:hint="eastAsia" w:ascii="黑体" w:hAnsi="黑体" w:eastAsia="黑体"/>
          <w:kern w:val="0"/>
          <w:sz w:val="32"/>
          <w:szCs w:val="32"/>
        </w:rPr>
      </w:pPr>
      <w:r>
        <w:rPr>
          <w:rFonts w:hint="eastAsia" w:ascii="黑体" w:hAnsi="黑体" w:eastAsia="黑体"/>
          <w:kern w:val="0"/>
          <w:sz w:val="32"/>
          <w:szCs w:val="32"/>
        </w:rPr>
        <w:br w:type="page"/>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ascii="黑体" w:hAnsi="黑体" w:eastAsia="黑体"/>
          <w:kern w:val="0"/>
          <w:sz w:val="32"/>
          <w:szCs w:val="32"/>
        </w:rPr>
      </w:pPr>
      <w:r>
        <w:rPr>
          <w:rFonts w:hint="eastAsia" w:ascii="黑体" w:hAnsi="黑体" w:eastAsia="黑体"/>
          <w:kern w:val="0"/>
          <w:sz w:val="32"/>
          <w:szCs w:val="32"/>
        </w:rPr>
        <w:t>第三部分  202</w:t>
      </w:r>
      <w:r>
        <w:rPr>
          <w:rFonts w:hint="eastAsia" w:ascii="黑体" w:hAnsi="黑体" w:eastAsia="黑体"/>
          <w:kern w:val="0"/>
          <w:sz w:val="32"/>
          <w:szCs w:val="32"/>
          <w:lang w:val="en-US" w:eastAsia="zh-CN"/>
        </w:rPr>
        <w:t>3</w:t>
      </w:r>
      <w:r>
        <w:rPr>
          <w:rFonts w:hint="eastAsia" w:ascii="黑体" w:hAnsi="黑体" w:eastAsia="黑体"/>
          <w:kern w:val="0"/>
          <w:sz w:val="32"/>
          <w:szCs w:val="32"/>
        </w:rPr>
        <w:t>年单位预算情况说明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一、关于昌吉州党员教育中心202</w:t>
      </w:r>
      <w:r>
        <w:rPr>
          <w:rFonts w:hint="eastAsia" w:ascii="楷体_GB2312" w:hAnsi="楷体_GB2312" w:eastAsia="楷体_GB2312" w:cs="楷体_GB2312"/>
          <w:b/>
          <w:kern w:val="0"/>
          <w:sz w:val="32"/>
          <w:szCs w:val="32"/>
          <w:lang w:val="en-US" w:eastAsia="zh-CN"/>
        </w:rPr>
        <w:t>3</w:t>
      </w:r>
      <w:r>
        <w:rPr>
          <w:rFonts w:hint="eastAsia" w:ascii="楷体_GB2312" w:hAnsi="楷体_GB2312" w:eastAsia="楷体_GB2312" w:cs="楷体_GB2312"/>
          <w:b/>
          <w:kern w:val="0"/>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按照全口径预算的原则，昌吉州党员教育中心202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年所有收入和支出均纳入单位预算管理。收支总预算</w:t>
      </w:r>
      <w:r>
        <w:rPr>
          <w:rFonts w:hint="eastAsia" w:ascii="仿宋_GB2312" w:hAnsi="宋体" w:eastAsia="仿宋_GB2312" w:cs="宋体"/>
          <w:kern w:val="0"/>
          <w:sz w:val="32"/>
          <w:szCs w:val="32"/>
          <w:lang w:val="en-US" w:eastAsia="zh-CN"/>
        </w:rPr>
        <w:t>309.36</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财政拨款结转结</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支出预算包括：一般公共服务支出，社会保障和就业支出卫生健康支出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住房保障支出。</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二、关于昌吉州党员教育中心202</w:t>
      </w:r>
      <w:r>
        <w:rPr>
          <w:rFonts w:hint="eastAsia" w:ascii="楷体_GB2312" w:hAnsi="楷体_GB2312" w:eastAsia="楷体_GB2312" w:cs="楷体_GB2312"/>
          <w:b/>
          <w:bCs/>
          <w:kern w:val="0"/>
          <w:sz w:val="32"/>
          <w:szCs w:val="32"/>
          <w:lang w:val="en-US" w:eastAsia="zh-CN"/>
        </w:rPr>
        <w:t>3</w:t>
      </w:r>
      <w:r>
        <w:rPr>
          <w:rFonts w:hint="eastAsia" w:ascii="楷体_GB2312" w:hAnsi="楷体_GB2312" w:eastAsia="楷体_GB2312" w:cs="楷体_GB2312"/>
          <w:b/>
          <w:bCs/>
          <w:kern w:val="0"/>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昌吉州党员教育中心收入预算</w:t>
      </w:r>
      <w:r>
        <w:rPr>
          <w:rFonts w:hint="eastAsia" w:ascii="仿宋_GB2312" w:hAnsi="宋体" w:eastAsia="仿宋_GB2312" w:cs="宋体"/>
          <w:kern w:val="0"/>
          <w:sz w:val="32"/>
          <w:szCs w:val="32"/>
          <w:lang w:val="en-US" w:eastAsia="zh-CN"/>
        </w:rPr>
        <w:t>309.36</w:t>
      </w:r>
      <w:r>
        <w:rPr>
          <w:rFonts w:hint="eastAsia" w:ascii="仿宋_GB2312" w:hAnsi="宋体" w:eastAsia="仿宋_GB2312" w:cs="宋体"/>
          <w:kern w:val="0"/>
          <w:sz w:val="32"/>
          <w:szCs w:val="32"/>
        </w:rPr>
        <w:t>万元，其中：</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230.36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74.46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24.41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11.85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人员经费较去年有所增加。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eastAsia="zh-Hans"/>
        </w:rPr>
        <w:t>上级一般公共预算安排的转移支付资金</w:t>
      </w:r>
      <w:r>
        <w:rPr>
          <w:rFonts w:hint="eastAsia" w:ascii="仿宋_GB2312" w:hAnsi="宋体" w:eastAsia="仿宋_GB2312" w:cs="宋体"/>
          <w:kern w:val="0"/>
          <w:sz w:val="32"/>
          <w:szCs w:val="32"/>
          <w:highlight w:val="none"/>
          <w:lang w:val="en-US" w:eastAsia="zh-CN"/>
        </w:rPr>
        <w:t>未安排；</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eastAsia="zh-Hans"/>
        </w:rPr>
        <w:t>政府性基金预算</w:t>
      </w:r>
      <w:r>
        <w:rPr>
          <w:rFonts w:hint="eastAsia" w:ascii="仿宋_GB2312" w:hAnsi="宋体" w:eastAsia="仿宋_GB2312" w:cs="宋体"/>
          <w:kern w:val="0"/>
          <w:sz w:val="32"/>
          <w:szCs w:val="32"/>
          <w:highlight w:val="none"/>
          <w:lang w:val="en-US" w:eastAsia="zh-CN"/>
        </w:rPr>
        <w:t>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Hans"/>
        </w:rPr>
        <w:t>上级政府性基金安排的转移支付资金</w:t>
      </w:r>
      <w:r>
        <w:rPr>
          <w:rFonts w:hint="eastAsia" w:ascii="仿宋_GB2312" w:hAnsi="宋体" w:eastAsia="仿宋_GB2312" w:cs="宋体"/>
          <w:kern w:val="0"/>
          <w:sz w:val="32"/>
          <w:szCs w:val="32"/>
          <w:highlight w:val="none"/>
          <w:lang w:val="en-US" w:eastAsia="zh-CN"/>
        </w:rPr>
        <w:t>未安排</w:t>
      </w:r>
      <w:r>
        <w:rPr>
          <w:rFonts w:hint="eastAsia" w:ascii="仿宋_GB2312" w:hAnsi="宋体" w:eastAsia="仿宋_GB2312" w:cs="宋体"/>
          <w:kern w:val="0"/>
          <w:sz w:val="32"/>
          <w:szCs w:val="32"/>
          <w:highlight w:val="none"/>
        </w:rPr>
        <w:t>；</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Hans"/>
        </w:rPr>
        <w:t>国有资本经营预算</w:t>
      </w:r>
      <w:r>
        <w:rPr>
          <w:rFonts w:hint="eastAsia" w:ascii="仿宋_GB2312" w:hAnsi="宋体" w:eastAsia="仿宋_GB2312" w:cs="宋体"/>
          <w:kern w:val="0"/>
          <w:sz w:val="32"/>
          <w:szCs w:val="32"/>
          <w:highlight w:val="none"/>
          <w:lang w:val="en-US" w:eastAsia="zh-CN"/>
        </w:rPr>
        <w:t>未安排</w:t>
      </w:r>
      <w:r>
        <w:rPr>
          <w:rFonts w:hint="eastAsia" w:ascii="仿宋_GB2312" w:hAnsi="宋体" w:eastAsia="仿宋_GB2312" w:cs="宋体"/>
          <w:kern w:val="0"/>
          <w:sz w:val="32"/>
          <w:szCs w:val="32"/>
          <w:highlight w:val="none"/>
        </w:rPr>
        <w:t>；</w:t>
      </w:r>
    </w:p>
    <w:p>
      <w:pPr>
        <w:spacing w:line="560" w:lineRule="exact"/>
        <w:ind w:firstLine="640" w:firstLineChars="200"/>
      </w:pPr>
      <w:r>
        <w:rPr>
          <w:rFonts w:hint="eastAsia" w:ascii="仿宋_GB2312" w:hAnsi="宋体" w:eastAsia="仿宋_GB2312" w:cs="宋体"/>
          <w:kern w:val="0"/>
          <w:sz w:val="32"/>
          <w:szCs w:val="32"/>
          <w:highlight w:val="none"/>
          <w:lang w:eastAsia="zh-Hans"/>
        </w:rPr>
        <w:t>上级国有资本经营预算安排的转移支付资金</w:t>
      </w:r>
      <w:r>
        <w:rPr>
          <w:rFonts w:hint="eastAsia" w:ascii="仿宋_GB2312" w:hAnsi="宋体" w:eastAsia="仿宋_GB2312" w:cs="宋体"/>
          <w:kern w:val="0"/>
          <w:sz w:val="32"/>
          <w:szCs w:val="32"/>
          <w:highlight w:val="none"/>
          <w:lang w:val="en-US" w:eastAsia="zh-CN"/>
        </w:rPr>
        <w:t>未安排；</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财政拨款结转79万元，占25.54%，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79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38.36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2022年受疫情影响，部门项目未实施完毕，结转至2023年。</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三、关于昌吉州党员教育中心202</w:t>
      </w:r>
      <w:r>
        <w:rPr>
          <w:rFonts w:hint="eastAsia" w:ascii="楷体_GB2312" w:hAnsi="楷体_GB2312" w:eastAsia="楷体_GB2312" w:cs="楷体_GB2312"/>
          <w:b/>
          <w:bCs/>
          <w:kern w:val="0"/>
          <w:sz w:val="32"/>
          <w:szCs w:val="32"/>
          <w:lang w:val="en-US" w:eastAsia="zh-CN"/>
        </w:rPr>
        <w:t>3</w:t>
      </w:r>
      <w:r>
        <w:rPr>
          <w:rFonts w:hint="eastAsia" w:ascii="楷体_GB2312" w:hAnsi="楷体_GB2312" w:eastAsia="楷体_GB2312" w:cs="楷体_GB2312"/>
          <w:b/>
          <w:bCs/>
          <w:kern w:val="0"/>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昌吉州党员教育中心202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309.36</w:t>
      </w:r>
      <w:r>
        <w:rPr>
          <w:rFonts w:hint="eastAsia" w:ascii="仿宋_GB2312" w:hAnsi="宋体" w:eastAsia="仿宋_GB2312" w:cs="宋体"/>
          <w:kern w:val="0"/>
          <w:sz w:val="32"/>
          <w:szCs w:val="32"/>
        </w:rPr>
        <w:t>万元，其中：</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179.36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57.98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29.41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19.61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主要原因是人员</w:t>
      </w:r>
      <w:r>
        <w:rPr>
          <w:rFonts w:hint="eastAsia" w:ascii="仿宋_GB2312" w:hAnsi="宋体" w:eastAsia="仿宋_GB2312" w:cs="宋体"/>
          <w:kern w:val="0"/>
          <w:sz w:val="32"/>
          <w:szCs w:val="32"/>
          <w:lang w:eastAsia="zh-CN"/>
        </w:rPr>
        <w:t>经费</w:t>
      </w:r>
      <w:r>
        <w:rPr>
          <w:rFonts w:hint="eastAsia" w:ascii="仿宋_GB2312" w:hAnsi="宋体" w:eastAsia="仿宋_GB2312" w:cs="宋体"/>
          <w:kern w:val="0"/>
          <w:sz w:val="32"/>
          <w:szCs w:val="32"/>
        </w:rPr>
        <w:t>较去年有所增加。</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130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42.02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132.14</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2022年受疫情影响，财政拨款项目资金结转至2023年。</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四、关于昌吉州党员教育中心202</w:t>
      </w:r>
      <w:r>
        <w:rPr>
          <w:rFonts w:hint="eastAsia" w:ascii="楷体_GB2312" w:hAnsi="楷体_GB2312" w:eastAsia="楷体_GB2312" w:cs="楷体_GB2312"/>
          <w:b/>
          <w:bCs/>
          <w:kern w:val="0"/>
          <w:sz w:val="32"/>
          <w:szCs w:val="32"/>
          <w:lang w:val="en-US" w:eastAsia="zh-CN"/>
        </w:rPr>
        <w:t>3</w:t>
      </w:r>
      <w:r>
        <w:rPr>
          <w:rFonts w:hint="eastAsia" w:ascii="楷体_GB2312" w:hAnsi="楷体_GB2312" w:eastAsia="楷体_GB2312" w:cs="楷体_GB2312"/>
          <w:b/>
          <w:bCs/>
          <w:kern w:val="0"/>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昌吉州党员教育中心</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309.36</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230.36</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182.11</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val="en-US" w:eastAsia="zh-CN"/>
        </w:rPr>
        <w:t>工资福利支出和日常公用经费支出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25.64</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val="en-US" w:eastAsia="zh-CN"/>
        </w:rPr>
        <w:t>缴纳职工</w:t>
      </w:r>
      <w:r>
        <w:rPr>
          <w:rFonts w:hint="eastAsia" w:ascii="仿宋_GB2312" w:hAnsi="宋体" w:eastAsia="仿宋_GB2312" w:cs="宋体"/>
          <w:spacing w:val="-6"/>
          <w:kern w:val="0"/>
          <w:sz w:val="32"/>
          <w:szCs w:val="32"/>
        </w:rPr>
        <w:t>基本养老保险</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9.14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缴纳</w:t>
      </w:r>
      <w:r>
        <w:rPr>
          <w:rFonts w:hint="eastAsia" w:ascii="仿宋_GB2312" w:hAnsi="宋体" w:eastAsia="仿宋_GB2312" w:cs="宋体"/>
          <w:kern w:val="0"/>
          <w:sz w:val="32"/>
          <w:szCs w:val="32"/>
          <w:lang w:val="en-US" w:eastAsia="zh-CN"/>
        </w:rPr>
        <w:t>职工</w:t>
      </w:r>
      <w:r>
        <w:rPr>
          <w:rFonts w:hint="eastAsia" w:ascii="仿宋_GB2312" w:hAnsi="宋体" w:eastAsia="仿宋_GB2312" w:cs="宋体"/>
          <w:kern w:val="0"/>
          <w:sz w:val="32"/>
          <w:szCs w:val="32"/>
        </w:rPr>
        <w:t>基本医疗保险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13.47万元，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缴纳</w:t>
      </w:r>
      <w:r>
        <w:rPr>
          <w:rFonts w:hint="eastAsia" w:ascii="仿宋_GB2312" w:hAnsi="宋体" w:eastAsia="仿宋_GB2312" w:cs="宋体"/>
          <w:kern w:val="0"/>
          <w:sz w:val="32"/>
          <w:szCs w:val="32"/>
          <w:lang w:val="en-US" w:eastAsia="zh-CN"/>
        </w:rPr>
        <w:t>职工</w:t>
      </w:r>
      <w:r>
        <w:rPr>
          <w:rFonts w:hint="eastAsia" w:ascii="仿宋_GB2312" w:hAnsi="宋体" w:eastAsia="仿宋_GB2312" w:cs="宋体"/>
          <w:kern w:val="0"/>
          <w:sz w:val="32"/>
          <w:szCs w:val="32"/>
          <w:lang w:eastAsia="zh-CN"/>
        </w:rPr>
        <w:t>住房公积金。</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昌吉州党员教育中心</w:t>
      </w:r>
      <w:r>
        <w:rPr>
          <w:rFonts w:hint="eastAsia" w:ascii="楷体_GB2312" w:hAnsi="楷体_GB2312" w:eastAsia="楷体_GB2312" w:cs="楷体_GB2312"/>
          <w:b/>
          <w:bCs/>
          <w:spacing w:val="-6"/>
          <w:kern w:val="0"/>
          <w:sz w:val="32"/>
          <w:szCs w:val="32"/>
        </w:rPr>
        <w:t>202</w:t>
      </w:r>
      <w:r>
        <w:rPr>
          <w:rFonts w:hint="eastAsia" w:ascii="楷体_GB2312" w:hAnsi="楷体_GB2312" w:eastAsia="楷体_GB2312" w:cs="楷体_GB2312"/>
          <w:b/>
          <w:bCs/>
          <w:spacing w:val="-6"/>
          <w:kern w:val="0"/>
          <w:sz w:val="32"/>
          <w:szCs w:val="32"/>
          <w:lang w:val="en-US" w:eastAsia="zh-CN"/>
        </w:rPr>
        <w:t>3</w:t>
      </w:r>
      <w:r>
        <w:rPr>
          <w:rFonts w:hint="eastAsia" w:ascii="楷体_GB2312" w:hAnsi="楷体_GB2312" w:eastAsia="楷体_GB2312" w:cs="楷体_GB2312"/>
          <w:b/>
          <w:bCs/>
          <w:spacing w:val="-6"/>
          <w:kern w:val="0"/>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rPr>
        <w:t>昌吉州党员教育中心202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年一般公共预算拨款合计</w:t>
      </w:r>
      <w:r>
        <w:rPr>
          <w:rFonts w:hint="eastAsia" w:ascii="仿宋_GB2312" w:hAnsi="宋体" w:eastAsia="仿宋_GB2312" w:cs="宋体"/>
          <w:kern w:val="0"/>
          <w:sz w:val="32"/>
          <w:szCs w:val="32"/>
          <w:lang w:val="en-US" w:eastAsia="zh-CN"/>
        </w:rPr>
        <w:t>230.36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179.36</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29.41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19.61</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人员</w:t>
      </w:r>
      <w:r>
        <w:rPr>
          <w:rFonts w:hint="eastAsia" w:ascii="仿宋_GB2312" w:hAnsi="宋体" w:eastAsia="仿宋_GB2312" w:cs="宋体"/>
          <w:kern w:val="0"/>
          <w:sz w:val="32"/>
          <w:szCs w:val="32"/>
          <w:lang w:eastAsia="zh-CN"/>
        </w:rPr>
        <w:t>经费</w:t>
      </w:r>
      <w:r>
        <w:rPr>
          <w:rFonts w:hint="eastAsia" w:ascii="仿宋_GB2312" w:hAnsi="宋体" w:eastAsia="仿宋_GB2312" w:cs="宋体"/>
          <w:kern w:val="0"/>
          <w:sz w:val="32"/>
          <w:szCs w:val="32"/>
        </w:rPr>
        <w:t>较去年有所增加</w:t>
      </w: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val="en-US" w:eastAsia="zh-CN"/>
        </w:rPr>
        <w:t>51</w:t>
      </w:r>
      <w:r>
        <w:rPr>
          <w:rFonts w:hint="eastAsia" w:ascii="仿宋_GB2312" w:hAnsi="仿宋_GB2312" w:eastAsia="仿宋_GB2312" w:cs="仿宋_GB2312"/>
          <w:kern w:val="0"/>
          <w:sz w:val="32"/>
          <w:szCs w:val="32"/>
        </w:rPr>
        <w:t>万元，比上年</w:t>
      </w:r>
      <w:r>
        <w:rPr>
          <w:rFonts w:hint="eastAsia" w:ascii="仿宋_GB2312" w:hAnsi="仿宋_GB2312" w:eastAsia="仿宋_GB2312" w:cs="仿宋_GB2312"/>
          <w:kern w:val="0"/>
          <w:sz w:val="32"/>
          <w:szCs w:val="32"/>
          <w:lang w:val="en-US" w:eastAsia="zh-CN"/>
        </w:rPr>
        <w:t>预算减少5万</w:t>
      </w:r>
      <w:r>
        <w:rPr>
          <w:rFonts w:hint="eastAsia" w:ascii="仿宋_GB2312" w:hAnsi="仿宋_GB2312" w:eastAsia="仿宋_GB2312" w:cs="仿宋_GB2312"/>
          <w:kern w:val="0"/>
          <w:sz w:val="32"/>
          <w:szCs w:val="32"/>
        </w:rPr>
        <w:t>元，</w:t>
      </w:r>
      <w:r>
        <w:rPr>
          <w:rFonts w:hint="eastAsia" w:ascii="仿宋_GB2312" w:hAnsi="宋体" w:eastAsia="仿宋_GB2312" w:cs="宋体"/>
          <w:kern w:val="0"/>
          <w:sz w:val="32"/>
          <w:szCs w:val="32"/>
          <w:lang w:val="en-US" w:eastAsia="zh-CN"/>
        </w:rPr>
        <w:t>下降8.93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单位严格执行财政相关要求，控制项目经费支出。</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一般公共服务支出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类</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182.11</w:t>
      </w:r>
      <w:r>
        <w:rPr>
          <w:rFonts w:hint="eastAsia" w:ascii="仿宋_GB2312" w:hAnsi="宋体" w:eastAsia="仿宋_GB2312" w:cs="宋体"/>
          <w:kern w:val="0"/>
          <w:sz w:val="32"/>
          <w:szCs w:val="32"/>
          <w:highlight w:val="none"/>
        </w:rPr>
        <w:t>万元，</w:t>
      </w:r>
      <w:r>
        <w:rPr>
          <w:rFonts w:hint="eastAsia" w:ascii="仿宋_GB2312" w:hAnsi="仿宋_GB2312" w:eastAsia="仿宋_GB2312" w:cs="仿宋_GB2312"/>
          <w:kern w:val="0"/>
          <w:sz w:val="32"/>
          <w:szCs w:val="32"/>
          <w:highlight w:val="none"/>
        </w:rPr>
        <w:t>占</w:t>
      </w:r>
      <w:r>
        <w:rPr>
          <w:rFonts w:hint="eastAsia" w:ascii="仿宋_GB2312" w:hAnsi="宋体" w:eastAsia="仿宋_GB2312" w:cs="宋体"/>
          <w:kern w:val="0"/>
          <w:sz w:val="32"/>
          <w:szCs w:val="32"/>
          <w:highlight w:val="none"/>
          <w:lang w:val="en-US" w:eastAsia="zh-CN"/>
        </w:rPr>
        <w:t>79.05</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eastAsia" w:ascii="仿宋_GB2312" w:hAnsi="宋体" w:eastAsia="仿宋_GB2312" w:cs="宋体"/>
          <w:spacing w:val="-6"/>
          <w:kern w:val="0"/>
          <w:sz w:val="32"/>
          <w:szCs w:val="32"/>
          <w:lang w:eastAsia="zh-CN"/>
        </w:rPr>
      </w:pPr>
      <w:r>
        <w:rPr>
          <w:rFonts w:hint="eastAsia" w:ascii="仿宋_GB2312" w:hAnsi="宋体" w:eastAsia="仿宋_GB2312" w:cs="宋体"/>
          <w:spacing w:val="-6"/>
          <w:kern w:val="0"/>
          <w:sz w:val="32"/>
          <w:szCs w:val="32"/>
          <w:lang w:val="en-US" w:eastAsia="zh-CN"/>
        </w:rPr>
        <w:t>2.</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25.64</w:t>
      </w:r>
      <w:r>
        <w:rPr>
          <w:rFonts w:hint="eastAsia" w:ascii="仿宋_GB2312" w:hAnsi="宋体" w:eastAsia="仿宋_GB2312" w:cs="宋体"/>
          <w:kern w:val="0"/>
          <w:sz w:val="32"/>
          <w:szCs w:val="32"/>
        </w:rPr>
        <w:t>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11.13</w:t>
      </w:r>
      <w:r>
        <w:rPr>
          <w:rFonts w:hint="eastAsia" w:ascii="仿宋_GB2312" w:hAnsi="仿宋_GB2312" w:eastAsia="仿宋_GB2312" w:cs="仿宋_GB2312"/>
          <w:kern w:val="0"/>
          <w:sz w:val="32"/>
          <w:szCs w:val="32"/>
        </w:rPr>
        <w:t>%</w:t>
      </w:r>
      <w:r>
        <w:rPr>
          <w:rFonts w:hint="eastAsia" w:ascii="仿宋_GB2312" w:hAnsi="宋体" w:eastAsia="仿宋_GB2312" w:cs="宋体"/>
          <w:spacing w:val="-6"/>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spacing w:val="-6"/>
          <w:kern w:val="0"/>
          <w:sz w:val="32"/>
          <w:szCs w:val="32"/>
          <w:lang w:val="en-US" w:eastAsia="zh-CN"/>
        </w:rPr>
        <w:t>3.</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9.14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3.97</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13.47万元，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5.85</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1.一般公共服务（类）</w:t>
      </w:r>
      <w:r>
        <w:rPr>
          <w:rFonts w:hint="eastAsia" w:ascii="仿宋_GB2312" w:hAnsi="宋体" w:eastAsia="仿宋_GB2312" w:cs="宋体"/>
          <w:kern w:val="0"/>
          <w:sz w:val="32"/>
          <w:szCs w:val="32"/>
          <w:lang w:eastAsia="zh-CN"/>
        </w:rPr>
        <w:t>组织</w:t>
      </w:r>
      <w:r>
        <w:rPr>
          <w:rFonts w:ascii="仿宋_GB2312" w:hAnsi="宋体" w:eastAsia="仿宋_GB2312" w:cs="宋体"/>
          <w:kern w:val="0"/>
          <w:sz w:val="32"/>
          <w:szCs w:val="32"/>
        </w:rPr>
        <w:t>事务（款）行政运行（项）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年预算数为</w:t>
      </w:r>
      <w:r>
        <w:rPr>
          <w:rFonts w:hint="eastAsia" w:ascii="仿宋_GB2312" w:hAnsi="宋体" w:eastAsia="仿宋_GB2312" w:cs="宋体"/>
          <w:kern w:val="0"/>
          <w:sz w:val="32"/>
          <w:szCs w:val="32"/>
          <w:lang w:val="en-US" w:eastAsia="zh-CN"/>
        </w:rPr>
        <w:t>131.11</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增加19.25</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color w:val="auto"/>
          <w:kern w:val="0"/>
          <w:sz w:val="32"/>
          <w:szCs w:val="32"/>
          <w:highlight w:val="none"/>
          <w:lang w:val="en-US" w:eastAsia="zh-CN"/>
        </w:rPr>
        <w:t>增长17.21</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人员经费较上年有所增加</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2.一般公共服务（类）</w:t>
      </w:r>
      <w:r>
        <w:rPr>
          <w:rFonts w:hint="eastAsia" w:ascii="仿宋_GB2312" w:hAnsi="宋体" w:eastAsia="仿宋_GB2312" w:cs="宋体"/>
          <w:kern w:val="0"/>
          <w:sz w:val="32"/>
          <w:szCs w:val="32"/>
          <w:lang w:eastAsia="zh-CN"/>
        </w:rPr>
        <w:t>组织</w:t>
      </w:r>
      <w:r>
        <w:rPr>
          <w:rFonts w:ascii="仿宋_GB2312" w:hAnsi="宋体" w:eastAsia="仿宋_GB2312" w:cs="宋体"/>
          <w:kern w:val="0"/>
          <w:sz w:val="32"/>
          <w:szCs w:val="32"/>
        </w:rPr>
        <w:t>事务（款）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年预算数为</w:t>
      </w:r>
      <w:r>
        <w:rPr>
          <w:rFonts w:hint="eastAsia" w:ascii="仿宋_GB2312" w:hAnsi="宋体" w:eastAsia="仿宋_GB2312" w:cs="宋体"/>
          <w:kern w:val="0"/>
          <w:sz w:val="32"/>
          <w:szCs w:val="32"/>
          <w:lang w:val="en-US" w:eastAsia="zh-CN"/>
        </w:rPr>
        <w:t>51</w:t>
      </w:r>
      <w:r>
        <w:rPr>
          <w:rFonts w:hint="eastAsia" w:ascii="仿宋_GB2312" w:hAnsi="仿宋_GB2312" w:eastAsia="仿宋_GB2312" w:cs="仿宋_GB2312"/>
          <w:kern w:val="0"/>
          <w:sz w:val="32"/>
          <w:szCs w:val="32"/>
        </w:rPr>
        <w:t>万元，比上年</w:t>
      </w:r>
      <w:r>
        <w:rPr>
          <w:rFonts w:hint="eastAsia" w:ascii="仿宋_GB2312" w:hAnsi="仿宋_GB2312" w:eastAsia="仿宋_GB2312" w:cs="仿宋_GB2312"/>
          <w:kern w:val="0"/>
          <w:sz w:val="32"/>
          <w:szCs w:val="32"/>
          <w:lang w:val="en-US" w:eastAsia="zh-CN"/>
        </w:rPr>
        <w:t>预算减少5万</w:t>
      </w:r>
      <w:r>
        <w:rPr>
          <w:rFonts w:hint="eastAsia" w:ascii="仿宋_GB2312" w:hAnsi="仿宋_GB2312" w:eastAsia="仿宋_GB2312" w:cs="仿宋_GB2312"/>
          <w:kern w:val="0"/>
          <w:sz w:val="32"/>
          <w:szCs w:val="32"/>
        </w:rPr>
        <w:t>元，</w:t>
      </w:r>
      <w:r>
        <w:rPr>
          <w:rFonts w:hint="eastAsia" w:ascii="仿宋_GB2312" w:hAnsi="宋体" w:eastAsia="仿宋_GB2312" w:cs="宋体"/>
          <w:kern w:val="0"/>
          <w:sz w:val="32"/>
          <w:szCs w:val="32"/>
          <w:lang w:val="en-US" w:eastAsia="zh-CN"/>
        </w:rPr>
        <w:t>下降8.93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单位严格执行财政相关要求，控制项目经费支出。</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.社会保障和就业支出（类）行政事业单位养老支出</w:t>
      </w:r>
      <w:r>
        <w:rPr>
          <w:rFonts w:hint="eastAsia" w:ascii="仿宋_GB2312" w:hAnsi="仿宋_GB2312" w:eastAsia="仿宋_GB2312" w:cs="仿宋_GB2312"/>
          <w:kern w:val="0"/>
          <w:sz w:val="32"/>
          <w:szCs w:val="32"/>
          <w:lang w:eastAsia="zh-CN"/>
        </w:rPr>
        <w:t>（</w:t>
      </w:r>
      <w:r>
        <w:rPr>
          <w:rFonts w:ascii="仿宋_GB2312" w:hAnsi="宋体" w:eastAsia="仿宋_GB2312" w:cs="宋体"/>
          <w:kern w:val="0"/>
          <w:sz w:val="32"/>
          <w:szCs w:val="32"/>
        </w:rPr>
        <w:t>款</w:t>
      </w:r>
      <w:r>
        <w:rPr>
          <w:rFonts w:hint="eastAsia" w:ascii="仿宋_GB2312" w:hAnsi="仿宋_GB2312" w:eastAsia="仿宋_GB2312" w:cs="仿宋_GB2312"/>
          <w:kern w:val="0"/>
          <w:sz w:val="32"/>
          <w:szCs w:val="32"/>
          <w:lang w:eastAsia="zh-CN"/>
        </w:rPr>
        <w:t>）</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年预算数为</w:t>
      </w:r>
      <w:r>
        <w:rPr>
          <w:rFonts w:hint="eastAsia" w:ascii="仿宋_GB2312" w:hAnsi="宋体" w:eastAsia="仿宋_GB2312" w:cs="宋体"/>
          <w:kern w:val="0"/>
          <w:sz w:val="32"/>
          <w:szCs w:val="32"/>
          <w:lang w:val="en-US" w:eastAsia="zh-CN"/>
        </w:rPr>
        <w:t>25.64</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11.47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80.94%，</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社会保险缴费基数上调</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年预算数为</w:t>
      </w:r>
      <w:r>
        <w:rPr>
          <w:rFonts w:hint="eastAsia" w:ascii="仿宋_GB2312" w:hAnsi="宋体" w:eastAsia="仿宋_GB2312" w:cs="宋体"/>
          <w:kern w:val="0"/>
          <w:sz w:val="32"/>
          <w:szCs w:val="32"/>
          <w:lang w:val="en-US" w:eastAsia="zh-CN"/>
        </w:rPr>
        <w:t>8.55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0.14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1.66%，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医疗保险缴费基数上调</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年预算数为</w:t>
      </w:r>
      <w:r>
        <w:rPr>
          <w:rFonts w:hint="eastAsia" w:ascii="仿宋_GB2312" w:hAnsi="宋体" w:eastAsia="仿宋_GB2312" w:cs="宋体"/>
          <w:kern w:val="0"/>
          <w:sz w:val="32"/>
          <w:szCs w:val="32"/>
          <w:lang w:val="en-US" w:eastAsia="zh-CN"/>
        </w:rPr>
        <w:t>0.53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减少2.13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下降80.08%，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上年度存在人员辞职</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年预算数为</w:t>
      </w:r>
      <w:r>
        <w:rPr>
          <w:rFonts w:hint="eastAsia" w:ascii="仿宋_GB2312" w:hAnsi="宋体" w:eastAsia="仿宋_GB2312" w:cs="宋体"/>
          <w:kern w:val="0"/>
          <w:sz w:val="32"/>
          <w:szCs w:val="32"/>
          <w:lang w:val="en-US" w:eastAsia="zh-CN"/>
        </w:rPr>
        <w:t>0.06</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增加0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增长0%，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本年度单位管理严格，控制预算</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住房改革支出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类）住房保障支出（款）住房公积金（项）:2022年预算数为</w:t>
      </w:r>
      <w:r>
        <w:rPr>
          <w:rFonts w:hint="eastAsia" w:ascii="仿宋_GB2312" w:hAnsi="仿宋_GB2312" w:eastAsia="仿宋_GB2312" w:cs="仿宋_GB2312"/>
          <w:kern w:val="0"/>
          <w:sz w:val="32"/>
          <w:szCs w:val="32"/>
          <w:lang w:val="en-US" w:eastAsia="zh-CN"/>
        </w:rPr>
        <w:t>13.47</w:t>
      </w:r>
      <w:r>
        <w:rPr>
          <w:rFonts w:hint="eastAsia" w:ascii="仿宋_GB2312" w:hAnsi="仿宋_GB2312" w:eastAsia="仿宋_GB2312" w:cs="仿宋_GB2312"/>
          <w:kern w:val="0"/>
          <w:sz w:val="32"/>
          <w:szCs w:val="32"/>
          <w:lang w:eastAsia="zh-CN"/>
        </w:rPr>
        <w:t>万元，比上年预算增加</w:t>
      </w:r>
      <w:r>
        <w:rPr>
          <w:rFonts w:hint="eastAsia" w:ascii="仿宋_GB2312" w:hAnsi="仿宋_GB2312" w:eastAsia="仿宋_GB2312" w:cs="仿宋_GB2312"/>
          <w:kern w:val="0"/>
          <w:sz w:val="32"/>
          <w:szCs w:val="32"/>
          <w:lang w:val="en-US" w:eastAsia="zh-CN"/>
        </w:rPr>
        <w:t>0.68</w:t>
      </w:r>
      <w:r>
        <w:rPr>
          <w:rFonts w:hint="eastAsia" w:ascii="仿宋_GB2312" w:hAnsi="仿宋_GB2312" w:eastAsia="仿宋_GB2312" w:cs="仿宋_GB2312"/>
          <w:kern w:val="0"/>
          <w:sz w:val="32"/>
          <w:szCs w:val="32"/>
          <w:lang w:eastAsia="zh-CN"/>
        </w:rPr>
        <w:t>万元，增长</w:t>
      </w:r>
      <w:r>
        <w:rPr>
          <w:rFonts w:hint="eastAsia" w:ascii="仿宋_GB2312" w:hAnsi="仿宋_GB2312" w:eastAsia="仿宋_GB2312" w:cs="仿宋_GB2312"/>
          <w:kern w:val="0"/>
          <w:sz w:val="32"/>
          <w:szCs w:val="32"/>
          <w:lang w:val="en-US" w:eastAsia="zh-CN"/>
        </w:rPr>
        <w:t>5.32%，</w:t>
      </w:r>
      <w:r>
        <w:rPr>
          <w:rFonts w:hint="eastAsia" w:ascii="仿宋_GB2312" w:hAnsi="仿宋_GB2312" w:eastAsia="仿宋_GB2312" w:cs="仿宋_GB2312"/>
          <w:kern w:val="0"/>
          <w:sz w:val="32"/>
          <w:szCs w:val="32"/>
          <w:lang w:eastAsia="zh-CN"/>
        </w:rPr>
        <w:t>主要原</w:t>
      </w:r>
      <w:r>
        <w:rPr>
          <w:rFonts w:hint="eastAsia" w:ascii="仿宋_GB2312" w:hAnsi="仿宋_GB2312" w:eastAsia="仿宋_GB2312" w:cs="仿宋_GB2312"/>
          <w:kern w:val="0"/>
          <w:sz w:val="32"/>
          <w:szCs w:val="32"/>
        </w:rPr>
        <w:t>因是：</w:t>
      </w:r>
      <w:r>
        <w:rPr>
          <w:rFonts w:hint="eastAsia" w:ascii="仿宋_GB2312" w:hAnsi="仿宋_GB2312" w:eastAsia="仿宋_GB2312" w:cs="仿宋_GB2312"/>
          <w:kern w:val="0"/>
          <w:sz w:val="32"/>
          <w:szCs w:val="32"/>
          <w:lang w:val="en-US" w:eastAsia="zh-CN"/>
        </w:rPr>
        <w:t>公积金缴费基数上调</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昌吉州党员教育中心</w:t>
      </w:r>
      <w:r>
        <w:rPr>
          <w:rFonts w:hint="eastAsia" w:ascii="楷体_GB2312" w:hAnsi="楷体_GB2312" w:eastAsia="楷体_GB2312" w:cs="楷体_GB2312"/>
          <w:b/>
          <w:bCs/>
          <w:spacing w:val="-6"/>
          <w:kern w:val="0"/>
          <w:sz w:val="32"/>
          <w:szCs w:val="32"/>
        </w:rPr>
        <w:t>202</w:t>
      </w:r>
      <w:r>
        <w:rPr>
          <w:rFonts w:hint="eastAsia" w:ascii="楷体_GB2312" w:hAnsi="楷体_GB2312" w:eastAsia="楷体_GB2312" w:cs="楷体_GB2312"/>
          <w:b/>
          <w:bCs/>
          <w:spacing w:val="-6"/>
          <w:kern w:val="0"/>
          <w:sz w:val="32"/>
          <w:szCs w:val="32"/>
          <w:lang w:val="en-US" w:eastAsia="zh-CN"/>
        </w:rPr>
        <w:t>3</w:t>
      </w:r>
      <w:r>
        <w:rPr>
          <w:rFonts w:hint="eastAsia" w:ascii="楷体_GB2312" w:hAnsi="楷体_GB2312" w:eastAsia="楷体_GB2312" w:cs="楷体_GB2312"/>
          <w:b/>
          <w:bCs/>
          <w:spacing w:val="-6"/>
          <w:kern w:val="0"/>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昌吉州党员教育中心</w:t>
      </w:r>
      <w:r>
        <w:rPr>
          <w:rFonts w:hint="eastAsia" w:ascii="仿宋_GB2312" w:hAnsi="宋体" w:eastAsia="仿宋_GB2312" w:cs="宋体"/>
          <w:spacing w:val="-6"/>
          <w:kern w:val="0"/>
          <w:sz w:val="32"/>
          <w:szCs w:val="32"/>
        </w:rPr>
        <w:t>202</w:t>
      </w:r>
      <w:r>
        <w:rPr>
          <w:rFonts w:hint="eastAsia" w:ascii="仿宋_GB2312" w:hAnsi="宋体" w:eastAsia="仿宋_GB2312" w:cs="宋体"/>
          <w:spacing w:val="-6"/>
          <w:kern w:val="0"/>
          <w:sz w:val="32"/>
          <w:szCs w:val="32"/>
          <w:lang w:val="en-US" w:eastAsia="zh-CN"/>
        </w:rPr>
        <w:t>3</w:t>
      </w:r>
      <w:r>
        <w:rPr>
          <w:rFonts w:hint="eastAsia" w:ascii="仿宋_GB2312" w:hAnsi="宋体" w:eastAsia="仿宋_GB2312" w:cs="宋体"/>
          <w:spacing w:val="-6"/>
          <w:kern w:val="0"/>
          <w:sz w:val="32"/>
          <w:szCs w:val="32"/>
        </w:rPr>
        <w:t>年一般公共预算基本支出</w:t>
      </w:r>
      <w:r>
        <w:rPr>
          <w:rFonts w:hint="eastAsia" w:ascii="仿宋_GB2312" w:hAnsi="宋体" w:eastAsia="仿宋_GB2312" w:cs="宋体"/>
          <w:kern w:val="0"/>
          <w:sz w:val="32"/>
          <w:szCs w:val="32"/>
          <w:lang w:val="en-US" w:eastAsia="zh-CN"/>
        </w:rPr>
        <w:t>177.47</w:t>
      </w:r>
      <w:r>
        <w:rPr>
          <w:rFonts w:hint="eastAsia" w:ascii="仿宋_GB2312" w:hAnsi="宋体" w:eastAsia="仿宋_GB2312" w:cs="宋体"/>
          <w:spacing w:val="-6"/>
          <w:kern w:val="0"/>
          <w:sz w:val="32"/>
          <w:szCs w:val="32"/>
        </w:rPr>
        <w:t>万元， 其中：</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155.29</w:t>
      </w:r>
      <w:r>
        <w:rPr>
          <w:rFonts w:hint="eastAsia" w:ascii="仿宋_GB2312" w:hAnsi="宋体" w:eastAsia="仿宋_GB2312" w:cs="宋体"/>
          <w:kern w:val="0"/>
          <w:sz w:val="32"/>
          <w:szCs w:val="32"/>
        </w:rPr>
        <w:t>万元，主要包括：基本工资、津贴补贴、奖金、机关事业单位基本养老保险缴费、职业年金缴费、职工基本医疗保险缴费、公务员医疗补助缴费、其他社会保障缴费、住房公积金、其他工资福利支出等。</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22.18</w:t>
      </w:r>
      <w:r>
        <w:rPr>
          <w:rFonts w:hint="eastAsia" w:ascii="仿宋_GB2312" w:hAnsi="宋体" w:eastAsia="仿宋_GB2312" w:cs="宋体"/>
          <w:kern w:val="0"/>
          <w:sz w:val="32"/>
          <w:szCs w:val="32"/>
        </w:rPr>
        <w:t>万元，主要包括：办公费、印刷费、</w:t>
      </w:r>
      <w:r>
        <w:rPr>
          <w:rFonts w:hint="eastAsia" w:ascii="仿宋_GB2312" w:hAnsi="宋体" w:eastAsia="仿宋_GB2312" w:cs="宋体"/>
          <w:kern w:val="0"/>
          <w:sz w:val="32"/>
          <w:szCs w:val="32"/>
          <w:lang w:val="en-US" w:eastAsia="zh-CN"/>
        </w:rPr>
        <w:t>手续费、</w:t>
      </w:r>
      <w:r>
        <w:rPr>
          <w:rFonts w:hint="eastAsia" w:ascii="仿宋_GB2312" w:hAnsi="宋体" w:eastAsia="仿宋_GB2312" w:cs="宋体"/>
          <w:kern w:val="0"/>
          <w:sz w:val="32"/>
          <w:szCs w:val="32"/>
        </w:rPr>
        <w:t>水费、电费、邮电费、取暖费、差旅费、维修（护）费、公务接待费、工会经费、福利费、公务用车运行维护费、其他商品和服务支出等。</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昌吉州党员教育中心</w:t>
      </w:r>
      <w:r>
        <w:rPr>
          <w:rFonts w:hint="eastAsia" w:ascii="楷体_GB2312" w:hAnsi="楷体_GB2312" w:eastAsia="楷体_GB2312" w:cs="楷体_GB2312"/>
          <w:b/>
          <w:bCs/>
          <w:spacing w:val="-6"/>
          <w:kern w:val="0"/>
          <w:sz w:val="32"/>
          <w:szCs w:val="32"/>
        </w:rPr>
        <w:t>202</w:t>
      </w:r>
      <w:r>
        <w:rPr>
          <w:rFonts w:hint="eastAsia" w:ascii="楷体_GB2312" w:hAnsi="楷体_GB2312" w:eastAsia="楷体_GB2312" w:cs="楷体_GB2312"/>
          <w:b/>
          <w:bCs/>
          <w:spacing w:val="-6"/>
          <w:kern w:val="0"/>
          <w:sz w:val="32"/>
          <w:szCs w:val="32"/>
          <w:lang w:val="en-US" w:eastAsia="zh-CN"/>
        </w:rPr>
        <w:t>3</w:t>
      </w:r>
      <w:r>
        <w:rPr>
          <w:rFonts w:hint="eastAsia" w:ascii="楷体_GB2312" w:hAnsi="楷体_GB2312" w:eastAsia="楷体_GB2312" w:cs="楷体_GB2312"/>
          <w:b/>
          <w:bCs/>
          <w:spacing w:val="-6"/>
          <w:kern w:val="0"/>
          <w:sz w:val="32"/>
          <w:szCs w:val="32"/>
        </w:rPr>
        <w:t>年一般公共预算项目支出情况说明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昌吉州党员教育运转保障经费</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《2019-2023年自治州党员教育培训工作规划》</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51</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州党员教育中心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各类网站维护</w:t>
      </w:r>
      <w:r>
        <w:rPr>
          <w:rFonts w:hint="default" w:ascii="仿宋_GB2312" w:hAnsi="宋体" w:eastAsia="仿宋_GB2312" w:cs="宋体"/>
          <w:kern w:val="0"/>
          <w:sz w:val="32"/>
          <w:szCs w:val="32"/>
          <w:lang w:val="en-US" w:eastAsia="zh-CN"/>
        </w:rPr>
        <w:t>经费</w:t>
      </w:r>
      <w:r>
        <w:rPr>
          <w:rFonts w:hint="eastAsia" w:ascii="仿宋_GB2312" w:hAnsi="宋体" w:eastAsia="仿宋_GB2312" w:cs="宋体"/>
          <w:kern w:val="0"/>
          <w:sz w:val="32"/>
          <w:szCs w:val="32"/>
          <w:lang w:val="en-US" w:eastAsia="zh-CN"/>
        </w:rPr>
        <w:t>16</w:t>
      </w:r>
      <w:r>
        <w:rPr>
          <w:rFonts w:hint="default" w:ascii="仿宋_GB2312" w:hAnsi="宋体" w:eastAsia="仿宋_GB2312" w:cs="宋体"/>
          <w:kern w:val="0"/>
          <w:sz w:val="32"/>
          <w:szCs w:val="32"/>
          <w:lang w:val="en-US" w:eastAsia="zh-CN"/>
        </w:rPr>
        <w:t>万</w:t>
      </w:r>
      <w:r>
        <w:rPr>
          <w:rFonts w:hint="eastAsia" w:ascii="仿宋_GB2312" w:hAnsi="宋体" w:eastAsia="仿宋_GB2312" w:cs="宋体"/>
          <w:kern w:val="0"/>
          <w:sz w:val="32"/>
          <w:szCs w:val="32"/>
          <w:lang w:val="en-US" w:eastAsia="zh-CN"/>
        </w:rPr>
        <w:t>元、昌吉州党员教育电视片制作经费28万元、外出考察经费和相关活动经费3万元。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1月1日-2023年12月31日</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val="en-US" w:eastAsia="zh-CN"/>
        </w:rPr>
        <w:t>昌吉州党员教育中心</w:t>
      </w:r>
      <w:r>
        <w:rPr>
          <w:rFonts w:hint="eastAsia" w:ascii="楷体_GB2312" w:hAnsi="楷体_GB2312" w:eastAsia="楷体_GB2312" w:cs="楷体_GB2312"/>
          <w:b/>
          <w:bCs/>
          <w:kern w:val="0"/>
          <w:sz w:val="32"/>
          <w:szCs w:val="32"/>
        </w:rPr>
        <w:t>2023年政府性基金预算拨款情况说明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昌吉州党员教育中心</w:t>
      </w:r>
      <w:r>
        <w:rPr>
          <w:rFonts w:hint="eastAsia" w:ascii="仿宋_GB2312" w:hAnsi="仿宋_GB2312" w:eastAsia="仿宋_GB2312" w:cs="仿宋_GB2312"/>
          <w:kern w:val="0"/>
          <w:sz w:val="32"/>
          <w:szCs w:val="32"/>
        </w:rPr>
        <w:t>2023年没有使用政府性基金预算拨款安排的支出，政府性基金预算支出情况表为空表。</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lang w:eastAsia="zh-Hans"/>
        </w:rPr>
        <w:t>九、</w:t>
      </w:r>
      <w:r>
        <w:rPr>
          <w:rFonts w:hint="eastAsia" w:ascii="楷体_GB2312" w:hAnsi="楷体_GB2312" w:eastAsia="楷体_GB2312" w:cs="楷体_GB2312"/>
          <w:b/>
          <w:bCs/>
          <w:kern w:val="0"/>
          <w:sz w:val="32"/>
          <w:szCs w:val="32"/>
        </w:rPr>
        <w:t>关于</w:t>
      </w:r>
      <w:r>
        <w:rPr>
          <w:rFonts w:hint="eastAsia" w:ascii="楷体_GB2312" w:hAnsi="楷体_GB2312" w:eastAsia="楷体_GB2312" w:cs="楷体_GB2312"/>
          <w:b/>
          <w:bCs/>
          <w:kern w:val="0"/>
          <w:sz w:val="32"/>
          <w:szCs w:val="32"/>
          <w:lang w:val="en-US" w:eastAsia="zh-CN"/>
        </w:rPr>
        <w:t>昌吉州党员教育中心</w:t>
      </w:r>
      <w:r>
        <w:rPr>
          <w:rFonts w:hint="eastAsia" w:ascii="楷体_GB2312" w:hAnsi="楷体_GB2312" w:eastAsia="楷体_GB2312" w:cs="楷体_GB2312"/>
          <w:b/>
          <w:bCs/>
          <w:kern w:val="0"/>
          <w:sz w:val="32"/>
          <w:szCs w:val="32"/>
        </w:rPr>
        <w:t>2023年</w:t>
      </w:r>
      <w:r>
        <w:rPr>
          <w:rFonts w:hint="eastAsia" w:ascii="仿宋_GB2312" w:hAnsi="仿宋_GB2312" w:eastAsia="仿宋_GB2312" w:cs="仿宋_GB2312"/>
          <w:b/>
          <w:kern w:val="0"/>
          <w:sz w:val="32"/>
          <w:szCs w:val="32"/>
        </w:rPr>
        <w:t>国有资本经营预算</w:t>
      </w:r>
      <w:r>
        <w:rPr>
          <w:rFonts w:hint="eastAsia" w:ascii="楷体_GB2312" w:hAnsi="楷体_GB2312" w:eastAsia="楷体_GB2312" w:cs="楷体_GB2312"/>
          <w:b/>
          <w:bCs/>
          <w:kern w:val="0"/>
          <w:sz w:val="32"/>
          <w:szCs w:val="32"/>
        </w:rPr>
        <w:t>拨款情况说明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昌吉州党员教育中心</w:t>
      </w:r>
      <w:r>
        <w:rPr>
          <w:rFonts w:hint="eastAsia" w:ascii="仿宋_GB2312" w:hAnsi="仿宋_GB2312" w:eastAsia="仿宋_GB2312" w:cs="仿宋_GB2312"/>
          <w:kern w:val="0"/>
          <w:sz w:val="32"/>
          <w:szCs w:val="32"/>
        </w:rPr>
        <w:t>2023年没有使用国有资本经营预算拨款安排的支出，国有资本经营预算支出情况表为空表。</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lang w:val="en-US" w:eastAsia="zh-CN"/>
        </w:rPr>
        <w:t>十、</w:t>
      </w:r>
      <w:r>
        <w:rPr>
          <w:rFonts w:hint="eastAsia" w:ascii="楷体_GB2312" w:hAnsi="楷体_GB2312" w:eastAsia="楷体_GB2312" w:cs="楷体_GB2312"/>
          <w:b/>
          <w:bCs/>
          <w:kern w:val="0"/>
          <w:sz w:val="32"/>
          <w:szCs w:val="32"/>
        </w:rPr>
        <w:t>关于昌吉州党员教育中心202</w:t>
      </w:r>
      <w:r>
        <w:rPr>
          <w:rFonts w:hint="eastAsia" w:ascii="楷体_GB2312" w:hAnsi="楷体_GB2312" w:eastAsia="楷体_GB2312" w:cs="楷体_GB2312"/>
          <w:b/>
          <w:bCs/>
          <w:kern w:val="0"/>
          <w:sz w:val="32"/>
          <w:szCs w:val="32"/>
          <w:lang w:val="en-US" w:eastAsia="zh-CN"/>
        </w:rPr>
        <w:t>3</w:t>
      </w:r>
      <w:r>
        <w:rPr>
          <w:rFonts w:hint="eastAsia" w:ascii="楷体_GB2312" w:hAnsi="楷体_GB2312" w:eastAsia="楷体_GB2312" w:cs="楷体_GB2312"/>
          <w:b/>
          <w:bCs/>
          <w:kern w:val="0"/>
          <w:sz w:val="32"/>
          <w:szCs w:val="32"/>
        </w:rPr>
        <w:t>年</w:t>
      </w:r>
      <w:r>
        <w:rPr>
          <w:rFonts w:hint="eastAsia" w:ascii="楷体_GB2312" w:hAnsi="楷体_GB2312" w:eastAsia="楷体_GB2312" w:cs="楷体_GB2312"/>
          <w:b/>
          <w:bCs/>
          <w:kern w:val="0"/>
          <w:sz w:val="32"/>
          <w:szCs w:val="32"/>
          <w:lang w:eastAsia="zh-Hans"/>
        </w:rPr>
        <w:t>财政拨款</w:t>
      </w:r>
      <w:r>
        <w:rPr>
          <w:rFonts w:hint="eastAsia" w:ascii="楷体_GB2312" w:hAnsi="楷体_GB2312" w:eastAsia="楷体_GB2312" w:cs="楷体_GB2312"/>
          <w:b/>
          <w:bCs/>
          <w:kern w:val="0"/>
          <w:sz w:val="32"/>
          <w:szCs w:val="32"/>
        </w:rPr>
        <w:t>“三公”经费预算情况说明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昌吉州党员教育中心202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Hans"/>
        </w:rPr>
        <w:t>财政拨款</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三公”经费数为</w:t>
      </w:r>
      <w:r>
        <w:rPr>
          <w:rFonts w:hint="eastAsia" w:ascii="仿宋_GB2312" w:hAnsi="宋体" w:eastAsia="仿宋_GB2312" w:cs="宋体"/>
          <w:kern w:val="0"/>
          <w:sz w:val="32"/>
          <w:szCs w:val="32"/>
          <w:lang w:val="en-US" w:eastAsia="zh-CN"/>
        </w:rPr>
        <w:t>2.24</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0.14</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Hans"/>
        </w:rPr>
        <w:t>财政拨款</w:t>
      </w:r>
      <w:r>
        <w:rPr>
          <w:rFonts w:hint="eastAsia" w:ascii="仿宋_GB2312" w:hAnsi="宋体" w:eastAsia="仿宋_GB2312" w:cs="宋体"/>
          <w:kern w:val="0"/>
          <w:sz w:val="32"/>
          <w:szCs w:val="32"/>
        </w:rPr>
        <w:t>“三公”经费比上年</w:t>
      </w:r>
      <w:r>
        <w:rPr>
          <w:rFonts w:hint="eastAsia" w:ascii="仿宋_GB2312" w:hAnsi="宋体" w:eastAsia="仿宋_GB2312" w:cs="宋体"/>
          <w:kern w:val="0"/>
          <w:sz w:val="32"/>
          <w:szCs w:val="32"/>
          <w:lang w:val="en-US" w:eastAsia="zh-CN"/>
        </w:rPr>
        <w:t>减少0.05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下降2.18</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其中：</w:t>
      </w:r>
      <w:r>
        <w:rPr>
          <w:rFonts w:hint="eastAsia" w:ascii="仿宋_GB2312" w:hAnsi="宋体" w:eastAsia="仿宋_GB2312" w:cs="宋体"/>
          <w:kern w:val="0"/>
          <w:sz w:val="32"/>
          <w:szCs w:val="32"/>
        </w:rPr>
        <w:t>因公出国（境）费</w:t>
      </w:r>
      <w:r>
        <w:rPr>
          <w:rFonts w:hint="eastAsia" w:ascii="仿宋_GB2312" w:hAnsi="宋体" w:eastAsia="仿宋_GB2312" w:cs="宋体"/>
          <w:kern w:val="0"/>
          <w:sz w:val="32"/>
          <w:szCs w:val="32"/>
          <w:lang w:val="en-US" w:eastAsia="zh-CN"/>
        </w:rPr>
        <w:t>减少</w:t>
      </w:r>
      <w:r>
        <w:rPr>
          <w:rFonts w:hint="eastAsia" w:ascii="仿宋_GB2312" w:hAnsi="宋体" w:eastAsia="仿宋_GB2312" w:cs="宋体"/>
          <w:kern w:val="0"/>
          <w:sz w:val="32"/>
          <w:szCs w:val="32"/>
        </w:rPr>
        <w:t>0万元，</w:t>
      </w:r>
      <w:r>
        <w:rPr>
          <w:rFonts w:hint="eastAsia" w:ascii="仿宋_GB2312" w:hAnsi="宋体" w:eastAsia="仿宋_GB2312" w:cs="宋体"/>
          <w:kern w:val="0"/>
          <w:sz w:val="32"/>
          <w:szCs w:val="32"/>
          <w:lang w:val="en-US" w:eastAsia="zh-CN"/>
        </w:rPr>
        <w:t>下降0</w:t>
      </w:r>
      <w:r>
        <w:rPr>
          <w:rFonts w:hint="eastAsia" w:ascii="仿宋_GB2312" w:hAnsi="宋体" w:eastAsia="仿宋_GB2312" w:cs="宋体"/>
          <w:kern w:val="0"/>
          <w:sz w:val="32"/>
          <w:szCs w:val="32"/>
        </w:rPr>
        <w:t>%，主要原因是我单位没有此项经费开支，未安排预算；公务用车购置费</w:t>
      </w:r>
      <w:r>
        <w:rPr>
          <w:rFonts w:hint="eastAsia" w:ascii="仿宋_GB2312" w:hAnsi="宋体" w:eastAsia="仿宋_GB2312" w:cs="宋体"/>
          <w:kern w:val="0"/>
          <w:sz w:val="32"/>
          <w:szCs w:val="32"/>
          <w:lang w:val="en-US" w:eastAsia="zh-CN"/>
        </w:rPr>
        <w:t>减少0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下降0</w:t>
      </w:r>
      <w:r>
        <w:rPr>
          <w:rFonts w:hint="eastAsia" w:ascii="仿宋_GB2312" w:hAnsi="宋体" w:eastAsia="仿宋_GB2312" w:cs="宋体"/>
          <w:kern w:val="0"/>
          <w:sz w:val="32"/>
          <w:szCs w:val="32"/>
        </w:rPr>
        <w:t>%，主要原因是我单位没有此项经费开支，未安排预算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val="en-US" w:eastAsia="zh-CN"/>
        </w:rPr>
        <w:t>减少0.05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下降2.33</w:t>
      </w:r>
      <w:r>
        <w:rPr>
          <w:rFonts w:hint="eastAsia" w:ascii="仿宋_GB2312" w:hAnsi="宋体" w:eastAsia="仿宋_GB2312" w:cs="宋体"/>
          <w:kern w:val="0"/>
          <w:sz w:val="32"/>
          <w:szCs w:val="32"/>
        </w:rPr>
        <w:t>%，主要原因是单位严格按要求控制车辆运行费用，合理安排预算；公务接待费</w:t>
      </w:r>
      <w:r>
        <w:rPr>
          <w:rFonts w:hint="eastAsia" w:ascii="仿宋_GB2312" w:hAnsi="宋体" w:eastAsia="仿宋_GB2312" w:cs="宋体"/>
          <w:kern w:val="0"/>
          <w:sz w:val="32"/>
          <w:szCs w:val="32"/>
          <w:lang w:val="en-US" w:eastAsia="zh-CN"/>
        </w:rPr>
        <w:t>减少</w:t>
      </w:r>
      <w:r>
        <w:rPr>
          <w:rFonts w:hint="eastAsia" w:ascii="仿宋_GB2312" w:hAnsi="宋体" w:eastAsia="仿宋_GB2312" w:cs="宋体"/>
          <w:kern w:val="0"/>
          <w:sz w:val="32"/>
          <w:szCs w:val="32"/>
        </w:rPr>
        <w:t>0万元，</w:t>
      </w:r>
      <w:r>
        <w:rPr>
          <w:rFonts w:hint="eastAsia" w:ascii="仿宋_GB2312" w:hAnsi="宋体" w:eastAsia="仿宋_GB2312" w:cs="宋体"/>
          <w:kern w:val="0"/>
          <w:sz w:val="32"/>
          <w:szCs w:val="32"/>
          <w:lang w:val="en-US" w:eastAsia="zh-CN"/>
        </w:rPr>
        <w:t>下降0</w:t>
      </w:r>
      <w:r>
        <w:rPr>
          <w:rFonts w:hint="eastAsia" w:ascii="仿宋_GB2312" w:hAnsi="宋体" w:eastAsia="仿宋_GB2312" w:cs="宋体"/>
          <w:kern w:val="0"/>
          <w:sz w:val="32"/>
          <w:szCs w:val="32"/>
        </w:rPr>
        <w:t>%，主要原因是单位严格执行相关规定，合理安排预算。</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lang w:eastAsia="zh-Hans"/>
        </w:rPr>
        <w:t>十一</w:t>
      </w:r>
      <w:r>
        <w:rPr>
          <w:rFonts w:hint="eastAsia" w:ascii="楷体_GB2312" w:hAnsi="楷体_GB2312" w:eastAsia="楷体_GB2312" w:cs="楷体_GB2312"/>
          <w:b/>
          <w:bCs/>
          <w:kern w:val="0"/>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宋体" w:eastAsia="仿宋_GB2312" w:cs="宋体"/>
          <w:kern w:val="0"/>
          <w:sz w:val="32"/>
          <w:szCs w:val="32"/>
        </w:rPr>
        <w:t>昌吉州党员教育中心</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22.18</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增加2.06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增长10.24</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本年度单位人员增加</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宋体" w:eastAsia="仿宋_GB2312" w:cs="宋体"/>
          <w:kern w:val="0"/>
          <w:sz w:val="32"/>
          <w:szCs w:val="32"/>
        </w:rPr>
        <w:t>昌吉州党员教育中心</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81.839492</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4.4</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77.439492</w:t>
      </w:r>
      <w:r>
        <w:rPr>
          <w:rFonts w:hint="eastAsia" w:ascii="仿宋_GB2312" w:hAnsi="仿宋_GB2312" w:eastAsia="仿宋_GB2312" w:cs="仿宋_GB2312"/>
          <w:kern w:val="0"/>
          <w:sz w:val="32"/>
          <w:szCs w:val="32"/>
        </w:rPr>
        <w:t>万元。</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年度本单位面向中小企业预留政府采购项目预算金额</w:t>
      </w:r>
      <w:r>
        <w:rPr>
          <w:rFonts w:hint="eastAsia" w:ascii="仿宋_GB2312" w:hAnsi="仿宋_GB2312" w:eastAsia="仿宋_GB2312" w:cs="仿宋_GB2312"/>
          <w:kern w:val="0"/>
          <w:sz w:val="32"/>
          <w:szCs w:val="32"/>
          <w:lang w:val="en-US" w:eastAsia="zh-CN"/>
        </w:rPr>
        <w:t>81.839492</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kern w:val="0"/>
          <w:sz w:val="32"/>
          <w:szCs w:val="32"/>
          <w:lang w:val="en-US" w:eastAsia="zh-CN"/>
        </w:rPr>
        <w:t>81.839492</w:t>
      </w:r>
      <w:r>
        <w:rPr>
          <w:rFonts w:hint="eastAsia" w:ascii="仿宋_GB2312" w:hAnsi="仿宋_GB2312" w:eastAsia="仿宋_GB2312" w:cs="仿宋_GB2312"/>
          <w:sz w:val="32"/>
        </w:rPr>
        <w:t>万元。</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年底，昌吉州党员教育中心占用使用国有资产总体情况为</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1.房屋2364.6平方米，价值350万元。</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.车辆1辆，价值31.93万元；其中：一般公务用车1辆，价值31.93万元；执法执勤用车0辆，价值0万元；其他车辆0辆，价值0万元。</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办公家具价值15.74万元。</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.其他资产价值308.17万元。</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年昌吉州党员教育中心部门预算未安排购置车辆经费，安排购置50万元以上大型设备0台（套），单位价值100万元以上大型设备0台（套）。</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w:t>
      </w:r>
      <w:r>
        <w:rPr>
          <w:rFonts w:hint="eastAsia" w:ascii="仿宋_GB2312" w:hAnsi="仿宋_GB2312" w:eastAsia="仿宋_GB2312" w:cs="仿宋_GB2312"/>
          <w:kern w:val="0"/>
          <w:sz w:val="32"/>
          <w:szCs w:val="32"/>
          <w:lang w:val="en-US" w:eastAsia="zh-CN"/>
        </w:rPr>
        <w:t>分别</w:t>
      </w:r>
      <w:r>
        <w:rPr>
          <w:rFonts w:hint="eastAsia" w:ascii="仿宋_GB2312" w:hAnsi="仿宋_GB2312" w:eastAsia="仿宋_GB2312" w:cs="仿宋_GB2312"/>
          <w:kern w:val="0"/>
          <w:sz w:val="32"/>
          <w:szCs w:val="32"/>
        </w:rPr>
        <w:t>涉及预算金额</w:t>
      </w:r>
      <w:r>
        <w:rPr>
          <w:rFonts w:hint="eastAsia" w:ascii="仿宋_GB2312" w:hAnsi="仿宋_GB2312" w:eastAsia="仿宋_GB2312" w:cs="仿宋_GB2312"/>
          <w:kern w:val="0"/>
          <w:sz w:val="32"/>
          <w:szCs w:val="32"/>
          <w:lang w:val="en-US" w:eastAsia="zh-CN"/>
        </w:rPr>
        <w:t>100.5</w:t>
      </w:r>
      <w:r>
        <w:rPr>
          <w:rFonts w:hint="eastAsia" w:ascii="仿宋_GB2312" w:hAnsi="仿宋_GB2312" w:eastAsia="仿宋_GB2312" w:cs="仿宋_GB2312"/>
          <w:kern w:val="0"/>
          <w:sz w:val="32"/>
          <w:szCs w:val="32"/>
        </w:rPr>
        <w:t>万元。具体情况见下表：</w:t>
      </w:r>
    </w:p>
    <w:p>
      <w:pP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br w:type="page"/>
      </w:r>
    </w:p>
    <w:tbl>
      <w:tblPr>
        <w:tblStyle w:val="7"/>
        <w:tblW w:w="83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3"/>
        <w:gridCol w:w="826"/>
        <w:gridCol w:w="1467"/>
        <w:gridCol w:w="730"/>
        <w:gridCol w:w="922"/>
        <w:gridCol w:w="894"/>
        <w:gridCol w:w="744"/>
        <w:gridCol w:w="989"/>
        <w:gridCol w:w="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4" w:hRule="atLeast"/>
        </w:trPr>
        <w:tc>
          <w:tcPr>
            <w:tcW w:w="8380"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4" w:hRule="atLeast"/>
        </w:trPr>
        <w:tc>
          <w:tcPr>
            <w:tcW w:w="8380"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6"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67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昌吉回族自治州党员干部现代远程教育管理中心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6"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昌吉州党员教育运转保障经费</w:t>
            </w:r>
          </w:p>
        </w:tc>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项目负责人</w:t>
            </w:r>
          </w:p>
        </w:tc>
        <w:tc>
          <w:tcPr>
            <w:tcW w:w="19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2"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年度预算总额：</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92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9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83"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6731" w:type="dxa"/>
            <w:gridSpan w:val="7"/>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好教学资源建设和党员教育培训工作，主要完成昌吉党建网和学考系统日常运行维护、教学资源建设、党员教育培训等项目。年内至少完成4部党员教育教学资源片拍摄制作、1次昌吉党建网日常维护、1次学考系统等级保护测评；完成教学资源业务骨干培训2次，开展教学资源微视频展示及“党课开讲啦”评选活动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7" w:hRule="atLeast"/>
        </w:trPr>
        <w:tc>
          <w:tcPr>
            <w:tcW w:w="8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82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146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7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92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指标值设置依据</w:t>
            </w:r>
          </w:p>
        </w:tc>
        <w:tc>
          <w:tcPr>
            <w:tcW w:w="89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上年完成值</w:t>
            </w:r>
          </w:p>
        </w:tc>
        <w:tc>
          <w:tcPr>
            <w:tcW w:w="74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指标分值权重</w:t>
            </w:r>
          </w:p>
        </w:tc>
        <w:tc>
          <w:tcPr>
            <w:tcW w:w="98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指标赋分规则</w:t>
            </w:r>
          </w:p>
        </w:tc>
        <w:tc>
          <w:tcPr>
            <w:tcW w:w="9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17" w:hRule="atLeast"/>
        </w:trPr>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网站、系统等维护次数</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&gt;=3次</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7"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教学资源电视片拍摄数</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&gt;=4部</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7"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业务骨干培训次数</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&gt;=1次</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7"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评比竞赛活动次数</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&gt;=2次</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7"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各项工作完成率</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7"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网站、系统故障处理时间</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&lt;=48小时</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24小时</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5"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业务骨干培训及各类评比活动完成时限</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11月30日</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11月30日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17"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教学资源电视片拍摄完成时限</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11月30日</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11月30日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17" w:hRule="atLeast"/>
        </w:trPr>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网站维护、网络运营经费</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&lt;=12万元</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行业标准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7"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四微活动及知识竞赛费用</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&lt;=4万元</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行业标准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6"/>
                <w:szCs w:val="16"/>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5"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业务骨干培训及各类评比活动费用</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&lt;=35万元</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行业标准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9" w:hRule="atLeast"/>
        </w:trPr>
        <w:tc>
          <w:tcPr>
            <w:tcW w:w="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确保党员教育系统安全稳定运行，更加高效的服务党员教育工作，各级党员干部培训人次提升</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长期</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长期</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17" w:hRule="atLeast"/>
        </w:trPr>
        <w:tc>
          <w:tcPr>
            <w:tcW w:w="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6"/>
                <w:szCs w:val="16"/>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营造向先进学习的浓厚氛围</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长期</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长期</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按照正常比例赋分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9"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各领域党员满意度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&gt;=95%</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计划标准</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满意度赋分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工作资料</w:t>
            </w:r>
          </w:p>
        </w:tc>
      </w:tr>
    </w:tbl>
    <w:p>
      <w:pPr>
        <w:rPr>
          <w:rFonts w:hint="eastAsia" w:ascii="仿宋_GB2312" w:hAnsi="仿宋_GB2312" w:eastAsia="仿宋_GB2312" w:cs="仿宋_GB2312"/>
          <w:kern w:val="0"/>
          <w:sz w:val="32"/>
          <w:szCs w:val="32"/>
        </w:rPr>
      </w:pPr>
    </w:p>
    <w:tbl>
      <w:tblPr>
        <w:tblStyle w:val="7"/>
        <w:tblW w:w="84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6"/>
        <w:gridCol w:w="947"/>
        <w:gridCol w:w="946"/>
        <w:gridCol w:w="946"/>
        <w:gridCol w:w="947"/>
        <w:gridCol w:w="946"/>
        <w:gridCol w:w="947"/>
        <w:gridCol w:w="946"/>
        <w:gridCol w:w="8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9" w:hRule="atLeast"/>
        </w:trPr>
        <w:tc>
          <w:tcPr>
            <w:tcW w:w="8440"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68" w:hRule="atLeast"/>
        </w:trPr>
        <w:tc>
          <w:tcPr>
            <w:tcW w:w="8440"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79" w:hRule="atLeast"/>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654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昌吉回族自治州党员干部现代远程教育管理中心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79" w:hRule="atLeast"/>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州党员教育中心宣传片制作经费</w:t>
            </w:r>
          </w:p>
        </w:tc>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项目负责人</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年度预算总额：</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w:t>
            </w:r>
          </w:p>
        </w:tc>
        <w:tc>
          <w:tcPr>
            <w:tcW w:w="94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8" w:hRule="atLeast"/>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6547" w:type="dxa"/>
            <w:gridSpan w:val="7"/>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完成制作“我是共产党员”微视频90部。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9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94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9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9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94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指标值设置依据</w:t>
            </w:r>
          </w:p>
        </w:tc>
        <w:tc>
          <w:tcPr>
            <w:tcW w:w="9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上年完成值</w:t>
            </w:r>
          </w:p>
        </w:tc>
        <w:tc>
          <w:tcPr>
            <w:tcW w:w="94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指标分值权重</w:t>
            </w:r>
          </w:p>
        </w:tc>
        <w:tc>
          <w:tcPr>
            <w:tcW w:w="9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指标赋分规则</w:t>
            </w:r>
          </w:p>
        </w:tc>
        <w:tc>
          <w:tcPr>
            <w:tcW w:w="8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85" w:hRule="atLeast"/>
        </w:trPr>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教学资源电视片拍摄数</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&gt;=87部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按照正常比例赋分</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85" w:hRule="atLeast"/>
        </w:trPr>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教学资源电视片展播数</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&gt;=70部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按照正常比例赋分</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拍摄完成率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按照正常比例赋分</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10" w:hRule="atLeast"/>
        </w:trPr>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教学资源电视片拍摄完成时限</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2023年11月15日</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2022年7月30日</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按照正常比例赋分</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10" w:hRule="atLeast"/>
        </w:trPr>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教学资源电视片展播完成时限</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2023年11月30日</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按照正常比例赋分</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85"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党员教育片制作经费使用</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&lt;=49.50万元</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按照正常比例赋分</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6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宣传各领域党员优秀代表，宣传贯彻落实政策知晓率。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按照正常比例赋分</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0"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各领域党员满意度</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满意度赋分</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工作资料</w:t>
            </w:r>
          </w:p>
        </w:tc>
      </w:tr>
    </w:tbl>
    <w:p>
      <w:pPr>
        <w:spacing w:line="600" w:lineRule="exact"/>
        <w:ind w:firstLine="643" w:firstLineChars="200"/>
        <w:rPr>
          <w:rFonts w:hint="eastAsia" w:ascii="楷体_GB2312" w:hAnsi="宋体" w:eastAsia="楷体_GB2312" w:cs="宋体"/>
          <w:b/>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Hans"/>
        </w:rPr>
        <w:t>各</w:t>
      </w:r>
      <w:r>
        <w:rPr>
          <w:rFonts w:hint="eastAsia" w:ascii="仿宋_GB2312" w:eastAsia="仿宋_GB2312"/>
          <w:sz w:val="32"/>
          <w:szCs w:val="32"/>
        </w:rPr>
        <w:t>部门（单位）为完成其特定的行政任务或事业发展目标，在基本支出预算之外编制的年度项目支出计划。</w:t>
      </w:r>
    </w:p>
    <w:p>
      <w:pPr>
        <w:spacing w:line="560" w:lineRule="exact"/>
        <w:ind w:firstLine="643" w:firstLineChars="200"/>
        <w:rPr>
          <w:rFonts w:hint="eastAsia" w:ascii="仿宋_GB2312" w:eastAsia="仿宋_GB2312"/>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560" w:lineRule="exact"/>
        <w:ind w:firstLine="643" w:firstLineChars="200"/>
        <w:rPr>
          <w:rFonts w:hint="eastAsia"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w:t>
      </w:r>
      <w:bookmarkStart w:id="0" w:name="_GoBack"/>
      <w:bookmarkEnd w:id="0"/>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党员教育中心</w:t>
      </w:r>
      <w:r>
        <w:rPr>
          <w:rFonts w:hint="eastAsia" w:ascii="仿宋_GB2312" w:hAnsi="宋体" w:eastAsia="仿宋_GB2312" w:cs="宋体"/>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3</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31</w:t>
      </w:r>
      <w:r>
        <w:rPr>
          <w:rFonts w:ascii="仿宋_GB2312" w:hAnsi="宋体" w:eastAsia="仿宋_GB2312" w:cs="宋体"/>
          <w:kern w:val="0"/>
          <w:sz w:val="32"/>
          <w:szCs w:val="32"/>
        </w:rPr>
        <w:t>日</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iODhmNDEzY2I2ZmE2MmZjMDY2MmY1ZTM2MTBjNzQifQ=="/>
  </w:docVars>
  <w:rsids>
    <w:rsidRoot w:val="004D477F"/>
    <w:rsid w:val="0009075B"/>
    <w:rsid w:val="002E5250"/>
    <w:rsid w:val="00367565"/>
    <w:rsid w:val="003923D8"/>
    <w:rsid w:val="004265FD"/>
    <w:rsid w:val="00432BE1"/>
    <w:rsid w:val="0047118F"/>
    <w:rsid w:val="004D477F"/>
    <w:rsid w:val="0059437A"/>
    <w:rsid w:val="0090107A"/>
    <w:rsid w:val="00944B81"/>
    <w:rsid w:val="00AF3F7E"/>
    <w:rsid w:val="00B141E5"/>
    <w:rsid w:val="00C12D75"/>
    <w:rsid w:val="00CE4C77"/>
    <w:rsid w:val="00D44EA4"/>
    <w:rsid w:val="00D85033"/>
    <w:rsid w:val="00F91EEB"/>
    <w:rsid w:val="020E2058"/>
    <w:rsid w:val="028B1ECA"/>
    <w:rsid w:val="02AE2757"/>
    <w:rsid w:val="0317318F"/>
    <w:rsid w:val="038B3E98"/>
    <w:rsid w:val="03F82FC0"/>
    <w:rsid w:val="05B60993"/>
    <w:rsid w:val="05BB6053"/>
    <w:rsid w:val="0691564D"/>
    <w:rsid w:val="06E96BF0"/>
    <w:rsid w:val="07017BB4"/>
    <w:rsid w:val="082223BA"/>
    <w:rsid w:val="085D7896"/>
    <w:rsid w:val="08C6368D"/>
    <w:rsid w:val="08EE4992"/>
    <w:rsid w:val="08F54FFF"/>
    <w:rsid w:val="097924AD"/>
    <w:rsid w:val="099D3807"/>
    <w:rsid w:val="09B96D4E"/>
    <w:rsid w:val="0A173A74"/>
    <w:rsid w:val="0A951B0C"/>
    <w:rsid w:val="0AFE15A5"/>
    <w:rsid w:val="0B0047B2"/>
    <w:rsid w:val="0B7B5325"/>
    <w:rsid w:val="0BA54B88"/>
    <w:rsid w:val="0C693011"/>
    <w:rsid w:val="0C85560D"/>
    <w:rsid w:val="0C9141AC"/>
    <w:rsid w:val="0D4E59FF"/>
    <w:rsid w:val="0DCC0A89"/>
    <w:rsid w:val="0DE672C8"/>
    <w:rsid w:val="0F0274E4"/>
    <w:rsid w:val="0FF8479A"/>
    <w:rsid w:val="10076B86"/>
    <w:rsid w:val="10797237"/>
    <w:rsid w:val="10AC13BA"/>
    <w:rsid w:val="10B77D5F"/>
    <w:rsid w:val="10E65469"/>
    <w:rsid w:val="111C0DE0"/>
    <w:rsid w:val="11966766"/>
    <w:rsid w:val="126C2DD7"/>
    <w:rsid w:val="12C02EFB"/>
    <w:rsid w:val="12D30B49"/>
    <w:rsid w:val="1340228E"/>
    <w:rsid w:val="1340403C"/>
    <w:rsid w:val="13A740BB"/>
    <w:rsid w:val="13BC70A7"/>
    <w:rsid w:val="13EE3A98"/>
    <w:rsid w:val="13FE2369"/>
    <w:rsid w:val="14060DE1"/>
    <w:rsid w:val="143516C6"/>
    <w:rsid w:val="14397409"/>
    <w:rsid w:val="14404A34"/>
    <w:rsid w:val="148461AA"/>
    <w:rsid w:val="14942891"/>
    <w:rsid w:val="151921BA"/>
    <w:rsid w:val="15455939"/>
    <w:rsid w:val="15BA205C"/>
    <w:rsid w:val="15C54AC9"/>
    <w:rsid w:val="16640C79"/>
    <w:rsid w:val="16A42B33"/>
    <w:rsid w:val="16D30E6C"/>
    <w:rsid w:val="1745351C"/>
    <w:rsid w:val="178F5592"/>
    <w:rsid w:val="180D79FC"/>
    <w:rsid w:val="18CC437C"/>
    <w:rsid w:val="18E95DC3"/>
    <w:rsid w:val="18FB01CA"/>
    <w:rsid w:val="190D44B0"/>
    <w:rsid w:val="1935179B"/>
    <w:rsid w:val="19947A8F"/>
    <w:rsid w:val="199B1F5B"/>
    <w:rsid w:val="19CD2138"/>
    <w:rsid w:val="1A361EEA"/>
    <w:rsid w:val="1A6F3939"/>
    <w:rsid w:val="1BA62EAA"/>
    <w:rsid w:val="1C1E5DF5"/>
    <w:rsid w:val="1C4A3F0E"/>
    <w:rsid w:val="1DA13929"/>
    <w:rsid w:val="1DE50CF7"/>
    <w:rsid w:val="1E7276F2"/>
    <w:rsid w:val="1E7A2AF8"/>
    <w:rsid w:val="1EA9518B"/>
    <w:rsid w:val="1EB3600A"/>
    <w:rsid w:val="1ED16490"/>
    <w:rsid w:val="1EF06916"/>
    <w:rsid w:val="1F72557D"/>
    <w:rsid w:val="206E1E82"/>
    <w:rsid w:val="20872595"/>
    <w:rsid w:val="21050673"/>
    <w:rsid w:val="21061C42"/>
    <w:rsid w:val="21A659B2"/>
    <w:rsid w:val="22163203"/>
    <w:rsid w:val="22460F43"/>
    <w:rsid w:val="22AD2D70"/>
    <w:rsid w:val="22D12F02"/>
    <w:rsid w:val="233E65F0"/>
    <w:rsid w:val="243467B4"/>
    <w:rsid w:val="24352815"/>
    <w:rsid w:val="249D12EE"/>
    <w:rsid w:val="24B77ED6"/>
    <w:rsid w:val="24BD373E"/>
    <w:rsid w:val="24C06D8A"/>
    <w:rsid w:val="25202371"/>
    <w:rsid w:val="25445C0D"/>
    <w:rsid w:val="25EA6412"/>
    <w:rsid w:val="25F71EBD"/>
    <w:rsid w:val="26413D08"/>
    <w:rsid w:val="264803D1"/>
    <w:rsid w:val="264D464E"/>
    <w:rsid w:val="265F1667"/>
    <w:rsid w:val="269A63BC"/>
    <w:rsid w:val="26E95941"/>
    <w:rsid w:val="2760481D"/>
    <w:rsid w:val="27624C01"/>
    <w:rsid w:val="27787DF0"/>
    <w:rsid w:val="27D91CD2"/>
    <w:rsid w:val="27FF406E"/>
    <w:rsid w:val="285E30F8"/>
    <w:rsid w:val="294B77A1"/>
    <w:rsid w:val="2A24600D"/>
    <w:rsid w:val="2A2C01C3"/>
    <w:rsid w:val="2A383867"/>
    <w:rsid w:val="2AB30725"/>
    <w:rsid w:val="2AB63AAB"/>
    <w:rsid w:val="2AB949A8"/>
    <w:rsid w:val="2AD26378"/>
    <w:rsid w:val="2AD57308"/>
    <w:rsid w:val="2BB4492C"/>
    <w:rsid w:val="2C4C0348"/>
    <w:rsid w:val="2C7166B7"/>
    <w:rsid w:val="2D656721"/>
    <w:rsid w:val="2D662499"/>
    <w:rsid w:val="2D746964"/>
    <w:rsid w:val="2DD90EBD"/>
    <w:rsid w:val="2E433EDE"/>
    <w:rsid w:val="2ED973C6"/>
    <w:rsid w:val="2EDF2503"/>
    <w:rsid w:val="2F93612B"/>
    <w:rsid w:val="2F9E416C"/>
    <w:rsid w:val="2FAD1FC1"/>
    <w:rsid w:val="2FB252F7"/>
    <w:rsid w:val="2FF72146"/>
    <w:rsid w:val="30055A4E"/>
    <w:rsid w:val="30122F35"/>
    <w:rsid w:val="30963095"/>
    <w:rsid w:val="30D72AF4"/>
    <w:rsid w:val="310952F8"/>
    <w:rsid w:val="31123F3D"/>
    <w:rsid w:val="312406A1"/>
    <w:rsid w:val="316118F5"/>
    <w:rsid w:val="31AF6AF2"/>
    <w:rsid w:val="31B1601B"/>
    <w:rsid w:val="325E7BE3"/>
    <w:rsid w:val="32892EB1"/>
    <w:rsid w:val="32A23352"/>
    <w:rsid w:val="32DC121D"/>
    <w:rsid w:val="33802506"/>
    <w:rsid w:val="33973635"/>
    <w:rsid w:val="33F23A9A"/>
    <w:rsid w:val="342E1F62"/>
    <w:rsid w:val="343230D5"/>
    <w:rsid w:val="3463466F"/>
    <w:rsid w:val="34652D42"/>
    <w:rsid w:val="355133A9"/>
    <w:rsid w:val="35695764"/>
    <w:rsid w:val="35887BD1"/>
    <w:rsid w:val="35973B37"/>
    <w:rsid w:val="35D703D8"/>
    <w:rsid w:val="36677BA4"/>
    <w:rsid w:val="36E61B67"/>
    <w:rsid w:val="36EA63AA"/>
    <w:rsid w:val="374E6478"/>
    <w:rsid w:val="37775FF8"/>
    <w:rsid w:val="37D03331"/>
    <w:rsid w:val="37FF300F"/>
    <w:rsid w:val="382F1BF9"/>
    <w:rsid w:val="38877E93"/>
    <w:rsid w:val="38A76B41"/>
    <w:rsid w:val="38B844F1"/>
    <w:rsid w:val="390B0AC4"/>
    <w:rsid w:val="39E3559D"/>
    <w:rsid w:val="39EB371B"/>
    <w:rsid w:val="39EB4452"/>
    <w:rsid w:val="3A5913BB"/>
    <w:rsid w:val="3A6C668E"/>
    <w:rsid w:val="3B4B164C"/>
    <w:rsid w:val="3B991B78"/>
    <w:rsid w:val="3BA432BA"/>
    <w:rsid w:val="3BF80A24"/>
    <w:rsid w:val="3C7C3A87"/>
    <w:rsid w:val="3C7E1701"/>
    <w:rsid w:val="3D033860"/>
    <w:rsid w:val="3D8652C6"/>
    <w:rsid w:val="3D997383"/>
    <w:rsid w:val="3DC91DED"/>
    <w:rsid w:val="3E497FBE"/>
    <w:rsid w:val="3ED35E94"/>
    <w:rsid w:val="3EF17BED"/>
    <w:rsid w:val="3F7E18C4"/>
    <w:rsid w:val="3FC47810"/>
    <w:rsid w:val="3FC8246F"/>
    <w:rsid w:val="40BF3F42"/>
    <w:rsid w:val="411F7A6D"/>
    <w:rsid w:val="41230975"/>
    <w:rsid w:val="41265D6F"/>
    <w:rsid w:val="41474664"/>
    <w:rsid w:val="418F4B3F"/>
    <w:rsid w:val="419071B4"/>
    <w:rsid w:val="41984EBF"/>
    <w:rsid w:val="41BA3087"/>
    <w:rsid w:val="42335754"/>
    <w:rsid w:val="42366486"/>
    <w:rsid w:val="425048BC"/>
    <w:rsid w:val="4250579A"/>
    <w:rsid w:val="42734FE4"/>
    <w:rsid w:val="429F69BC"/>
    <w:rsid w:val="42A038DB"/>
    <w:rsid w:val="42B51AA1"/>
    <w:rsid w:val="43160791"/>
    <w:rsid w:val="43814152"/>
    <w:rsid w:val="43A23DD3"/>
    <w:rsid w:val="43C3550B"/>
    <w:rsid w:val="43EB4487"/>
    <w:rsid w:val="4404683C"/>
    <w:rsid w:val="440B6214"/>
    <w:rsid w:val="44D37FBC"/>
    <w:rsid w:val="44F114C2"/>
    <w:rsid w:val="450B1E4C"/>
    <w:rsid w:val="45725A92"/>
    <w:rsid w:val="457D238B"/>
    <w:rsid w:val="461E572A"/>
    <w:rsid w:val="46205E5E"/>
    <w:rsid w:val="46BE6B5C"/>
    <w:rsid w:val="471054F8"/>
    <w:rsid w:val="472450A7"/>
    <w:rsid w:val="472E246B"/>
    <w:rsid w:val="47322EDD"/>
    <w:rsid w:val="477E2D0B"/>
    <w:rsid w:val="47AB6FCE"/>
    <w:rsid w:val="48FA1FBB"/>
    <w:rsid w:val="48FE7320"/>
    <w:rsid w:val="49021819"/>
    <w:rsid w:val="4A3132A3"/>
    <w:rsid w:val="4A7C3BA7"/>
    <w:rsid w:val="4ABB259D"/>
    <w:rsid w:val="4B056D74"/>
    <w:rsid w:val="4B7661E4"/>
    <w:rsid w:val="4B9519AF"/>
    <w:rsid w:val="4BCE772F"/>
    <w:rsid w:val="4BEF1B80"/>
    <w:rsid w:val="4C2F4672"/>
    <w:rsid w:val="4C3D1913"/>
    <w:rsid w:val="4CAC181F"/>
    <w:rsid w:val="4CEC2563"/>
    <w:rsid w:val="4D214027"/>
    <w:rsid w:val="4D4C5386"/>
    <w:rsid w:val="4D682880"/>
    <w:rsid w:val="4DA35BE5"/>
    <w:rsid w:val="4DAE7CEA"/>
    <w:rsid w:val="4DB766CD"/>
    <w:rsid w:val="4DD94895"/>
    <w:rsid w:val="4E724CEA"/>
    <w:rsid w:val="4FE614EB"/>
    <w:rsid w:val="4FEE214E"/>
    <w:rsid w:val="4FFB7CBC"/>
    <w:rsid w:val="50117696"/>
    <w:rsid w:val="504B134F"/>
    <w:rsid w:val="50724B2D"/>
    <w:rsid w:val="508036EE"/>
    <w:rsid w:val="50A75DAE"/>
    <w:rsid w:val="50AC0130"/>
    <w:rsid w:val="5151508A"/>
    <w:rsid w:val="522307D5"/>
    <w:rsid w:val="523F1771"/>
    <w:rsid w:val="52B82387"/>
    <w:rsid w:val="53161DC8"/>
    <w:rsid w:val="533F163E"/>
    <w:rsid w:val="536D2C4F"/>
    <w:rsid w:val="53A05E55"/>
    <w:rsid w:val="53AC7568"/>
    <w:rsid w:val="53C2131D"/>
    <w:rsid w:val="54334407"/>
    <w:rsid w:val="54A51975"/>
    <w:rsid w:val="54AF6350"/>
    <w:rsid w:val="54EF0E42"/>
    <w:rsid w:val="54F00716"/>
    <w:rsid w:val="552F3B91"/>
    <w:rsid w:val="55AC0AE1"/>
    <w:rsid w:val="56286533"/>
    <w:rsid w:val="56723C80"/>
    <w:rsid w:val="56CE4A87"/>
    <w:rsid w:val="576D161E"/>
    <w:rsid w:val="57874D86"/>
    <w:rsid w:val="57D305A7"/>
    <w:rsid w:val="57FC0488"/>
    <w:rsid w:val="584A5FD6"/>
    <w:rsid w:val="588B10FF"/>
    <w:rsid w:val="58BC728D"/>
    <w:rsid w:val="58C2690C"/>
    <w:rsid w:val="58E32A6C"/>
    <w:rsid w:val="590649AC"/>
    <w:rsid w:val="591770DF"/>
    <w:rsid w:val="591E1985"/>
    <w:rsid w:val="59DD5217"/>
    <w:rsid w:val="59DE4FE1"/>
    <w:rsid w:val="5A041F9C"/>
    <w:rsid w:val="5A074538"/>
    <w:rsid w:val="5A272E2C"/>
    <w:rsid w:val="5A4D5884"/>
    <w:rsid w:val="5A7C2ADE"/>
    <w:rsid w:val="5A9D23F4"/>
    <w:rsid w:val="5B1A029B"/>
    <w:rsid w:val="5B3A5112"/>
    <w:rsid w:val="5B5A69AB"/>
    <w:rsid w:val="5BF50D61"/>
    <w:rsid w:val="5C877BB2"/>
    <w:rsid w:val="5CCF011E"/>
    <w:rsid w:val="5CD64D27"/>
    <w:rsid w:val="5CDA3D70"/>
    <w:rsid w:val="5D3C0667"/>
    <w:rsid w:val="5D656145"/>
    <w:rsid w:val="5D8F4F70"/>
    <w:rsid w:val="5D9B1B67"/>
    <w:rsid w:val="5D9E51B4"/>
    <w:rsid w:val="5E0B60E6"/>
    <w:rsid w:val="5E766125"/>
    <w:rsid w:val="5E8819C0"/>
    <w:rsid w:val="5FB567E4"/>
    <w:rsid w:val="5FDF509A"/>
    <w:rsid w:val="5FE73087"/>
    <w:rsid w:val="60003286"/>
    <w:rsid w:val="6065714D"/>
    <w:rsid w:val="6089214B"/>
    <w:rsid w:val="608F2ABA"/>
    <w:rsid w:val="60A32AE1"/>
    <w:rsid w:val="60B67DEE"/>
    <w:rsid w:val="61C251E9"/>
    <w:rsid w:val="621633E9"/>
    <w:rsid w:val="629D33E6"/>
    <w:rsid w:val="62A31D1A"/>
    <w:rsid w:val="62D3132E"/>
    <w:rsid w:val="634C5CEC"/>
    <w:rsid w:val="635B31E8"/>
    <w:rsid w:val="64BE438D"/>
    <w:rsid w:val="64C25C2B"/>
    <w:rsid w:val="64D67929"/>
    <w:rsid w:val="665723A3"/>
    <w:rsid w:val="66B27D9D"/>
    <w:rsid w:val="66E300DB"/>
    <w:rsid w:val="670818F0"/>
    <w:rsid w:val="67256946"/>
    <w:rsid w:val="67392596"/>
    <w:rsid w:val="67507739"/>
    <w:rsid w:val="678418BE"/>
    <w:rsid w:val="679A2E90"/>
    <w:rsid w:val="67BA3F18"/>
    <w:rsid w:val="67C1666E"/>
    <w:rsid w:val="686C0F2F"/>
    <w:rsid w:val="687234C5"/>
    <w:rsid w:val="68776D2D"/>
    <w:rsid w:val="68B71E94"/>
    <w:rsid w:val="68E44108"/>
    <w:rsid w:val="69006D22"/>
    <w:rsid w:val="69360996"/>
    <w:rsid w:val="6A050368"/>
    <w:rsid w:val="6A2C3B47"/>
    <w:rsid w:val="6ACB7AD0"/>
    <w:rsid w:val="6AE12B83"/>
    <w:rsid w:val="6B136FFE"/>
    <w:rsid w:val="6BA53A8F"/>
    <w:rsid w:val="6C891FB9"/>
    <w:rsid w:val="6CA2560A"/>
    <w:rsid w:val="6D45564C"/>
    <w:rsid w:val="6D5A1043"/>
    <w:rsid w:val="6DD32C57"/>
    <w:rsid w:val="6DE44E65"/>
    <w:rsid w:val="6E1003B4"/>
    <w:rsid w:val="6E4755F4"/>
    <w:rsid w:val="6E6A16B4"/>
    <w:rsid w:val="6F2B0871"/>
    <w:rsid w:val="6FF46A6B"/>
    <w:rsid w:val="71B87144"/>
    <w:rsid w:val="71DF79D6"/>
    <w:rsid w:val="71EB39A1"/>
    <w:rsid w:val="71F1351B"/>
    <w:rsid w:val="71FC02A3"/>
    <w:rsid w:val="721726F7"/>
    <w:rsid w:val="72244ED7"/>
    <w:rsid w:val="72463042"/>
    <w:rsid w:val="7255453E"/>
    <w:rsid w:val="725C2B6E"/>
    <w:rsid w:val="734822E2"/>
    <w:rsid w:val="73E55492"/>
    <w:rsid w:val="73E8453D"/>
    <w:rsid w:val="73FF5520"/>
    <w:rsid w:val="740C7784"/>
    <w:rsid w:val="74126D24"/>
    <w:rsid w:val="743255D8"/>
    <w:rsid w:val="743C5BB1"/>
    <w:rsid w:val="743E2DF5"/>
    <w:rsid w:val="74913239"/>
    <w:rsid w:val="74BC2AB0"/>
    <w:rsid w:val="74E042F3"/>
    <w:rsid w:val="757840E4"/>
    <w:rsid w:val="75F61BD9"/>
    <w:rsid w:val="76225710"/>
    <w:rsid w:val="76385C5D"/>
    <w:rsid w:val="76426BCC"/>
    <w:rsid w:val="764364A0"/>
    <w:rsid w:val="76837E44"/>
    <w:rsid w:val="76894F0E"/>
    <w:rsid w:val="76B24C97"/>
    <w:rsid w:val="76E01F41"/>
    <w:rsid w:val="7724016D"/>
    <w:rsid w:val="774D3A7A"/>
    <w:rsid w:val="775C3CBE"/>
    <w:rsid w:val="77AE3DED"/>
    <w:rsid w:val="77D0645A"/>
    <w:rsid w:val="78743289"/>
    <w:rsid w:val="78966534"/>
    <w:rsid w:val="78AD22F7"/>
    <w:rsid w:val="78B01403"/>
    <w:rsid w:val="78FC7383"/>
    <w:rsid w:val="79200D1B"/>
    <w:rsid w:val="79256621"/>
    <w:rsid w:val="796C3F60"/>
    <w:rsid w:val="796F30B3"/>
    <w:rsid w:val="79891BE0"/>
    <w:rsid w:val="799F6120"/>
    <w:rsid w:val="79BA25D7"/>
    <w:rsid w:val="79FB12E1"/>
    <w:rsid w:val="7A0B5527"/>
    <w:rsid w:val="7A28761C"/>
    <w:rsid w:val="7A3A401F"/>
    <w:rsid w:val="7A707A80"/>
    <w:rsid w:val="7A7C15F3"/>
    <w:rsid w:val="7A92183F"/>
    <w:rsid w:val="7ADB139D"/>
    <w:rsid w:val="7B2833D7"/>
    <w:rsid w:val="7B530F64"/>
    <w:rsid w:val="7B5D4570"/>
    <w:rsid w:val="7B711D02"/>
    <w:rsid w:val="7C280612"/>
    <w:rsid w:val="7CB931D9"/>
    <w:rsid w:val="7CEF1425"/>
    <w:rsid w:val="7D6C452F"/>
    <w:rsid w:val="7DE1316F"/>
    <w:rsid w:val="7DE939CB"/>
    <w:rsid w:val="7DFD5ACF"/>
    <w:rsid w:val="7DFF759B"/>
    <w:rsid w:val="7E031E0C"/>
    <w:rsid w:val="7E6E2528"/>
    <w:rsid w:val="7E8F5D9D"/>
    <w:rsid w:val="7EAA17B2"/>
    <w:rsid w:val="7ED00AED"/>
    <w:rsid w:val="7EDC7FBD"/>
    <w:rsid w:val="7F052E8D"/>
    <w:rsid w:val="7FAB583A"/>
    <w:rsid w:val="7FB17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Body Text"/>
    <w:basedOn w:val="1"/>
    <w:link w:val="14"/>
    <w:qFormat/>
    <w:uiPriority w:val="0"/>
    <w:rPr>
      <w:rFonts w:ascii="方正仿宋_GBK" w:hAnsi="方正仿宋_GBK" w:eastAsia="方正仿宋_GBK" w:cs="方正仿宋_GBK"/>
      <w:sz w:val="32"/>
      <w:szCs w:val="32"/>
      <w:lang w:val="zh-CN" w:bidi="zh-CN"/>
    </w:rPr>
  </w:style>
  <w:style w:type="paragraph" w:styleId="5">
    <w:name w:val="footer"/>
    <w:basedOn w:val="1"/>
    <w:link w:val="12"/>
    <w:unhideWhenUsed/>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sz w:val="18"/>
      <w:szCs w:val="18"/>
    </w:rPr>
  </w:style>
  <w:style w:type="character" w:customStyle="1" w:styleId="12">
    <w:name w:val="页脚 Char"/>
    <w:basedOn w:val="9"/>
    <w:link w:val="5"/>
    <w:qFormat/>
    <w:uiPriority w:val="99"/>
    <w:rPr>
      <w:sz w:val="18"/>
      <w:szCs w:val="18"/>
    </w:rPr>
  </w:style>
  <w:style w:type="character" w:customStyle="1" w:styleId="13">
    <w:name w:val="标题 2 Char"/>
    <w:basedOn w:val="9"/>
    <w:link w:val="2"/>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4"/>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8389</Words>
  <Characters>10155</Characters>
  <Lines>69</Lines>
  <Paragraphs>19</Paragraphs>
  <TotalTime>2</TotalTime>
  <ScaleCrop>false</ScaleCrop>
  <LinksUpToDate>false</LinksUpToDate>
  <CharactersWithSpaces>10826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user</cp:lastModifiedBy>
  <cp:lastPrinted>2023-05-26T02:36:00Z</cp:lastPrinted>
  <dcterms:modified xsi:type="dcterms:W3CDTF">2025-06-30T22:54:19Z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4621E988B3824CF0830ED1F96F8D56FA_13</vt:lpwstr>
  </property>
</Properties>
</file>