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15429D">
      <w:pPr>
        <w:spacing w:line="540" w:lineRule="exact"/>
        <w:jc w:val="left"/>
        <w:rPr>
          <w:rFonts w:hint="eastAsia" w:ascii="仿宋" w:hAnsi="仿宋" w:eastAsia="仿宋" w:cs="宋体"/>
          <w:kern w:val="0"/>
          <w:sz w:val="32"/>
          <w:szCs w:val="32"/>
        </w:rPr>
      </w:pPr>
      <w:r>
        <w:rPr>
          <w:rFonts w:hint="eastAsia" w:ascii="仿宋" w:hAnsi="仿宋" w:eastAsia="仿宋" w:cs="宋体"/>
          <w:kern w:val="0"/>
          <w:sz w:val="32"/>
          <w:szCs w:val="32"/>
        </w:rPr>
        <w:t>附件2：</w:t>
      </w:r>
    </w:p>
    <w:p w14:paraId="1B951BF6">
      <w:pPr>
        <w:spacing w:line="540" w:lineRule="exact"/>
        <w:jc w:val="center"/>
        <w:rPr>
          <w:rFonts w:hint="eastAsia" w:ascii="华文中宋" w:hAnsi="华文中宋" w:eastAsia="华文中宋" w:cs="宋体"/>
          <w:b/>
          <w:kern w:val="0"/>
          <w:sz w:val="52"/>
          <w:szCs w:val="52"/>
        </w:rPr>
      </w:pPr>
    </w:p>
    <w:p w14:paraId="42AFA520">
      <w:pPr>
        <w:spacing w:line="540" w:lineRule="exact"/>
        <w:jc w:val="center"/>
        <w:rPr>
          <w:rFonts w:hint="eastAsia" w:ascii="华文中宋" w:hAnsi="华文中宋" w:eastAsia="华文中宋" w:cs="宋体"/>
          <w:b/>
          <w:kern w:val="0"/>
          <w:sz w:val="52"/>
          <w:szCs w:val="52"/>
        </w:rPr>
      </w:pPr>
    </w:p>
    <w:p w14:paraId="082E9DFD">
      <w:pPr>
        <w:spacing w:line="540" w:lineRule="exact"/>
        <w:jc w:val="center"/>
        <w:rPr>
          <w:rFonts w:hint="eastAsia" w:ascii="华文中宋" w:hAnsi="华文中宋" w:eastAsia="华文中宋" w:cs="宋体"/>
          <w:b/>
          <w:kern w:val="0"/>
          <w:sz w:val="52"/>
          <w:szCs w:val="52"/>
        </w:rPr>
      </w:pPr>
      <w:bookmarkStart w:id="0" w:name="_GoBack"/>
      <w:bookmarkEnd w:id="0"/>
    </w:p>
    <w:p w14:paraId="34C0C9CE">
      <w:pPr>
        <w:spacing w:line="540" w:lineRule="exact"/>
        <w:jc w:val="center"/>
        <w:rPr>
          <w:rFonts w:hint="eastAsia" w:ascii="华文中宋" w:hAnsi="华文中宋" w:eastAsia="华文中宋" w:cs="宋体"/>
          <w:b/>
          <w:kern w:val="0"/>
          <w:sz w:val="52"/>
          <w:szCs w:val="52"/>
        </w:rPr>
      </w:pPr>
    </w:p>
    <w:p w14:paraId="16BBE007">
      <w:pPr>
        <w:spacing w:line="540" w:lineRule="exact"/>
        <w:jc w:val="center"/>
        <w:rPr>
          <w:rFonts w:hint="eastAsia" w:ascii="华文中宋" w:hAnsi="华文中宋" w:eastAsia="华文中宋" w:cs="宋体"/>
          <w:b/>
          <w:kern w:val="0"/>
          <w:sz w:val="52"/>
          <w:szCs w:val="52"/>
        </w:rPr>
      </w:pPr>
    </w:p>
    <w:p w14:paraId="6408DE04">
      <w:pPr>
        <w:spacing w:line="540" w:lineRule="exact"/>
        <w:jc w:val="center"/>
        <w:rPr>
          <w:rFonts w:hint="eastAsia" w:ascii="华文中宋" w:hAnsi="华文中宋" w:eastAsia="华文中宋" w:cs="宋体"/>
          <w:b/>
          <w:kern w:val="0"/>
          <w:sz w:val="52"/>
          <w:szCs w:val="52"/>
        </w:rPr>
      </w:pPr>
    </w:p>
    <w:p w14:paraId="6BE2250F">
      <w:pPr>
        <w:spacing w:line="540" w:lineRule="exact"/>
        <w:jc w:val="center"/>
        <w:rPr>
          <w:rFonts w:hint="eastAsia" w:ascii="方正小标宋_GBK" w:hAnsi="华文中宋" w:eastAsia="方正小标宋_GBK" w:cs="宋体"/>
          <w:b/>
          <w:kern w:val="0"/>
          <w:sz w:val="48"/>
          <w:szCs w:val="48"/>
        </w:rPr>
      </w:pPr>
      <w:r>
        <w:rPr>
          <w:rFonts w:hint="eastAsia" w:ascii="方正小标宋_GBK" w:hAnsi="华文中宋" w:eastAsia="方正小标宋_GBK" w:cs="宋体"/>
          <w:b/>
          <w:kern w:val="0"/>
          <w:sz w:val="48"/>
          <w:szCs w:val="48"/>
        </w:rPr>
        <w:t>项目支出绩效自评报告</w:t>
      </w:r>
    </w:p>
    <w:p w14:paraId="5D0F9F85">
      <w:pPr>
        <w:spacing w:line="540" w:lineRule="exact"/>
        <w:jc w:val="center"/>
        <w:rPr>
          <w:rFonts w:hint="eastAsia" w:ascii="华文中宋" w:hAnsi="华文中宋" w:eastAsia="华文中宋" w:cs="宋体"/>
          <w:b/>
          <w:kern w:val="0"/>
          <w:sz w:val="52"/>
          <w:szCs w:val="52"/>
        </w:rPr>
      </w:pPr>
    </w:p>
    <w:p w14:paraId="3ECF3D2F">
      <w:pPr>
        <w:spacing w:line="540" w:lineRule="exact"/>
        <w:jc w:val="center"/>
        <w:rPr>
          <w:rFonts w:hint="eastAsia" w:hAnsi="宋体" w:eastAsia="仿宋_GB2312" w:cs="宋体"/>
          <w:kern w:val="0"/>
          <w:sz w:val="36"/>
          <w:szCs w:val="36"/>
        </w:rPr>
      </w:pPr>
      <w:r>
        <w:rPr>
          <w:rFonts w:hint="eastAsia" w:hAnsi="宋体" w:eastAsia="仿宋_GB2312" w:cs="宋体"/>
          <w:kern w:val="0"/>
          <w:sz w:val="36"/>
          <w:szCs w:val="36"/>
        </w:rPr>
        <w:t xml:space="preserve">（   </w:t>
      </w:r>
      <w:r>
        <w:rPr>
          <w:rStyle w:val="18"/>
          <w:rFonts w:hint="eastAsia" w:ascii="楷体" w:hAnsi="楷体" w:eastAsia="楷体"/>
          <w:spacing w:val="-4"/>
          <w:sz w:val="32"/>
          <w:szCs w:val="32"/>
        </w:rPr>
        <w:t>2023</w:t>
      </w:r>
      <w:r>
        <w:rPr>
          <w:rFonts w:hint="eastAsia" w:hAnsi="宋体" w:eastAsia="仿宋_GB2312" w:cs="宋体"/>
          <w:kern w:val="0"/>
          <w:sz w:val="36"/>
          <w:szCs w:val="36"/>
        </w:rPr>
        <w:t xml:space="preserve">  年度）</w:t>
      </w:r>
    </w:p>
    <w:p w14:paraId="2A065C96">
      <w:pPr>
        <w:spacing w:line="540" w:lineRule="exact"/>
        <w:jc w:val="center"/>
        <w:rPr>
          <w:rFonts w:hint="eastAsia" w:hAnsi="宋体" w:eastAsia="仿宋_GB2312" w:cs="宋体"/>
          <w:kern w:val="0"/>
          <w:sz w:val="30"/>
          <w:szCs w:val="30"/>
        </w:rPr>
      </w:pPr>
    </w:p>
    <w:p w14:paraId="77F6BDAB">
      <w:pPr>
        <w:spacing w:line="540" w:lineRule="exact"/>
        <w:jc w:val="center"/>
        <w:rPr>
          <w:rFonts w:hint="eastAsia" w:hAnsi="宋体" w:eastAsia="仿宋_GB2312" w:cs="宋体"/>
          <w:kern w:val="0"/>
          <w:sz w:val="30"/>
          <w:szCs w:val="30"/>
        </w:rPr>
      </w:pPr>
    </w:p>
    <w:p w14:paraId="56BDA570">
      <w:pPr>
        <w:spacing w:line="540" w:lineRule="exact"/>
        <w:jc w:val="center"/>
        <w:rPr>
          <w:rFonts w:hint="eastAsia" w:hAnsi="宋体" w:eastAsia="仿宋_GB2312" w:cs="宋体"/>
          <w:kern w:val="0"/>
          <w:sz w:val="30"/>
          <w:szCs w:val="30"/>
        </w:rPr>
      </w:pPr>
    </w:p>
    <w:p w14:paraId="394DE9FB">
      <w:pPr>
        <w:spacing w:line="540" w:lineRule="exact"/>
        <w:jc w:val="center"/>
        <w:rPr>
          <w:rFonts w:hint="eastAsia" w:hAnsi="宋体" w:eastAsia="仿宋_GB2312" w:cs="宋体"/>
          <w:kern w:val="0"/>
          <w:sz w:val="30"/>
          <w:szCs w:val="30"/>
        </w:rPr>
      </w:pPr>
    </w:p>
    <w:p w14:paraId="73AD52C5">
      <w:pPr>
        <w:spacing w:line="540" w:lineRule="exact"/>
        <w:jc w:val="center"/>
        <w:rPr>
          <w:rFonts w:hint="eastAsia" w:hAnsi="宋体" w:eastAsia="仿宋_GB2312" w:cs="宋体"/>
          <w:kern w:val="0"/>
          <w:sz w:val="30"/>
          <w:szCs w:val="30"/>
        </w:rPr>
      </w:pPr>
    </w:p>
    <w:p w14:paraId="309961E3">
      <w:pPr>
        <w:spacing w:line="540" w:lineRule="exact"/>
        <w:jc w:val="center"/>
        <w:rPr>
          <w:rFonts w:hint="eastAsia" w:hAnsi="宋体" w:eastAsia="仿宋_GB2312" w:cs="宋体"/>
          <w:kern w:val="0"/>
          <w:sz w:val="30"/>
          <w:szCs w:val="30"/>
        </w:rPr>
      </w:pPr>
    </w:p>
    <w:p w14:paraId="6CDD49AD">
      <w:pPr>
        <w:spacing w:line="540" w:lineRule="exact"/>
        <w:rPr>
          <w:rFonts w:hint="eastAsia" w:hAnsi="宋体" w:eastAsia="仿宋_GB2312" w:cs="宋体"/>
          <w:kern w:val="0"/>
          <w:sz w:val="30"/>
          <w:szCs w:val="30"/>
        </w:rPr>
      </w:pPr>
    </w:p>
    <w:p w14:paraId="664A23E9">
      <w:pPr>
        <w:spacing w:line="700" w:lineRule="exact"/>
        <w:jc w:val="left"/>
        <w:rPr>
          <w:rFonts w:hint="eastAsia" w:hAnsi="宋体" w:eastAsia="仿宋_GB2312" w:cs="宋体"/>
          <w:kern w:val="0"/>
          <w:sz w:val="36"/>
          <w:szCs w:val="36"/>
        </w:rPr>
      </w:pPr>
      <w:r>
        <w:rPr>
          <w:rFonts w:hint="eastAsia" w:hAnsi="宋体" w:eastAsia="仿宋_GB2312" w:cs="宋体"/>
          <w:kern w:val="0"/>
          <w:sz w:val="36"/>
          <w:szCs w:val="36"/>
        </w:rPr>
        <w:t xml:space="preserve">     </w:t>
      </w:r>
    </w:p>
    <w:p w14:paraId="114D733A">
      <w:pPr>
        <w:spacing w:line="700" w:lineRule="exact"/>
        <w:ind w:firstLine="900" w:firstLineChars="250"/>
        <w:jc w:val="left"/>
        <w:rPr>
          <w:rFonts w:hint="eastAsia" w:hAnsi="宋体" w:eastAsia="仿宋_GB2312" w:cs="宋体"/>
          <w:kern w:val="0"/>
          <w:sz w:val="36"/>
          <w:szCs w:val="36"/>
        </w:rPr>
      </w:pPr>
      <w:r>
        <w:rPr>
          <w:rFonts w:hint="eastAsia" w:hAnsi="宋体" w:eastAsia="仿宋_GB2312" w:cs="宋体"/>
          <w:kern w:val="0"/>
          <w:sz w:val="36"/>
          <w:szCs w:val="36"/>
        </w:rPr>
        <w:t>项目名称：</w:t>
      </w:r>
      <w:r>
        <w:rPr>
          <w:rStyle w:val="18"/>
          <w:rFonts w:hint="eastAsia" w:ascii="楷体" w:hAnsi="楷体" w:eastAsia="楷体"/>
          <w:spacing w:val="-4"/>
          <w:sz w:val="32"/>
          <w:szCs w:val="32"/>
        </w:rPr>
        <w:t>政研改革经费</w:t>
      </w:r>
    </w:p>
    <w:p w14:paraId="69D3B39A">
      <w:pPr>
        <w:spacing w:line="540" w:lineRule="exact"/>
        <w:ind w:firstLine="567"/>
        <w:rPr>
          <w:rFonts w:hint="eastAsia" w:ascii="楷体" w:hAnsi="楷体" w:eastAsia="楷体"/>
          <w:b/>
          <w:bCs/>
          <w:spacing w:val="-4"/>
          <w:sz w:val="32"/>
          <w:szCs w:val="32"/>
        </w:rPr>
      </w:pPr>
      <w:r>
        <w:rPr>
          <w:rFonts w:hint="eastAsia" w:hAnsi="宋体" w:eastAsia="仿宋_GB2312" w:cs="宋体"/>
          <w:kern w:val="0"/>
          <w:sz w:val="36"/>
          <w:szCs w:val="36"/>
        </w:rPr>
        <w:t xml:space="preserve">  实施单位（公章）：</w:t>
      </w:r>
      <w:r>
        <w:rPr>
          <w:rStyle w:val="18"/>
          <w:rFonts w:hint="eastAsia" w:ascii="楷体" w:hAnsi="楷体" w:eastAsia="楷体"/>
          <w:spacing w:val="-4"/>
          <w:sz w:val="28"/>
          <w:szCs w:val="28"/>
        </w:rPr>
        <w:t>中共昌吉回族自治州委员会政策研究室</w:t>
      </w:r>
    </w:p>
    <w:p w14:paraId="3B9991D4">
      <w:pPr>
        <w:spacing w:line="540" w:lineRule="exact"/>
        <w:ind w:firstLine="900" w:firstLineChars="250"/>
        <w:rPr>
          <w:rFonts w:hint="eastAsia" w:ascii="楷体" w:hAnsi="楷体" w:eastAsia="楷体"/>
          <w:b/>
          <w:bCs/>
          <w:spacing w:val="-4"/>
          <w:sz w:val="28"/>
          <w:szCs w:val="28"/>
        </w:rPr>
      </w:pPr>
      <w:r>
        <w:rPr>
          <w:rFonts w:hint="eastAsia" w:hAnsi="宋体" w:eastAsia="仿宋_GB2312" w:cs="宋体"/>
          <w:kern w:val="0"/>
          <w:sz w:val="36"/>
          <w:szCs w:val="36"/>
        </w:rPr>
        <w:t>主管部门（公章）：</w:t>
      </w:r>
      <w:r>
        <w:rPr>
          <w:rStyle w:val="18"/>
          <w:rFonts w:hint="eastAsia" w:ascii="楷体" w:hAnsi="楷体" w:eastAsia="楷体"/>
          <w:spacing w:val="-4"/>
          <w:sz w:val="28"/>
          <w:szCs w:val="28"/>
        </w:rPr>
        <w:t>中共昌吉回族自治州委员会政策研究室</w:t>
      </w:r>
    </w:p>
    <w:p w14:paraId="0545839F">
      <w:pPr>
        <w:spacing w:line="540" w:lineRule="exact"/>
        <w:ind w:firstLine="900" w:firstLineChars="250"/>
        <w:rPr>
          <w:rFonts w:hint="eastAsia" w:ascii="楷体" w:hAnsi="楷体" w:eastAsia="楷体"/>
          <w:b/>
          <w:bCs/>
          <w:spacing w:val="-4"/>
          <w:sz w:val="32"/>
          <w:szCs w:val="32"/>
        </w:rPr>
      </w:pPr>
      <w:r>
        <w:rPr>
          <w:rFonts w:hint="eastAsia" w:hAnsi="宋体" w:eastAsia="仿宋_GB2312" w:cs="宋体"/>
          <w:kern w:val="0"/>
          <w:sz w:val="36"/>
          <w:szCs w:val="36"/>
        </w:rPr>
        <w:t>项目负责人（签章）：</w:t>
      </w:r>
      <w:r>
        <w:rPr>
          <w:rStyle w:val="18"/>
          <w:rFonts w:hint="eastAsia" w:ascii="楷体" w:hAnsi="楷体" w:eastAsia="楷体"/>
          <w:spacing w:val="-4"/>
          <w:sz w:val="32"/>
          <w:szCs w:val="32"/>
        </w:rPr>
        <w:t>刘晓婷、乔勇</w:t>
      </w:r>
    </w:p>
    <w:p w14:paraId="469C834E">
      <w:pPr>
        <w:spacing w:line="540" w:lineRule="exact"/>
        <w:ind w:left="273" w:firstLine="567"/>
        <w:rPr>
          <w:rStyle w:val="18"/>
          <w:rFonts w:hint="eastAsia" w:ascii="楷体" w:hAnsi="楷体" w:eastAsia="楷体"/>
          <w:spacing w:val="-4"/>
          <w:sz w:val="32"/>
          <w:szCs w:val="32"/>
        </w:rPr>
      </w:pPr>
      <w:r>
        <w:rPr>
          <w:rFonts w:hint="eastAsia" w:hAnsi="宋体" w:eastAsia="仿宋_GB2312" w:cs="宋体"/>
          <w:kern w:val="0"/>
          <w:sz w:val="36"/>
          <w:szCs w:val="36"/>
        </w:rPr>
        <w:t>填报时间：</w:t>
      </w:r>
      <w:r>
        <w:rPr>
          <w:rStyle w:val="18"/>
          <w:rFonts w:hint="eastAsia" w:ascii="楷体" w:hAnsi="楷体" w:eastAsia="楷体"/>
          <w:spacing w:val="-4"/>
          <w:sz w:val="32"/>
          <w:szCs w:val="32"/>
        </w:rPr>
        <w:t>2024年04月01日</w:t>
      </w:r>
    </w:p>
    <w:p w14:paraId="259FD21C">
      <w:pPr>
        <w:spacing w:line="700" w:lineRule="exact"/>
        <w:ind w:firstLine="708" w:firstLineChars="236"/>
        <w:jc w:val="left"/>
        <w:rPr>
          <w:rFonts w:hint="eastAsia" w:hAnsi="宋体" w:eastAsia="仿宋_GB2312" w:cs="宋体"/>
          <w:kern w:val="0"/>
          <w:sz w:val="30"/>
          <w:szCs w:val="30"/>
        </w:rPr>
      </w:pPr>
    </w:p>
    <w:p w14:paraId="09EDE705">
      <w:pPr>
        <w:spacing w:line="540" w:lineRule="exact"/>
        <w:rPr>
          <w:rStyle w:val="18"/>
          <w:rFonts w:hint="eastAsia" w:ascii="黑体" w:hAnsi="黑体" w:eastAsia="黑体"/>
          <w:b w:val="0"/>
          <w:spacing w:val="-4"/>
          <w:sz w:val="32"/>
          <w:szCs w:val="32"/>
        </w:rPr>
      </w:pPr>
    </w:p>
    <w:p w14:paraId="1E34B5D7">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一、基本情况</w:t>
      </w:r>
    </w:p>
    <w:p w14:paraId="17716A3E">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（一）项目概况。</w:t>
      </w:r>
    </w:p>
    <w:p w14:paraId="0C09EC55">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1.项目背景</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项目支出绩效评价管理办法》（财预﹝2020﹞10号）、《州党委政策研究室2022年项目预算计划》文件要求，全面贯彻落实中央和区、州党委全面深化改革工作安排部署，扎实推动全面深化改革工作和调查研究工作，不断提升群众获得感、幸福感和安全感，有力推动经济平稳健康发展和社会和谐稳定。</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2.主要内容</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（1）项目名称：政研改革经费项目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主要内容：1、围绕州党委2023年重点改革任务清单，督促指导县市（园区）、州直相关部门重点改革任务推动落实。2、积极筹备州党委全面深化改革委员会会议3次，研究审议重大改革事项，推动改革任务落地见实效。3、检验改革成效，持续跟踪问效，结合实际选择实行一年以上的2项涉及面广、群众关注的重点改革事项，通过委托第三方机构开展群众满意度测评。4、聚焦改革创新发展开展调查调研，全年完成重点调研课题4个。</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3.实施情况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实施主体：中共昌吉回族自治州委员会政策研究室。</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实施时间：本项目实施周期为2023年1月-2023年12月。</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实施情况：（1）围绕州党委2023年重点改革任务清单，督促指导县市（园区）、州直相关部门重点改革任务推动落实。</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（2）积极筹备州党委全面深化改革委员会会议3次，研究审议重大改革事项，推动改革任务落地见实效。</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（3）检验改革成效，持续跟踪问效，结合实际选择实行一年以上的2项涉及面广、群众关注的重点改革事项，通过委托第三方机构开展群众满意度测评。</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（4）聚焦改革创新发展开展调查调研，全年完成重点调研课题4个。</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以上项目于2023年1月开始实施，截止2022年12月已全部完成，通过项目的实施，一批重大改革举措得以推进落实，增强了各族群众的获得感、幸福感和安全感，为州党委提供了决策参考和政策依据，有力推动了经济平稳健康发展和社会和谐稳定。</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4.项目实施主体</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（1）主要职能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昌吉州党委政策研究室贯彻落实党中央关于新疆改革发展稳定工作的方针政策和决策部署，在履行职责过程中坚持加强党对政策研究、全面深化改革工作的集中统一领导。</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（2）机构设置情况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2023年政研改革经费项目的实施主体为州党委政策研究室，该单位纳入2023年部门决算编制范围的有5个科室，分别是改革联络科、经济研究科、综合研究科、社会发展研究科、党建政治研究科。</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编制人数为20人，其中行政人员编制14人、工勤1人、事业编制4人。实有在职人数19人，其中行政在职14人，事业在职4人，工勤1人。编外聘用人员1人。离退休人员13人，其中：行政退休人员13人、事业退休0人。</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5.资金投入和使用情况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（1）项目资金安排落实、总投入等情况分析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本项目预算安排总额为80.00万元，资金来源为财政资金，其中：财政资金80.00万元，其他资金0.00万元，2023年实际收到预算资金80.00万元，预算资金到位率为100.00%。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（2）项目资金实际使用情况分析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截至2023年12月31日，本项目实际支付资金51.47万元，结余资金28.53万元，预算执行率64.34%（预算执行率=（实际支出资金/到位金额）*100.0%，如项目预算执行率不是100.0%，则说明结转资金额度和结余资金额度）。本项目资金主要用于支付业务委托费费用29.90万元、其他交通费10.11万元、费用差旅费费用4.75万元印刷费费用3.42万元、办公费费用3.30万元。</w:t>
      </w:r>
    </w:p>
    <w:p w14:paraId="2663009A">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（二）项目绩效目标</w:t>
      </w:r>
    </w:p>
    <w:p w14:paraId="04FB4401">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1.总体目标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政研改革经费项目计划完成承担自治州改革发展政策研究和决策咨询研究工作的组织、协调和指导，组织有关部门、专家团队、社会力量开展重大课题的联合调研和重大决策的前期调研，提出工作建议。全年完成不少于2项群众满意度测评。完成《调研报告》不少于4期。完成《改革交流》不少于8期。持续全面深化改革工作，坚持问题导向，推出一批改革举措，为昌吉州经济社会注入活力和动力，不断增强各民族群众的获得感、幸福感和安全感。</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2.阶段性目标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中华人民共和国预算法》、《财政支出绩效评价管理暂行办法》（财预〔2020〕10号）、《中共中央国务院关于全面实施预算绩效管理的意见》（中发〔2018〕34号）、《自治区党委自治区人民政府关于全面实施预算绩效管理的实施意见》（新党发〔2018〕30号）、《自治区财政支出绩效评价管理暂行办法》（新财预〔2018〕189号）的规定，结合我单位的规章制度以及项目实施和财务相关资料，评价小组对项目绩效指标进行了进一步的完善，完善后绩效指标如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（1）项目产出指标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①数量指标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“改革事项群众满意度测评的数量”指标，预期指标值为“大于等于2个”；</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“编辑印送《调研专报》期数”指标，预期指标值为“大于等于4期”；</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“编辑印发《改革交流》期刊数量”指标，预期指标值为“大于等于8期”；</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②质量指标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“研究成果结题率”指标，预期指标值为“大于等于90%”；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③时效指标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（2）项目成本指标指标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“政策研究成本”指标，预期指标值为“小于等于35万元”；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“群众满意度测评成本”指标，预期指标值为“小于等于15万元”；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“深化改革工作成本”指标，预期指标值为“小于等于30万元”；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③生态环境成本指标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“持续全面深化改革工作，推出一批改革举措，不断增强各民族群众的获得感、幸福感和安全感。”指标，预期指标值为“不断增强”；</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“向州党委报送调研专报，持续为州党委推动改革稳定发展提供决策参考”指标，预期指标值为“有效提供”；</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（4）项目满意度指标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①满意度指标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p>
    <w:p w14:paraId="4408255A">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二、绩效评价工作开展情况</w:t>
      </w:r>
    </w:p>
    <w:p w14:paraId="4E9F3577">
      <w:pPr>
        <w:spacing w:line="540" w:lineRule="exact"/>
        <w:ind w:firstLine="567" w:firstLineChars="181"/>
        <w:rPr>
          <w:rStyle w:val="18"/>
          <w:rFonts w:hint="eastAsia" w:ascii="楷体" w:hAnsi="楷体" w:eastAsia="楷体"/>
          <w:spacing w:val="-4"/>
          <w:sz w:val="32"/>
          <w:szCs w:val="32"/>
        </w:rPr>
      </w:pPr>
      <w:r>
        <w:rPr>
          <w:rStyle w:val="18"/>
          <w:rFonts w:hint="eastAsia" w:ascii="楷体" w:hAnsi="楷体" w:eastAsia="楷体"/>
          <w:spacing w:val="-4"/>
          <w:sz w:val="32"/>
          <w:szCs w:val="32"/>
        </w:rPr>
        <w:t>（一）绩效评价目的、对象和范围</w:t>
      </w:r>
    </w:p>
    <w:p w14:paraId="7D600A1F">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1.绩效评价的目的</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通过绩效评价，促进本单位总结经验、发现问题、改进工作，旨在评价本项目前期审批、实施过程及实施效果，促进预算管理不断完善，加快绩效目标的实现，保证财政资金有效、合理使用。</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2.绩效评价对象</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此次我单位根据《财政支出绩效评价管理暂行办法》（财预〔2020〕10号）文件要求实施评价工作，本次评价对象为政研改革经费项目，评价核心为项目资金、项目产出、项目效益。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3.绩效评价范围</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4.绩效评价依据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(1)《中华人民共和国预算法》；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(2)《中共中央国务院关于全面实施预算绩效管理的意见》（中发〔2018〕34号）；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(3)《项目支出绩效评价管理办法》（财预〔2020〕10号）；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(4)《自治区财政支出绩效评价管理暂行办法》（新财预〔2018〕189号）；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(5)《州党委政策研究室资金管理办法》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(6)《州党委政策研究室收支业务管理制度》</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(7)《州党委政策研究室政府采购业务管理制度》</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(8)《州党委政策研究室合同管理制度》。</w:t>
      </w:r>
    </w:p>
    <w:p w14:paraId="4D7D1ACE">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（二）绩效评价原则、评价指标体系、评价方法、评价标准</w:t>
      </w:r>
    </w:p>
    <w:p w14:paraId="23DD8ACB">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1.绩效评价原则</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依据《中华人民共和国预算法》《中共 中央国务院关于全面实施预算绩效管理的意见》（中发〔2018〕34号）、《项目支出绩效评价管理办法》（财预〔2020〕10号）等要求，本次绩效评价秉承科学规范、公正公开、分级分类、绩效相关等原则，按照从投入、过程到产出效果和影响的绩效逻辑路径，通过绩效评价反思项目实施和管理中的问题，总结经验和教训，为提升财政资金使用效益，提供可行性参考建议。绩效评价应遵循如下原则：</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（1）科学公正。绩效评价应当运用科学合理的方法，按照规范的程序，对项目绩效进行客观、公正的反映。</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统筹兼顾。单位自评、部门评价和财政评价应职责明确，各有侧重，相互衔接。单位自评应由项目单位自主实施，即“谁支出、谁自评”。部门评价和财政评价应在单位自评的基础上开展，必要时可委托第三方机构实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（3）激励约束。绩效评价结果应与预算安排、政策调整、改进管理实质性挂钩，体现奖优罚劣和激励相容导向，有效要安排、低效要压减、无效要问责。</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（4）公开透明。绩效评价结果应依法依规公开，并自觉接受社会监督。</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2.绩效评价指标体系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通过实施资料研读及前期调研，结合项目的实际开展情况，按照《项目支出绩效评价管理办法》（财预〔2020〕10号）文件要求，全面反映项目决策、项目和资金管理、产出和效益，优先选取最具代表性、最能直接反映产出和效益的核心指标，精简实用，绩效评价小组结合项目的实际情况，综合考虑相关性、重要性、可衡量性、可操作性和可实现性，按照逻辑分析法设计本次绩效评价指标体系，绩效评价指标的权重设计突出结果导向，设置指标体系结构如下：设置一级指标共4个，包括：决策指标（21.0%）、过程指标（19.0%）、产出指标（30.0%）、效益指标（30.0%）四类指标；二级和三级指标根据各项指标在评价体系中的重要程度确定，考虑项目实施和管理对项目绩效的影响等因素赋予相应的权重分值。绩效评价小组围绕项目总体绩效目标，将梳理后的年度绩效目标细化分解为个性化产出和效益指标，与共性指标共同构成该项目绩效评价指标体系详见“附件1：项目支出绩效评价绩效评价体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3.评价方法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正确的评价方法是评价工作顺利开展的保障，在结合实际经验的情况下，绩效评价小组根据该项目资金的性质和特点，选用比较法、公众评判法以及文献法对项目进行评价，旨在通过综合分析影响绩效目标实现、实施效果的内外部因素，从而评价本项目绩效。三级指标分析环节：总体采用比较法，同时辅以文献法</w:t>
      </w:r>
      <w:r>
        <w:rPr>
          <w:rStyle w:val="18"/>
          <w:rFonts w:hint="eastAsia" w:ascii="楷体" w:hAnsi="楷体" w:eastAsia="楷体"/>
          <w:b w:val="0"/>
          <w:bCs w:val="0"/>
          <w:spacing w:val="-4"/>
          <w:sz w:val="32"/>
          <w:szCs w:val="32"/>
          <w:lang w:eastAsia="zh-CN"/>
        </w:rPr>
        <w:t>以及</w:t>
      </w:r>
      <w:r>
        <w:rPr>
          <w:rStyle w:val="18"/>
          <w:rFonts w:hint="eastAsia" w:ascii="楷体" w:hAnsi="楷体" w:eastAsia="楷体"/>
          <w:b w:val="0"/>
          <w:bCs w:val="0"/>
          <w:spacing w:val="-4"/>
          <w:sz w:val="32"/>
          <w:szCs w:val="32"/>
        </w:rPr>
        <w:t>公众评判法。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4.评价标准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796CABA3">
      <w:pPr>
        <w:spacing w:line="540" w:lineRule="exact"/>
        <w:ind w:firstLine="567" w:firstLineChars="181"/>
        <w:rPr>
          <w:rStyle w:val="18"/>
          <w:rFonts w:hint="eastAsia" w:ascii="楷体" w:hAnsi="楷体" w:eastAsia="楷体"/>
          <w:spacing w:val="-4"/>
          <w:sz w:val="32"/>
          <w:szCs w:val="32"/>
        </w:rPr>
      </w:pPr>
      <w:r>
        <w:rPr>
          <w:rStyle w:val="18"/>
          <w:rFonts w:hint="eastAsia" w:ascii="楷体" w:hAnsi="楷体" w:eastAsia="楷体"/>
          <w:spacing w:val="-4"/>
          <w:sz w:val="32"/>
          <w:szCs w:val="32"/>
        </w:rPr>
        <w:t>（三）绩效评价工作过程</w:t>
      </w:r>
    </w:p>
    <w:p w14:paraId="43A739FD">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1.前期准备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于2024年3月1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吕宏伟（评价小组组长）：主要负责项目策划和监督，全面负责项目绩效评价办稿的最终质量，对评估人员出具的最终报告质量进行复核，确保评估结果的客观性；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乔勇（评价小组组员）：主要负责资料的收集，取证、数据统计分析；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王化阔（评价小组组员）：主要负责主要负责项目报告的制定，指标的研判，数据分析及报告撰写。</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2024年3月1日-3月30日，评价工作进入实施阶段。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在数据采集方面，评价小组项目负责人、财务人员进行访谈沟通，全面了解项目实施的目的、预算安排、实施内容、组织管理、实施结果等方面的内容；全面收集项目决策过程、资金使用管理、制度建设与执行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质量管理、项目建设及验收等相关资料，完成绩效评价内容所需的印证资料整理，所有数据经核查后统计汇总。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3.分析评价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2024年3月1日-3月30日，评价小组按照绩效评价的原则和规范，对取得的资料进行审查核实，对采集的数据进行分析，按照绩效评价指标评分表逐项进行打分、分析、汇总各方评价结果。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4.撰写与提交评价报告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2024年3月1日-4月30日，评价小组撰写绩效评价报告，按照新疆维吾尔自治区财政绩效管理信息系统绩效评价模块中统一格式和文本框架撰写绩效评价报告并提交审核。</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5.问题整改</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6.档案整理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建立和落实档案管理制度，将项目相关资料存档，包括但不限于：评价项目基本情况和相关文件、评价实施方案、项目支付资料等相关档案。</w:t>
      </w:r>
    </w:p>
    <w:p w14:paraId="2B40CFB1">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三、综合评价情况及评价结论</w:t>
      </w:r>
    </w:p>
    <w:p w14:paraId="77BBB813">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（一）综合评价情况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评价，本项目达成年初设立的绩效目标，在实施过程中取得了良好的成效，具体表现在：通过项目的实施，完成了改革事项群众满意度测评的数量2项，编辑印送《调研专报》期数6期，重要课题调研的数量4个，编辑印发《改革交流》期刊数量8期，研究成果结题率，预算成本控制率产出目标，持续全面深化改革工作，坚持问题导向，推出一批改革举措，为昌吉州经济社会注入活力和动力，不断增强各民族群众的获得感、幸福感和安全感。但在实施过程中也存在一些不足：对绩效管理的重视度有待提高。</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（二）评价结论</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绩效评价通过绩效评价小组论证的评价指标体系及评分标准，采用因素分析法和比较法对本项目绩效进行客观评价，本项目共设置三级指标数量20个，实现三级指标数量20个，总体完成率为98.96%。最终评分结果：总分为99.00分，绩效评级为“优”。综合评价结论如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项目决策类指标共设置5个，满分指标5个，得分率100.00%；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过程管理类指标共设置5个，满分指标4个，得分率94.74%；</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项目产出类指标共设置7个，满分指标7个，得分率100.00%；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项目效益类指标共设置2个，满分指标2个，得分率100.00%。</w:t>
      </w:r>
    </w:p>
    <w:p w14:paraId="4ED28BA7">
      <w:pPr>
        <w:spacing w:line="540" w:lineRule="exact"/>
        <w:ind w:firstLine="640"/>
        <w:rPr>
          <w:rStyle w:val="18"/>
          <w:rFonts w:hint="eastAsia" w:ascii="黑体" w:hAnsi="黑体" w:eastAsia="黑体"/>
        </w:rPr>
      </w:pPr>
      <w:r>
        <w:rPr>
          <w:rStyle w:val="18"/>
          <w:rFonts w:hint="eastAsia" w:ascii="黑体" w:hAnsi="黑体" w:eastAsia="黑体"/>
          <w:b w:val="0"/>
          <w:spacing w:val="-4"/>
          <w:sz w:val="32"/>
          <w:szCs w:val="32"/>
        </w:rPr>
        <w:t>四、绩效评价指标分析</w:t>
      </w:r>
      <w:r>
        <w:rPr>
          <w:rStyle w:val="18"/>
          <w:rFonts w:hint="eastAsia" w:ascii="黑体" w:hAnsi="黑体" w:eastAsia="黑体"/>
        </w:rPr>
        <w:t xml:space="preserve"> </w:t>
      </w:r>
    </w:p>
    <w:p w14:paraId="3F5D9F3D">
      <w:pPr>
        <w:spacing w:line="540" w:lineRule="exact"/>
        <w:ind w:firstLine="567" w:firstLineChars="181"/>
        <w:rPr>
          <w:rFonts w:hint="eastAsia" w:ascii="楷体" w:hAnsi="楷体" w:eastAsia="楷体"/>
          <w:b/>
          <w:spacing w:val="-4"/>
          <w:sz w:val="32"/>
          <w:szCs w:val="32"/>
        </w:rPr>
      </w:pPr>
      <w:r>
        <w:rPr>
          <w:rFonts w:hint="eastAsia" w:ascii="楷体" w:hAnsi="楷体" w:eastAsia="楷体"/>
          <w:b/>
          <w:spacing w:val="-4"/>
          <w:sz w:val="32"/>
          <w:szCs w:val="32"/>
        </w:rPr>
        <w:t>（一）</w:t>
      </w:r>
      <w:r>
        <w:rPr>
          <w:rStyle w:val="18"/>
          <w:rFonts w:hint="eastAsia" w:ascii="楷体" w:hAnsi="楷体" w:eastAsia="楷体"/>
          <w:spacing w:val="-4"/>
          <w:sz w:val="32"/>
          <w:szCs w:val="32"/>
        </w:rPr>
        <w:t>项目决策情况</w:t>
      </w:r>
    </w:p>
    <w:p w14:paraId="1482149B">
      <w:pPr>
        <w:tabs>
          <w:tab w:val="center" w:pos="4295"/>
        </w:tabs>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（一）项目决策情况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项目决策类指标由3个二级指标和6个三级指标构成，权重分21.00分，实际得分21.00分。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1.项目立项情况分析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（1）立项依据充分性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立项符合昌吉州党委办公室颁发的《自治州全面深化改革第三方评估实施办法》(昌州党办发〔2017〕19号)中：“评估内容于依据”；符合行业发展规划和政策要求；本项目立项符合《中共昌吉回族自治州委员会政策研究室配置内设机构和人员编制规定》中职责范围中的“昌吉州党委政策研究室贯彻落实党中央关于新疆改革发展稳定工作的方针政策和决策部署，在履行职责过程中坚持加强党对政策研究、全面深化改革工作的集中统一领导。”属于我单位履职所需；根据《财政资金直接支付申请书》，本项目资金性质为“公共财政预算”功能分类为“一般公共服务支出”经济分类为“商品和服务支出”属于公共财政支持范围，符合中央、地方事权支出责任划分原则；经检查我单位财政应用平台指标，本项目不存在重复。</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综上所述，本指标满分为5.00分，根据评分标准得5.00分，本项目立项依据充分。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（2）立项程序规范性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不涉及发改立项批复流程，由我单位自行编制项目实施方案和项目预算申请计划，经过与党委会研究确定最终预算方案。经查看，该项目申请设立过程产生的相关文件，符合相关要求。</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属于专项资金安排项目，不涉及事前绩效评估、可行性研究以及风险评估，由我单位严格按照《自治州全面深化改革第三方评估实施办法》(昌州党办发〔2017〕19号)文件要求实施项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综上所述，本指标满分为3.00分，根据评分标准得3.00分，本项目立项程序规范。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2.绩效目标情况分析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（1）绩效目标合理性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已设置年度绩效目标，具体内容为“改革事项群众满意度测评的数量”；本项目实际工作内容为：改革事项群众满意度测评；绩效目标与实际工作内容一致，两者具有相关性;本项目按照绩效目标完成了数量指标、质量指标、时效指标、成本指标，有效保障了自治州改革第三方评估工作，年度绩效目标完成，预期产出效益和效果符合正常的业绩水平。</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综上所述，本指标满分为4.00分，根据评分标准得4.00分，本项目绩效目标设置合理。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（2）绩效指标明确性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检查我单位年初设置的《项目支出绩效目标表》，得出如下结论：本项目已将年度绩效目标进行细化为绩效指标体系，共设置一级指标3个，二级指标4个，三级指标9个，定量指标7个，定性指标2个，指标量化率为77.78%，量化率达70.00%以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综上所述，本指标满分为3.00分，根据评分标准得3.00分，本项目所设置绩效指标明确。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3.资金投入情况分析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（1）预算编制科学性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本项目预算编制通过往年项目预算执行情况估算得出，即预算编制较科学且经过论证；</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预算申请内容为政研改革经费项目，项目实际内容为政研改革经费项目，预算申请与《政研改革经费项目实施方案》中涉及的项目内容匹配；</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申请资金80.00万元，我单位在预算申请中严格按照单位标准和数量进行核算，其中：政策研究成本35万元，深化改革工作成本15万元，群众满意度测评成本30万元。本项目预算额度测算依据充分，严格按照标准编制，预算确定资金量与实际工作任务相匹配；</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综上所述，本指标满分为4.00分，根据评分标准4.00分，本项目预算编制科学。</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（2）资金分配合理性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分配资金以《关于申请政研改革经费项目资金的请示》和《政研改革经费项目实施方案》为依据进行资金分配，预算资金分配依据充分。根据《政研改革经费资金下达文件》文件显示，本项目实际到位资金80.00万元，实际分配资金与我单位提交申请的资金额度一致，资金分配额度合理，与我单位实际需求相适应。</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综上所述，本指标满分为2.00分，根据评分标准得2.00分，本项目资金分配合理。</w:t>
      </w:r>
      <w:r>
        <w:rPr>
          <w:rStyle w:val="18"/>
          <w:rFonts w:hint="eastAsia" w:ascii="楷体" w:hAnsi="楷体" w:eastAsia="楷体"/>
          <w:b w:val="0"/>
          <w:bCs w:val="0"/>
          <w:spacing w:val="-4"/>
          <w:sz w:val="32"/>
          <w:szCs w:val="32"/>
        </w:rPr>
        <w:tab/>
      </w:r>
    </w:p>
    <w:p w14:paraId="55AD1D04">
      <w:pPr>
        <w:spacing w:line="540" w:lineRule="exact"/>
        <w:ind w:firstLine="567" w:firstLineChars="181"/>
        <w:rPr>
          <w:rStyle w:val="18"/>
          <w:rFonts w:hint="eastAsia" w:ascii="楷体" w:hAnsi="楷体" w:eastAsia="楷体"/>
          <w:spacing w:val="-4"/>
          <w:sz w:val="32"/>
          <w:szCs w:val="32"/>
        </w:rPr>
      </w:pPr>
      <w:r>
        <w:rPr>
          <w:rFonts w:hint="eastAsia" w:ascii="楷体" w:hAnsi="楷体" w:eastAsia="楷体"/>
          <w:b/>
          <w:spacing w:val="-4"/>
          <w:sz w:val="32"/>
          <w:szCs w:val="32"/>
        </w:rPr>
        <w:t>（二）</w:t>
      </w:r>
      <w:r>
        <w:rPr>
          <w:rStyle w:val="18"/>
          <w:rFonts w:hint="eastAsia" w:ascii="楷体" w:hAnsi="楷体" w:eastAsia="楷体"/>
          <w:spacing w:val="-4"/>
          <w:sz w:val="32"/>
          <w:szCs w:val="32"/>
        </w:rPr>
        <w:t>项目过程情况</w:t>
      </w:r>
    </w:p>
    <w:p w14:paraId="55BD8392">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（二）项目过程情况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项目过程管理类指标由2个二级指标和5个三级指标构成，权重分19.00分，实际得分18分。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1.资金管理情况分析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（1）资金到位率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资金为80.00万元，其中：本级财政安排资金80.00万元，其他资金0.00万元，实际到位资金80.00万元，资金到位率=100.00%（实际到位资金/预算资金）×100.00%=（80/80）*100.00%=100%。得分=资金到位率*分值=100%*4=4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综上所述，本指标满分为4.00分，根据评分标准得4.00分，本项目资金分配合理。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（2）预算执行率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本项目实际支出资金51.47万元，预算执行率=64.34%（实际支出资金/实际到位资金）×100.00%=（51.47/80）*100.00%=64.34%。得分=预算执行率*分值=64.34%*5=3.22分。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综上所述，本指标满分为5.00分，根据评分标准得4分，本项目资金分配合理。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（3）资金使用合规性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通过检查本项目签订的合同、资金申请文件、发票等财务付款凭证，得出本项目资金支出符合国家财经法规、《政府会计制度》以及《州党委政策研究室资金管理办法》《州党委政策研究室专项资金管理办法》，资金的拨付有完整的审批程序和手续，资金实际使用方向与预算批复用途一致，不存在截留、挤占、挪用、虚列支出的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综上所述，本指标满分为4.00分，根据评分标准得4.00分，资金支出符合我单位财务管理制度规定。</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（1）管理制度健全性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已制定《州党委政策研究室资金管理办法》《州党委政策研究室收支业务管理制度》《州党委政策研究室政府采购业务管理制度》《州党委政策研究室合同管理制度》，上述已建立的制度均符合行政事业单位内控管理要求，财务和业务管理制度合法、合规、完整，本项目执行符合上述制度规定。</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综上所述，本指标满分为2.00分，根据评分标准得2.00分，项目制度建设健全。</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（2）制度执行有效性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对比分析本项目实际执行过程资料和已建立的项目管理制度和财务管理制度，得出本项目严格按照本单位已建立制度执行。项目资金支出严格按照自治区、地区、市以及本单位资金管理办法执行，项目启动实施后，为了加快本项目的实施，成立了州党委政策研究室项目工作领导小组，由主任吕宏伟任组长，负责项目的组织工作；周斌仁任副组长，负责项目的实施工作；组员包括：乔勇和刘晓婷，主要负责项目监督管理、验收以及资金核拨等工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综上所述，本指标满分为4.00分，根据评分标准得4.00分，本项目所建立制度执行有效。</w:t>
      </w:r>
    </w:p>
    <w:p w14:paraId="192EC0D6">
      <w:pPr>
        <w:spacing w:line="540" w:lineRule="exact"/>
        <w:ind w:firstLine="567" w:firstLineChars="181"/>
        <w:rPr>
          <w:rFonts w:hint="eastAsia" w:ascii="楷体" w:hAnsi="楷体" w:eastAsia="楷体"/>
          <w:b/>
          <w:spacing w:val="-4"/>
          <w:sz w:val="32"/>
          <w:szCs w:val="32"/>
        </w:rPr>
      </w:pPr>
      <w:r>
        <w:rPr>
          <w:rFonts w:hint="eastAsia" w:ascii="楷体" w:hAnsi="楷体" w:eastAsia="楷体"/>
          <w:b/>
          <w:spacing w:val="-4"/>
          <w:sz w:val="32"/>
          <w:szCs w:val="32"/>
        </w:rPr>
        <w:t>（三）</w:t>
      </w:r>
      <w:r>
        <w:rPr>
          <w:rStyle w:val="18"/>
          <w:rFonts w:hint="eastAsia" w:ascii="楷体" w:hAnsi="楷体" w:eastAsia="楷体"/>
          <w:spacing w:val="-4"/>
          <w:sz w:val="32"/>
          <w:szCs w:val="32"/>
        </w:rPr>
        <w:t>项目产出情况</w:t>
      </w:r>
    </w:p>
    <w:p w14:paraId="131ACE63">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（三）项目产出情况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项目产出类指标由3个二级指标和7个三级指标构成，权重分30.0分，实际得分30.00分。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1.数量指标完成情况分析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“改革事项群众满意度测评的数量”指标：预期指标值为“大于等于2个”，实际完成指标值为“2个”，指标完成率为100.00%。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“编辑印送《调研专报》期数”指标，预期指标值为“大于等于6期”，实际完成指标值为“6个”，指标完成率为100.00%。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“编辑印发《改革交流》期刊数量”指标，预期指标值为“大于等于8期”，实际完成指标值为“8个”，指标完成率为100.00%。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2.质量指标完成情况分析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“研究成果结题率”指标：预期指标值为“大于等于90%”，实际完成指标值为“100.00%”，指标完成率为100.00%。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3.时效指标完成情况分析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4.成本指标完成情况分析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“政策研究成本”指标：预期指标值为“小于等于35万元”，实际完成指标值为“15万元”，指标完成率为100.00%。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“群众满意度测评成本”指标：预期指标值为“小于等于15万元”，实际完成指标值为“10万元”，指标完成率为100.00%。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“深化改革工作成本”指标：预期指标值为“小于等于30万元”，实际完成指标值为“29.90万元”，指标完成率为100.00%。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w:t>
      </w:r>
    </w:p>
    <w:p w14:paraId="0996C132">
      <w:pPr>
        <w:spacing w:line="540" w:lineRule="exact"/>
        <w:ind w:firstLine="567" w:firstLineChars="181"/>
        <w:rPr>
          <w:rFonts w:hint="eastAsia" w:ascii="楷体" w:hAnsi="楷体" w:eastAsia="楷体"/>
          <w:b/>
          <w:spacing w:val="-4"/>
          <w:sz w:val="32"/>
          <w:szCs w:val="32"/>
        </w:rPr>
      </w:pPr>
      <w:r>
        <w:rPr>
          <w:rFonts w:hint="eastAsia" w:ascii="楷体" w:hAnsi="楷体" w:eastAsia="楷体"/>
          <w:b/>
          <w:spacing w:val="-4"/>
          <w:sz w:val="32"/>
          <w:szCs w:val="32"/>
        </w:rPr>
        <w:t>（四）</w:t>
      </w:r>
      <w:r>
        <w:rPr>
          <w:rStyle w:val="18"/>
          <w:rFonts w:hint="eastAsia" w:ascii="楷体" w:hAnsi="楷体" w:eastAsia="楷体"/>
          <w:spacing w:val="-4"/>
          <w:sz w:val="32"/>
          <w:szCs w:val="32"/>
        </w:rPr>
        <w:t>项目效益情况</w:t>
      </w:r>
    </w:p>
    <w:p w14:paraId="1DCADE2B">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（四）项目效益情况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项目效益类指标由1个二级指标和2个三级指标构成，权重分30.0分，实际得分30分。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1.经济效益完成情况分析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2.社会效益完成情况分析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“持续全面深化改革工作，推出一批改革举措，不断增强各民族群众的获得感、幸福感和安全感。”指标：预期指标值为“不断增强”，实际完成指标值为“基本达成目标”，指标完成率为100.00%。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综上所述，本指标满分为15.00分，根据评分标准得15.00分。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“向州党委报送调研专报，持续为州党委推动改革稳定发展提供决策参考”指标：预期指标值为“有效提供”，实际完成指标值为“基本达成目标”，指标完成率为100.0%。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综上所述，本指标满分为15.00分，根据评分标准得15.00分。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3.生态效益完成情况分析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4.满意度完成情况分析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p>
    <w:p w14:paraId="1786C6E1">
      <w:pPr>
        <w:spacing w:line="540" w:lineRule="exact"/>
        <w:ind w:firstLine="567"/>
        <w:rPr>
          <w:rStyle w:val="18"/>
          <w:rFonts w:hint="eastAsia" w:ascii="楷体" w:hAnsi="楷体" w:eastAsia="楷体"/>
          <w:spacing w:val="-4"/>
          <w:sz w:val="32"/>
          <w:szCs w:val="32"/>
        </w:rPr>
      </w:pPr>
    </w:p>
    <w:p w14:paraId="3D7C31D9">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预算执行进度与绩效指标偏差</w:t>
      </w:r>
    </w:p>
    <w:p w14:paraId="779C8732">
      <w:pPr>
        <w:spacing w:line="540" w:lineRule="exact"/>
        <w:ind w:firstLine="567"/>
        <w:rPr>
          <w:rStyle w:val="18"/>
          <w:rFonts w:hint="eastAsia" w:ascii="黑体" w:hAnsi="黑体" w:eastAsia="黑体"/>
          <w:b w:val="0"/>
          <w:spacing w:val="-4"/>
          <w:sz w:val="32"/>
          <w:szCs w:val="32"/>
        </w:rPr>
      </w:pPr>
      <w:r>
        <w:rPr>
          <w:rStyle w:val="18"/>
          <w:rFonts w:hint="eastAsia" w:ascii="楷体" w:hAnsi="楷体" w:eastAsia="楷体"/>
          <w:b w:val="0"/>
          <w:bCs w:val="0"/>
          <w:spacing w:val="-4"/>
          <w:sz w:val="32"/>
          <w:szCs w:val="32"/>
        </w:rPr>
        <w:t>本项目年初预算资金总额为80.00万元，全年预算数为80.00万元，全年执行数为51.47万元，预算执行率为64.34%。</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本项目共设置三级指标数量20个，满分指标数量19个，扣分指标数量1个，经分析计算所有三级指标完成率得出，本项目总体完成率为98.96%。</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综上所述本项目预算执行进度与总体完成进度之间的偏差为35.66%。主要偏差原因是：由于单位搬迁，职能变化，资金执行率略低。</w:t>
      </w:r>
    </w:p>
    <w:p w14:paraId="0A0A485D">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主要经验及做法、存在的问题及原因分析</w:t>
      </w:r>
    </w:p>
    <w:p w14:paraId="6B175F45">
      <w:pPr>
        <w:spacing w:line="540" w:lineRule="exact"/>
        <w:ind w:firstLine="567"/>
        <w:rPr>
          <w:rFonts w:ascii="仿宋_GB2312" w:eastAsia="仿宋_GB2312"/>
          <w:spacing w:val="-4"/>
          <w:sz w:val="32"/>
          <w:szCs w:val="32"/>
        </w:rPr>
      </w:pPr>
      <w:r>
        <w:rPr>
          <w:rStyle w:val="18"/>
          <w:rFonts w:hint="eastAsia" w:ascii="楷体" w:hAnsi="楷体" w:eastAsia="楷体"/>
          <w:b w:val="0"/>
          <w:bCs w:val="0"/>
          <w:spacing w:val="-4"/>
          <w:sz w:val="32"/>
          <w:szCs w:val="32"/>
        </w:rPr>
        <w:t>（一）主要经验及做法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在全面贯彻落实中央、自治区党委全面深化改革工作安排部署的基础上，昌吉州自加压力、自主谋划部署22项重点改革任务，目前各项任务已全面完成，在实践中创造和形成了一批可复制推广的改革典型经验做法。玛纳斯县率先在全疆推进数字农业集成配套综合改革，为乡村振兴赋能添智。大力推进40万亩耕地应用卫星遥感、智能滴灌、智慧农业等集成配套农业新技术，创新数字化农业田间管理方式、智能化经营管理模式和智能化田间管理服务模式，实现了棉花用水量从360立方米/亩压缩至280立方米/亩，创下了北疆农业节水新纪录，推动了技术创新向农业生产经营组织方式的变革，得到了自治区党委马兴瑞书记的肯定性批示。</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创新招商引资新模式，全力建设中国式现代化新疆实践典范地州。以“链”上昌吉、融入“丝路”招商品牌为主题，创新“优链强链”“缺链补链”“短链延链”的链式招商模式，梳理龙头企业、重点配套企业、主要特色优势、急需突破短板、协同攻关技术、区域布局优化、重点建设项目等多项清单，推行“政府+链主企业+产业园”联动发展模式，聚焦产业链缺失和关键环节，生成了一批补充完善昌吉州硅基铝基新材料、新能源装备制造等产业生态的大项目和好项目。经验做法得到了自治区党委常委、自治区常务副主席陈伟俊的充分肯定，并批示在各地州市和县市区政府推广借鉴。</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奇台县宅基地改革激发农村发展潜力，助力乡村振兴。11项宅改制度率先在全疆取得新突破，率先在全疆建立宅基地跨村跨乡有偿申请制度，破除要素流动的壁垒和瓶颈，七户乡资格权人通过缴纳一次性土地使用费4.8万元获得半截沟镇腰站子村宅基地使用权，跨村跨乡有偿申请宅基地在全疆范围内实现零突破。率先在全疆建立集体经营性建设用地与国有土地同权同价入市制度，激活农村土地要素资源，为乡村产业振兴提供了资金保障。目前半截沟镇腰站子村将有偿腾退的86.83亩宅基地，东湾镇墒户村10.3亩集体经营性建设用地分别以286.5万元和50万元的价格成功出让。创新宅基地抵押制度及风险缓释金制度，推动农民住房财产权实现抵押贷款，拓宽了农民创业融资渠道。全疆首笔农村宅基地使用权抵押贷款85万，实现了农民住房财产权抵押变现零的突破。</w:t>
      </w:r>
      <w:r>
        <w:rPr>
          <w:rStyle w:val="18"/>
          <w:rFonts w:hint="eastAsia" w:ascii="楷体" w:hAnsi="楷体" w:eastAsia="楷体"/>
          <w:b w:val="0"/>
          <w:bCs w:val="0"/>
          <w:spacing w:val="-4"/>
          <w:sz w:val="32"/>
          <w:szCs w:val="32"/>
          <w:lang w:eastAsia="zh-CN"/>
        </w:rPr>
        <w:t>截至目前</w:t>
      </w:r>
      <w:r>
        <w:rPr>
          <w:rStyle w:val="18"/>
          <w:rFonts w:hint="eastAsia" w:ascii="楷体" w:hAnsi="楷体" w:eastAsia="楷体"/>
          <w:b w:val="0"/>
          <w:bCs w:val="0"/>
          <w:spacing w:val="-4"/>
          <w:sz w:val="32"/>
          <w:szCs w:val="32"/>
        </w:rPr>
        <w:t>，累计抵押农房560宗，发放宅基地抵押贷款1.86亿元。创新宅基地超占有偿使用制度，对超标准占用宅基地实行有偿使用，推动农村宅基地逐步规范管理。创新宅基地有偿退出制度，探索“宅票”运行机制，引导农民将合法闲置宅基地按照自愿方式退出依法登记的宅基地使用权，有效盘活了农村闲置宅基地。目前，累计发放“宅票”无偿退出宅基地39宗89.7亩，有偿退出宅基地39宗97.38亩。改革典型经验被</w:t>
      </w:r>
      <w:r>
        <w:rPr>
          <w:rStyle w:val="18"/>
          <w:rFonts w:hint="eastAsia" w:ascii="楷体" w:hAnsi="楷体" w:eastAsia="楷体"/>
          <w:b w:val="0"/>
          <w:bCs w:val="0"/>
          <w:spacing w:val="-4"/>
          <w:sz w:val="32"/>
          <w:szCs w:val="32"/>
          <w:lang w:eastAsia="zh-CN"/>
        </w:rPr>
        <w:t>农业农村部</w:t>
      </w:r>
      <w:r>
        <w:rPr>
          <w:rStyle w:val="18"/>
          <w:rFonts w:hint="eastAsia" w:ascii="楷体" w:hAnsi="楷体" w:eastAsia="楷体"/>
          <w:b w:val="0"/>
          <w:bCs w:val="0"/>
          <w:spacing w:val="-4"/>
          <w:sz w:val="32"/>
          <w:szCs w:val="32"/>
        </w:rPr>
        <w:t>通报表扬。</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（二）存在的问题及原因分析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州直部门与自治区厅局上下沟通联动机制不健全。</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自治区党委深改委会议审议通过的文件，大部分由党委办公厅或政府办公厅下发，对象为各地州市党委、政府，地州改革办一般难以了解发文情况，特别是带密文件，由于保密要求，查阅困难，导致不能及时有效地督促相关部门抓好落实。同时，各部门是推进落实改革工作的责任主体，但从实际情况情况来看，自治区相关厅局对地州对应部门的督促指导较少，导致地州有关部门承接上级安排的改革任务时主动性不够、时效性不强。</w:t>
      </w:r>
    </w:p>
    <w:p w14:paraId="568F6808">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七、有关建议</w:t>
      </w:r>
    </w:p>
    <w:p w14:paraId="7DF9320C">
      <w:pPr>
        <w:spacing w:line="540" w:lineRule="exact"/>
        <w:ind w:firstLine="567"/>
        <w:rPr>
          <w:rStyle w:val="18"/>
          <w:rFonts w:hint="eastAsia" w:ascii="楷体" w:hAnsi="楷体" w:eastAsia="楷体"/>
          <w:spacing w:val="-4"/>
          <w:sz w:val="32"/>
          <w:szCs w:val="32"/>
        </w:rPr>
      </w:pPr>
      <w:r>
        <w:rPr>
          <w:rStyle w:val="18"/>
          <w:rFonts w:hint="eastAsia" w:ascii="楷体" w:hAnsi="楷体" w:eastAsia="楷体"/>
          <w:b w:val="0"/>
          <w:bCs w:val="0"/>
          <w:spacing w:val="-4"/>
          <w:sz w:val="32"/>
          <w:szCs w:val="32"/>
        </w:rPr>
        <w:t>加强培训，提高相关人员工作水平</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采取集中学习、讲座、专题会议等多种培训形式，加大对参与绩效管理工作的人员培训力度，尤其时业务科室人员，进一步统一认识，充实业务知识，树牢绩效观念，提高单位工作人员的绩效管理能力和工作水平，以达到预算绩效管理标准化、常态化的要求，为预算绩效管理相关工作的顺利开展提供保障。</w:t>
      </w:r>
    </w:p>
    <w:p w14:paraId="48E692CE">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八、其他需要说明的问题</w:t>
      </w:r>
    </w:p>
    <w:p w14:paraId="42511D74">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（一）本项目部分间接产生的效果无法准确在短期内衡量，因此很难认定项目产生的全部效果。通过指标来反映绩效，指标的科学性和全面性需要不断地完善和研究。</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（二）评价结果作为安排政府预算、完善政策和改进管理的重要依据。原则上，对评价等级为优、良的，根据情况予以支持；对评价等级为中、差的，要完善政策、改进管理，根据情况核减预算。</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（三）评价结果分别编入政府决算和部门预算，报送本级人民代表大会常务委员会，并依法予以公开。</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（四）我单位对上述项目支出绩效评价报告内反映内容的真实性、完整性负责，接受上级部门及社会公众监督。</w:t>
      </w:r>
    </w:p>
    <w:p w14:paraId="43E7FCE0">
      <w:pPr>
        <w:spacing w:line="540" w:lineRule="exact"/>
        <w:ind w:firstLine="567"/>
        <w:rPr>
          <w:rStyle w:val="18"/>
          <w:rFonts w:hint="eastAsia" w:ascii="仿宋" w:hAnsi="仿宋" w:eastAsia="仿宋"/>
          <w:b w:val="0"/>
          <w:spacing w:val="-4"/>
          <w:sz w:val="32"/>
          <w:szCs w:val="32"/>
        </w:rPr>
      </w:pPr>
    </w:p>
    <w:p w14:paraId="0EFA00C2">
      <w:pPr>
        <w:spacing w:line="540" w:lineRule="exact"/>
        <w:ind w:firstLine="567"/>
        <w:rPr>
          <w:rStyle w:val="18"/>
          <w:rFonts w:hint="eastAsia" w:ascii="仿宋" w:hAnsi="仿宋" w:eastAsia="仿宋"/>
          <w:b w:val="0"/>
          <w:spacing w:val="-4"/>
          <w:sz w:val="32"/>
          <w:szCs w:val="32"/>
        </w:rPr>
      </w:pPr>
    </w:p>
    <w:p w14:paraId="5C0F5540">
      <w:pPr>
        <w:spacing w:line="540" w:lineRule="exact"/>
        <w:ind w:firstLine="567"/>
        <w:rPr>
          <w:rStyle w:val="18"/>
          <w:rFonts w:hint="eastAsia" w:ascii="仿宋" w:hAnsi="仿宋" w:eastAsia="仿宋"/>
          <w:b w:val="0"/>
          <w:spacing w:val="-4"/>
          <w:sz w:val="32"/>
          <w:szCs w:val="32"/>
        </w:rPr>
      </w:pPr>
    </w:p>
    <w:p w14:paraId="40C0281F">
      <w:pPr>
        <w:spacing w:line="540" w:lineRule="exact"/>
        <w:ind w:firstLine="567"/>
        <w:rPr>
          <w:rStyle w:val="18"/>
          <w:rFonts w:hint="eastAsia" w:ascii="仿宋" w:hAnsi="仿宋" w:eastAsia="仿宋"/>
          <w:b w:val="0"/>
          <w:spacing w:val="-4"/>
          <w:sz w:val="32"/>
          <w:szCs w:val="32"/>
        </w:rPr>
      </w:pPr>
    </w:p>
    <w:p w14:paraId="2538CCFA">
      <w:pPr>
        <w:spacing w:line="540" w:lineRule="exact"/>
        <w:ind w:firstLine="567"/>
        <w:rPr>
          <w:rStyle w:val="18"/>
          <w:rFonts w:hint="eastAsia" w:ascii="仿宋" w:hAnsi="仿宋" w:eastAsia="仿宋"/>
          <w:b w:val="0"/>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方正小标宋_GBK">
    <w:altName w:val="微软雅黑"/>
    <w:panose1 w:val="02000000000000000000"/>
    <w:charset w:val="86"/>
    <w:family w:val="script"/>
    <w:pitch w:val="default"/>
    <w:sig w:usb0="00000000" w:usb1="00000000" w:usb2="00082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6EB49C55">
        <w:pPr>
          <w:pStyle w:val="12"/>
          <w:jc w:val="center"/>
        </w:pPr>
        <w:r>
          <w:fldChar w:fldCharType="begin"/>
        </w:r>
        <w:r>
          <w:instrText xml:space="preserve">PAGE   \* MERGEFORMAT</w:instrText>
        </w:r>
        <w:r>
          <w:fldChar w:fldCharType="separate"/>
        </w:r>
        <w:r>
          <w:rPr>
            <w:lang w:val="zh-CN"/>
          </w:rPr>
          <w:t>2</w:t>
        </w:r>
        <w:r>
          <w:fldChar w:fldCharType="end"/>
        </w:r>
      </w:p>
    </w:sdtContent>
  </w:sdt>
  <w:p w14:paraId="537A9673">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A218F"/>
    <w:multiLevelType w:val="singleLevel"/>
    <w:tmpl w:val="3FEA218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Y2RlZTc4MzFlYzYzZjZmMTg4MDMwODUwYTE2N2UifQ=="/>
  </w:docVars>
  <w:rsids>
    <w:rsidRoot w:val="00CA6457"/>
    <w:rsid w:val="00056465"/>
    <w:rsid w:val="00102DFF"/>
    <w:rsid w:val="0012073C"/>
    <w:rsid w:val="00121AE4"/>
    <w:rsid w:val="00146AAD"/>
    <w:rsid w:val="00151FA7"/>
    <w:rsid w:val="00165A08"/>
    <w:rsid w:val="001B3A40"/>
    <w:rsid w:val="00291BC0"/>
    <w:rsid w:val="00311DBE"/>
    <w:rsid w:val="004366A8"/>
    <w:rsid w:val="00502BA7"/>
    <w:rsid w:val="005162F1"/>
    <w:rsid w:val="00535153"/>
    <w:rsid w:val="00554F82"/>
    <w:rsid w:val="0056390D"/>
    <w:rsid w:val="005719B0"/>
    <w:rsid w:val="005D10D6"/>
    <w:rsid w:val="007D5F18"/>
    <w:rsid w:val="00855E3A"/>
    <w:rsid w:val="0091457F"/>
    <w:rsid w:val="00922CB9"/>
    <w:rsid w:val="009A0637"/>
    <w:rsid w:val="009E5CD9"/>
    <w:rsid w:val="00A26421"/>
    <w:rsid w:val="00A34588"/>
    <w:rsid w:val="00A4293B"/>
    <w:rsid w:val="00A67D50"/>
    <w:rsid w:val="00A86856"/>
    <w:rsid w:val="00A8691A"/>
    <w:rsid w:val="00AC1946"/>
    <w:rsid w:val="00B40063"/>
    <w:rsid w:val="00B41F61"/>
    <w:rsid w:val="00BA46E6"/>
    <w:rsid w:val="00C56C72"/>
    <w:rsid w:val="00CA6457"/>
    <w:rsid w:val="00CE2FD9"/>
    <w:rsid w:val="00D17F2E"/>
    <w:rsid w:val="00D30354"/>
    <w:rsid w:val="00D50308"/>
    <w:rsid w:val="00DF42A0"/>
    <w:rsid w:val="00E30E91"/>
    <w:rsid w:val="00E769FE"/>
    <w:rsid w:val="00EA2CBE"/>
    <w:rsid w:val="00F32FEE"/>
    <w:rsid w:val="00FB10BB"/>
    <w:rsid w:val="0856517C"/>
    <w:rsid w:val="0BFB189F"/>
    <w:rsid w:val="11BD75F7"/>
    <w:rsid w:val="13BE561A"/>
    <w:rsid w:val="15392994"/>
    <w:rsid w:val="177943BD"/>
    <w:rsid w:val="18FE139B"/>
    <w:rsid w:val="3029612C"/>
    <w:rsid w:val="32A221C5"/>
    <w:rsid w:val="33F20F2A"/>
    <w:rsid w:val="34C44675"/>
    <w:rsid w:val="364E33D2"/>
    <w:rsid w:val="3B5B5607"/>
    <w:rsid w:val="3CE21B3C"/>
    <w:rsid w:val="4D2606A1"/>
    <w:rsid w:val="51830480"/>
    <w:rsid w:val="53A616BE"/>
    <w:rsid w:val="54662BFB"/>
    <w:rsid w:val="62051CA5"/>
    <w:rsid w:val="6C3A69EF"/>
    <w:rsid w:val="7BDF2CF1"/>
    <w:rsid w:val="7DB12889"/>
    <w:rsid w:val="7E371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45"/>
    <w:semiHidden/>
    <w:unhideWhenUsed/>
    <w:qFormat/>
    <w:uiPriority w:val="99"/>
    <w:rPr>
      <w:sz w:val="18"/>
      <w:szCs w:val="18"/>
    </w:rPr>
  </w:style>
  <w:style w:type="paragraph" w:styleId="12">
    <w:name w:val="footer"/>
    <w:basedOn w:val="1"/>
    <w:link w:val="44"/>
    <w:unhideWhenUsed/>
    <w:qFormat/>
    <w:uiPriority w:val="99"/>
    <w:pPr>
      <w:tabs>
        <w:tab w:val="center" w:pos="4153"/>
        <w:tab w:val="right" w:pos="8306"/>
      </w:tabs>
      <w:snapToGrid w:val="0"/>
      <w:jc w:val="left"/>
    </w:pPr>
    <w:rPr>
      <w:rFonts w:ascii="Calibri" w:hAnsi="Calibri"/>
      <w:sz w:val="18"/>
      <w:szCs w:val="18"/>
    </w:rPr>
  </w:style>
  <w:style w:type="paragraph" w:styleId="13">
    <w:name w:val="header"/>
    <w:basedOn w:val="1"/>
    <w:link w:val="43"/>
    <w:autoRedefine/>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字符"/>
    <w:basedOn w:val="17"/>
    <w:link w:val="2"/>
    <w:qFormat/>
    <w:uiPriority w:val="9"/>
    <w:rPr>
      <w:rFonts w:asciiTheme="majorHAnsi" w:hAnsiTheme="majorHAnsi" w:eastAsiaTheme="majorEastAsia"/>
      <w:b/>
      <w:bCs/>
      <w:kern w:val="32"/>
      <w:sz w:val="32"/>
      <w:szCs w:val="32"/>
    </w:rPr>
  </w:style>
  <w:style w:type="character" w:customStyle="1" w:styleId="21">
    <w:name w:val="标题 2 字符"/>
    <w:basedOn w:val="17"/>
    <w:link w:val="3"/>
    <w:semiHidden/>
    <w:qFormat/>
    <w:uiPriority w:val="9"/>
    <w:rPr>
      <w:rFonts w:asciiTheme="majorHAnsi" w:hAnsiTheme="majorHAnsi" w:eastAsiaTheme="majorEastAsia"/>
      <w:b/>
      <w:bCs/>
      <w:i/>
      <w:iCs/>
      <w:sz w:val="28"/>
      <w:szCs w:val="28"/>
    </w:rPr>
  </w:style>
  <w:style w:type="character" w:customStyle="1" w:styleId="22">
    <w:name w:val="标题 3 字符"/>
    <w:basedOn w:val="17"/>
    <w:link w:val="4"/>
    <w:semiHidden/>
    <w:qFormat/>
    <w:uiPriority w:val="9"/>
    <w:rPr>
      <w:rFonts w:asciiTheme="majorHAnsi" w:hAnsiTheme="majorHAnsi" w:eastAsiaTheme="majorEastAsia"/>
      <w:b/>
      <w:bCs/>
      <w:sz w:val="26"/>
      <w:szCs w:val="26"/>
    </w:rPr>
  </w:style>
  <w:style w:type="character" w:customStyle="1" w:styleId="23">
    <w:name w:val="标题 4 字符"/>
    <w:basedOn w:val="17"/>
    <w:link w:val="5"/>
    <w:semiHidden/>
    <w:qFormat/>
    <w:uiPriority w:val="9"/>
    <w:rPr>
      <w:b/>
      <w:bCs/>
      <w:sz w:val="28"/>
      <w:szCs w:val="28"/>
    </w:rPr>
  </w:style>
  <w:style w:type="character" w:customStyle="1" w:styleId="24">
    <w:name w:val="标题 5 字符"/>
    <w:basedOn w:val="17"/>
    <w:link w:val="6"/>
    <w:semiHidden/>
    <w:qFormat/>
    <w:uiPriority w:val="9"/>
    <w:rPr>
      <w:b/>
      <w:bCs/>
      <w:i/>
      <w:iCs/>
      <w:sz w:val="26"/>
      <w:szCs w:val="26"/>
    </w:rPr>
  </w:style>
  <w:style w:type="character" w:customStyle="1" w:styleId="25">
    <w:name w:val="标题 6 字符"/>
    <w:basedOn w:val="17"/>
    <w:link w:val="7"/>
    <w:semiHidden/>
    <w:qFormat/>
    <w:uiPriority w:val="9"/>
    <w:rPr>
      <w:b/>
      <w:bCs/>
    </w:rPr>
  </w:style>
  <w:style w:type="character" w:customStyle="1" w:styleId="26">
    <w:name w:val="标题 7 字符"/>
    <w:basedOn w:val="17"/>
    <w:link w:val="8"/>
    <w:semiHidden/>
    <w:qFormat/>
    <w:uiPriority w:val="9"/>
    <w:rPr>
      <w:sz w:val="24"/>
      <w:szCs w:val="24"/>
    </w:rPr>
  </w:style>
  <w:style w:type="character" w:customStyle="1" w:styleId="27">
    <w:name w:val="标题 8 字符"/>
    <w:basedOn w:val="17"/>
    <w:link w:val="9"/>
    <w:semiHidden/>
    <w:qFormat/>
    <w:uiPriority w:val="9"/>
    <w:rPr>
      <w:i/>
      <w:iCs/>
      <w:sz w:val="24"/>
      <w:szCs w:val="24"/>
    </w:rPr>
  </w:style>
  <w:style w:type="character" w:customStyle="1" w:styleId="28">
    <w:name w:val="标题 9 字符"/>
    <w:basedOn w:val="17"/>
    <w:link w:val="10"/>
    <w:semiHidden/>
    <w:qFormat/>
    <w:uiPriority w:val="9"/>
    <w:rPr>
      <w:rFonts w:asciiTheme="majorHAnsi" w:hAnsiTheme="majorHAnsi" w:eastAsiaTheme="majorEastAsia"/>
    </w:rPr>
  </w:style>
  <w:style w:type="character" w:customStyle="1" w:styleId="29">
    <w:name w:val="标题 字符"/>
    <w:basedOn w:val="17"/>
    <w:link w:val="15"/>
    <w:qFormat/>
    <w:uiPriority w:val="10"/>
    <w:rPr>
      <w:rFonts w:asciiTheme="majorHAnsi" w:hAnsiTheme="majorHAnsi" w:eastAsiaTheme="majorEastAsia"/>
      <w:b/>
      <w:bCs/>
      <w:kern w:val="28"/>
      <w:sz w:val="32"/>
      <w:szCs w:val="32"/>
    </w:rPr>
  </w:style>
  <w:style w:type="character" w:customStyle="1" w:styleId="30">
    <w:name w:val="副标题 字符"/>
    <w:basedOn w:val="17"/>
    <w:link w:val="14"/>
    <w:qFormat/>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字符"/>
    <w:basedOn w:val="17"/>
    <w:link w:val="33"/>
    <w:qFormat/>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字符"/>
    <w:basedOn w:val="17"/>
    <w:link w:val="35"/>
    <w:qFormat/>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字符"/>
    <w:basedOn w:val="17"/>
    <w:link w:val="13"/>
    <w:qFormat/>
    <w:uiPriority w:val="99"/>
    <w:rPr>
      <w:rFonts w:ascii="Calibri" w:hAnsi="Calibri" w:eastAsia="宋体"/>
      <w:kern w:val="2"/>
      <w:sz w:val="18"/>
      <w:szCs w:val="18"/>
    </w:rPr>
  </w:style>
  <w:style w:type="character" w:customStyle="1" w:styleId="44">
    <w:name w:val="页脚 字符"/>
    <w:basedOn w:val="17"/>
    <w:link w:val="12"/>
    <w:qFormat/>
    <w:uiPriority w:val="99"/>
    <w:rPr>
      <w:rFonts w:ascii="Calibri" w:hAnsi="Calibri" w:eastAsia="宋体"/>
      <w:kern w:val="2"/>
      <w:sz w:val="18"/>
      <w:szCs w:val="18"/>
    </w:rPr>
  </w:style>
  <w:style w:type="character" w:customStyle="1" w:styleId="45">
    <w:name w:val="批注框文本 字符"/>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22</Pages>
  <Words>10648</Words>
  <Characters>11360</Characters>
  <Lines>82</Lines>
  <Paragraphs>23</Paragraphs>
  <TotalTime>3</TotalTime>
  <ScaleCrop>false</ScaleCrop>
  <LinksUpToDate>false</LinksUpToDate>
  <CharactersWithSpaces>11376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小麦啾</cp:lastModifiedBy>
  <cp:lastPrinted>2018-12-31T10:56:00Z</cp:lastPrinted>
  <dcterms:modified xsi:type="dcterms:W3CDTF">2025-05-29T09:35:11Z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C734C92AAAF24344A0E4232D8EB3359B</vt:lpwstr>
  </property>
  <property fmtid="{D5CDD505-2E9C-101B-9397-08002B2CF9AE}" pid="4" name="KSOTemplateDocerSaveRecord">
    <vt:lpwstr>eyJoZGlkIjoiMzcxN2Q5OGY0MzIxMzQ2YTVkNjkyNjY4OTc0MzQwMDIiLCJ1c2VySWQiOiIzMjQ5NjUzODcifQ==</vt:lpwstr>
  </property>
</Properties>
</file>