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F6196B">
      <w:pPr>
        <w:spacing w:line="540" w:lineRule="exact"/>
        <w:jc w:val="left"/>
        <w:rPr>
          <w:rFonts w:hint="eastAsia" w:ascii="仿宋" w:hAnsi="仿宋" w:eastAsia="仿宋" w:cs="宋体"/>
          <w:kern w:val="0"/>
          <w:sz w:val="32"/>
          <w:szCs w:val="32"/>
        </w:rPr>
      </w:pPr>
      <w:bookmarkStart w:id="0" w:name="_GoBack"/>
      <w:bookmarkEnd w:id="0"/>
      <w:r>
        <w:rPr>
          <w:rFonts w:hint="eastAsia" w:ascii="仿宋" w:hAnsi="仿宋" w:eastAsia="仿宋" w:cs="宋体"/>
          <w:kern w:val="0"/>
          <w:sz w:val="32"/>
          <w:szCs w:val="32"/>
        </w:rPr>
        <w:t>附件2：</w:t>
      </w:r>
    </w:p>
    <w:p w14:paraId="7F3A11DB">
      <w:pPr>
        <w:spacing w:line="540" w:lineRule="exact"/>
        <w:jc w:val="center"/>
        <w:rPr>
          <w:rFonts w:hint="eastAsia" w:ascii="华文中宋" w:hAnsi="华文中宋" w:eastAsia="华文中宋" w:cs="宋体"/>
          <w:b/>
          <w:kern w:val="0"/>
          <w:sz w:val="52"/>
          <w:szCs w:val="52"/>
        </w:rPr>
      </w:pPr>
    </w:p>
    <w:p w14:paraId="71CC05A7">
      <w:pPr>
        <w:spacing w:line="540" w:lineRule="exact"/>
        <w:jc w:val="center"/>
        <w:rPr>
          <w:rFonts w:hint="eastAsia" w:ascii="华文中宋" w:hAnsi="华文中宋" w:eastAsia="华文中宋" w:cs="宋体"/>
          <w:b/>
          <w:kern w:val="0"/>
          <w:sz w:val="52"/>
          <w:szCs w:val="52"/>
        </w:rPr>
      </w:pPr>
    </w:p>
    <w:p w14:paraId="3B01C4B0">
      <w:pPr>
        <w:spacing w:line="540" w:lineRule="exact"/>
        <w:jc w:val="center"/>
        <w:rPr>
          <w:rFonts w:hint="eastAsia" w:ascii="华文中宋" w:hAnsi="华文中宋" w:eastAsia="华文中宋" w:cs="宋体"/>
          <w:b/>
          <w:kern w:val="0"/>
          <w:sz w:val="52"/>
          <w:szCs w:val="52"/>
        </w:rPr>
      </w:pPr>
    </w:p>
    <w:p w14:paraId="4DE378DE">
      <w:pPr>
        <w:spacing w:line="540" w:lineRule="exact"/>
        <w:jc w:val="center"/>
        <w:rPr>
          <w:rFonts w:hint="eastAsia" w:ascii="华文中宋" w:hAnsi="华文中宋" w:eastAsia="华文中宋" w:cs="宋体"/>
          <w:b/>
          <w:kern w:val="0"/>
          <w:sz w:val="52"/>
          <w:szCs w:val="52"/>
        </w:rPr>
      </w:pPr>
    </w:p>
    <w:p w14:paraId="2AA0A9D4">
      <w:pPr>
        <w:spacing w:line="540" w:lineRule="exact"/>
        <w:jc w:val="center"/>
        <w:rPr>
          <w:rFonts w:hint="eastAsia" w:ascii="华文中宋" w:hAnsi="华文中宋" w:eastAsia="华文中宋" w:cs="宋体"/>
          <w:b/>
          <w:kern w:val="0"/>
          <w:sz w:val="52"/>
          <w:szCs w:val="52"/>
        </w:rPr>
      </w:pPr>
    </w:p>
    <w:p w14:paraId="709FE0EF">
      <w:pPr>
        <w:spacing w:line="540" w:lineRule="exact"/>
        <w:jc w:val="center"/>
        <w:rPr>
          <w:rFonts w:hint="eastAsia" w:ascii="华文中宋" w:hAnsi="华文中宋" w:eastAsia="华文中宋" w:cs="宋体"/>
          <w:b/>
          <w:kern w:val="0"/>
          <w:sz w:val="52"/>
          <w:szCs w:val="52"/>
        </w:rPr>
      </w:pPr>
    </w:p>
    <w:p w14:paraId="4085367F">
      <w:pPr>
        <w:spacing w:line="540" w:lineRule="exact"/>
        <w:jc w:val="center"/>
        <w:rPr>
          <w:rFonts w:hint="eastAsia" w:ascii="方正小标宋_GBK" w:hAnsi="华文中宋" w:eastAsia="方正小标宋_GBK" w:cs="宋体"/>
          <w:b/>
          <w:kern w:val="0"/>
          <w:sz w:val="48"/>
          <w:szCs w:val="48"/>
        </w:rPr>
      </w:pPr>
      <w:r>
        <w:rPr>
          <w:rFonts w:hint="eastAsia" w:ascii="方正小标宋_GBK" w:hAnsi="华文中宋" w:eastAsia="方正小标宋_GBK" w:cs="宋体"/>
          <w:b/>
          <w:kern w:val="0"/>
          <w:sz w:val="48"/>
          <w:szCs w:val="48"/>
        </w:rPr>
        <w:t>项目支出绩效自评报告</w:t>
      </w:r>
    </w:p>
    <w:p w14:paraId="518881C6">
      <w:pPr>
        <w:spacing w:line="540" w:lineRule="exact"/>
        <w:jc w:val="center"/>
        <w:rPr>
          <w:rFonts w:hint="eastAsia" w:ascii="华文中宋" w:hAnsi="华文中宋" w:eastAsia="华文中宋" w:cs="宋体"/>
          <w:b/>
          <w:kern w:val="0"/>
          <w:sz w:val="52"/>
          <w:szCs w:val="52"/>
        </w:rPr>
      </w:pPr>
    </w:p>
    <w:p w14:paraId="7CE76863">
      <w:pPr>
        <w:spacing w:line="540" w:lineRule="exact"/>
        <w:jc w:val="center"/>
        <w:rPr>
          <w:rFonts w:hint="eastAsia" w:hAnsi="宋体" w:eastAsia="仿宋_GB2312" w:cs="宋体"/>
          <w:kern w:val="0"/>
          <w:sz w:val="36"/>
          <w:szCs w:val="36"/>
        </w:rPr>
      </w:pPr>
      <w:r>
        <w:rPr>
          <w:rFonts w:hint="eastAsia" w:hAnsi="宋体" w:eastAsia="仿宋_GB2312" w:cs="宋体"/>
          <w:kern w:val="0"/>
          <w:sz w:val="36"/>
          <w:szCs w:val="36"/>
        </w:rPr>
        <w:t xml:space="preserve">（   </w:t>
      </w:r>
      <w:r>
        <w:rPr>
          <w:rStyle w:val="18"/>
          <w:rFonts w:hint="eastAsia" w:ascii="楷体" w:hAnsi="楷体" w:eastAsia="楷体"/>
          <w:spacing w:val="-4"/>
          <w:sz w:val="32"/>
          <w:szCs w:val="32"/>
        </w:rPr>
        <w:t>2023</w:t>
      </w:r>
      <w:r>
        <w:rPr>
          <w:rFonts w:hint="eastAsia" w:hAnsi="宋体" w:eastAsia="仿宋_GB2312" w:cs="宋体"/>
          <w:kern w:val="0"/>
          <w:sz w:val="36"/>
          <w:szCs w:val="36"/>
        </w:rPr>
        <w:t xml:space="preserve">  年度）</w:t>
      </w:r>
    </w:p>
    <w:p w14:paraId="549C878A">
      <w:pPr>
        <w:spacing w:line="540" w:lineRule="exact"/>
        <w:jc w:val="center"/>
        <w:rPr>
          <w:rFonts w:hint="eastAsia" w:hAnsi="宋体" w:eastAsia="仿宋_GB2312" w:cs="宋体"/>
          <w:kern w:val="0"/>
          <w:sz w:val="30"/>
          <w:szCs w:val="30"/>
        </w:rPr>
      </w:pPr>
    </w:p>
    <w:p w14:paraId="1408906D">
      <w:pPr>
        <w:spacing w:line="540" w:lineRule="exact"/>
        <w:jc w:val="center"/>
        <w:rPr>
          <w:rFonts w:hint="eastAsia" w:hAnsi="宋体" w:eastAsia="仿宋_GB2312" w:cs="宋体"/>
          <w:kern w:val="0"/>
          <w:sz w:val="30"/>
          <w:szCs w:val="30"/>
        </w:rPr>
      </w:pPr>
    </w:p>
    <w:p w14:paraId="27997087">
      <w:pPr>
        <w:spacing w:line="540" w:lineRule="exact"/>
        <w:jc w:val="center"/>
        <w:rPr>
          <w:rFonts w:hint="eastAsia" w:hAnsi="宋体" w:eastAsia="仿宋_GB2312" w:cs="宋体"/>
          <w:kern w:val="0"/>
          <w:sz w:val="30"/>
          <w:szCs w:val="30"/>
        </w:rPr>
      </w:pPr>
    </w:p>
    <w:p w14:paraId="447EB718">
      <w:pPr>
        <w:spacing w:line="540" w:lineRule="exact"/>
        <w:jc w:val="center"/>
        <w:rPr>
          <w:rFonts w:hint="eastAsia" w:hAnsi="宋体" w:eastAsia="仿宋_GB2312" w:cs="宋体"/>
          <w:kern w:val="0"/>
          <w:sz w:val="30"/>
          <w:szCs w:val="30"/>
        </w:rPr>
      </w:pPr>
    </w:p>
    <w:p w14:paraId="4C42FB92">
      <w:pPr>
        <w:spacing w:line="540" w:lineRule="exact"/>
        <w:jc w:val="center"/>
        <w:rPr>
          <w:rFonts w:hint="eastAsia" w:hAnsi="宋体" w:eastAsia="仿宋_GB2312" w:cs="宋体"/>
          <w:kern w:val="0"/>
          <w:sz w:val="30"/>
          <w:szCs w:val="30"/>
        </w:rPr>
      </w:pPr>
    </w:p>
    <w:p w14:paraId="40B9E070">
      <w:pPr>
        <w:spacing w:line="540" w:lineRule="exact"/>
        <w:jc w:val="center"/>
        <w:rPr>
          <w:rFonts w:hint="eastAsia" w:hAnsi="宋体" w:eastAsia="仿宋_GB2312" w:cs="宋体"/>
          <w:kern w:val="0"/>
          <w:sz w:val="30"/>
          <w:szCs w:val="30"/>
        </w:rPr>
      </w:pPr>
    </w:p>
    <w:p w14:paraId="35E3FEB5">
      <w:pPr>
        <w:spacing w:line="540" w:lineRule="exact"/>
        <w:rPr>
          <w:rFonts w:hint="eastAsia" w:hAnsi="宋体" w:eastAsia="仿宋_GB2312" w:cs="宋体"/>
          <w:kern w:val="0"/>
          <w:sz w:val="30"/>
          <w:szCs w:val="30"/>
        </w:rPr>
      </w:pPr>
    </w:p>
    <w:p w14:paraId="06AF2D50">
      <w:pPr>
        <w:spacing w:line="700" w:lineRule="exact"/>
        <w:jc w:val="left"/>
        <w:rPr>
          <w:rFonts w:hint="eastAsia" w:hAnsi="宋体" w:eastAsia="仿宋_GB2312" w:cs="宋体"/>
          <w:kern w:val="0"/>
          <w:sz w:val="36"/>
          <w:szCs w:val="36"/>
        </w:rPr>
      </w:pPr>
      <w:r>
        <w:rPr>
          <w:rFonts w:hint="eastAsia" w:hAnsi="宋体" w:eastAsia="仿宋_GB2312" w:cs="宋体"/>
          <w:kern w:val="0"/>
          <w:sz w:val="36"/>
          <w:szCs w:val="36"/>
        </w:rPr>
        <w:t xml:space="preserve">     </w:t>
      </w:r>
    </w:p>
    <w:p w14:paraId="096A1B73">
      <w:pPr>
        <w:spacing w:line="700" w:lineRule="exact"/>
        <w:ind w:firstLine="900" w:firstLineChars="250"/>
        <w:jc w:val="left"/>
        <w:rPr>
          <w:rFonts w:hint="eastAsia" w:hAnsi="宋体" w:eastAsia="仿宋_GB2312" w:cs="宋体"/>
          <w:kern w:val="0"/>
          <w:sz w:val="36"/>
          <w:szCs w:val="36"/>
        </w:rPr>
      </w:pPr>
      <w:r>
        <w:rPr>
          <w:rFonts w:hint="eastAsia" w:hAnsi="宋体" w:eastAsia="仿宋_GB2312" w:cs="宋体"/>
          <w:kern w:val="0"/>
          <w:sz w:val="36"/>
          <w:szCs w:val="36"/>
        </w:rPr>
        <w:t>项目名称：</w:t>
      </w:r>
      <w:r>
        <w:rPr>
          <w:rStyle w:val="18"/>
          <w:rFonts w:hint="eastAsia" w:ascii="楷体" w:hAnsi="楷体" w:eastAsia="楷体"/>
          <w:spacing w:val="-4"/>
          <w:sz w:val="32"/>
          <w:szCs w:val="32"/>
        </w:rPr>
        <w:t>公益诉讼专项经费</w:t>
      </w:r>
    </w:p>
    <w:p w14:paraId="46ABC5E5">
      <w:pPr>
        <w:spacing w:line="540" w:lineRule="exact"/>
        <w:ind w:firstLine="567"/>
        <w:rPr>
          <w:rFonts w:hint="eastAsia" w:ascii="楷体" w:hAnsi="楷体" w:eastAsia="楷体"/>
          <w:b/>
          <w:bCs/>
          <w:spacing w:val="-4"/>
          <w:sz w:val="32"/>
          <w:szCs w:val="32"/>
        </w:rPr>
      </w:pPr>
      <w:r>
        <w:rPr>
          <w:rFonts w:hint="eastAsia" w:hAnsi="宋体" w:eastAsia="仿宋_GB2312" w:cs="宋体"/>
          <w:kern w:val="0"/>
          <w:sz w:val="36"/>
          <w:szCs w:val="36"/>
        </w:rPr>
        <w:t xml:space="preserve">  实施单位（公章）：</w:t>
      </w:r>
      <w:r>
        <w:rPr>
          <w:rStyle w:val="18"/>
          <w:rFonts w:hint="eastAsia" w:ascii="楷体" w:hAnsi="楷体" w:eastAsia="楷体"/>
          <w:spacing w:val="-4"/>
          <w:sz w:val="28"/>
          <w:szCs w:val="28"/>
        </w:rPr>
        <w:t>昌吉回族自治州人民检察院</w:t>
      </w:r>
    </w:p>
    <w:p w14:paraId="46D3C818">
      <w:pPr>
        <w:spacing w:line="540" w:lineRule="exact"/>
        <w:ind w:firstLine="900" w:firstLineChars="250"/>
        <w:rPr>
          <w:rFonts w:hint="eastAsia" w:ascii="楷体" w:hAnsi="楷体" w:eastAsia="楷体"/>
          <w:b/>
          <w:bCs/>
          <w:spacing w:val="-4"/>
          <w:sz w:val="28"/>
          <w:szCs w:val="28"/>
        </w:rPr>
      </w:pPr>
      <w:r>
        <w:rPr>
          <w:rFonts w:hint="eastAsia" w:hAnsi="宋体" w:eastAsia="仿宋_GB2312" w:cs="宋体"/>
          <w:kern w:val="0"/>
          <w:sz w:val="36"/>
          <w:szCs w:val="36"/>
        </w:rPr>
        <w:t>主管部门（公章）：</w:t>
      </w:r>
      <w:r>
        <w:rPr>
          <w:rStyle w:val="18"/>
          <w:rFonts w:hint="eastAsia" w:ascii="楷体" w:hAnsi="楷体" w:eastAsia="楷体"/>
          <w:spacing w:val="-4"/>
          <w:sz w:val="28"/>
          <w:szCs w:val="28"/>
        </w:rPr>
        <w:t>昌吉回族自治州人民检察院</w:t>
      </w:r>
    </w:p>
    <w:p w14:paraId="45B01BC2">
      <w:pPr>
        <w:spacing w:line="540" w:lineRule="exact"/>
        <w:ind w:firstLine="900" w:firstLineChars="250"/>
        <w:rPr>
          <w:rFonts w:hint="eastAsia" w:ascii="楷体" w:hAnsi="楷体" w:eastAsia="楷体"/>
          <w:b/>
          <w:bCs/>
          <w:spacing w:val="-4"/>
          <w:sz w:val="32"/>
          <w:szCs w:val="32"/>
        </w:rPr>
      </w:pPr>
      <w:r>
        <w:rPr>
          <w:rFonts w:hint="eastAsia" w:hAnsi="宋体" w:eastAsia="仿宋_GB2312" w:cs="宋体"/>
          <w:kern w:val="0"/>
          <w:sz w:val="36"/>
          <w:szCs w:val="36"/>
        </w:rPr>
        <w:t>项目负责人（签章）：</w:t>
      </w:r>
      <w:r>
        <w:rPr>
          <w:rStyle w:val="18"/>
          <w:rFonts w:hint="eastAsia" w:ascii="楷体" w:hAnsi="楷体" w:eastAsia="楷体"/>
          <w:spacing w:val="-4"/>
          <w:sz w:val="32"/>
          <w:szCs w:val="32"/>
        </w:rPr>
        <w:t>谭婷</w:t>
      </w:r>
    </w:p>
    <w:p w14:paraId="1025AF8E">
      <w:pPr>
        <w:spacing w:line="540" w:lineRule="exact"/>
        <w:ind w:left="273" w:firstLine="567"/>
        <w:rPr>
          <w:rStyle w:val="18"/>
          <w:rFonts w:hint="eastAsia" w:ascii="楷体" w:hAnsi="楷体" w:eastAsia="楷体"/>
          <w:spacing w:val="-4"/>
          <w:sz w:val="32"/>
          <w:szCs w:val="32"/>
        </w:rPr>
      </w:pPr>
      <w:r>
        <w:rPr>
          <w:rFonts w:hint="eastAsia" w:hAnsi="宋体" w:eastAsia="仿宋_GB2312" w:cs="宋体"/>
          <w:kern w:val="0"/>
          <w:sz w:val="36"/>
          <w:szCs w:val="36"/>
        </w:rPr>
        <w:t>填报时间：</w:t>
      </w:r>
      <w:r>
        <w:rPr>
          <w:rStyle w:val="18"/>
          <w:rFonts w:hint="eastAsia" w:ascii="楷体" w:hAnsi="楷体" w:eastAsia="楷体"/>
          <w:spacing w:val="-4"/>
          <w:sz w:val="32"/>
          <w:szCs w:val="32"/>
        </w:rPr>
        <w:t>2024年03月26日</w:t>
      </w:r>
    </w:p>
    <w:p w14:paraId="10CC9868">
      <w:pPr>
        <w:spacing w:line="700" w:lineRule="exact"/>
        <w:ind w:firstLine="708" w:firstLineChars="236"/>
        <w:jc w:val="left"/>
        <w:rPr>
          <w:rFonts w:hint="eastAsia" w:hAnsi="宋体" w:eastAsia="仿宋_GB2312" w:cs="宋体"/>
          <w:kern w:val="0"/>
          <w:sz w:val="30"/>
          <w:szCs w:val="30"/>
        </w:rPr>
      </w:pPr>
    </w:p>
    <w:p w14:paraId="13FF7BA4">
      <w:pPr>
        <w:spacing w:line="540" w:lineRule="exact"/>
        <w:rPr>
          <w:rStyle w:val="18"/>
          <w:rFonts w:hint="eastAsia" w:ascii="黑体" w:hAnsi="黑体" w:eastAsia="黑体"/>
          <w:b w:val="0"/>
          <w:spacing w:val="-4"/>
          <w:sz w:val="32"/>
          <w:szCs w:val="32"/>
        </w:rPr>
      </w:pPr>
    </w:p>
    <w:p w14:paraId="4B36FC59">
      <w:p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一、基本情况</w:t>
      </w:r>
    </w:p>
    <w:p w14:paraId="177BBDE6">
      <w:pPr>
        <w:spacing w:line="540" w:lineRule="exact"/>
        <w:ind w:firstLine="567"/>
        <w:rPr>
          <w:rStyle w:val="18"/>
          <w:rFonts w:hint="eastAsia" w:ascii="楷体" w:hAnsi="楷体" w:eastAsia="楷体"/>
          <w:spacing w:val="-4"/>
          <w:sz w:val="32"/>
          <w:szCs w:val="32"/>
        </w:rPr>
      </w:pPr>
      <w:r>
        <w:rPr>
          <w:rStyle w:val="18"/>
          <w:rFonts w:hint="eastAsia" w:ascii="楷体" w:hAnsi="楷体" w:eastAsia="楷体"/>
          <w:spacing w:val="-4"/>
          <w:sz w:val="32"/>
          <w:szCs w:val="32"/>
        </w:rPr>
        <w:t>（一）项目概况。</w:t>
      </w:r>
    </w:p>
    <w:p w14:paraId="0130D2B0">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1.项目背景</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根据最高人民检察院《“十四五”时期检务保障工作发展规划》和《关于做好检察公益诉讼技术支持保障工作的通知》等政策文件要求，指导和办理公益诉讼案件；开展公益诉讼案件快速检测；公益诉讼案件委托鉴定；对到期未整改案件的提起诉讼；案件按时限办及时。提升人民对国有林地和草场的保护意识；被破坏的草场和林地得以修复。</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2.主要内容</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（1）项目名称：公益诉讼专项经费项目</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（2）项目主要内容：指导和办理公益诉讼案件；开展公益诉讼案件快速检测；公益诉讼案件委托鉴定；对到期未整改案件的提起诉讼；案件按时限办及时。</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项目的实施指导和办理公益诉讼案件427件；对到期未整改案件的提起诉讼率100.00%；案件按时限办理达标率100.00%；挽回国有损失606.00万元。</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于2023年1月开始实施，截止2023年12月已全部完成，通过本项目的实施，采购智能化视频办案指挥设备，做好检察公益诉讼技术支持保障工作；制作公益诉讼宣传片，提高宣传度，积极争取各方支持提升人民对国有林地和草场的保护意识；被破坏的草场和林地得以修复。</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3.实施情况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实施主体：昌吉回族自治州人民检察院。</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实施时间：本项目实施周期为2023年1月-2023年12月。</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情况：本项目于2023年1月开始实施，截止2023年12月已全部完成，通过本项目的实施，项目的实施指导和办理公益诉讼案件427件；对到期未整改案件的提起诉讼率100.00%；案件按时限办理达标率100.00%；挽回国有损失606.00万元。采购智能化视频办案指挥设备，做好检察公益诉讼技术支持保障工作；制作公益诉讼宣传片，提高宣传度，积极争取各方支持提升人民对国有林地和草场的保护意识；被破坏的草场和林地得以修复。</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4.项目实施主体</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（1）主要职能</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根据《中华人民共和国宪法》、《中华人民共和国人民检察院组织法》和中共中央《关于政法领域全面深化改革的实施意见》，按照自治区党委机构编制委员会《关于印发自治区分州市、县市区人民检察院内设机构改革方案的通知》的精神，昌吉州人民检察院主要职能是：</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一）深入贯彻习近平新时代中国特色社会主义思想，深入贯彻党的路线方针政策和决策部署，聚焦社会稳定和长治久安总目标，统一本地区检察机关思想和行动，坚持党对检察工作的绝对领导，坚决维护习近平总书记的核心地位，坚决维护党中央权威和集中统一领导。</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（二）依法向昌吉州人民代表大会及其常务委员会提出议案。</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（三）领导本地区各级人民检察院的工作，对基层人民检察院相关业务进行指导，贯彻落实检察工作方针、总体规划，部署检察工作任务。</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（四）依照法律规定对由昌吉州人民检察院直接受理的刑事案件行使侦查权，领导本地区各级人民检察院开展对依照法律规定由人民检察院直接受理的刑事案件的侦查工作。</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五）对本地区重大刑事案件依法审查批准速捕、决定速捕、审查起诉，对报请追诉的案件进行审查，报请自治区人民检察院审查、决定是否追诉，领导本地区各级人民检察院开展对刑事犯罪案件的审查批准逮捕、决定逮捕、审查起诉工作。</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六）负责应由昌吉州人民检察院承办的刑事、民事、行政诉讼活动及刑事、民事、行政判决和裁定等生效法律文书执行活动的法律监督工作，领导本地区各级人民检察院对刑事、民事、行政诉讼活动及判决和裁定等生效法律文书执行活动的法律监督工作。</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七）负责对本地区基层人民法院已发生法律效力、确有错误的判决和裁定，依法向昌吉州中级人民法院提出抗诉。负责对昌吉州中级人民法院已发生法律效力、确有错误的判决和裁定，依法提请自治区人民检察院向自治区高级人民法院提出抗诉。</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（八）负责应由昌吉州人民检察院承办的提起公益诉讼工作，领导本地区各级人民检察院开展提起公益诉讼工作。</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九）负责应由昌吉州人民检察院承办的对监狱、安置教育机构、看守所和社区矫正机构等执法活动的法律监督工作，领导本地区各级人民检察院开展对监狱、安置教育机构、看守所和社区矫正机构等执法活动的法律监督工作。</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（十）受理向昌吉州人民检察院的控告申诉，领导本地区各级人民检察院的控告申诉检察工作。</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（十一）对本地区各级人民检察院在行使检察权中作出的决定进行审查，纠正错误决定。</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（十二）指导本地区检察机关的检察应用和理论研究工作。</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（十三）负责本地区检察机关队伍建设和思想政治工作。领导本地区各级人民检察院依法管理检察官及其他检察人员的工作，组织指导本地区检察机关教育培训工作。</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（十四）协同昌吉州党委主管部门管理和考核基层人民检察院领导班子成员。</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（十五）领导本地区各级人民检察院的检务督察工作。</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（十六）规划和指导本地区检察机关的财务装备工作，指导本地区检察机关的检察技术信息工作。</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（十七）负责其他应当由昌吉州人民检察院承办的事项。</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（2）机构设置情况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昌吉回族自治州人民检察院，该单位纳入2023年部门决算编制范围的有15个科室，分别是：办公室、第一检察部、第二检察部、第三检察部、第四检察部、第五检察部、第六检察部、第七检察部、第八检察部、综合检察业务部、检务督察部、行政装备处、检察技术处、司法警察支队、政治部等。</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编制人数为80人，其中：行政人员编制76人、工勤4人。离退休人员68人，其中：行政退休人员68人。</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5.资金投入和使用情况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（1）项目资金安排落实、总投入等情况分析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本项目预算安排总额为80.00万元，资金来源为本级部门预算，其中：财政资金80.00万元，其他资金0.00万元，2023年实际收到预算资金80.00万元，预算资金到位率为100.00%。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（2）项目资金实际使用情况分析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截至2023年12月31日，本项目实际支付资金79.28万元，预算执行率99.10%（结余资金额度0.72万元）。本项目资金主要用于支付公益诉讼指挥平台76.10万元、公益诉讼检察工作宣传费用3.18万元。</w:t>
      </w:r>
    </w:p>
    <w:p w14:paraId="490F4AE8">
      <w:pPr>
        <w:spacing w:line="540" w:lineRule="exact"/>
        <w:ind w:firstLine="567"/>
        <w:rPr>
          <w:rStyle w:val="18"/>
          <w:rFonts w:hint="eastAsia" w:ascii="楷体" w:hAnsi="楷体" w:eastAsia="楷体"/>
          <w:spacing w:val="-4"/>
          <w:sz w:val="32"/>
          <w:szCs w:val="32"/>
        </w:rPr>
      </w:pPr>
      <w:r>
        <w:rPr>
          <w:rStyle w:val="18"/>
          <w:rFonts w:hint="eastAsia" w:ascii="楷体" w:hAnsi="楷体" w:eastAsia="楷体"/>
          <w:spacing w:val="-4"/>
          <w:sz w:val="32"/>
          <w:szCs w:val="32"/>
        </w:rPr>
        <w:t>（二）项目绩效目标</w:t>
      </w:r>
    </w:p>
    <w:p w14:paraId="6AB97D1F">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（二）项目绩效目标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1.总体目标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根据中共中央《中共中央关于加强新时代检察机关法律监督工作的意见》、最高人民检察院《“十四五”时期检务保障工作发展规划》和《关于做好检察公益诉讼技术支持保障工作的通知》等政策文件的要求，1、通过智能化视频办案指挥设备，做好检察公益诉讼技术支持保障工作；2、制作公益诉讼宣传片，提高宣传度，积极争取各方支持；3、完成指导和办理公益诉讼案件200件以上，对到期未整改案件的提起诉讼率超过90.00%。积极推动检察公益诉讼技术支持保障工作。</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2.阶段性目标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根据《中华人民共和国预算法》、《财政支出绩效评价管理暂行办法》（财预〔2020〕10号）、《中共中央国务院关于全面实施预算绩效管理的意见》（中发〔2018〕34号）、《自治区党委自治区人民政府关于全面实施预算绩效管理的实施意见》（新党发〔2018〕30号）、《自治区财政支出绩效评价管理暂行办法》（新财预〔2018〕189号）的规定，结合我单位的规章制度以及项目实施和财务相关资料，评价小组对项目绩效指标进行了进一步的完善，完善后绩效指标如下：</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（1）项目产出指标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①数量指标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“指导和办理公益诉讼案件”指标，预期指标值为“大于等于200件”；</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“采购公益诉讼指挥系统设备”指标，预期指标值为“大于等于1批”；</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②质量指标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“对到期未整改案件的提起诉讼率”指标，预期指标值为“大于等于90.00%”；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“设备验收合格率”指标，预期指标值为“大于等于95.00%”；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③时效指标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“案件按时限办理达标率”指标，预期指标值为“大于等于95.00%”；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（2）项目成本指标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①经济成本指标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“公益诉讼信息化设备支出成本”指标，预期指标值为“小于等于76.00万元”；</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“公益诉讼业务支出成本”指标，预期指标值为“小于等于4.00万元”；</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②社会成本指标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③生态环境成本指标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（3）项目效益指标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①经济效益指标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“挽回国有损失”指标，预期指标值为“大于等于1000.00万元”；</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②社会效益指标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③生态效益指标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（4）项目满意度指标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①满意度指标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“人民监督员对公益诉讼工作的满意度”指标，预期指标值为“大于等于95.00%”。</w:t>
      </w:r>
    </w:p>
    <w:p w14:paraId="69020792">
      <w:p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二、绩效评价工作开展情况</w:t>
      </w:r>
    </w:p>
    <w:p w14:paraId="0DE948CE">
      <w:pPr>
        <w:spacing w:line="540" w:lineRule="exact"/>
        <w:ind w:firstLine="567" w:firstLineChars="181"/>
        <w:rPr>
          <w:rStyle w:val="18"/>
          <w:rFonts w:hint="eastAsia" w:ascii="楷体" w:hAnsi="楷体" w:eastAsia="楷体"/>
          <w:spacing w:val="-4"/>
          <w:sz w:val="32"/>
          <w:szCs w:val="32"/>
        </w:rPr>
      </w:pPr>
      <w:r>
        <w:rPr>
          <w:rStyle w:val="18"/>
          <w:rFonts w:hint="eastAsia" w:ascii="楷体" w:hAnsi="楷体" w:eastAsia="楷体"/>
          <w:spacing w:val="-4"/>
          <w:sz w:val="32"/>
          <w:szCs w:val="32"/>
        </w:rPr>
        <w:t>（一）绩效评价目的、对象和范围</w:t>
      </w:r>
    </w:p>
    <w:p w14:paraId="499AB55E">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（一）绩效评价的目的、对象和范围</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1.绩效评价的目的</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次绩效评价遵循财政部《项目支出绩效评价管理办法》（财预〔2020〕10号）和自治区财政厅《自治区财政支出绩效评价管理暂行办法》（新财预〔2018〕189号）等相关政策文件与规定，旨在评价财政项目实施前期、过程及效果，评价财政预算资金使用的效率及效益。本次通过开展部门项目支出绩效评价，旨在强化部门和资金使用单位的绩效意识，全面了解该项目预算编制合理性、资金使用合规性、项目管理规范性、绩效目标实现情况以及服务对象的满意度等，及时总结经验和教训，为下年度部门项目支出预算安排、完善政策和改进管理提供可行性参考建议。</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2.绩效评价对象</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此次我单位根据《财政支出绩效评价管理暂行办法》（财预〔2020〕10号）文件要求实施评价工作，本次评价对象为公益诉讼专项经费，评价核心为项目资金、项目产出、项目效益。</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3.绩效评价范围</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次绩效评价主要围绕项目资金使用情况和财务管理状况；资产配置、使用、处置及其收益管理情况；项目管理相关制度及措施是否被认真执行；绩效目标的实现程度（包括是否达到预定产出和效果）等方面进行综合绩效评价。</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4.绩效评价依据</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(1)《中华人民共和国预算法》；</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(2)《中共中央国务院关于全面实施预算绩效管理的意见》（中发〔2018〕34号）；</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(3)《项目支出绩效评价管理办法》（财预〔2020〕10号）；</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(4)《自治区财政支出绩效评价管理暂行办法》（新财预〔2018〕189号）；</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(5)公益诉讼检察工作重点。</w:t>
      </w:r>
    </w:p>
    <w:p w14:paraId="4F2CA945">
      <w:pPr>
        <w:spacing w:line="540" w:lineRule="exact"/>
        <w:ind w:firstLine="567"/>
        <w:rPr>
          <w:rStyle w:val="18"/>
          <w:rFonts w:hint="eastAsia" w:ascii="楷体" w:hAnsi="楷体" w:eastAsia="楷体"/>
          <w:spacing w:val="-4"/>
          <w:sz w:val="32"/>
          <w:szCs w:val="32"/>
        </w:rPr>
      </w:pPr>
      <w:r>
        <w:rPr>
          <w:rStyle w:val="18"/>
          <w:rFonts w:hint="eastAsia" w:ascii="楷体" w:hAnsi="楷体" w:eastAsia="楷体"/>
          <w:spacing w:val="-4"/>
          <w:sz w:val="32"/>
          <w:szCs w:val="32"/>
        </w:rPr>
        <w:t>（二）绩效评价原则、评价指标体系、评价方法、评价标准</w:t>
      </w:r>
    </w:p>
    <w:p w14:paraId="7F6698E6">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（二）绩效评价原则、评价指标体系</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1.绩效评价原则</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依据《中华人民共和国预算法》《中共 中央国务院关于全面实施预算绩效管理的意见》（中发〔2018〕34号）、《项目支出绩效评价管理办法》（财预〔2020〕10号）等要求，本次绩效评价秉承科学规范、公正公开、分级分类、绩效相关等原则，按照从投入、过程到产出效果和影响的绩效逻辑路径，通过绩效评价反思项目实施和管理中的问题，总结经验和教训，为提升财政资金使用效益，提供可行性参考建议。绩效评价应遵循如下原则：</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（1）科学公正。绩效评价应当运用科学合理的方法，按照规范的程序，对项目绩效进行客观、公正的反映。</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统筹兼顾。单位自评、部门评价和财政评价应职责明确，各有侧重，相互衔接。单位自评应由项目单位自主实施，即“谁支出、谁自评”。部门评价和财政评价应在单位自评的基础上开展，必要时可委托第三方机构实施。</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（3）激励约束。绩效评价结果应与预算安排、政策调整、改进管理实质性挂钩，体现奖优罚劣和激励相容导向，有效要安排、低效要压减、无效要问责。</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（4）公开透明。绩效评价结果应依法依规公开，并自觉接受社会监督。</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2.绩效评价指标体系</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通过实施资料研读及前期调研，结合项目的实际开展情况，按照《项目支出绩效评价管理办法》（财预〔2020〕10号）文件要求，全面反映项目决策、项目和资金管理、产出和效益，优先选取最具代表性、最能直接反映产出和效益的核心指标，精简实用，绩效评价小组结合项目的实际情况，综合考虑相关性、重要性、可衡量性、可操作性和可实现性，按照逻辑分析法设计本次绩效评价指标体系，绩效评价指标的权重设计突出结果导向，设置指标体系结构如下：设置一级指标共4个，包括：决策指标（21.0%）、过程指标（19.0%）、产出指标（30.0%）、效益指标（30.0%）四类指标；二级和三级指标根据各项指标在评价体系中的重要程度确定，考虑项目实施和管理对项目绩效的影响等因素赋予相应的权重分值。绩效评价小组围绕项目总体绩效目标，将梳理后的年度绩效目标细化分解为个性化产出和效益指标，与共性指标共同构成该项目绩效评价指标体系详见“附件1：项目支出绩效评价绩效评价体系”。</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3.评价方法</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正确的评价方法是评价工作顺利开展的保障，在结合实际经验的情况下，绩效评价小组根据该项目资金的性质和特点，选用比较法、公众评判法以及文献法对项目进行评价，旨在通过综合分析影响绩效目标实现、实施效果的内外部因素，从而评价本项目绩效。三级指标分析环节：总体采用比较法，同时辅以文献法</w:t>
      </w:r>
      <w:r>
        <w:rPr>
          <w:rStyle w:val="18"/>
          <w:rFonts w:hint="eastAsia" w:ascii="楷体" w:hAnsi="楷体" w:eastAsia="楷体"/>
          <w:b w:val="0"/>
          <w:bCs w:val="0"/>
          <w:spacing w:val="-4"/>
          <w:sz w:val="32"/>
          <w:szCs w:val="32"/>
          <w:lang w:eastAsia="zh-CN"/>
        </w:rPr>
        <w:t>以及</w:t>
      </w:r>
      <w:r>
        <w:rPr>
          <w:rStyle w:val="18"/>
          <w:rFonts w:hint="eastAsia" w:ascii="楷体" w:hAnsi="楷体" w:eastAsia="楷体"/>
          <w:b w:val="0"/>
          <w:bCs w:val="0"/>
          <w:spacing w:val="-4"/>
          <w:sz w:val="32"/>
          <w:szCs w:val="32"/>
        </w:rPr>
        <w:t>公众评判法。</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4.评价标准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绩效评价标准通常包括计划标准、行业标准、历史标准等。本次绩效评价采用计划标准，以预先制定的目标、计划、预算、定额等作为评价标准，对比分析项目产出、效益的完成情况。对于定性指标，通过问卷调查及访谈方式，采集相关数据，运用等级描述法，设置分级标准，体现该指标认可程度的差异。对于定量指标，通过公式等方式予以量化，可以准确衡量，并设定目标值的考核指标。</w:t>
      </w:r>
    </w:p>
    <w:p w14:paraId="1E04B1C8">
      <w:pPr>
        <w:spacing w:line="540" w:lineRule="exact"/>
        <w:ind w:firstLine="567" w:firstLineChars="181"/>
        <w:rPr>
          <w:rStyle w:val="18"/>
          <w:rFonts w:hint="eastAsia" w:ascii="楷体" w:hAnsi="楷体" w:eastAsia="楷体"/>
          <w:spacing w:val="-4"/>
          <w:sz w:val="32"/>
          <w:szCs w:val="32"/>
        </w:rPr>
      </w:pPr>
      <w:r>
        <w:rPr>
          <w:rStyle w:val="18"/>
          <w:rFonts w:hint="eastAsia" w:ascii="楷体" w:hAnsi="楷体" w:eastAsia="楷体"/>
          <w:spacing w:val="-4"/>
          <w:sz w:val="32"/>
          <w:szCs w:val="32"/>
        </w:rPr>
        <w:t>（三）绩效评价工作过程</w:t>
      </w:r>
    </w:p>
    <w:p w14:paraId="352513CF">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（三）绩效评价工作过程</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1.前期准备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于2024年3月5日，确定绩效评价工作小组，正式开始前期准备工作，通过对评价对象前期调研，确定了评价的目的、方法以及评价的原则，根据项目的内容和特征制定了评价指标体系及评价标准。绩效评价工作小组人员名单及分工如下：</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白强（评价小组组长）：主要负责项目策划和监督，全面负责项目绩效评价办稿的最终质量，对评估人员出具的最终报告质量进行复核，确保评估结果的客观性；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张雪梅（评价小组组员）：主要负责资料的收集，取证、数据统计分析；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毛玲玲（评价小组组员）：主要负责主要负责项目报告的制定，指标的研判，数据分析及报告撰写。</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2.组织实施</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2024年3月6日-3月15日，评价工作进入实施阶段。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在数据采集方面，评价小组项目负责人、财务人员进行访谈沟通，全面了解项目实施的目的、预算安排、实施内容、组织管理、实施结果等方面的内容；全面收集项目决策过程、资金使用管理、制度建设与执行情况等相关资料，完成绩效评价内容所需的印证资料整理，所有数据经核查后统计汇总。</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经调研了解，该项目主要受益群体包括资源管理机构。我们根据绩效评价目标和绩效指标体系，设计满意度调查问卷进行问卷调查，其中相关单位共选取样本50人，共发放问卷50份，最终收回50份。</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3.分析评价</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2024年3月16日-3月20日，评价小组按照绩效评价的原则和规范，对取得的资料进行审查核实，对采集的数据进行分析，按照绩效评价指标评分表逐项进行打分、分析、汇总各方评价结果。　</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4.撰写与提交评价报告</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2024年3月21日-3月30日，评价小组撰写绩效评价报告，按照新疆维吾尔自治区财政绩效管理信息系统绩效评价模块中统一格式和文本框架撰写绩效评价报告并提交审核。</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5.问题整改</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审核通过后，由评价小组将报告推送至项目实施人员，由项目实施人员根据报告评价结论、存在的问题以及改进建议落实问题整改，并形成整改报告，由评价小组负责监督和核查整改落实情况，确保绩效评价落到实处。</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6.档案整理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建立和落实档案管理制度，将项目相关资料存档，包括但不限于：评价项目基本情况和相关文件、评价实施方案、项目支付资料等相关档案。</w:t>
      </w:r>
    </w:p>
    <w:p w14:paraId="6A75B0FB">
      <w:p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三、综合评价情况及评价结论</w:t>
      </w:r>
    </w:p>
    <w:p w14:paraId="401383A5">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（一）综合评价情况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评价，本项目较大程度达成年初设立的绩效目标，在实施过程中取得了良好的成效，具体表现在：通过项目的实施，完成了指导和办理公益诉讼案件427件；对到期未整改案件的提起诉讼率100.00%；案件按时限办理达标率100.00%；发挥了挽回国有损失606.00万元的经济效益。但在实施过程中也存在一些不足：预算不够精细，成本类指标部分完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（二）评价结论</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此次绩效评价通过绩效评价小组论证的评价指标体系及评分标准，采用因素分析法和比较法对本项目绩效进行客观评价，本项目共设置三级指标数量20个，实现三级指标数量17个，总体完成率为85.00%。最终评分结果：总分为91.02分，绩效评级为“优”。综合评价结论如下：</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项目决策类指标共设置6个，满分指标6个，得分率100.00%；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过程管理类指标共设置5个，满分指标4个，得分率99.79%；</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项目产出类指标共设置7个，满分指标6个，得分83.33%；</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项目效益类指标共设置2个，满分指标1个，得分率86.87%。</w:t>
      </w:r>
    </w:p>
    <w:p w14:paraId="47AE3173">
      <w:pPr>
        <w:spacing w:line="540" w:lineRule="exact"/>
        <w:ind w:firstLine="640"/>
        <w:rPr>
          <w:rStyle w:val="18"/>
          <w:rFonts w:hint="eastAsia" w:ascii="黑体" w:hAnsi="黑体" w:eastAsia="黑体"/>
        </w:rPr>
      </w:pPr>
      <w:r>
        <w:rPr>
          <w:rStyle w:val="18"/>
          <w:rFonts w:hint="eastAsia" w:ascii="黑体" w:hAnsi="黑体" w:eastAsia="黑体"/>
          <w:b w:val="0"/>
          <w:spacing w:val="-4"/>
          <w:sz w:val="32"/>
          <w:szCs w:val="32"/>
        </w:rPr>
        <w:t>四、绩效评价指标分析</w:t>
      </w:r>
      <w:r>
        <w:rPr>
          <w:rStyle w:val="18"/>
          <w:rFonts w:hint="eastAsia" w:ascii="黑体" w:hAnsi="黑体" w:eastAsia="黑体"/>
        </w:rPr>
        <w:t xml:space="preserve"> </w:t>
      </w:r>
    </w:p>
    <w:p w14:paraId="00ABE0D3">
      <w:pPr>
        <w:spacing w:line="540" w:lineRule="exact"/>
        <w:ind w:firstLine="567" w:firstLineChars="181"/>
        <w:rPr>
          <w:rFonts w:hint="eastAsia" w:ascii="楷体" w:hAnsi="楷体" w:eastAsia="楷体"/>
          <w:b/>
          <w:spacing w:val="-4"/>
          <w:sz w:val="32"/>
          <w:szCs w:val="32"/>
        </w:rPr>
      </w:pPr>
      <w:r>
        <w:rPr>
          <w:rFonts w:hint="eastAsia" w:ascii="楷体" w:hAnsi="楷体" w:eastAsia="楷体"/>
          <w:b/>
          <w:spacing w:val="-4"/>
          <w:sz w:val="32"/>
          <w:szCs w:val="32"/>
        </w:rPr>
        <w:t>（一）</w:t>
      </w:r>
      <w:r>
        <w:rPr>
          <w:rStyle w:val="18"/>
          <w:rFonts w:hint="eastAsia" w:ascii="楷体" w:hAnsi="楷体" w:eastAsia="楷体"/>
          <w:spacing w:val="-4"/>
          <w:sz w:val="32"/>
          <w:szCs w:val="32"/>
        </w:rPr>
        <w:t>项目决策情况</w:t>
      </w:r>
    </w:p>
    <w:p w14:paraId="5CDC9C2C">
      <w:pPr>
        <w:tabs>
          <w:tab w:val="center" w:pos="4295"/>
        </w:tabs>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（一）项目决策情况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项目决策类指标由3个二级指标和6个三级指标构成，权重分21.00分，实际得分21.00分。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1.项目立项情况分析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（1）立项依据充分性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立项符合最高人民检察院颁发的《关于做好检察公益诉讼技术支持保障工作的通知》中：“极做好检察公益诉讼技术支持保障工作是当前各级检察院技术部门用实际行动支持改革、切实履行以服务办案为中心职责的重要任务，也是检察技术适应改革需要、顺势而为、实现转型发展的重大契机”，符合行业发展规划和政策要求；本项目立项符合《昌吉回族自治州人民检察院单位配置内设机构和人员编制规定》中职责范围中的“公益诉讼检察”，属于我单位履职所需；根据《财政资金直接支付申请书》，本项目资金性质为“公共财政预算”功能分类为“2040499其他检察支出”经济分类为“302商品和服务支出”属于公共财政支持范围，符合中央、地方事权支出责任划分原则；经检查我单位财政应用平台指标，本项目不存在重复。</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综上所述，本指标满分为5.00分，根据评分标准得5.00分，本项目立项依据充分。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（2）立项程序规范性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为非基础建设类项目，不涉及发改立项批复流程，由我单位自行编制项目实施方案和项目预算申请计划，经过与党委会研究确定最终预算方案。经查看，该项目申请设立过程产生的相关文件，符合相关要求。</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本项目为非基础建设类项目，属于专项资金安排项目，不涉及事前绩效评估、可行性研究以及风险评估，由我单位严格按照《关于做好检察公益诉讼技术支持保障工作的通知》文件要求实施项目。</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综上所述，本指标满分为3.00分，根据评分标准得3.00分，本项目立项程序规范。</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2.绩效目标情况分析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（1）绩效目标合理性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已设置年度绩效目标，具体内容为“根据中共中央《中共中央关于加强新时代检察机关法律监督工作的意见》、最高人民检察院《“十四五”时期检务保障工作发展规划》和《关于做好检察公益诉讼技术支持保障工作的通知》等政策文件的要求，1、通过智能化视频办案指挥设备，做好检察公益诉讼技术支持保障工作；2、制作公益诉讼宣传片，提高宣传度，积极争取各方支持；3、完成指导和办理公益诉讼案件200件以上，起诉案件的胜诉率超过95.00%。积极推动检察公益诉讼技术支持保障工作”；本项目实际工作内容为：绩效目标与实际工作内容一致，两者具有相关性;本项目按照绩效目标完成了数量指标、质量指标、时效指标、成本指标，有效保障了做好检察公益诉讼技术支持保障工作；制作公益诉讼宣传片，提高宣传度，积极争取各方支持提升人民对国有林地和草场的保护意识；被破坏的草场和林地得以修复，年度绩效目标完成，预期产出效益和效果符合正常的业绩水平。</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综上所述，本指标满分为4.00分，根据评分标准得4.00分，本项目绩效目标设置合理。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（2）绩效指标明确性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检查我单位年初设置的《项目支出绩效目标表》，得出如下结论：本项目已将年度绩效目标进行细化为绩效指标体系，共设置一级指标4个，二级指标6个，三级指标9个，定量指标9个，定性指标0个，指标量化率为100.00%，量化率达70.00%以上。</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综上所述，本指标满分为3.00分，根据评分标准得3.00分，本项目所设置绩效指标明确。</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3.资金投入情况分析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（1）预算编制科学性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本项目预算编制通过市场询价得出，即预算编制较科学且经过论证；</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预算申请内容为公益诉讼检察专项经费，项目实际内容为公益诉讼检察设备，公益诉讼检察宣传费用，预算申请与《公益诉讼检察专项经费实施方案》中涉及的项目内容匹配；</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申请资金80.00万元，我单位在预算申请中严格按照单位标准和数量进行核算，其中：公益诉讼检察设备76.00万，公益诉讼检察宣传费用4.00万元。本项目预算额度测算依据充分，严格按照标准编制，预算确定资金量与实际工作任务相匹配；</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综上所述，本指标满分为4.00分，根据评分标准4.00分，本项目预算编制科学。</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（2）资金分配合理性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实际分配资金以《关于申请公益诉讼检察专项经费资金的请示》和《公益诉讼检察专项经费实施方案》为依据进行资金分配，预算资金分配依据充分。根据昌州财行[2023]1号文件显示，本项目实际到位资金80.00万元，实际分配资金与我单位提交申请的资金额度一致，资金分配额度合理，与我单位实际需求相适应。</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综上所述，本指标满分为2.00分，根据评分标准得2.00分，本项目资金分配合理。</w:t>
      </w:r>
      <w:r>
        <w:rPr>
          <w:rStyle w:val="18"/>
          <w:rFonts w:hint="eastAsia" w:ascii="楷体" w:hAnsi="楷体" w:eastAsia="楷体"/>
          <w:b w:val="0"/>
          <w:bCs w:val="0"/>
          <w:spacing w:val="-4"/>
          <w:sz w:val="32"/>
          <w:szCs w:val="32"/>
        </w:rPr>
        <w:tab/>
      </w:r>
    </w:p>
    <w:p w14:paraId="1660338E">
      <w:pPr>
        <w:spacing w:line="540" w:lineRule="exact"/>
        <w:ind w:firstLine="567" w:firstLineChars="181"/>
        <w:rPr>
          <w:rStyle w:val="18"/>
          <w:rFonts w:hint="eastAsia" w:ascii="楷体" w:hAnsi="楷体" w:eastAsia="楷体"/>
          <w:spacing w:val="-4"/>
          <w:sz w:val="32"/>
          <w:szCs w:val="32"/>
        </w:rPr>
      </w:pPr>
      <w:r>
        <w:rPr>
          <w:rFonts w:hint="eastAsia" w:ascii="楷体" w:hAnsi="楷体" w:eastAsia="楷体"/>
          <w:b/>
          <w:spacing w:val="-4"/>
          <w:sz w:val="32"/>
          <w:szCs w:val="32"/>
        </w:rPr>
        <w:t>（二）</w:t>
      </w:r>
      <w:r>
        <w:rPr>
          <w:rStyle w:val="18"/>
          <w:rFonts w:hint="eastAsia" w:ascii="楷体" w:hAnsi="楷体" w:eastAsia="楷体"/>
          <w:spacing w:val="-4"/>
          <w:sz w:val="32"/>
          <w:szCs w:val="32"/>
        </w:rPr>
        <w:t>项目过程情况</w:t>
      </w:r>
    </w:p>
    <w:p w14:paraId="03A69F4A">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（二）项目过程情况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项目过程管理类指标由2个二级指标和5个三级指标构成，权重分19.00分，实际得分18.96分。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1.资金管理情况分析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（1）资金到位率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资金为80.00万元，其中：本级财政安排资金80.00万元，其他资金0.00万元，实际到位资金80.00万元，资金到位率=100%（实际到位资金/预算资金）×100.00%=（80/80）*100.00%=100.00%。得分=资金到位率*分值=100%*4=4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综上所述，本指标满分为4.00分，根据评分标准得4.00分，本项目资金分配合理。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（2）预算执行率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本项目实际支出资金79.28万元，预算执行率=99.10%（实际支出资金/实际到位资金）×100.00%=（79.28/80）*100.00%=99.10%。得分=预算执行率*分值=99.1%*5=4.96分。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综上所述，本指标满分为5.00分，根据评分标准得4.96分，本项目资金分配合理。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（3）资金使用合规性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通过检查本项目签订的合同、资金申请文件、发票等财务付款凭证，得出本项目资金支出符合国家财经法规、《政府会计制度》以及《昌吉州人民检察院财务管理办法》《公益诉讼检察专项资金管理办法》，资金的拨付有完整的审批程序和手续，资金实际使用方向与预算批复用途一致，不存在截留、挤占、挪用、虚列支出的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综上所述，本指标满分为4.00分，根据评分标准得4.00分，资金支出符合我单位财务管理制度规定。</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2.组织实施情况分析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（1）管理制度健全性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已制定《昌吉州人民检察院财务管理办法》《公益诉讼检察专项资金管理办法》，上述已建立的制度均符合行政事业单位内控管理要求，财务和业务管理制度合法、合规、完整，本项目执行符合上述制度规定。</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综上所述，本指标满分为2.00分，根据评分标准得2.00分，项目制度建设健全。</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（2）制度执行有效性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对比分析本项目实际执行过程资料和已建立的项目管理制度和财务管理制度，得出本项目严格按照本单位已建立制度执行。项目资金支出严格按照自治区、地区、市以及本单位资金管理办法执行，项目启动实施后，为了加快本项目的实施，成立了公益诉讼检察专项工作领导小组，由党组书记祁文秀任组长，负责项目的组织工作；谭婷任副组长，负责项目的实施工作；组员为包学斌，主要负责项目监督管理、验收以及资金核拨等工作。</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综上所述，本指标满分为4.00分，根据评分标准得4.00分，本项目所建立制度执行有效。</w:t>
      </w:r>
    </w:p>
    <w:p w14:paraId="2A397F0D">
      <w:pPr>
        <w:spacing w:line="540" w:lineRule="exact"/>
        <w:ind w:firstLine="567" w:firstLineChars="181"/>
        <w:rPr>
          <w:rFonts w:hint="eastAsia" w:ascii="楷体" w:hAnsi="楷体" w:eastAsia="楷体"/>
          <w:b/>
          <w:spacing w:val="-4"/>
          <w:sz w:val="32"/>
          <w:szCs w:val="32"/>
        </w:rPr>
      </w:pPr>
      <w:r>
        <w:rPr>
          <w:rFonts w:hint="eastAsia" w:ascii="楷体" w:hAnsi="楷体" w:eastAsia="楷体"/>
          <w:b/>
          <w:spacing w:val="-4"/>
          <w:sz w:val="32"/>
          <w:szCs w:val="32"/>
        </w:rPr>
        <w:t>（三）</w:t>
      </w:r>
      <w:r>
        <w:rPr>
          <w:rStyle w:val="18"/>
          <w:rFonts w:hint="eastAsia" w:ascii="楷体" w:hAnsi="楷体" w:eastAsia="楷体"/>
          <w:spacing w:val="-4"/>
          <w:sz w:val="32"/>
          <w:szCs w:val="32"/>
        </w:rPr>
        <w:t>项目产出情况</w:t>
      </w:r>
    </w:p>
    <w:p w14:paraId="7ACBCCCB">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（三）项目产出情况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项目产出类指标由4个二级指标和7个三级指标构成，权重分30.00分，实际得分25.00分。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1.数量指标完成情况分析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“指导和办理公益诉讼案件”指标，预期指标值为“大于等于200件”，实际完成指标值为427件，指标完成率为100.00%。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综上所述，本指标满分为6.00分，根据评分标准得6.00分。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“采购公益诉讼指挥系统设备”指标，预期指标值为“大于等于1批”，实际完成指标值为1批，指标完成率为100.00%。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2.质量指标完成情况分析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“对到期未整改案件的提起诉讼率”指标，预期指标值为“大于等于90.00%”，实际完成指标值为100.00%，指标完成率为100.00%。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“设备验收合格率”指标，预期指标值为“大于等于95.00%”，实际完成指标值为100.00%，指标完成率为100.00%。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3.时效指标完成情况分析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“案件按时限办理达标率”指标，预期指标值为“大于等于95.00%”实际完成指标值为100.00%，指标完成率为100.00%。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4.成本指标完成情况分析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“公益诉讼信息化设备支出成本”指标，预期指标值为“小于等于76.00万元”，实际完成指标值为76.10万元，指标完成率为100.13%。偏差原因为，受技术标准要求影响，采购设备超出预算0.10万元。</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综上所述，本指标满分为5.00分，根据评分标准得0.00分。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“公益诉讼业务支出成本”指标，预期指标值为“小于等于4.00万元”，实际完成指标值为3.17万元，指标完成率为100.00%。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w:t>
      </w:r>
    </w:p>
    <w:p w14:paraId="777C74FD">
      <w:pPr>
        <w:spacing w:line="540" w:lineRule="exact"/>
        <w:ind w:firstLine="567" w:firstLineChars="181"/>
        <w:rPr>
          <w:rFonts w:hint="eastAsia" w:ascii="楷体" w:hAnsi="楷体" w:eastAsia="楷体"/>
          <w:b/>
          <w:spacing w:val="-4"/>
          <w:sz w:val="32"/>
          <w:szCs w:val="32"/>
        </w:rPr>
      </w:pPr>
      <w:r>
        <w:rPr>
          <w:rFonts w:hint="eastAsia" w:ascii="楷体" w:hAnsi="楷体" w:eastAsia="楷体"/>
          <w:b/>
          <w:spacing w:val="-4"/>
          <w:sz w:val="32"/>
          <w:szCs w:val="32"/>
        </w:rPr>
        <w:t>（四）</w:t>
      </w:r>
      <w:r>
        <w:rPr>
          <w:rStyle w:val="18"/>
          <w:rFonts w:hint="eastAsia" w:ascii="楷体" w:hAnsi="楷体" w:eastAsia="楷体"/>
          <w:spacing w:val="-4"/>
          <w:sz w:val="32"/>
          <w:szCs w:val="32"/>
        </w:rPr>
        <w:t>项目效益情况</w:t>
      </w:r>
    </w:p>
    <w:p w14:paraId="7CA107D1">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（四）项目效益情况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项目效益类指标由2个二级指标和2个三级指标构成，权重分30.00分，实际得分26.06分。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1.经济效益完成情况分析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挽回国有损失”指标，预期指标值为“大于等于1000.00万元”，实际完成指标值为“606.00万元”指标完成率为60.60%。偏差原因为本年工作已完成，为保障案件质量，实现提质增效，缩减案件质量，该指标比预期计划降低。</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综上所述，本指标满分为10.00分，根据评分标准得6.06分。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2.社会效益完成情况分析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本项目无该指标。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3.生态效益完成情况分析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本项目无该指标。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4.满意度完成情况分析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“人民监督员对公益诉讼工作的满意度”指标，预期指标值为“大于等于95.00%”，实际完成指标值为100.00%，指标完成率为100.00%。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综上所述，本指标满分为20.00分，根据评分标准得20.00分。</w:t>
      </w:r>
    </w:p>
    <w:p w14:paraId="48B5CB25">
      <w:pPr>
        <w:spacing w:line="540" w:lineRule="exact"/>
        <w:ind w:firstLine="567"/>
        <w:rPr>
          <w:rStyle w:val="18"/>
          <w:rFonts w:hint="eastAsia" w:ascii="楷体" w:hAnsi="楷体" w:eastAsia="楷体"/>
          <w:spacing w:val="-4"/>
          <w:sz w:val="32"/>
          <w:szCs w:val="32"/>
        </w:rPr>
      </w:pPr>
    </w:p>
    <w:p w14:paraId="013F2BC7">
      <w:pPr>
        <w:numPr>
          <w:ilvl w:val="0"/>
          <w:numId w:val="1"/>
        </w:num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预算执行进度与绩效指标偏差</w:t>
      </w:r>
    </w:p>
    <w:p w14:paraId="6F7F22E5">
      <w:pPr>
        <w:spacing w:line="540" w:lineRule="exact"/>
        <w:ind w:firstLine="567"/>
        <w:rPr>
          <w:rStyle w:val="18"/>
          <w:rFonts w:hint="eastAsia" w:ascii="黑体" w:hAnsi="黑体" w:eastAsia="黑体"/>
          <w:b w:val="0"/>
          <w:spacing w:val="-4"/>
          <w:sz w:val="32"/>
          <w:szCs w:val="32"/>
        </w:rPr>
      </w:pPr>
      <w:r>
        <w:rPr>
          <w:rStyle w:val="18"/>
          <w:rFonts w:hint="eastAsia" w:ascii="楷体" w:hAnsi="楷体" w:eastAsia="楷体"/>
          <w:b w:val="0"/>
          <w:bCs w:val="0"/>
          <w:spacing w:val="-4"/>
          <w:sz w:val="32"/>
          <w:szCs w:val="32"/>
        </w:rPr>
        <w:t>本项目年初预算资金总额为80.00万元，全年预算数为80.00万元，全年执行数为79.28万元，预算执行率为99.10%。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本项目共设置三级指标数量20个，满分指标数量17个，扣分指标数量3个，经分析计算所有三级指标完成率得出，本项目总体完成率为93.00%。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综上所述本项目预算执行进度与总体完成进度之间的偏差为6.10%。主要偏差原因是：一是预算不够精细，导致预算执行率和经济成本类指标出现偏差；二是公益诉讼检察提升案件质量，提质增量。</w:t>
      </w:r>
    </w:p>
    <w:p w14:paraId="7B6A8E78">
      <w:pPr>
        <w:numPr>
          <w:ilvl w:val="0"/>
          <w:numId w:val="1"/>
        </w:num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主要经验及做法、存在的问题及原因分析</w:t>
      </w:r>
    </w:p>
    <w:p w14:paraId="41E890E6">
      <w:pPr>
        <w:spacing w:line="540" w:lineRule="exact"/>
        <w:ind w:firstLine="567"/>
        <w:rPr>
          <w:rFonts w:ascii="仿宋_GB2312" w:eastAsia="仿宋_GB2312"/>
          <w:spacing w:val="-4"/>
          <w:sz w:val="32"/>
          <w:szCs w:val="32"/>
        </w:rPr>
      </w:pPr>
      <w:r>
        <w:rPr>
          <w:rStyle w:val="18"/>
          <w:rFonts w:hint="eastAsia" w:ascii="楷体" w:hAnsi="楷体" w:eastAsia="楷体"/>
          <w:b w:val="0"/>
          <w:bCs w:val="0"/>
          <w:spacing w:val="-4"/>
          <w:sz w:val="32"/>
          <w:szCs w:val="32"/>
        </w:rPr>
        <w:t>（一）主要经验及做法</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一是领导重视到位：高度重视，主要领导亲自抓，并予以充分的人力、财力保障。责任落实到位：将各项目工作列入年度干部绩效考核实施方案，将各项目工作落实到具体科室、具体岗位、具体个人。</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是合理合规使用经费。根据项目业务流程，参考历年经费使用情况，认真测算各阶段所需经费，确保当前项目实施经费充足。在经费使用方面，严格执行经费使用管理制度，厉行节约，专款专用，对每笔经费使用情况建立监督机制，确保经费使用合理合规。</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（二）存在的问题及原因分析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1.公益诉讼工作保质增效的方面仍有不足。</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要加强优化案件结构，强化对下指导，确保公益诉讼工作保质增效。引导和要求基层院正确处理好办案数量与质量效果的关系，保证诉讼案件的稳妥性和准确性，确保年底公益诉讼的完美收官。</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2.业务学习存在局限，有待加强</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积极探索研究与行政机关相互交流学习的机制，更加熟悉行政机关相关业务知识，持续打造一支“想办案、会办案、能办案”的高素质公益诉讼队伍。</w:t>
      </w:r>
    </w:p>
    <w:p w14:paraId="120B9269">
      <w:p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七、有关建议</w:t>
      </w:r>
    </w:p>
    <w:p w14:paraId="60FC8B3A">
      <w:pPr>
        <w:spacing w:line="540" w:lineRule="exact"/>
        <w:ind w:firstLine="567"/>
        <w:rPr>
          <w:rStyle w:val="18"/>
          <w:rFonts w:hint="eastAsia" w:ascii="楷体" w:hAnsi="楷体" w:eastAsia="楷体"/>
          <w:spacing w:val="-4"/>
          <w:sz w:val="32"/>
          <w:szCs w:val="32"/>
        </w:rPr>
      </w:pPr>
      <w:r>
        <w:rPr>
          <w:rStyle w:val="18"/>
          <w:rFonts w:hint="eastAsia" w:ascii="楷体" w:hAnsi="楷体" w:eastAsia="楷体"/>
          <w:b w:val="0"/>
          <w:bCs w:val="0"/>
          <w:spacing w:val="-4"/>
          <w:sz w:val="32"/>
          <w:szCs w:val="32"/>
        </w:rPr>
        <w:t>七、有关建议</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1.加强培训，提高相关人员工作水平</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采取多种培训形式对单位财务人员、业务科室人员进行集中培训，进一步</w:t>
      </w:r>
      <w:r>
        <w:rPr>
          <w:rStyle w:val="18"/>
          <w:rFonts w:hint="eastAsia" w:ascii="楷体" w:hAnsi="楷体" w:eastAsia="楷体"/>
          <w:b w:val="0"/>
          <w:bCs w:val="0"/>
          <w:spacing w:val="-4"/>
          <w:sz w:val="32"/>
          <w:szCs w:val="32"/>
          <w:lang w:eastAsia="zh-CN"/>
        </w:rPr>
        <w:t>提质增效</w:t>
      </w:r>
      <w:r>
        <w:rPr>
          <w:rStyle w:val="18"/>
          <w:rFonts w:hint="eastAsia" w:ascii="楷体" w:hAnsi="楷体" w:eastAsia="楷体"/>
          <w:b w:val="0"/>
          <w:bCs w:val="0"/>
          <w:spacing w:val="-4"/>
          <w:sz w:val="32"/>
          <w:szCs w:val="32"/>
        </w:rPr>
        <w:t>观念，提高本单位工作人员的工作水平，为检察工作的顺利开展提供保障。</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 注重沟通协调，增强保护公益合力，优化公益诉讼的外部环境。</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持续加强与行政机关的联系，对公益诉讼还存在模糊认识的行政机关，要长期通过走访、座谈等形式宣传公益诉讼职责，讲清检察机关与行政机关在保护公共利益上目标和方向是一致的，消除行政机关认为检察院进行监督就是找茬的错误认识。</w:t>
      </w:r>
    </w:p>
    <w:p w14:paraId="53761C0B">
      <w:p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八、其他需要说明的问题</w:t>
      </w:r>
    </w:p>
    <w:p w14:paraId="751EA204">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八、其他需要说明的问题</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（一）本项目部分间接产生的效果无法准确在短期内衡量，因此很难认定项目产生的全部效果。通过指标来反映绩效，指标的科学性和全面性需要不断地完善和研究。</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（二）评价结果作为安排政府预算、完善政策和改进管理的重要依据。原则上，对评价等级为优、良的，根据情况予以支持；对评价等级为中、差的，要完善政策、改进管理，根据情况核减预算。</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（三）评价结果分别编入政府决算和部门预算，报送本级人民代表大会常务委员会，并依法予以公开。</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（四）我单位对上述项目支出绩效评价报告内反映内容的真实性、完整性负责，接受上级部门及社会公众监督。</w:t>
      </w:r>
    </w:p>
    <w:p w14:paraId="333A735B">
      <w:pPr>
        <w:spacing w:line="540" w:lineRule="exact"/>
        <w:ind w:firstLine="567"/>
        <w:rPr>
          <w:rStyle w:val="18"/>
          <w:rFonts w:hint="eastAsia" w:ascii="仿宋" w:hAnsi="仿宋" w:eastAsia="仿宋"/>
          <w:b w:val="0"/>
          <w:spacing w:val="-4"/>
          <w:sz w:val="32"/>
          <w:szCs w:val="32"/>
        </w:rPr>
      </w:pPr>
    </w:p>
    <w:p w14:paraId="6468464B">
      <w:pPr>
        <w:spacing w:line="540" w:lineRule="exact"/>
        <w:ind w:firstLine="567"/>
        <w:rPr>
          <w:rStyle w:val="18"/>
          <w:rFonts w:hint="eastAsia" w:ascii="仿宋" w:hAnsi="仿宋" w:eastAsia="仿宋"/>
          <w:b w:val="0"/>
          <w:spacing w:val="-4"/>
          <w:sz w:val="32"/>
          <w:szCs w:val="32"/>
        </w:rPr>
      </w:pPr>
    </w:p>
    <w:p w14:paraId="0F5D9C17">
      <w:pPr>
        <w:spacing w:line="540" w:lineRule="exact"/>
        <w:ind w:firstLine="567"/>
        <w:rPr>
          <w:rStyle w:val="18"/>
          <w:rFonts w:hint="eastAsia" w:ascii="仿宋" w:hAnsi="仿宋" w:eastAsia="仿宋"/>
          <w:b w:val="0"/>
          <w:spacing w:val="-4"/>
          <w:sz w:val="32"/>
          <w:szCs w:val="32"/>
        </w:rPr>
      </w:pPr>
    </w:p>
    <w:p w14:paraId="1539E6F7">
      <w:pPr>
        <w:spacing w:line="540" w:lineRule="exact"/>
        <w:ind w:firstLine="567"/>
        <w:rPr>
          <w:rStyle w:val="18"/>
          <w:rFonts w:hint="eastAsia" w:ascii="仿宋" w:hAnsi="仿宋" w:eastAsia="仿宋"/>
          <w:b w:val="0"/>
          <w:spacing w:val="-4"/>
          <w:sz w:val="32"/>
          <w:szCs w:val="32"/>
        </w:rPr>
      </w:pPr>
    </w:p>
    <w:p w14:paraId="695E4594">
      <w:pPr>
        <w:spacing w:line="540" w:lineRule="exact"/>
        <w:ind w:firstLine="567"/>
        <w:rPr>
          <w:rStyle w:val="18"/>
          <w:rFonts w:hint="eastAsia" w:ascii="仿宋" w:hAnsi="仿宋" w:eastAsia="仿宋"/>
          <w:b w:val="0"/>
          <w:spacing w:val="-4"/>
          <w:sz w:val="32"/>
          <w:szCs w:val="32"/>
        </w:rPr>
      </w:pPr>
    </w:p>
    <w:sectPr>
      <w:footerReference r:id="rId3" w:type="default"/>
      <w:pgSz w:w="11906" w:h="16838"/>
      <w:pgMar w:top="1440" w:right="1558" w:bottom="1440" w:left="175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10" w:usb3="00000000" w:csb0="0004009F" w:csb1="00000000"/>
  </w:font>
  <w:font w:name="方正小标宋_GBK">
    <w:altName w:val="微软雅黑"/>
    <w:panose1 w:val="02000000000000000000"/>
    <w:charset w:val="86"/>
    <w:family w:val="script"/>
    <w:pitch w:val="default"/>
    <w:sig w:usb0="00000000" w:usb1="00000000" w:usb2="00082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2003363"/>
    </w:sdtPr>
    <w:sdtContent>
      <w:p w14:paraId="498C79C2">
        <w:pPr>
          <w:pStyle w:val="12"/>
          <w:jc w:val="center"/>
        </w:pPr>
        <w:r>
          <w:fldChar w:fldCharType="begin"/>
        </w:r>
        <w:r>
          <w:instrText xml:space="preserve">PAGE   \* MERGEFORMAT</w:instrText>
        </w:r>
        <w:r>
          <w:fldChar w:fldCharType="separate"/>
        </w:r>
        <w:r>
          <w:rPr>
            <w:lang w:val="zh-CN"/>
          </w:rPr>
          <w:t>2</w:t>
        </w:r>
        <w:r>
          <w:fldChar w:fldCharType="end"/>
        </w:r>
      </w:p>
    </w:sdtContent>
  </w:sdt>
  <w:p w14:paraId="2D27F686">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EA218F"/>
    <w:multiLevelType w:val="singleLevel"/>
    <w:tmpl w:val="3FEA218F"/>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BlY2RlZTc4MzFlYzYzZjZmMTg4MDMwODUwYTE2N2UifQ=="/>
  </w:docVars>
  <w:rsids>
    <w:rsidRoot w:val="00CA6457"/>
    <w:rsid w:val="00056465"/>
    <w:rsid w:val="00102DFF"/>
    <w:rsid w:val="0012073C"/>
    <w:rsid w:val="00121AE4"/>
    <w:rsid w:val="00146AAD"/>
    <w:rsid w:val="00151FA7"/>
    <w:rsid w:val="001B3A40"/>
    <w:rsid w:val="00291BC0"/>
    <w:rsid w:val="00311DBE"/>
    <w:rsid w:val="004366A8"/>
    <w:rsid w:val="004A43BD"/>
    <w:rsid w:val="00502BA7"/>
    <w:rsid w:val="005162F1"/>
    <w:rsid w:val="00535153"/>
    <w:rsid w:val="00554F82"/>
    <w:rsid w:val="0056390D"/>
    <w:rsid w:val="005719B0"/>
    <w:rsid w:val="005D10D6"/>
    <w:rsid w:val="00675F9A"/>
    <w:rsid w:val="007363B6"/>
    <w:rsid w:val="00752133"/>
    <w:rsid w:val="00855E3A"/>
    <w:rsid w:val="0091457F"/>
    <w:rsid w:val="00922CB9"/>
    <w:rsid w:val="009A0637"/>
    <w:rsid w:val="009E5CD9"/>
    <w:rsid w:val="00A26421"/>
    <w:rsid w:val="00A34588"/>
    <w:rsid w:val="00A4293B"/>
    <w:rsid w:val="00A67D50"/>
    <w:rsid w:val="00A8691A"/>
    <w:rsid w:val="00AC1946"/>
    <w:rsid w:val="00B40063"/>
    <w:rsid w:val="00B41F61"/>
    <w:rsid w:val="00BA46E6"/>
    <w:rsid w:val="00C56C72"/>
    <w:rsid w:val="00CA6457"/>
    <w:rsid w:val="00CE2FD9"/>
    <w:rsid w:val="00D17F2E"/>
    <w:rsid w:val="00D30354"/>
    <w:rsid w:val="00DF42A0"/>
    <w:rsid w:val="00E30E91"/>
    <w:rsid w:val="00E769FE"/>
    <w:rsid w:val="00EA2CBE"/>
    <w:rsid w:val="00F32FEE"/>
    <w:rsid w:val="00FB10BB"/>
    <w:rsid w:val="0856517C"/>
    <w:rsid w:val="0BFB189F"/>
    <w:rsid w:val="11BD75F7"/>
    <w:rsid w:val="13BE561A"/>
    <w:rsid w:val="15392994"/>
    <w:rsid w:val="18FE139B"/>
    <w:rsid w:val="3029612C"/>
    <w:rsid w:val="32A221C5"/>
    <w:rsid w:val="33F20F2A"/>
    <w:rsid w:val="34C44675"/>
    <w:rsid w:val="3B5B5607"/>
    <w:rsid w:val="3CE21B3C"/>
    <w:rsid w:val="4D2606A1"/>
    <w:rsid w:val="51830480"/>
    <w:rsid w:val="53A616BE"/>
    <w:rsid w:val="54662BFB"/>
    <w:rsid w:val="62051CA5"/>
    <w:rsid w:val="6C3A69EF"/>
    <w:rsid w:val="77C51C80"/>
    <w:rsid w:val="7AAC04F4"/>
    <w:rsid w:val="7BDF2CF1"/>
    <w:rsid w:val="7DB128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qFormat/>
    <w:uiPriority w:val="9"/>
    <w:pPr>
      <w:keepNext/>
      <w:widowControl/>
      <w:spacing w:before="240" w:after="60"/>
      <w:jc w:val="left"/>
      <w:outlineLvl w:val="0"/>
    </w:pPr>
    <w:rPr>
      <w:rFonts w:asciiTheme="majorHAnsi" w:hAnsiTheme="majorHAnsi" w:eastAsiaTheme="majorEastAsia"/>
      <w:b/>
      <w:bCs/>
      <w:kern w:val="32"/>
      <w:sz w:val="32"/>
      <w:szCs w:val="32"/>
    </w:rPr>
  </w:style>
  <w:style w:type="paragraph" w:styleId="3">
    <w:name w:val="heading 2"/>
    <w:basedOn w:val="1"/>
    <w:next w:val="1"/>
    <w:link w:val="21"/>
    <w:semiHidden/>
    <w:unhideWhenUsed/>
    <w:qFormat/>
    <w:uiPriority w:val="9"/>
    <w:pPr>
      <w:keepNext/>
      <w:widowControl/>
      <w:spacing w:before="240" w:after="60"/>
      <w:jc w:val="left"/>
      <w:outlineLvl w:val="1"/>
    </w:pPr>
    <w:rPr>
      <w:rFonts w:asciiTheme="majorHAnsi" w:hAnsiTheme="majorHAnsi" w:eastAsiaTheme="majorEastAsia"/>
      <w:b/>
      <w:bCs/>
      <w:i/>
      <w:iCs/>
      <w:kern w:val="0"/>
      <w:sz w:val="28"/>
      <w:szCs w:val="28"/>
    </w:rPr>
  </w:style>
  <w:style w:type="paragraph" w:styleId="4">
    <w:name w:val="heading 3"/>
    <w:basedOn w:val="1"/>
    <w:next w:val="1"/>
    <w:link w:val="22"/>
    <w:semiHidden/>
    <w:unhideWhenUsed/>
    <w:qFormat/>
    <w:uiPriority w:val="9"/>
    <w:pPr>
      <w:keepNext/>
      <w:widowControl/>
      <w:spacing w:before="240" w:after="60"/>
      <w:jc w:val="left"/>
      <w:outlineLvl w:val="2"/>
    </w:pPr>
    <w:rPr>
      <w:rFonts w:asciiTheme="majorHAnsi" w:hAnsiTheme="majorHAnsi" w:eastAsiaTheme="majorEastAsia"/>
      <w:b/>
      <w:bCs/>
      <w:kern w:val="0"/>
      <w:sz w:val="26"/>
      <w:szCs w:val="26"/>
    </w:rPr>
  </w:style>
  <w:style w:type="paragraph" w:styleId="5">
    <w:name w:val="heading 4"/>
    <w:basedOn w:val="1"/>
    <w:next w:val="1"/>
    <w:link w:val="23"/>
    <w:semiHidden/>
    <w:unhideWhenUsed/>
    <w:qFormat/>
    <w:uiPriority w:val="9"/>
    <w:pPr>
      <w:keepNext/>
      <w:widowControl/>
      <w:spacing w:before="240" w:after="60"/>
      <w:jc w:val="left"/>
      <w:outlineLvl w:val="3"/>
    </w:pPr>
    <w:rPr>
      <w:rFonts w:asciiTheme="minorHAnsi" w:hAnsiTheme="minorHAnsi" w:eastAsiaTheme="minorEastAsia"/>
      <w:b/>
      <w:bCs/>
      <w:kern w:val="0"/>
      <w:sz w:val="28"/>
      <w:szCs w:val="28"/>
    </w:rPr>
  </w:style>
  <w:style w:type="paragraph" w:styleId="6">
    <w:name w:val="heading 5"/>
    <w:basedOn w:val="1"/>
    <w:next w:val="1"/>
    <w:link w:val="24"/>
    <w:semiHidden/>
    <w:unhideWhenUsed/>
    <w:qFormat/>
    <w:uiPriority w:val="9"/>
    <w:pPr>
      <w:widowControl/>
      <w:spacing w:before="240" w:after="60"/>
      <w:jc w:val="left"/>
      <w:outlineLvl w:val="4"/>
    </w:pPr>
    <w:rPr>
      <w:rFonts w:asciiTheme="minorHAnsi" w:hAnsiTheme="minorHAnsi" w:eastAsiaTheme="minorEastAsia"/>
      <w:b/>
      <w:bCs/>
      <w:i/>
      <w:iCs/>
      <w:kern w:val="0"/>
      <w:sz w:val="26"/>
      <w:szCs w:val="26"/>
    </w:rPr>
  </w:style>
  <w:style w:type="paragraph" w:styleId="7">
    <w:name w:val="heading 6"/>
    <w:basedOn w:val="1"/>
    <w:next w:val="1"/>
    <w:link w:val="25"/>
    <w:semiHidden/>
    <w:unhideWhenUsed/>
    <w:qFormat/>
    <w:uiPriority w:val="9"/>
    <w:pPr>
      <w:widowControl/>
      <w:spacing w:before="240" w:after="60"/>
      <w:jc w:val="left"/>
      <w:outlineLvl w:val="5"/>
    </w:pPr>
    <w:rPr>
      <w:rFonts w:asciiTheme="minorHAnsi" w:hAnsiTheme="minorHAnsi" w:eastAsiaTheme="minorEastAsia"/>
      <w:b/>
      <w:bCs/>
      <w:kern w:val="0"/>
      <w:sz w:val="22"/>
      <w:szCs w:val="22"/>
    </w:rPr>
  </w:style>
  <w:style w:type="paragraph" w:styleId="8">
    <w:name w:val="heading 7"/>
    <w:basedOn w:val="1"/>
    <w:next w:val="1"/>
    <w:link w:val="26"/>
    <w:semiHidden/>
    <w:unhideWhenUsed/>
    <w:qFormat/>
    <w:uiPriority w:val="9"/>
    <w:pPr>
      <w:widowControl/>
      <w:spacing w:before="240" w:after="60"/>
      <w:jc w:val="left"/>
      <w:outlineLvl w:val="6"/>
    </w:pPr>
    <w:rPr>
      <w:rFonts w:asciiTheme="minorHAnsi" w:hAnsiTheme="minorHAnsi" w:eastAsiaTheme="minorEastAsia"/>
      <w:kern w:val="0"/>
      <w:sz w:val="24"/>
    </w:rPr>
  </w:style>
  <w:style w:type="paragraph" w:styleId="9">
    <w:name w:val="heading 8"/>
    <w:basedOn w:val="1"/>
    <w:next w:val="1"/>
    <w:link w:val="27"/>
    <w:semiHidden/>
    <w:unhideWhenUsed/>
    <w:qFormat/>
    <w:uiPriority w:val="9"/>
    <w:pPr>
      <w:widowControl/>
      <w:spacing w:before="240" w:after="60"/>
      <w:jc w:val="left"/>
      <w:outlineLvl w:val="7"/>
    </w:pPr>
    <w:rPr>
      <w:rFonts w:asciiTheme="minorHAnsi" w:hAnsiTheme="minorHAnsi" w:eastAsiaTheme="minorEastAsia"/>
      <w:i/>
      <w:iCs/>
      <w:kern w:val="0"/>
      <w:sz w:val="24"/>
    </w:rPr>
  </w:style>
  <w:style w:type="paragraph" w:styleId="10">
    <w:name w:val="heading 9"/>
    <w:basedOn w:val="1"/>
    <w:next w:val="1"/>
    <w:link w:val="28"/>
    <w:semiHidden/>
    <w:unhideWhenUsed/>
    <w:qFormat/>
    <w:uiPriority w:val="9"/>
    <w:pPr>
      <w:widowControl/>
      <w:spacing w:before="240" w:after="60"/>
      <w:jc w:val="left"/>
      <w:outlineLvl w:val="8"/>
    </w:pPr>
    <w:rPr>
      <w:rFonts w:asciiTheme="majorHAnsi" w:hAnsiTheme="majorHAnsi" w:eastAsiaTheme="majorEastAsia"/>
      <w:kern w:val="0"/>
      <w:sz w:val="22"/>
      <w:szCs w:val="22"/>
    </w:rPr>
  </w:style>
  <w:style w:type="character" w:default="1" w:styleId="17">
    <w:name w:val="Default Paragraph Font"/>
    <w:semiHidden/>
    <w:unhideWhenUsed/>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11">
    <w:name w:val="Balloon Text"/>
    <w:basedOn w:val="1"/>
    <w:link w:val="45"/>
    <w:semiHidden/>
    <w:unhideWhenUsed/>
    <w:uiPriority w:val="99"/>
    <w:rPr>
      <w:sz w:val="18"/>
      <w:szCs w:val="18"/>
    </w:rPr>
  </w:style>
  <w:style w:type="paragraph" w:styleId="12">
    <w:name w:val="footer"/>
    <w:basedOn w:val="1"/>
    <w:link w:val="44"/>
    <w:unhideWhenUsed/>
    <w:uiPriority w:val="99"/>
    <w:pPr>
      <w:tabs>
        <w:tab w:val="center" w:pos="4153"/>
        <w:tab w:val="right" w:pos="8306"/>
      </w:tabs>
      <w:snapToGrid w:val="0"/>
      <w:jc w:val="left"/>
    </w:pPr>
    <w:rPr>
      <w:rFonts w:ascii="Calibri" w:hAnsi="Calibri"/>
      <w:sz w:val="18"/>
      <w:szCs w:val="18"/>
    </w:rPr>
  </w:style>
  <w:style w:type="paragraph" w:styleId="13">
    <w:name w:val="header"/>
    <w:basedOn w:val="1"/>
    <w:link w:val="43"/>
    <w:autoRedefine/>
    <w:unhideWhenUsed/>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14">
    <w:name w:val="Subtitle"/>
    <w:basedOn w:val="1"/>
    <w:next w:val="1"/>
    <w:link w:val="30"/>
    <w:qFormat/>
    <w:uiPriority w:val="11"/>
    <w:pPr>
      <w:widowControl/>
      <w:spacing w:after="60"/>
      <w:jc w:val="center"/>
      <w:outlineLvl w:val="1"/>
    </w:pPr>
    <w:rPr>
      <w:rFonts w:asciiTheme="majorHAnsi" w:hAnsiTheme="majorHAnsi" w:eastAsiaTheme="majorEastAsia"/>
      <w:kern w:val="0"/>
      <w:sz w:val="24"/>
    </w:rPr>
  </w:style>
  <w:style w:type="paragraph" w:styleId="15">
    <w:name w:val="Title"/>
    <w:basedOn w:val="1"/>
    <w:next w:val="1"/>
    <w:link w:val="29"/>
    <w:qFormat/>
    <w:uiPriority w:val="10"/>
    <w:pPr>
      <w:widowControl/>
      <w:spacing w:before="240" w:after="60"/>
      <w:jc w:val="center"/>
      <w:outlineLvl w:val="0"/>
    </w:pPr>
    <w:rPr>
      <w:rFonts w:asciiTheme="majorHAnsi" w:hAnsiTheme="majorHAnsi" w:eastAsiaTheme="majorEastAsia"/>
      <w:b/>
      <w:bCs/>
      <w:kern w:val="28"/>
      <w:sz w:val="32"/>
      <w:szCs w:val="32"/>
    </w:rPr>
  </w:style>
  <w:style w:type="character" w:styleId="18">
    <w:name w:val="Strong"/>
    <w:basedOn w:val="17"/>
    <w:qFormat/>
    <w:uiPriority w:val="0"/>
    <w:rPr>
      <w:b/>
      <w:bCs/>
    </w:rPr>
  </w:style>
  <w:style w:type="character" w:styleId="19">
    <w:name w:val="Emphasis"/>
    <w:basedOn w:val="17"/>
    <w:qFormat/>
    <w:uiPriority w:val="20"/>
    <w:rPr>
      <w:rFonts w:asciiTheme="minorHAnsi" w:hAnsiTheme="minorHAnsi"/>
      <w:b/>
      <w:i/>
      <w:iCs/>
    </w:rPr>
  </w:style>
  <w:style w:type="character" w:customStyle="1" w:styleId="20">
    <w:name w:val="标题 1 字符"/>
    <w:basedOn w:val="17"/>
    <w:link w:val="2"/>
    <w:qFormat/>
    <w:uiPriority w:val="9"/>
    <w:rPr>
      <w:rFonts w:asciiTheme="majorHAnsi" w:hAnsiTheme="majorHAnsi" w:eastAsiaTheme="majorEastAsia"/>
      <w:b/>
      <w:bCs/>
      <w:kern w:val="32"/>
      <w:sz w:val="32"/>
      <w:szCs w:val="32"/>
    </w:rPr>
  </w:style>
  <w:style w:type="character" w:customStyle="1" w:styleId="21">
    <w:name w:val="标题 2 字符"/>
    <w:basedOn w:val="17"/>
    <w:link w:val="3"/>
    <w:semiHidden/>
    <w:qFormat/>
    <w:uiPriority w:val="9"/>
    <w:rPr>
      <w:rFonts w:asciiTheme="majorHAnsi" w:hAnsiTheme="majorHAnsi" w:eastAsiaTheme="majorEastAsia"/>
      <w:b/>
      <w:bCs/>
      <w:i/>
      <w:iCs/>
      <w:sz w:val="28"/>
      <w:szCs w:val="28"/>
    </w:rPr>
  </w:style>
  <w:style w:type="character" w:customStyle="1" w:styleId="22">
    <w:name w:val="标题 3 字符"/>
    <w:basedOn w:val="17"/>
    <w:link w:val="4"/>
    <w:semiHidden/>
    <w:qFormat/>
    <w:uiPriority w:val="9"/>
    <w:rPr>
      <w:rFonts w:asciiTheme="majorHAnsi" w:hAnsiTheme="majorHAnsi" w:eastAsiaTheme="majorEastAsia"/>
      <w:b/>
      <w:bCs/>
      <w:sz w:val="26"/>
      <w:szCs w:val="26"/>
    </w:rPr>
  </w:style>
  <w:style w:type="character" w:customStyle="1" w:styleId="23">
    <w:name w:val="标题 4 字符"/>
    <w:basedOn w:val="17"/>
    <w:link w:val="5"/>
    <w:semiHidden/>
    <w:qFormat/>
    <w:uiPriority w:val="9"/>
    <w:rPr>
      <w:b/>
      <w:bCs/>
      <w:sz w:val="28"/>
      <w:szCs w:val="28"/>
    </w:rPr>
  </w:style>
  <w:style w:type="character" w:customStyle="1" w:styleId="24">
    <w:name w:val="标题 5 字符"/>
    <w:basedOn w:val="17"/>
    <w:link w:val="6"/>
    <w:semiHidden/>
    <w:qFormat/>
    <w:uiPriority w:val="9"/>
    <w:rPr>
      <w:b/>
      <w:bCs/>
      <w:i/>
      <w:iCs/>
      <w:sz w:val="26"/>
      <w:szCs w:val="26"/>
    </w:rPr>
  </w:style>
  <w:style w:type="character" w:customStyle="1" w:styleId="25">
    <w:name w:val="标题 6 字符"/>
    <w:basedOn w:val="17"/>
    <w:link w:val="7"/>
    <w:semiHidden/>
    <w:qFormat/>
    <w:uiPriority w:val="9"/>
    <w:rPr>
      <w:b/>
      <w:bCs/>
    </w:rPr>
  </w:style>
  <w:style w:type="character" w:customStyle="1" w:styleId="26">
    <w:name w:val="标题 7 字符"/>
    <w:basedOn w:val="17"/>
    <w:link w:val="8"/>
    <w:semiHidden/>
    <w:uiPriority w:val="9"/>
    <w:rPr>
      <w:sz w:val="24"/>
      <w:szCs w:val="24"/>
    </w:rPr>
  </w:style>
  <w:style w:type="character" w:customStyle="1" w:styleId="27">
    <w:name w:val="标题 8 字符"/>
    <w:basedOn w:val="17"/>
    <w:link w:val="9"/>
    <w:semiHidden/>
    <w:qFormat/>
    <w:uiPriority w:val="9"/>
    <w:rPr>
      <w:i/>
      <w:iCs/>
      <w:sz w:val="24"/>
      <w:szCs w:val="24"/>
    </w:rPr>
  </w:style>
  <w:style w:type="character" w:customStyle="1" w:styleId="28">
    <w:name w:val="标题 9 字符"/>
    <w:basedOn w:val="17"/>
    <w:link w:val="10"/>
    <w:semiHidden/>
    <w:qFormat/>
    <w:uiPriority w:val="9"/>
    <w:rPr>
      <w:rFonts w:asciiTheme="majorHAnsi" w:hAnsiTheme="majorHAnsi" w:eastAsiaTheme="majorEastAsia"/>
    </w:rPr>
  </w:style>
  <w:style w:type="character" w:customStyle="1" w:styleId="29">
    <w:name w:val="标题 字符"/>
    <w:basedOn w:val="17"/>
    <w:link w:val="15"/>
    <w:uiPriority w:val="10"/>
    <w:rPr>
      <w:rFonts w:asciiTheme="majorHAnsi" w:hAnsiTheme="majorHAnsi" w:eastAsiaTheme="majorEastAsia"/>
      <w:b/>
      <w:bCs/>
      <w:kern w:val="28"/>
      <w:sz w:val="32"/>
      <w:szCs w:val="32"/>
    </w:rPr>
  </w:style>
  <w:style w:type="character" w:customStyle="1" w:styleId="30">
    <w:name w:val="副标题 字符"/>
    <w:basedOn w:val="17"/>
    <w:link w:val="14"/>
    <w:uiPriority w:val="11"/>
    <w:rPr>
      <w:rFonts w:asciiTheme="majorHAnsi" w:hAnsiTheme="majorHAnsi" w:eastAsiaTheme="majorEastAsia"/>
      <w:sz w:val="24"/>
      <w:szCs w:val="24"/>
    </w:rPr>
  </w:style>
  <w:style w:type="paragraph" w:styleId="31">
    <w:name w:val="No Spacing"/>
    <w:basedOn w:val="1"/>
    <w:qFormat/>
    <w:uiPriority w:val="1"/>
    <w:pPr>
      <w:widowControl/>
      <w:jc w:val="left"/>
    </w:pPr>
    <w:rPr>
      <w:rFonts w:asciiTheme="minorHAnsi" w:hAnsiTheme="minorHAnsi" w:eastAsiaTheme="minorEastAsia"/>
      <w:kern w:val="0"/>
      <w:sz w:val="24"/>
      <w:szCs w:val="32"/>
      <w:lang w:eastAsia="en-US" w:bidi="en-US"/>
    </w:rPr>
  </w:style>
  <w:style w:type="paragraph" w:styleId="32">
    <w:name w:val="List Paragraph"/>
    <w:basedOn w:val="1"/>
    <w:qFormat/>
    <w:uiPriority w:val="34"/>
    <w:pPr>
      <w:widowControl/>
      <w:ind w:left="720"/>
      <w:contextualSpacing/>
      <w:jc w:val="left"/>
    </w:pPr>
    <w:rPr>
      <w:rFonts w:asciiTheme="minorHAnsi" w:hAnsiTheme="minorHAnsi" w:eastAsiaTheme="minorEastAsia"/>
      <w:kern w:val="0"/>
      <w:sz w:val="24"/>
      <w:lang w:eastAsia="en-US" w:bidi="en-US"/>
    </w:rPr>
  </w:style>
  <w:style w:type="paragraph" w:styleId="33">
    <w:name w:val="Quote"/>
    <w:basedOn w:val="1"/>
    <w:next w:val="1"/>
    <w:link w:val="34"/>
    <w:qFormat/>
    <w:uiPriority w:val="29"/>
    <w:pPr>
      <w:widowControl/>
      <w:jc w:val="left"/>
    </w:pPr>
    <w:rPr>
      <w:rFonts w:asciiTheme="minorHAnsi" w:hAnsiTheme="minorHAnsi" w:eastAsiaTheme="minorEastAsia"/>
      <w:i/>
      <w:kern w:val="0"/>
      <w:sz w:val="24"/>
    </w:rPr>
  </w:style>
  <w:style w:type="character" w:customStyle="1" w:styleId="34">
    <w:name w:val="引用 字符"/>
    <w:basedOn w:val="17"/>
    <w:link w:val="33"/>
    <w:uiPriority w:val="29"/>
    <w:rPr>
      <w:i/>
      <w:sz w:val="24"/>
      <w:szCs w:val="24"/>
    </w:rPr>
  </w:style>
  <w:style w:type="paragraph" w:styleId="35">
    <w:name w:val="Intense Quote"/>
    <w:basedOn w:val="1"/>
    <w:next w:val="1"/>
    <w:link w:val="36"/>
    <w:qFormat/>
    <w:uiPriority w:val="30"/>
    <w:pPr>
      <w:widowControl/>
      <w:ind w:left="720" w:right="720"/>
      <w:jc w:val="left"/>
    </w:pPr>
    <w:rPr>
      <w:rFonts w:asciiTheme="minorHAnsi" w:hAnsiTheme="minorHAnsi" w:eastAsiaTheme="minorEastAsia"/>
      <w:b/>
      <w:i/>
      <w:kern w:val="0"/>
      <w:sz w:val="24"/>
      <w:szCs w:val="22"/>
    </w:rPr>
  </w:style>
  <w:style w:type="character" w:customStyle="1" w:styleId="36">
    <w:name w:val="明显引用 字符"/>
    <w:basedOn w:val="17"/>
    <w:link w:val="35"/>
    <w:qFormat/>
    <w:uiPriority w:val="30"/>
    <w:rPr>
      <w:b/>
      <w:i/>
      <w:sz w:val="24"/>
    </w:rPr>
  </w:style>
  <w:style w:type="character" w:customStyle="1" w:styleId="37">
    <w:name w:val="不明显强调1"/>
    <w:qFormat/>
    <w:uiPriority w:val="19"/>
    <w:rPr>
      <w:i/>
      <w:color w:val="595959" w:themeColor="text1" w:themeTint="A6"/>
      <w14:textFill>
        <w14:solidFill>
          <w14:schemeClr w14:val="tx1">
            <w14:lumMod w14:val="65000"/>
            <w14:lumOff w14:val="35000"/>
          </w14:schemeClr>
        </w14:solidFill>
      </w14:textFill>
    </w:rPr>
  </w:style>
  <w:style w:type="character" w:customStyle="1" w:styleId="38">
    <w:name w:val="明显强调1"/>
    <w:basedOn w:val="17"/>
    <w:qFormat/>
    <w:uiPriority w:val="21"/>
    <w:rPr>
      <w:b/>
      <w:i/>
      <w:sz w:val="24"/>
      <w:szCs w:val="24"/>
      <w:u w:val="single"/>
    </w:rPr>
  </w:style>
  <w:style w:type="character" w:customStyle="1" w:styleId="39">
    <w:name w:val="不明显参考1"/>
    <w:basedOn w:val="17"/>
    <w:qFormat/>
    <w:uiPriority w:val="31"/>
    <w:rPr>
      <w:sz w:val="24"/>
      <w:szCs w:val="24"/>
      <w:u w:val="single"/>
    </w:rPr>
  </w:style>
  <w:style w:type="character" w:customStyle="1" w:styleId="40">
    <w:name w:val="明显参考1"/>
    <w:basedOn w:val="17"/>
    <w:qFormat/>
    <w:uiPriority w:val="32"/>
    <w:rPr>
      <w:b/>
      <w:sz w:val="24"/>
      <w:u w:val="single"/>
    </w:rPr>
  </w:style>
  <w:style w:type="character" w:customStyle="1" w:styleId="41">
    <w:name w:val="书籍标题1"/>
    <w:basedOn w:val="17"/>
    <w:qFormat/>
    <w:uiPriority w:val="33"/>
    <w:rPr>
      <w:rFonts w:asciiTheme="majorHAnsi" w:hAnsiTheme="majorHAnsi" w:eastAsiaTheme="majorEastAsia"/>
      <w:b/>
      <w:i/>
      <w:sz w:val="24"/>
      <w:szCs w:val="24"/>
    </w:rPr>
  </w:style>
  <w:style w:type="paragraph" w:customStyle="1" w:styleId="42">
    <w:name w:val="TOC 标题1"/>
    <w:basedOn w:val="2"/>
    <w:next w:val="1"/>
    <w:semiHidden/>
    <w:unhideWhenUsed/>
    <w:qFormat/>
    <w:uiPriority w:val="39"/>
    <w:pPr>
      <w:outlineLvl w:val="9"/>
    </w:pPr>
    <w:rPr>
      <w:lang w:eastAsia="en-US" w:bidi="en-US"/>
    </w:rPr>
  </w:style>
  <w:style w:type="character" w:customStyle="1" w:styleId="43">
    <w:name w:val="页眉 字符"/>
    <w:basedOn w:val="17"/>
    <w:link w:val="13"/>
    <w:qFormat/>
    <w:uiPriority w:val="99"/>
    <w:rPr>
      <w:rFonts w:ascii="Calibri" w:hAnsi="Calibri" w:eastAsia="宋体"/>
      <w:kern w:val="2"/>
      <w:sz w:val="18"/>
      <w:szCs w:val="18"/>
    </w:rPr>
  </w:style>
  <w:style w:type="character" w:customStyle="1" w:styleId="44">
    <w:name w:val="页脚 字符"/>
    <w:basedOn w:val="17"/>
    <w:link w:val="12"/>
    <w:uiPriority w:val="99"/>
    <w:rPr>
      <w:rFonts w:ascii="Calibri" w:hAnsi="Calibri" w:eastAsia="宋体"/>
      <w:kern w:val="2"/>
      <w:sz w:val="18"/>
      <w:szCs w:val="18"/>
    </w:rPr>
  </w:style>
  <w:style w:type="character" w:customStyle="1" w:styleId="45">
    <w:name w:val="批注框文本 字符"/>
    <w:basedOn w:val="17"/>
    <w:link w:val="11"/>
    <w:semiHidden/>
    <w:qFormat/>
    <w:uiPriority w:val="99"/>
    <w:rPr>
      <w:rFonts w:ascii="Times New Roman" w:hAnsi="Times New Roman" w:eastAsia="宋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23</Pages>
  <Words>10970</Words>
  <Characters>11791</Characters>
  <Lines>85</Lines>
  <Paragraphs>24</Paragraphs>
  <TotalTime>3</TotalTime>
  <ScaleCrop>false</ScaleCrop>
  <LinksUpToDate>false</LinksUpToDate>
  <CharactersWithSpaces>11808</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2018-08-15T02:06:00Z</dcterms:created>
  <dc:creator>赵 恺（预算处）</dc:creator>
  <cp:lastModifiedBy>小麦啾</cp:lastModifiedBy>
  <cp:lastPrinted>2018-12-31T10:56:00Z</cp:lastPrinted>
  <dcterms:modified xsi:type="dcterms:W3CDTF">2025-05-29T09:33:10Z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C734C92AAAF24344A0E4232D8EB3359B</vt:lpwstr>
  </property>
  <property fmtid="{D5CDD505-2E9C-101B-9397-08002B2CF9AE}" pid="4" name="KSOTemplateDocerSaveRecord">
    <vt:lpwstr>eyJoZGlkIjoiMzcxN2Q5OGY0MzIxMzQ2YTVkNjkyNjY4OTc0MzQwMDIiLCJ1c2VySWQiOiIzMjQ5NjUzODcifQ==</vt:lpwstr>
  </property>
</Properties>
</file>