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566FD">
      <w:pPr>
        <w:spacing w:line="540" w:lineRule="exact"/>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附件2：</w:t>
      </w:r>
    </w:p>
    <w:p w14:paraId="6CF88E5E">
      <w:pPr>
        <w:spacing w:line="540" w:lineRule="exact"/>
        <w:jc w:val="center"/>
        <w:rPr>
          <w:rFonts w:ascii="华文中宋" w:hAnsi="华文中宋" w:eastAsia="华文中宋" w:cs="宋体"/>
          <w:b/>
          <w:color w:val="auto"/>
          <w:kern w:val="0"/>
          <w:sz w:val="52"/>
          <w:szCs w:val="52"/>
        </w:rPr>
      </w:pPr>
    </w:p>
    <w:p w14:paraId="4AB25C30">
      <w:pPr>
        <w:spacing w:line="540" w:lineRule="exact"/>
        <w:jc w:val="center"/>
        <w:rPr>
          <w:rFonts w:ascii="华文中宋" w:hAnsi="华文中宋" w:eastAsia="华文中宋" w:cs="宋体"/>
          <w:b/>
          <w:color w:val="auto"/>
          <w:kern w:val="0"/>
          <w:sz w:val="52"/>
          <w:szCs w:val="52"/>
        </w:rPr>
      </w:pPr>
    </w:p>
    <w:p w14:paraId="6B32415B">
      <w:pPr>
        <w:spacing w:line="540" w:lineRule="exact"/>
        <w:jc w:val="center"/>
        <w:rPr>
          <w:rFonts w:ascii="华文中宋" w:hAnsi="华文中宋" w:eastAsia="华文中宋" w:cs="宋体"/>
          <w:b/>
          <w:color w:val="auto"/>
          <w:kern w:val="0"/>
          <w:sz w:val="52"/>
          <w:szCs w:val="52"/>
        </w:rPr>
      </w:pPr>
    </w:p>
    <w:p w14:paraId="5CCF87BC">
      <w:pPr>
        <w:spacing w:line="540" w:lineRule="exact"/>
        <w:jc w:val="center"/>
        <w:rPr>
          <w:rFonts w:ascii="华文中宋" w:hAnsi="华文中宋" w:eastAsia="华文中宋" w:cs="宋体"/>
          <w:b/>
          <w:color w:val="auto"/>
          <w:kern w:val="0"/>
          <w:sz w:val="52"/>
          <w:szCs w:val="52"/>
        </w:rPr>
      </w:pPr>
    </w:p>
    <w:p w14:paraId="0A061ECB">
      <w:pPr>
        <w:spacing w:line="540" w:lineRule="exact"/>
        <w:jc w:val="center"/>
        <w:rPr>
          <w:rFonts w:ascii="华文中宋" w:hAnsi="华文中宋" w:eastAsia="华文中宋" w:cs="宋体"/>
          <w:b/>
          <w:color w:val="auto"/>
          <w:kern w:val="0"/>
          <w:sz w:val="52"/>
          <w:szCs w:val="52"/>
        </w:rPr>
      </w:pPr>
    </w:p>
    <w:p w14:paraId="121BFF55">
      <w:pPr>
        <w:spacing w:line="540" w:lineRule="exact"/>
        <w:jc w:val="center"/>
        <w:rPr>
          <w:rFonts w:ascii="华文中宋" w:hAnsi="华文中宋" w:eastAsia="华文中宋" w:cs="宋体"/>
          <w:b/>
          <w:color w:val="auto"/>
          <w:kern w:val="0"/>
          <w:sz w:val="52"/>
          <w:szCs w:val="52"/>
        </w:rPr>
      </w:pPr>
    </w:p>
    <w:p w14:paraId="161AC1F2">
      <w:pPr>
        <w:spacing w:line="540" w:lineRule="exact"/>
        <w:jc w:val="center"/>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项目支出绩效自评报告</w:t>
      </w:r>
    </w:p>
    <w:p w14:paraId="66BE88C7">
      <w:pPr>
        <w:spacing w:line="540" w:lineRule="exact"/>
        <w:jc w:val="center"/>
        <w:rPr>
          <w:rFonts w:ascii="华文中宋" w:hAnsi="华文中宋" w:eastAsia="华文中宋" w:cs="宋体"/>
          <w:b/>
          <w:color w:val="auto"/>
          <w:kern w:val="0"/>
          <w:sz w:val="52"/>
          <w:szCs w:val="52"/>
        </w:rPr>
      </w:pPr>
    </w:p>
    <w:p w14:paraId="0FB52C00">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r>
        <w:rPr>
          <w:rStyle w:val="18"/>
          <w:rFonts w:hint="eastAsia" w:ascii="楷体" w:hAnsi="楷体" w:eastAsia="楷体"/>
          <w:color w:val="auto"/>
          <w:spacing w:val="-4"/>
          <w:sz w:val="32"/>
          <w:szCs w:val="32"/>
        </w:rPr>
        <w:t>2023</w:t>
      </w:r>
      <w:r>
        <w:rPr>
          <w:rFonts w:hint="eastAsia" w:hAnsi="宋体" w:eastAsia="仿宋_GB2312" w:cs="宋体"/>
          <w:color w:val="auto"/>
          <w:kern w:val="0"/>
          <w:sz w:val="36"/>
          <w:szCs w:val="36"/>
        </w:rPr>
        <w:t xml:space="preserve">  年度）</w:t>
      </w:r>
    </w:p>
    <w:p w14:paraId="3301B4DD">
      <w:pPr>
        <w:spacing w:line="540" w:lineRule="exact"/>
        <w:jc w:val="center"/>
        <w:rPr>
          <w:rFonts w:hAnsi="宋体" w:eastAsia="仿宋_GB2312" w:cs="宋体"/>
          <w:color w:val="auto"/>
          <w:kern w:val="0"/>
          <w:sz w:val="30"/>
          <w:szCs w:val="30"/>
        </w:rPr>
      </w:pPr>
    </w:p>
    <w:p w14:paraId="37EBFFEF">
      <w:pPr>
        <w:spacing w:line="540" w:lineRule="exact"/>
        <w:jc w:val="center"/>
        <w:rPr>
          <w:rFonts w:hAnsi="宋体" w:eastAsia="仿宋_GB2312" w:cs="宋体"/>
          <w:color w:val="auto"/>
          <w:kern w:val="0"/>
          <w:sz w:val="30"/>
          <w:szCs w:val="30"/>
        </w:rPr>
      </w:pPr>
    </w:p>
    <w:p w14:paraId="49A3CB6C">
      <w:pPr>
        <w:spacing w:line="540" w:lineRule="exact"/>
        <w:jc w:val="center"/>
        <w:rPr>
          <w:rFonts w:hAnsi="宋体" w:eastAsia="仿宋_GB2312" w:cs="宋体"/>
          <w:color w:val="auto"/>
          <w:kern w:val="0"/>
          <w:sz w:val="30"/>
          <w:szCs w:val="30"/>
        </w:rPr>
      </w:pPr>
    </w:p>
    <w:p w14:paraId="05292C82">
      <w:pPr>
        <w:spacing w:line="540" w:lineRule="exact"/>
        <w:jc w:val="center"/>
        <w:rPr>
          <w:rFonts w:hAnsi="宋体" w:eastAsia="仿宋_GB2312" w:cs="宋体"/>
          <w:color w:val="auto"/>
          <w:kern w:val="0"/>
          <w:sz w:val="30"/>
          <w:szCs w:val="30"/>
        </w:rPr>
      </w:pPr>
    </w:p>
    <w:p w14:paraId="6FEFF39C">
      <w:pPr>
        <w:spacing w:line="540" w:lineRule="exact"/>
        <w:jc w:val="center"/>
        <w:rPr>
          <w:rFonts w:hAnsi="宋体" w:eastAsia="仿宋_GB2312" w:cs="宋体"/>
          <w:color w:val="auto"/>
          <w:kern w:val="0"/>
          <w:sz w:val="30"/>
          <w:szCs w:val="30"/>
        </w:rPr>
      </w:pPr>
    </w:p>
    <w:p w14:paraId="61487431">
      <w:pPr>
        <w:spacing w:line="540" w:lineRule="exact"/>
        <w:jc w:val="center"/>
        <w:rPr>
          <w:rFonts w:hAnsi="宋体" w:eastAsia="仿宋_GB2312" w:cs="宋体"/>
          <w:color w:val="auto"/>
          <w:kern w:val="0"/>
          <w:sz w:val="30"/>
          <w:szCs w:val="30"/>
        </w:rPr>
      </w:pPr>
    </w:p>
    <w:p w14:paraId="215B7717">
      <w:pPr>
        <w:spacing w:line="540" w:lineRule="exact"/>
        <w:rPr>
          <w:rFonts w:hAnsi="宋体" w:eastAsia="仿宋_GB2312" w:cs="宋体"/>
          <w:color w:val="auto"/>
          <w:kern w:val="0"/>
          <w:sz w:val="30"/>
          <w:szCs w:val="30"/>
        </w:rPr>
      </w:pPr>
    </w:p>
    <w:p w14:paraId="405FBE5D">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14:paraId="5319FA80">
      <w:pPr>
        <w:spacing w:line="700" w:lineRule="exact"/>
        <w:ind w:firstLine="900" w:firstLineChars="25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Style w:val="18"/>
          <w:rFonts w:hint="eastAsia" w:ascii="楷体" w:hAnsi="楷体" w:eastAsia="楷体"/>
          <w:color w:val="auto"/>
          <w:spacing w:val="-4"/>
          <w:sz w:val="32"/>
          <w:szCs w:val="32"/>
        </w:rPr>
        <w:t>图书采购项目</w:t>
      </w:r>
    </w:p>
    <w:p w14:paraId="260866C9">
      <w:pP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w:t>
      </w:r>
      <w:r>
        <w:rPr>
          <w:rStyle w:val="18"/>
          <w:rFonts w:hint="eastAsia" w:ascii="楷体" w:hAnsi="楷体" w:eastAsia="楷体"/>
          <w:color w:val="auto"/>
          <w:spacing w:val="-4"/>
          <w:sz w:val="28"/>
          <w:szCs w:val="28"/>
        </w:rPr>
        <w:t>昌吉回族自治州图书馆</w:t>
      </w:r>
    </w:p>
    <w:p w14:paraId="3FDEF63F">
      <w:pP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w:t>
      </w:r>
      <w:r>
        <w:rPr>
          <w:rStyle w:val="18"/>
          <w:rFonts w:hint="eastAsia" w:ascii="楷体" w:hAnsi="楷体" w:eastAsia="楷体"/>
          <w:color w:val="auto"/>
          <w:spacing w:val="-4"/>
          <w:sz w:val="28"/>
          <w:szCs w:val="28"/>
        </w:rPr>
        <w:t>昌吉回族自治州图书馆</w:t>
      </w:r>
    </w:p>
    <w:p w14:paraId="2D2AB8F6">
      <w:pP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r>
        <w:rPr>
          <w:rStyle w:val="18"/>
          <w:rFonts w:hint="eastAsia" w:ascii="楷体" w:hAnsi="楷体" w:eastAsia="楷体"/>
          <w:color w:val="auto"/>
          <w:spacing w:val="-4"/>
          <w:sz w:val="32"/>
          <w:szCs w:val="32"/>
        </w:rPr>
        <w:t>游克均</w:t>
      </w:r>
    </w:p>
    <w:p w14:paraId="711B0D4A">
      <w:pPr>
        <w:spacing w:line="540" w:lineRule="exact"/>
        <w:ind w:left="273" w:firstLine="567"/>
        <w:rPr>
          <w:rStyle w:val="18"/>
          <w:rFonts w:ascii="楷体" w:hAnsi="楷体" w:eastAsia="楷体"/>
          <w:color w:val="auto"/>
          <w:spacing w:val="-4"/>
          <w:sz w:val="32"/>
          <w:szCs w:val="32"/>
        </w:rPr>
      </w:pPr>
      <w:r>
        <w:rPr>
          <w:rFonts w:hint="eastAsia" w:hAnsi="宋体" w:eastAsia="仿宋_GB2312" w:cs="宋体"/>
          <w:color w:val="auto"/>
          <w:kern w:val="0"/>
          <w:sz w:val="36"/>
          <w:szCs w:val="36"/>
        </w:rPr>
        <w:t>填报时间：</w:t>
      </w:r>
      <w:r>
        <w:rPr>
          <w:rStyle w:val="18"/>
          <w:rFonts w:hint="eastAsia" w:ascii="楷体" w:hAnsi="楷体" w:eastAsia="楷体"/>
          <w:color w:val="auto"/>
          <w:spacing w:val="-4"/>
          <w:sz w:val="32"/>
          <w:szCs w:val="32"/>
        </w:rPr>
        <w:t>2024年04月03日</w:t>
      </w:r>
    </w:p>
    <w:p w14:paraId="7A24C218">
      <w:pPr>
        <w:spacing w:line="700" w:lineRule="exact"/>
        <w:ind w:firstLine="708" w:firstLineChars="236"/>
        <w:jc w:val="left"/>
        <w:rPr>
          <w:rFonts w:hAnsi="宋体" w:eastAsia="仿宋_GB2312" w:cs="宋体"/>
          <w:color w:val="auto"/>
          <w:kern w:val="0"/>
          <w:sz w:val="30"/>
          <w:szCs w:val="30"/>
        </w:rPr>
      </w:pPr>
    </w:p>
    <w:p w14:paraId="3A8823FE">
      <w:pPr>
        <w:spacing w:line="540" w:lineRule="exact"/>
        <w:rPr>
          <w:rStyle w:val="18"/>
          <w:rFonts w:ascii="黑体" w:hAnsi="黑体" w:eastAsia="黑体"/>
          <w:b w:val="0"/>
          <w:color w:val="auto"/>
          <w:spacing w:val="-4"/>
          <w:sz w:val="32"/>
          <w:szCs w:val="32"/>
        </w:rPr>
      </w:pPr>
    </w:p>
    <w:p w14:paraId="05ACA6E4">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14:paraId="59E4C08F">
      <w:pPr>
        <w:spacing w:line="540" w:lineRule="exact"/>
        <w:ind w:firstLine="567"/>
        <w:rPr>
          <w:rStyle w:val="18"/>
          <w:rFonts w:hint="default" w:ascii="楷体" w:hAnsi="楷体" w:eastAsia="楷体"/>
          <w:color w:val="auto"/>
          <w:spacing w:val="-4"/>
          <w:sz w:val="32"/>
          <w:szCs w:val="32"/>
          <w:lang w:val="en-US" w:eastAsia="zh-CN"/>
        </w:rPr>
      </w:pPr>
      <w:r>
        <w:rPr>
          <w:rStyle w:val="18"/>
          <w:rFonts w:hint="eastAsia" w:ascii="楷体" w:hAnsi="楷体" w:eastAsia="楷体"/>
          <w:color w:val="auto"/>
          <w:spacing w:val="-4"/>
          <w:sz w:val="32"/>
          <w:szCs w:val="32"/>
        </w:rPr>
        <w:t>（一）项目概况</w:t>
      </w:r>
      <w:r>
        <w:rPr>
          <w:rStyle w:val="18"/>
          <w:rFonts w:hint="eastAsia" w:ascii="楷体" w:hAnsi="楷体" w:eastAsia="楷体"/>
          <w:color w:val="auto"/>
          <w:spacing w:val="-4"/>
          <w:sz w:val="32"/>
          <w:szCs w:val="32"/>
          <w:lang w:eastAsia="zh-CN"/>
        </w:rPr>
        <w:t>。</w:t>
      </w:r>
    </w:p>
    <w:p w14:paraId="33FA4E40">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1.项目背景</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中华人民共和国公共图书馆法》（主席令12届第79号）中要求：“公共图书馆可以通过采购、接受交存或者捐赠等合法方式收集文献信息”；《新疆维吾尔自治区公共图书馆条例》指出：“政府设立的公共图书馆馆藏文献总量和年人均新增入藏量应当符合国家公布的标准和规范；公共图书馆应当根据当地居民的年龄结构、文化程度、就业状况和民族特点等，配置文献信息，提高服务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2023年，为满足更多读者的阅读需求，增长全州人均阅读量，实现“文化润疆”，我单位结合上述文件精神，计划实施此项目。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2.主要内容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（1）项目名称：图书采购项目（以下简称“该项目”或“项目”）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（2）项目主要内容：纸质图购置、报纸期刊购置、数字资源更新。2023年纸质图书购置费52.00万元，7000册；报刊征订11.00万元，500种；数字资源更新12.00万元。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项目的实施满足了广大读者图书阅读需求，更好的发挥昌吉州图书馆公共文化服务职能，促进图书馆藏体系建设，增长了全州人均阅读量。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3.实施情况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实施主体：昌吉回族自治州图书馆。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实施时间：本项目实施周期为2023年1月-2023年12月。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实施情况：本项自2023年1月开始实施，制定了《昌吉州图书馆文献资源采购项目实施方案》。2023年5月，实施方案通过州文旅局党组会决议，准许该项目实施。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2023年8月，以竞争性谈判的方式进行图书招标。2023年9月-11月，图书到馆并完成编目加工上架，同时完成报刊征订、数字资源更新工作并全部通过验收。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2023年12月，此项目结束。共计采购纸质图书13410册，订购报刊520种，更新数字资源一批。全部项目均验收合格。通过此项目的实施，满足了广大读者图书阅读需求，促进了图书馆藏体系建设，增长了全州人均阅读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4.项目实施主体</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（1）主要职能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图书馆是地州级综合性公共图书馆，财政全额拨款的公益一类事业单位，机构规格相当于正科级，隶属州文化体育广播影视局管理。服务宗旨：保存借阅图书资料，促进社会经济文化发展。主要职责任务：收集、整理、保存人类文化遗产，地方文献及各类经典书籍；古籍保护；开展馆际协作，促进文献资源共享；利用图书、报纸、期刊、音像制品、微缩胶片、电子出版物和网络信息等文献信息资源，面向社会公众提供知识信息咨询服务；承担区域社会公众的公共图书馆服务和指导基层图书馆业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（2）机构设置情况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图书馆机构设置：无下属预算单位，内设13个科室，分别是：办公室、采编部、技术部、电子阅览室、少儿阅览部、参考咨询部（学会）、残疾人视障室、外借部、民族文献部（地方文献）、工具书（外文）阅览室、古籍室、综合阅览部、读者活动服务部。昌吉回族自治州图书馆人员总数61名，其中：在职25名，退休36名，离休0名。实有人员61人。5.资金投入和使用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（1）项目资金安排落实、总投入等情况分析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本项目预算安排总额75.00万元，资金来源为州本级专项资金，其中：财政资金75.00万元，其他资金0.00万元，2023年实际收到预算资金75.00万元，预算资金到位率为100.00%。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（2）项目资金实际使用情况分析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截至2023年12月31日，本项目实际支付资金75.00万元，预算执行率100.00%。本项目资金主要用于支付纸质图书费用52.00万元、报刊费用11.00万元、数字资源更新费用12.00万元。</w:t>
      </w:r>
    </w:p>
    <w:p w14:paraId="3051AF3C">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14:paraId="7EA2EBAE">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1.总体目标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政府采购招标购买图书、报刊一批 更新电子图书数据资源一批,购置图书数量7000册,购置报刊种类（类）500种,刊物质量合格率达到100%，购买图书质量验收合格率达到100%，报刊购买完成及时率达到95.00%，图书购买时间及时率达到95.00%元。满足更多读者的阅读需求，增长全州人均阅读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2.阶段性目标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（1）项目产出指标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①数量指标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“购置图书数量”指标，预期指标值为“大于等于7000册”；</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“购置报刊种类”指标，预期指标值为“大于等于500种”。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②质量指标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“刊物质量合格率”指标，预期指标值为“等于100.00%”；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“购买图书质量验收合格率”指标，预期指标值为“等于100.00%”。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③时效指标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“报刊购买完成及时率”指标，预期指标值为“大于等于95.00%”；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“图书购买时间及时率”指标，预期指标值为“大于等于95.00%”。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“购买报刊金额”指标，预期指标值为“小于等于11.00万元”；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“购买图书金额”指标，预期指标值为“小于等于52.00万元”；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“数字资源更新费用”指标，预期指标值为“小于等于12.00万元”。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③生态环境成本指标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“满足更多读者的阅读需求”指标，预期指标值为“有效满足”；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“增长全州人均阅读量”指标，预期指标值为“有效增长”。</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“读者满意度”指标，预期指标值为“大于等于90.00%”。</w:t>
      </w:r>
    </w:p>
    <w:p w14:paraId="6CFAE37E">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二、绩效评价工作开展情况</w:t>
      </w:r>
    </w:p>
    <w:p w14:paraId="5DEC279E">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14:paraId="633F969C">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1.绩效评价的目的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2.绩效评价对象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此次我单位根据《财政支出绩效评价管理暂行办法》（财预〔2020〕10号）文件要求实施评价工作，本次评价对象为图书采购项目，评价核心为项目资金、项目产出、项目效益。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3.绩效评价范围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4.绩效评价依据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(1)《中华人民共和国预算法》；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(2)《中共中央国务院关于全面实施预算绩效管理的意见》（中发〔2018〕34号）；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(3)《项目支出绩效评价管理办法》（财预〔2020〕10号）；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(4)《自治区财政支出绩效评价管理暂行办法》（新财预〔2018〕189号）；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(5)州文旅局党组会议纪要、实施方案、项目验收单、合同、发票、财务支付凭证。</w:t>
      </w:r>
    </w:p>
    <w:p w14:paraId="3C260B5C">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（二）绩效评价原则、评价指标体系、评价方法、评价标准</w:t>
      </w:r>
    </w:p>
    <w:p w14:paraId="014CB9D9">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1.绩效评价原则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（4）公开透明。绩效评价结果应依法依规公开，并自觉接受社会监督。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bookmarkStart w:id="0" w:name="_GoBack"/>
      <w:bookmarkEnd w:id="0"/>
      <w:r>
        <w:rPr>
          <w:rStyle w:val="18"/>
          <w:rFonts w:hint="eastAsia" w:ascii="楷体" w:hAnsi="楷体" w:eastAsia="楷体"/>
          <w:b w:val="0"/>
          <w:bCs w:val="0"/>
          <w:color w:val="auto"/>
          <w:spacing w:val="-4"/>
          <w:sz w:val="32"/>
          <w:szCs w:val="32"/>
        </w:rPr>
        <w:t>以及公众评判法。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4BE44BA">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14:paraId="69A01B1C">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1.前期准备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于2024年3月15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田博（评价小组组长）：主要负责项目策划和监督，全面负责项目绩效评价办稿的最终质量，对评估人员出具的最终报告质量进行复核，确保评估结果的客观性；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安娜（评价小组组员）：主要负责资料的收集，取证、数据统计分析；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徐森（评价小组组员）：主要负责主要负责项目报告的制定，指标的研判，数据分析及报告撰写。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2024年3月15日-3月26日，评价工作进入实施阶段。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 xml:space="preserve">经调研了解，该项目主要受益群体包括社会各阶层、各年龄人士。我们根据绩效评价目标和绩效指标体系，设计满意度调查问卷进行问卷调查，其中少儿受益对象共选取样本15人，共发放问卷15份，最终收回15份；成人受益对象共选取样本15人，共发放问卷15份，最终收回15份。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3.分析评价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2024年3月27日-4月8日，评价小组按照绩效评价的原则和规范，对取得的资料进行审查核实，对采集的数据进行分析，按照绩效评价指标评分表逐项进行打分、分析、汇总各方评价结果。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4.撰写与提交评价报告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2024年4月9-4月17日，评价小组撰写绩效评价报告，按照新疆维吾尔自治区财政绩效管理信息系统绩效评价模块中统一格式和文本框架撰写绩效评价报告并提交审核。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5.问题整改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6.档案整理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建立和落实档案管理制度，将项目相关资料存档，包括但不限于：评价项目基本情况和相关文件、评价实施方案、项目支付资料等相关档案。</w:t>
      </w:r>
    </w:p>
    <w:p w14:paraId="51FD2B87">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三、综合评价情况及评价结论</w:t>
      </w:r>
    </w:p>
    <w:p w14:paraId="4FAD5BD7">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（一）综合评价情况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评价，本项目达成年初设立的绩效目标，在实施过程中取得了良好的成效，具体表现在：通过项目的实施，完成了13410册图书、520种报刊产出目标，发挥了增长全州群众图书阅读量、满足文化需求效益。但在实施过程中也存在一些不足：项目招标过程中，因废标而进行二次招标，造成项目实施略有滞后。</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（二）评价结论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绩效评价通过绩效评价小组论证的评价指标体系及评分标准，采用因素分析法和比较法对本项目绩效进行客观评价，本项目共设置三级指标数量23个，实现三级指标数量23个，总体完成率为100.00%。最终评分结果：总分为100.00分，绩效评级为“优”。综合评价结论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项目决策类指标共设置6个，满分指标6个，得分率100.00%；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过程管理类指标共设置5个，满分指标5个，得分率100.00%；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项目产出类指标共设置9个，满分指标9个，得分率100.00%；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项目效益类指标共设置3个，满分指标3个，得分率100.00%。</w:t>
      </w:r>
    </w:p>
    <w:p w14:paraId="2D16AB83">
      <w:pPr>
        <w:spacing w:line="540" w:lineRule="exact"/>
        <w:ind w:firstLine="640"/>
        <w:rPr>
          <w:rStyle w:val="18"/>
          <w:rFonts w:ascii="黑体" w:hAnsi="黑体" w:eastAsia="黑体"/>
          <w:color w:val="auto"/>
        </w:rPr>
      </w:pPr>
      <w:r>
        <w:rPr>
          <w:rStyle w:val="18"/>
          <w:rFonts w:hint="eastAsia" w:ascii="黑体" w:hAnsi="黑体" w:eastAsia="黑体"/>
          <w:b w:val="0"/>
          <w:color w:val="auto"/>
          <w:spacing w:val="-4"/>
          <w:sz w:val="32"/>
          <w:szCs w:val="32"/>
        </w:rPr>
        <w:t>四、绩效评价指标分析</w:t>
      </w:r>
      <w:r>
        <w:rPr>
          <w:rStyle w:val="18"/>
          <w:rFonts w:hint="eastAsia" w:ascii="黑体" w:hAnsi="黑体" w:eastAsia="黑体"/>
          <w:color w:val="auto"/>
        </w:rPr>
        <w:t xml:space="preserve"> </w:t>
      </w:r>
    </w:p>
    <w:p w14:paraId="0B01FB8A">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（一）</w:t>
      </w:r>
      <w:r>
        <w:rPr>
          <w:rStyle w:val="18"/>
          <w:rFonts w:hint="eastAsia" w:ascii="楷体" w:hAnsi="楷体" w:eastAsia="楷体"/>
          <w:color w:val="auto"/>
          <w:spacing w:val="-4"/>
          <w:sz w:val="32"/>
          <w:szCs w:val="32"/>
        </w:rPr>
        <w:t>项目决策情况</w:t>
      </w:r>
    </w:p>
    <w:p w14:paraId="16D8878E">
      <w:pPr>
        <w:tabs>
          <w:tab w:val="center" w:pos="4295"/>
        </w:tabs>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项目决策类指标由3个二级指标和6个三级指标构成，权重分21.00分，实际得分21.00分。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1.项目立项情况分析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（1）立项依据充分性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立项符合全国人民代表大会常务委员会颁发的《中华人民共和国公共图书馆法》（主席令12届第79号）中：“公共图书馆可以通过采购、接受交存或者捐赠等合法方式收集文献信息”；本项目立项符合《新疆维吾尔自治区公共图书馆条例》中：“政府设立的公共图书馆馆藏文献总量和年人均新增入藏量应当符合国家公布的标准和规范；公共图书馆应当根据当地居民的年龄结构、文化程度、就业状况和民族特点等，配置文献信息，提高服务水平”内容，符合行业发展规划和政策要求；本项目立项符合《昌吉回族自治州图书馆单位配置内设机构和人员编制规定》中“保存借阅图书资料，促进社会经济文化发展”的职责范围，属于我单位履职所需；根据《财政资金直接支付申请书》，本项目资金性质为“公共财政预算”功能分类为“2070104图书馆”；经济分类为“31099、30213、30210”；属于公共财政支持范围，符合中央、地方事权支出责任划分原则；经检查我单位财政应用平台指标，本项目不存在重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综上所述，本指标满分为5.00分，根据评分标准得5.00分，本项目立项依据充分。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（2）立项程序规范性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为非基础建设类项目，属于专项资金安排项目，不涉及事前绩效评估、可行性研究以及风险评估，由我单位严格按照《中华人民共和国政府采购法》和《关于进一步加强昌吉州本级预算单位政府采购预算管理工作有关事项的通知》(昌州采购〔2018〕9号)文件精神要求实施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综上所述，本指标满分为3.00分，根据评分标准得3.00分，本项目立项程序规范。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2.绩效目标情况分析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（1）绩效目标合理性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本项目已设置年度绩效目标，具体内容为“该项目计划政府采购招标购买图书、报刊一批 更新电子图书数据资源一批”；本项目实际工作内容为：该项目计划政府采购招标购买图书、报刊一批 更新电子图书数据资源一批；绩效目标与实际工作内容一致，两者具有相关性;本项目按照绩效目标完成了数量指标、质量指标、时效指标、成本指标，有效保障了全州各民族群众的文化阅读需求，增长了全州读者的图书借阅量，年度绩效目标完成，预期产出效益和效果符合正常的业绩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综上所述，本指标满分为4.00分，根据评分标准得4.00分，本项目绩效目标设置合理。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（2）绩效指标明确性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检查我单位年初设置的《项目支出绩效目标表》，得出如下结论：本项目已将年度绩效目标进行细化为绩效指标体系，共设置一级指标4个，二级指标6个，三级指标12个，定量指标10个，定性指标2个，指标量化率为83.34%，量化率达70.00%以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综上所述，本指标满分为3.00分，根据评分标准得3.00分，本项目所设置绩效指标明确。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3.资金投入情况分析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（1）预算编制科学性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本项目预算编制通过上年支出情况及本年图书、报刊采购需求得出，即预算编制较科学且经过论证；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预算申请内容为文献资源采购，项目实际内容为文献资源采购，预算申请与《昌吉州图书馆文献资源采购项目实施方案》中涉及的项目内容匹配；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申请资金75.00万元，我单位在预算申请中严格按照单位标准和数量进行核算，其中：纸质图书费用52.00万元、报刊费用11.00万元、数字资源更新费用12.00万元。本项目预算额度测算依据充分，严格按照标准编制，预算确定资金量与实际工作任务相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综上所述，本指标满分为4.00分，根据评分标准4.00分，本项目预算编制科学。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（2）资金分配合理性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实际分配资金以《关于图书采购项目资金的请示》和《昌吉州图书馆文献资源采购项目实施方案》为依据进行资金分配，预算资金分配依据充分。《关于下达昌吉州本级预算单位2023年部门预算的通知》（昌州财行〔2023〕1号）文件显示，本项目实际到位资金75.00万元，实际分配资金与我单位提交申请的资金额度一致，资金分配额度合理，与我单位实际需求相适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综上所述，本指标满分为2.00分，根据评分标准得2.00分，本项目资金分配合理。</w:t>
      </w:r>
      <w:r>
        <w:rPr>
          <w:rStyle w:val="18"/>
          <w:rFonts w:hint="eastAsia" w:ascii="楷体" w:hAnsi="楷体" w:eastAsia="楷体"/>
          <w:b w:val="0"/>
          <w:bCs w:val="0"/>
          <w:color w:val="auto"/>
          <w:spacing w:val="-4"/>
          <w:sz w:val="32"/>
          <w:szCs w:val="32"/>
        </w:rPr>
        <w:tab/>
      </w:r>
    </w:p>
    <w:p w14:paraId="0FD2B592">
      <w:pPr>
        <w:spacing w:line="540" w:lineRule="exact"/>
        <w:ind w:firstLine="567" w:firstLineChars="181"/>
        <w:rPr>
          <w:rStyle w:val="18"/>
          <w:rFonts w:ascii="楷体" w:hAnsi="楷体" w:eastAsia="楷体"/>
          <w:color w:val="auto"/>
          <w:spacing w:val="-4"/>
          <w:sz w:val="32"/>
          <w:szCs w:val="32"/>
        </w:rPr>
      </w:pPr>
      <w:r>
        <w:rPr>
          <w:rFonts w:hint="eastAsia" w:ascii="楷体" w:hAnsi="楷体" w:eastAsia="楷体"/>
          <w:b/>
          <w:color w:val="auto"/>
          <w:spacing w:val="-4"/>
          <w:sz w:val="32"/>
          <w:szCs w:val="32"/>
        </w:rPr>
        <w:t>（二）</w:t>
      </w:r>
      <w:r>
        <w:rPr>
          <w:rStyle w:val="18"/>
          <w:rFonts w:hint="eastAsia" w:ascii="楷体" w:hAnsi="楷体" w:eastAsia="楷体"/>
          <w:color w:val="auto"/>
          <w:spacing w:val="-4"/>
          <w:sz w:val="32"/>
          <w:szCs w:val="32"/>
        </w:rPr>
        <w:t>项目过程情况</w:t>
      </w:r>
    </w:p>
    <w:p w14:paraId="662D46AC">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项目过程管理类指标由2个二级指标和5个三级指标构成，权重分19.00分，实际得分19.00分。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1.资金管理情况分析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（1）资金到位率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资金为75.00万元，其中：本级财政安排资金75.00万元，其他资金0.00万元，实际到位资金75.00万元，资金到位率=（实际到位资金/预算资金）×100.00%=（75.00/75.00）*100.00%=100.00%。得分=资金到位率*分值=100.00%*4.00=4.00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综上所述，本指标满分为4.00分，根据评分标准得4.00分，本项目资金分配合理。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（2）预算执行率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本项目实际支出资金75.00万元，预算执行率=（实际支出资金/实际到位资金）×100.00%=（75/75）*100.00%=100.00%。得分=预算执行率*分值=100.00%*5.00=5.00分。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综上所述，本指标满分为5.00分，根据评分标准得5.00分，本项目资金分配合理。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（3）资金使用合规性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通过检查本项目签订的合同、资金申请文件、发票等财务付款凭证，得出本项目资金支出符合国家财经法规、《政府会计制度》以及《昌吉州图书馆资金管理办法》《昌吉州图书馆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综上所述，本指标满分为4.00分，根据评分标准得4.00分，资金支出符合我单位财务管理制度规定。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（1）管理制度健全性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已制定《昌吉州图书馆资金管理办法》《昌吉州图书馆收支业务管理制度》《昌吉州图书馆政府采购业务管理制度》《昌吉州图书馆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综上所述，本指标满分为2.00分，根据评分标准得2.00分，项目制度建设健全。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（2）制度执行有效性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图书馆文献资源采购项目工作领导小组，由党组书记游克均任组长，负责项目的组织工作；田博任副组长，负责项目的实施工作；组员包括：徐森和马雯靖，主要负责项目监督管理、验收以及资金核拨等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综上所述，本指标满分为4.00分，根据评分标准得4.00分，本项目所建立制度执行有效。</w:t>
      </w:r>
    </w:p>
    <w:p w14:paraId="14E19310">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（三）</w:t>
      </w:r>
      <w:r>
        <w:rPr>
          <w:rStyle w:val="18"/>
          <w:rFonts w:hint="eastAsia" w:ascii="楷体" w:hAnsi="楷体" w:eastAsia="楷体"/>
          <w:color w:val="auto"/>
          <w:spacing w:val="-4"/>
          <w:sz w:val="32"/>
          <w:szCs w:val="32"/>
        </w:rPr>
        <w:t>项目产出情况</w:t>
      </w:r>
    </w:p>
    <w:p w14:paraId="4473409E">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项目产出类指标由4个二级指标和9个三级指标构成，权重分30.00分，实际得分30.00分。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1.数量指标完成情况分析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“购置图书数量”指标：预期指标值为“大于等于7000册”，实际完成指标值为“13410册”，指标完成率为100.00%。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综上所述，本指标满分为6.00分，根据评分标准得6.00分。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“购置报刊种类”指标：预期指标值为“大于等于500种”，实际完成指标值为“520种”，指标完成率为100.00%。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2.质量指标完成情况分析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“刊物质量合格率”指标：预期指标值为“等于100.00%”，实际完成指标值为“100.00%”，指标完成率为100.00%。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“购买图书质量验收合格率”指标：预期指标值为“等于100.00%”，实际完成指标值为“100.00%”，指标完成率为100.00%。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3.时效指标完成情况分析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“报刊购买完成及时率”指标：预期指标值为“大于等于95.00%”，实际完成指标值为“100.00%”，指标完成率为100.00%。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综上所述，本指标满分为2.00分，根据评分标准得2.00分。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“图书购买时间及时率”指标：预期指标值为“大于等于95.00%”，实际完成指标值为“100.00%”，指标完成率为100.00%。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综上所述，本指标满分为2.00分，根据评分标准得2.00分。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4.成本指标完成情况分析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“购买报刊金额”指标：预期指标值为“小于等于11.00万元”，实际完成指标值为“11.00万元”，指标完成率为100.00%。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综上所述，本指标满分为1.00分，根据评分标准1.00分。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“购买图书金额”指标：预期指标值为“小于等于52.00万元”，实际完成指标值为“52.00万元”，指标完成率为100.00%。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综上所述，本指标满分为5.00分，根据评分标准5.00分。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“数字资源更新费用”指标：预期指标值为“小于等于12.00万元”，实际完成指标值为“12.00万元”，指标完成率为100.00%。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综上所述，本指标满分为2.00分，根据评分标准2.00分。</w:t>
      </w:r>
    </w:p>
    <w:p w14:paraId="56D7AABD">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（四）</w:t>
      </w:r>
      <w:r>
        <w:rPr>
          <w:rStyle w:val="18"/>
          <w:rFonts w:hint="eastAsia" w:ascii="楷体" w:hAnsi="楷体" w:eastAsia="楷体"/>
          <w:color w:val="auto"/>
          <w:spacing w:val="-4"/>
          <w:sz w:val="32"/>
          <w:szCs w:val="32"/>
        </w:rPr>
        <w:t>项目效益情况</w:t>
      </w:r>
    </w:p>
    <w:p w14:paraId="0E9C1C43">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项目效益类指标由2个二级指标和3个三级指标构成，权重分30.00分，实际得分30.00分。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1.经济效益完成情况分析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本项目无该指标。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2.社会效益完成情况分析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“满足更多读者的阅读需求”指标，预期指标值为“有效满足”，实际完成指标值为“基本达成目标”，指标完成率为100.00%。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综上所述，本指标满分为9.00分，根据评分标准得9.00分。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“增长全州人均阅读量”指标，预期指标值为“有效增长”，实际完成指标值为“基本达成目标”，指标完成率为100.00%。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综上所述，本指标满分为10.00分，根据评分标准得10.00分。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3.生态效益完成情况分析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本项目无该指标。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4.满意度完成情况分析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“读者满意度”指标：预期指标值为“大于等于90.00%”，实际完成指标值为“93.30%”，指标完成率为100.00%。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综上所述，本指标满分为11.00分，根据评分标准得11.00分。</w:t>
      </w:r>
    </w:p>
    <w:p w14:paraId="14CF8B58">
      <w:pPr>
        <w:spacing w:line="540" w:lineRule="exact"/>
        <w:ind w:firstLine="567"/>
        <w:rPr>
          <w:rStyle w:val="18"/>
          <w:rFonts w:ascii="楷体" w:hAnsi="楷体" w:eastAsia="楷体"/>
          <w:color w:val="auto"/>
          <w:spacing w:val="-4"/>
          <w:sz w:val="32"/>
          <w:szCs w:val="32"/>
        </w:rPr>
      </w:pPr>
    </w:p>
    <w:p w14:paraId="283C4187">
      <w:pPr>
        <w:numPr>
          <w:ilvl w:val="0"/>
          <w:numId w:val="1"/>
        </w:num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预算执行进度与绩效指标偏差</w:t>
      </w:r>
    </w:p>
    <w:p w14:paraId="68E788F5">
      <w:pPr>
        <w:spacing w:line="540" w:lineRule="exact"/>
        <w:ind w:firstLine="567"/>
        <w:rPr>
          <w:rStyle w:val="18"/>
          <w:rFonts w:hint="default" w:ascii="黑体" w:hAnsi="黑体" w:eastAsia="黑体"/>
          <w:b w:val="0"/>
          <w:color w:val="auto"/>
          <w:spacing w:val="-4"/>
          <w:sz w:val="32"/>
          <w:szCs w:val="32"/>
          <w:lang w:val="en-US" w:eastAsia="zh-CN"/>
        </w:rPr>
      </w:pPr>
      <w:r>
        <w:rPr>
          <w:rStyle w:val="18"/>
          <w:rFonts w:hint="eastAsia" w:ascii="楷体" w:hAnsi="楷体" w:eastAsia="楷体"/>
          <w:b w:val="0"/>
          <w:bCs w:val="0"/>
          <w:color w:val="auto"/>
          <w:spacing w:val="-4"/>
          <w:sz w:val="32"/>
          <w:szCs w:val="32"/>
        </w:rPr>
        <w:t>本项目年初预算资金总额为75.00万元，全年预算数为75.00万元，全年执行数为75.00万元，预算执行率为100.00%。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本项目共设置三级指标数量23个，满分指标数量23个，扣分指标数量0个，经分析计算所有三级指标完成率得出，本项目总体完成率为100.00%。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综上所述本项目预算执行进度与总体完成进度之间的偏差为0.00%。项目预算执行进度与绩效指标完成进度无偏差。</w:t>
      </w:r>
    </w:p>
    <w:p w14:paraId="24C6EDE3">
      <w:pPr>
        <w:numPr>
          <w:ilvl w:val="0"/>
          <w:numId w:val="1"/>
        </w:num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rPr>
        <w:t>主要经验及做法、存在的问题及原因分析</w:t>
      </w:r>
    </w:p>
    <w:p w14:paraId="514BEE82">
      <w:pPr>
        <w:spacing w:line="540" w:lineRule="exact"/>
        <w:ind w:firstLine="567"/>
        <w:rPr>
          <w:rFonts w:ascii="仿宋_GB2312" w:eastAsia="仿宋_GB2312"/>
          <w:color w:val="auto"/>
          <w:spacing w:val="-4"/>
          <w:sz w:val="32"/>
          <w:szCs w:val="32"/>
        </w:rPr>
      </w:pPr>
      <w:r>
        <w:rPr>
          <w:rStyle w:val="18"/>
          <w:rFonts w:hint="eastAsia" w:ascii="楷体" w:hAnsi="楷体" w:eastAsia="楷体"/>
          <w:b w:val="0"/>
          <w:bCs w:val="0"/>
          <w:color w:val="auto"/>
          <w:spacing w:val="-4"/>
          <w:sz w:val="32"/>
          <w:szCs w:val="32"/>
        </w:rPr>
        <w:t>（一）主要经验及做法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聚焦重点任务，推动项目工作落地落实。为有效推进项目工作开展，成立项目领导小组进一步强化项目意识，建立健全经费管理制度，明确责任和时间节点，一项一项抓好具体落实，确保了项目按时保质完成，保障了项目有序开展，按时完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合理合规使用经费。在经费使用方面，严格执行经费使用管理制度，厉行节约，专款专用，对每笔经费使用情况建立监督机制，确保经费使用合理合规。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（二）存在的问题及原因分析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在该项目实施初期，由于对采购方式的更改，导致采购过程中存在采购参数不规范、采购要求过于严格等问题，以至于和相关采购部门沟通过程中出现反复修改的问题，同时在招标过程中因投标不满3家而废标，以至于二次开标导致整个采购过程存在滞后性，耽误了项目进程。</w:t>
      </w:r>
    </w:p>
    <w:p w14:paraId="78918310">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七</w:t>
      </w:r>
      <w:r>
        <w:rPr>
          <w:rStyle w:val="18"/>
          <w:rFonts w:hint="eastAsia" w:ascii="黑体" w:hAnsi="黑体" w:eastAsia="黑体"/>
          <w:b w:val="0"/>
          <w:color w:val="auto"/>
          <w:spacing w:val="-4"/>
          <w:sz w:val="32"/>
          <w:szCs w:val="32"/>
        </w:rPr>
        <w:t>、有关建议</w:t>
      </w:r>
    </w:p>
    <w:p w14:paraId="0F0869A9">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b w:val="0"/>
          <w:bCs w:val="0"/>
          <w:color w:val="auto"/>
          <w:spacing w:val="-4"/>
          <w:sz w:val="32"/>
          <w:szCs w:val="32"/>
        </w:rPr>
        <w:t>1.与各采购部门加强沟通，多学习交流，在采购参数制定过程中严格遵照相关法律法规，进一步完善采购方案及参数的制定。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2.加强相关工作人员业务培训，提高业务水平，避免在采购过程中出现采购方式不明确、参数模糊、废标等情况的发生。</w:t>
      </w:r>
    </w:p>
    <w:p w14:paraId="45115A4D">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八</w:t>
      </w:r>
      <w:r>
        <w:rPr>
          <w:rStyle w:val="18"/>
          <w:rFonts w:hint="eastAsia" w:ascii="黑体" w:hAnsi="黑体" w:eastAsia="黑体"/>
          <w:b w:val="0"/>
          <w:color w:val="auto"/>
          <w:spacing w:val="-4"/>
          <w:sz w:val="32"/>
          <w:szCs w:val="32"/>
        </w:rPr>
        <w:t>、其他需要说明的问题</w:t>
      </w:r>
    </w:p>
    <w:p w14:paraId="4E2CE501">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（四）我单位对上述项目支出绩效评价报告内反映内容的真实性、完整性负责，接受上级部门及社会公众监督。</w:t>
      </w:r>
    </w:p>
    <w:p w14:paraId="20A1BBD6">
      <w:pPr>
        <w:spacing w:line="540" w:lineRule="exact"/>
        <w:ind w:firstLine="567"/>
        <w:rPr>
          <w:rStyle w:val="18"/>
          <w:rFonts w:ascii="仿宋" w:hAnsi="仿宋" w:eastAsia="仿宋"/>
          <w:b w:val="0"/>
          <w:color w:val="auto"/>
          <w:spacing w:val="-4"/>
          <w:sz w:val="32"/>
          <w:szCs w:val="32"/>
        </w:rPr>
      </w:pPr>
    </w:p>
    <w:p w14:paraId="3737E60F">
      <w:pPr>
        <w:spacing w:line="540" w:lineRule="exact"/>
        <w:ind w:firstLine="567"/>
        <w:rPr>
          <w:rStyle w:val="18"/>
          <w:rFonts w:ascii="仿宋" w:hAnsi="仿宋" w:eastAsia="仿宋"/>
          <w:b w:val="0"/>
          <w:color w:val="auto"/>
          <w:spacing w:val="-4"/>
          <w:sz w:val="32"/>
          <w:szCs w:val="32"/>
        </w:rPr>
      </w:pPr>
    </w:p>
    <w:p w14:paraId="65DFCAE8">
      <w:pPr>
        <w:spacing w:line="540" w:lineRule="exact"/>
        <w:ind w:firstLine="567"/>
        <w:rPr>
          <w:rStyle w:val="18"/>
          <w:rFonts w:ascii="仿宋" w:hAnsi="仿宋" w:eastAsia="仿宋"/>
          <w:b w:val="0"/>
          <w:color w:val="auto"/>
          <w:spacing w:val="-4"/>
          <w:sz w:val="32"/>
          <w:szCs w:val="32"/>
        </w:rPr>
      </w:pPr>
    </w:p>
    <w:p w14:paraId="526FDD6D">
      <w:pPr>
        <w:spacing w:line="540" w:lineRule="exact"/>
        <w:ind w:firstLine="567"/>
        <w:rPr>
          <w:rStyle w:val="18"/>
          <w:rFonts w:ascii="仿宋" w:hAnsi="仿宋" w:eastAsia="仿宋"/>
          <w:b w:val="0"/>
          <w:color w:val="auto"/>
          <w:spacing w:val="-4"/>
          <w:sz w:val="32"/>
          <w:szCs w:val="32"/>
        </w:rPr>
      </w:pPr>
    </w:p>
    <w:p w14:paraId="3866DF45">
      <w:pPr>
        <w:spacing w:line="540" w:lineRule="exact"/>
        <w:ind w:firstLine="567"/>
        <w:rPr>
          <w:rStyle w:val="18"/>
          <w:rFonts w:ascii="仿宋" w:hAnsi="仿宋" w:eastAsia="仿宋"/>
          <w:b w:val="0"/>
          <w:color w:val="auto"/>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3397376">
        <w:pPr>
          <w:pStyle w:val="12"/>
          <w:jc w:val="center"/>
        </w:pPr>
        <w:r>
          <w:fldChar w:fldCharType="begin"/>
        </w:r>
        <w:r>
          <w:instrText xml:space="preserve">PAGE   \* MERGEFORMAT</w:instrText>
        </w:r>
        <w:r>
          <w:fldChar w:fldCharType="separate"/>
        </w:r>
        <w:r>
          <w:rPr>
            <w:lang w:val="zh-CN"/>
          </w:rPr>
          <w:t>2</w:t>
        </w:r>
        <w:r>
          <w:fldChar w:fldCharType="end"/>
        </w:r>
      </w:p>
    </w:sdtContent>
  </w:sdt>
  <w:p w14:paraId="4837272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1A332C92"/>
    <w:rsid w:val="3029612C"/>
    <w:rsid w:val="32A221C5"/>
    <w:rsid w:val="33F20F2A"/>
    <w:rsid w:val="34C44675"/>
    <w:rsid w:val="3B5B5607"/>
    <w:rsid w:val="3C802240"/>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6949</Words>
  <Characters>7415</Characters>
  <Lines>4</Lines>
  <Paragraphs>1</Paragraphs>
  <TotalTime>2</TotalTime>
  <ScaleCrop>false</ScaleCrop>
  <LinksUpToDate>false</LinksUpToDate>
  <CharactersWithSpaces>7435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巴霍巴利</cp:lastModifiedBy>
  <cp:lastPrinted>2018-12-31T10:56:00Z</cp:lastPrinted>
  <dcterms:modified xsi:type="dcterms:W3CDTF">2025-05-28T03:03:29Z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C734C92AAAF24344A0E4232D8EB3359B</vt:lpwstr>
  </property>
</Properties>
</file>