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3DDAAE">
      <w:pPr>
        <w:spacing w:line="540" w:lineRule="exact"/>
        <w:jc w:val="left"/>
        <w:rPr>
          <w:rFonts w:ascii="仿宋" w:hAnsi="仿宋" w:eastAsia="仿宋" w:cs="宋体"/>
          <w:color w:val="auto"/>
          <w:kern w:val="0"/>
          <w:sz w:val="32"/>
          <w:szCs w:val="32"/>
        </w:rPr>
      </w:pPr>
      <w:r>
        <w:rPr>
          <w:rFonts w:hint="eastAsia" w:ascii="仿宋" w:hAnsi="仿宋" w:eastAsia="仿宋" w:cs="宋体"/>
          <w:color w:val="auto"/>
          <w:kern w:val="0"/>
          <w:sz w:val="32"/>
          <w:szCs w:val="32"/>
        </w:rPr>
        <w:t>附件2：</w:t>
      </w:r>
    </w:p>
    <w:p w14:paraId="439B9527">
      <w:pPr>
        <w:spacing w:line="540" w:lineRule="exact"/>
        <w:jc w:val="center"/>
        <w:rPr>
          <w:rFonts w:ascii="华文中宋" w:hAnsi="华文中宋" w:eastAsia="华文中宋" w:cs="宋体"/>
          <w:b/>
          <w:color w:val="auto"/>
          <w:kern w:val="0"/>
          <w:sz w:val="52"/>
          <w:szCs w:val="52"/>
        </w:rPr>
      </w:pPr>
    </w:p>
    <w:p w14:paraId="776ED3C1">
      <w:pPr>
        <w:spacing w:line="540" w:lineRule="exact"/>
        <w:jc w:val="center"/>
        <w:rPr>
          <w:rFonts w:ascii="华文中宋" w:hAnsi="华文中宋" w:eastAsia="华文中宋" w:cs="宋体"/>
          <w:b/>
          <w:color w:val="auto"/>
          <w:kern w:val="0"/>
          <w:sz w:val="52"/>
          <w:szCs w:val="52"/>
        </w:rPr>
      </w:pPr>
    </w:p>
    <w:p w14:paraId="50C375C9">
      <w:pPr>
        <w:spacing w:line="540" w:lineRule="exact"/>
        <w:jc w:val="center"/>
        <w:rPr>
          <w:rFonts w:ascii="华文中宋" w:hAnsi="华文中宋" w:eastAsia="华文中宋" w:cs="宋体"/>
          <w:b/>
          <w:color w:val="auto"/>
          <w:kern w:val="0"/>
          <w:sz w:val="52"/>
          <w:szCs w:val="52"/>
        </w:rPr>
      </w:pPr>
    </w:p>
    <w:p w14:paraId="142AEE24">
      <w:pPr>
        <w:spacing w:line="540" w:lineRule="exact"/>
        <w:jc w:val="center"/>
        <w:rPr>
          <w:rFonts w:ascii="华文中宋" w:hAnsi="华文中宋" w:eastAsia="华文中宋" w:cs="宋体"/>
          <w:b/>
          <w:color w:val="auto"/>
          <w:kern w:val="0"/>
          <w:sz w:val="52"/>
          <w:szCs w:val="52"/>
        </w:rPr>
      </w:pPr>
    </w:p>
    <w:p w14:paraId="02196E3D">
      <w:pPr>
        <w:spacing w:line="540" w:lineRule="exact"/>
        <w:jc w:val="center"/>
        <w:rPr>
          <w:rFonts w:ascii="华文中宋" w:hAnsi="华文中宋" w:eastAsia="华文中宋" w:cs="宋体"/>
          <w:b/>
          <w:color w:val="auto"/>
          <w:kern w:val="0"/>
          <w:sz w:val="52"/>
          <w:szCs w:val="52"/>
        </w:rPr>
      </w:pPr>
    </w:p>
    <w:p w14:paraId="7B11885F">
      <w:pPr>
        <w:spacing w:line="540" w:lineRule="exact"/>
        <w:jc w:val="center"/>
        <w:rPr>
          <w:rFonts w:ascii="华文中宋" w:hAnsi="华文中宋" w:eastAsia="华文中宋" w:cs="宋体"/>
          <w:b/>
          <w:color w:val="auto"/>
          <w:kern w:val="0"/>
          <w:sz w:val="52"/>
          <w:szCs w:val="52"/>
        </w:rPr>
      </w:pPr>
    </w:p>
    <w:p w14:paraId="45DE9EE1">
      <w:pPr>
        <w:spacing w:line="540" w:lineRule="exact"/>
        <w:jc w:val="center"/>
        <w:rPr>
          <w:rFonts w:ascii="方正小标宋_GBK" w:hAnsi="华文中宋" w:eastAsia="方正小标宋_GBK" w:cs="宋体"/>
          <w:b/>
          <w:color w:val="auto"/>
          <w:kern w:val="0"/>
          <w:sz w:val="48"/>
          <w:szCs w:val="48"/>
        </w:rPr>
      </w:pPr>
      <w:r>
        <w:rPr>
          <w:rFonts w:hint="eastAsia" w:ascii="方正小标宋_GBK" w:hAnsi="华文中宋" w:eastAsia="方正小标宋_GBK" w:cs="宋体"/>
          <w:b/>
          <w:color w:val="auto"/>
          <w:kern w:val="0"/>
          <w:sz w:val="48"/>
          <w:szCs w:val="48"/>
        </w:rPr>
        <w:t>项目支出绩效自评报告</w:t>
      </w:r>
    </w:p>
    <w:p w14:paraId="58A571FF">
      <w:pPr>
        <w:spacing w:line="540" w:lineRule="exact"/>
        <w:jc w:val="center"/>
        <w:rPr>
          <w:rFonts w:ascii="华文中宋" w:hAnsi="华文中宋" w:eastAsia="华文中宋" w:cs="宋体"/>
          <w:b/>
          <w:color w:val="auto"/>
          <w:kern w:val="0"/>
          <w:sz w:val="52"/>
          <w:szCs w:val="52"/>
        </w:rPr>
      </w:pPr>
    </w:p>
    <w:p w14:paraId="0BADEA0F">
      <w:pPr>
        <w:spacing w:line="540" w:lineRule="exact"/>
        <w:jc w:val="center"/>
        <w:rPr>
          <w:rFonts w:hAnsi="宋体" w:eastAsia="仿宋_GB2312" w:cs="宋体"/>
          <w:color w:val="auto"/>
          <w:kern w:val="0"/>
          <w:sz w:val="36"/>
          <w:szCs w:val="36"/>
        </w:rPr>
      </w:pPr>
      <w:r>
        <w:rPr>
          <w:rFonts w:hint="eastAsia" w:hAnsi="宋体" w:eastAsia="仿宋_GB2312" w:cs="宋体"/>
          <w:color w:val="auto"/>
          <w:kern w:val="0"/>
          <w:sz w:val="36"/>
          <w:szCs w:val="36"/>
        </w:rPr>
        <w:t xml:space="preserve">（   </w:t>
      </w:r>
      <w:r>
        <w:rPr>
          <w:rStyle w:val="18"/>
          <w:rFonts w:hint="eastAsia" w:ascii="楷体" w:hAnsi="楷体" w:eastAsia="楷体"/>
          <w:color w:val="auto"/>
          <w:spacing w:val="-4"/>
          <w:sz w:val="32"/>
          <w:szCs w:val="32"/>
        </w:rPr>
        <w:t>2023</w:t>
      </w:r>
      <w:r>
        <w:rPr>
          <w:rFonts w:hint="eastAsia" w:hAnsi="宋体" w:eastAsia="仿宋_GB2312" w:cs="宋体"/>
          <w:color w:val="auto"/>
          <w:kern w:val="0"/>
          <w:sz w:val="36"/>
          <w:szCs w:val="36"/>
        </w:rPr>
        <w:t xml:space="preserve">  年度）</w:t>
      </w:r>
    </w:p>
    <w:p w14:paraId="5930FAE5">
      <w:pPr>
        <w:spacing w:line="540" w:lineRule="exact"/>
        <w:jc w:val="center"/>
        <w:rPr>
          <w:rFonts w:hAnsi="宋体" w:eastAsia="仿宋_GB2312" w:cs="宋体"/>
          <w:color w:val="auto"/>
          <w:kern w:val="0"/>
          <w:sz w:val="30"/>
          <w:szCs w:val="30"/>
        </w:rPr>
      </w:pPr>
    </w:p>
    <w:p w14:paraId="5614D614">
      <w:pPr>
        <w:spacing w:line="540" w:lineRule="exact"/>
        <w:jc w:val="center"/>
        <w:rPr>
          <w:rFonts w:hAnsi="宋体" w:eastAsia="仿宋_GB2312" w:cs="宋体"/>
          <w:color w:val="auto"/>
          <w:kern w:val="0"/>
          <w:sz w:val="30"/>
          <w:szCs w:val="30"/>
        </w:rPr>
      </w:pPr>
    </w:p>
    <w:p w14:paraId="6BDE9CF4">
      <w:pPr>
        <w:spacing w:line="540" w:lineRule="exact"/>
        <w:jc w:val="center"/>
        <w:rPr>
          <w:rFonts w:hAnsi="宋体" w:eastAsia="仿宋_GB2312" w:cs="宋体"/>
          <w:color w:val="auto"/>
          <w:kern w:val="0"/>
          <w:sz w:val="30"/>
          <w:szCs w:val="30"/>
        </w:rPr>
      </w:pPr>
    </w:p>
    <w:p w14:paraId="16DC6DDF">
      <w:pPr>
        <w:spacing w:line="540" w:lineRule="exact"/>
        <w:jc w:val="center"/>
        <w:rPr>
          <w:rFonts w:hAnsi="宋体" w:eastAsia="仿宋_GB2312" w:cs="宋体"/>
          <w:color w:val="auto"/>
          <w:kern w:val="0"/>
          <w:sz w:val="30"/>
          <w:szCs w:val="30"/>
        </w:rPr>
      </w:pPr>
    </w:p>
    <w:p w14:paraId="5BDF88B8">
      <w:pPr>
        <w:spacing w:line="540" w:lineRule="exact"/>
        <w:jc w:val="center"/>
        <w:rPr>
          <w:rFonts w:hAnsi="宋体" w:eastAsia="仿宋_GB2312" w:cs="宋体"/>
          <w:color w:val="auto"/>
          <w:kern w:val="0"/>
          <w:sz w:val="30"/>
          <w:szCs w:val="30"/>
        </w:rPr>
      </w:pPr>
    </w:p>
    <w:p w14:paraId="1D8EDDC8">
      <w:pPr>
        <w:spacing w:line="540" w:lineRule="exact"/>
        <w:jc w:val="center"/>
        <w:rPr>
          <w:rFonts w:hAnsi="宋体" w:eastAsia="仿宋_GB2312" w:cs="宋体"/>
          <w:color w:val="auto"/>
          <w:kern w:val="0"/>
          <w:sz w:val="30"/>
          <w:szCs w:val="30"/>
        </w:rPr>
      </w:pPr>
    </w:p>
    <w:p w14:paraId="011B7AE9">
      <w:pPr>
        <w:spacing w:line="540" w:lineRule="exact"/>
        <w:rPr>
          <w:rFonts w:hAnsi="宋体" w:eastAsia="仿宋_GB2312" w:cs="宋体"/>
          <w:color w:val="auto"/>
          <w:kern w:val="0"/>
          <w:sz w:val="30"/>
          <w:szCs w:val="30"/>
        </w:rPr>
      </w:pPr>
    </w:p>
    <w:p w14:paraId="2B6AA694">
      <w:pPr>
        <w:spacing w:line="700" w:lineRule="exact"/>
        <w:jc w:val="left"/>
        <w:rPr>
          <w:rFonts w:hAnsi="宋体" w:eastAsia="仿宋_GB2312" w:cs="宋体"/>
          <w:color w:val="auto"/>
          <w:kern w:val="0"/>
          <w:sz w:val="36"/>
          <w:szCs w:val="36"/>
        </w:rPr>
      </w:pPr>
      <w:r>
        <w:rPr>
          <w:rFonts w:hint="eastAsia" w:hAnsi="宋体" w:eastAsia="仿宋_GB2312" w:cs="宋体"/>
          <w:color w:val="auto"/>
          <w:kern w:val="0"/>
          <w:sz w:val="36"/>
          <w:szCs w:val="36"/>
        </w:rPr>
        <w:t xml:space="preserve">     </w:t>
      </w:r>
    </w:p>
    <w:p w14:paraId="7AEE362F">
      <w:pPr>
        <w:spacing w:line="700" w:lineRule="exact"/>
        <w:ind w:firstLine="900" w:firstLineChars="250"/>
        <w:jc w:val="left"/>
        <w:rPr>
          <w:rFonts w:hAnsi="宋体" w:eastAsia="仿宋_GB2312" w:cs="宋体"/>
          <w:color w:val="auto"/>
          <w:kern w:val="0"/>
          <w:sz w:val="36"/>
          <w:szCs w:val="36"/>
        </w:rPr>
      </w:pPr>
      <w:r>
        <w:rPr>
          <w:rFonts w:hint="eastAsia" w:hAnsi="宋体" w:eastAsia="仿宋_GB2312" w:cs="宋体"/>
          <w:color w:val="auto"/>
          <w:kern w:val="0"/>
          <w:sz w:val="36"/>
          <w:szCs w:val="36"/>
        </w:rPr>
        <w:t>项目名称：</w:t>
      </w:r>
      <w:r>
        <w:rPr>
          <w:rStyle w:val="18"/>
          <w:rFonts w:hint="eastAsia" w:ascii="楷体" w:hAnsi="楷体" w:eastAsia="楷体"/>
          <w:color w:val="auto"/>
          <w:spacing w:val="-4"/>
          <w:sz w:val="32"/>
          <w:szCs w:val="32"/>
        </w:rPr>
        <w:t>2023年昌吉州中小学校园环境改造提升工程专项资金</w:t>
      </w:r>
    </w:p>
    <w:p w14:paraId="4759C981">
      <w:pPr>
        <w:spacing w:line="540" w:lineRule="exact"/>
        <w:ind w:firstLine="567"/>
        <w:rPr>
          <w:rFonts w:ascii="楷体" w:hAnsi="楷体" w:eastAsia="楷体"/>
          <w:b/>
          <w:bCs/>
          <w:color w:val="auto"/>
          <w:spacing w:val="-4"/>
          <w:sz w:val="32"/>
          <w:szCs w:val="32"/>
        </w:rPr>
      </w:pPr>
      <w:r>
        <w:rPr>
          <w:rFonts w:hint="eastAsia" w:hAnsi="宋体" w:eastAsia="仿宋_GB2312" w:cs="宋体"/>
          <w:color w:val="auto"/>
          <w:kern w:val="0"/>
          <w:sz w:val="36"/>
          <w:szCs w:val="36"/>
        </w:rPr>
        <w:t xml:space="preserve">  实施单位（公章）：</w:t>
      </w:r>
      <w:r>
        <w:rPr>
          <w:rStyle w:val="18"/>
          <w:rFonts w:hint="eastAsia" w:ascii="楷体" w:hAnsi="楷体" w:eastAsia="楷体"/>
          <w:color w:val="auto"/>
          <w:spacing w:val="-4"/>
          <w:sz w:val="28"/>
          <w:szCs w:val="28"/>
        </w:rPr>
        <w:t>昌吉回族自治州第五中学</w:t>
      </w:r>
    </w:p>
    <w:p w14:paraId="1615012E">
      <w:pPr>
        <w:spacing w:line="540" w:lineRule="exact"/>
        <w:ind w:firstLine="900" w:firstLineChars="250"/>
        <w:rPr>
          <w:rFonts w:ascii="楷体" w:hAnsi="楷体" w:eastAsia="楷体"/>
          <w:b/>
          <w:bCs/>
          <w:color w:val="auto"/>
          <w:spacing w:val="-4"/>
          <w:sz w:val="28"/>
          <w:szCs w:val="28"/>
        </w:rPr>
      </w:pPr>
      <w:r>
        <w:rPr>
          <w:rFonts w:hint="eastAsia" w:hAnsi="宋体" w:eastAsia="仿宋_GB2312" w:cs="宋体"/>
          <w:color w:val="auto"/>
          <w:kern w:val="0"/>
          <w:sz w:val="36"/>
          <w:szCs w:val="36"/>
        </w:rPr>
        <w:t>主管部门（公章）：</w:t>
      </w:r>
      <w:r>
        <w:rPr>
          <w:rStyle w:val="18"/>
          <w:rFonts w:hint="eastAsia" w:ascii="楷体" w:hAnsi="楷体" w:eastAsia="楷体"/>
          <w:color w:val="auto"/>
          <w:spacing w:val="-4"/>
          <w:sz w:val="28"/>
          <w:szCs w:val="28"/>
        </w:rPr>
        <w:t>昌吉回族自治州第五中学</w:t>
      </w:r>
    </w:p>
    <w:p w14:paraId="422D6372">
      <w:pPr>
        <w:spacing w:line="540" w:lineRule="exact"/>
        <w:ind w:firstLine="900" w:firstLineChars="250"/>
        <w:rPr>
          <w:rFonts w:ascii="楷体" w:hAnsi="楷体" w:eastAsia="楷体"/>
          <w:b/>
          <w:bCs/>
          <w:color w:val="auto"/>
          <w:spacing w:val="-4"/>
          <w:sz w:val="32"/>
          <w:szCs w:val="32"/>
        </w:rPr>
      </w:pPr>
      <w:r>
        <w:rPr>
          <w:rFonts w:hint="eastAsia" w:hAnsi="宋体" w:eastAsia="仿宋_GB2312" w:cs="宋体"/>
          <w:color w:val="auto"/>
          <w:kern w:val="0"/>
          <w:sz w:val="36"/>
          <w:szCs w:val="36"/>
        </w:rPr>
        <w:t>项目负责人（签章）：</w:t>
      </w:r>
      <w:r>
        <w:rPr>
          <w:rStyle w:val="18"/>
          <w:rFonts w:hint="eastAsia" w:ascii="楷体" w:hAnsi="楷体" w:eastAsia="楷体"/>
          <w:color w:val="auto"/>
          <w:spacing w:val="-4"/>
          <w:sz w:val="32"/>
          <w:szCs w:val="32"/>
        </w:rPr>
        <w:t>颜存</w:t>
      </w:r>
    </w:p>
    <w:p w14:paraId="30ED848E">
      <w:pPr>
        <w:spacing w:line="540" w:lineRule="exact"/>
        <w:ind w:left="273" w:firstLine="567"/>
        <w:rPr>
          <w:rStyle w:val="18"/>
          <w:rFonts w:ascii="楷体" w:hAnsi="楷体" w:eastAsia="楷体"/>
          <w:color w:val="auto"/>
          <w:spacing w:val="-4"/>
          <w:sz w:val="32"/>
          <w:szCs w:val="32"/>
        </w:rPr>
      </w:pPr>
      <w:r>
        <w:rPr>
          <w:rFonts w:hint="eastAsia" w:hAnsi="宋体" w:eastAsia="仿宋_GB2312" w:cs="宋体"/>
          <w:color w:val="auto"/>
          <w:kern w:val="0"/>
          <w:sz w:val="36"/>
          <w:szCs w:val="36"/>
        </w:rPr>
        <w:t>填报时间：</w:t>
      </w:r>
      <w:r>
        <w:rPr>
          <w:rStyle w:val="18"/>
          <w:rFonts w:hint="eastAsia" w:ascii="楷体" w:hAnsi="楷体" w:eastAsia="楷体"/>
          <w:color w:val="auto"/>
          <w:spacing w:val="-4"/>
          <w:sz w:val="32"/>
          <w:szCs w:val="32"/>
        </w:rPr>
        <w:t>2024年04月11日</w:t>
      </w:r>
    </w:p>
    <w:p w14:paraId="33F9201F">
      <w:pPr>
        <w:spacing w:line="700" w:lineRule="exact"/>
        <w:ind w:firstLine="708" w:firstLineChars="236"/>
        <w:jc w:val="left"/>
        <w:rPr>
          <w:rFonts w:hAnsi="宋体" w:eastAsia="仿宋_GB2312" w:cs="宋体"/>
          <w:color w:val="auto"/>
          <w:kern w:val="0"/>
          <w:sz w:val="30"/>
          <w:szCs w:val="30"/>
        </w:rPr>
      </w:pPr>
    </w:p>
    <w:p w14:paraId="2E73DABC">
      <w:pPr>
        <w:spacing w:line="540" w:lineRule="exact"/>
        <w:rPr>
          <w:rStyle w:val="18"/>
          <w:rFonts w:ascii="黑体" w:hAnsi="黑体" w:eastAsia="黑体"/>
          <w:b w:val="0"/>
          <w:color w:val="auto"/>
          <w:spacing w:val="-4"/>
          <w:sz w:val="32"/>
          <w:szCs w:val="32"/>
        </w:rPr>
      </w:pPr>
    </w:p>
    <w:p w14:paraId="2633DBD9">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一、基本情况</w:t>
      </w:r>
    </w:p>
    <w:p w14:paraId="48D764F0">
      <w:pPr>
        <w:spacing w:line="540" w:lineRule="exact"/>
        <w:ind w:firstLine="567"/>
        <w:rPr>
          <w:rStyle w:val="18"/>
          <w:rFonts w:hint="default" w:ascii="楷体" w:hAnsi="楷体" w:eastAsia="楷体"/>
          <w:color w:val="auto"/>
          <w:spacing w:val="-4"/>
          <w:sz w:val="32"/>
          <w:szCs w:val="32"/>
          <w:lang w:val="en-US" w:eastAsia="zh-CN"/>
        </w:rPr>
      </w:pPr>
      <w:r>
        <w:rPr>
          <w:rStyle w:val="18"/>
          <w:rFonts w:hint="eastAsia" w:ascii="楷体" w:hAnsi="楷体" w:eastAsia="楷体"/>
          <w:color w:val="auto"/>
          <w:spacing w:val="-4"/>
          <w:sz w:val="32"/>
          <w:szCs w:val="32"/>
        </w:rPr>
        <w:t>（一）项目概况</w:t>
      </w:r>
      <w:r>
        <w:rPr>
          <w:rStyle w:val="18"/>
          <w:rFonts w:hint="eastAsia" w:ascii="楷体" w:hAnsi="楷体" w:eastAsia="楷体"/>
          <w:color w:val="auto"/>
          <w:spacing w:val="-4"/>
          <w:sz w:val="32"/>
          <w:szCs w:val="32"/>
          <w:lang w:eastAsia="zh-CN"/>
        </w:rPr>
        <w:t>。</w:t>
      </w:r>
    </w:p>
    <w:p w14:paraId="63E76A89">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1.项目背景</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根据昌吉州财教（2023）20号文件《2023昌吉州中小学校园环境改造提升》的文件下达80万元资金用于改善学校校园环境，昌吉州第五中学校园使用时间较长，校内地坪、墙面等设施损坏严重且存在安全隐患。为满足教育教学需求，达到提升教育质量，促进教育公平，扎实了教育教学的发展基础，符合了《自治区办学条件》标准，满足了学生、教师、家长对教育的需求，社会面得到了满足，充分体现了教育为</w:t>
      </w:r>
      <w:r>
        <w:rPr>
          <w:rStyle w:val="18"/>
          <w:rFonts w:hint="eastAsia" w:ascii="楷体" w:hAnsi="楷体" w:eastAsia="楷体"/>
          <w:b w:val="0"/>
          <w:bCs w:val="0"/>
          <w:color w:val="auto"/>
          <w:spacing w:val="-4"/>
          <w:sz w:val="32"/>
          <w:szCs w:val="32"/>
          <w:lang w:val="en-US" w:eastAsia="zh-CN"/>
        </w:rPr>
        <w:t>人民</w:t>
      </w:r>
      <w:r>
        <w:rPr>
          <w:rStyle w:val="18"/>
          <w:rFonts w:hint="eastAsia" w:ascii="楷体" w:hAnsi="楷体" w:eastAsia="楷体"/>
          <w:b w:val="0"/>
          <w:bCs w:val="0"/>
          <w:color w:val="auto"/>
          <w:spacing w:val="-4"/>
          <w:sz w:val="32"/>
          <w:szCs w:val="32"/>
        </w:rPr>
        <w:t>服务的意义，体现了昌吉州党委对本单位的重要关怀。</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2.主要内容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（1）项目名称：2023年昌吉州中小学校园环境改造提升工程专项资金项目（以下简称“该项目”或“项目”）</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项目主要内容：（1）校园地坪硬化及排水改造维修项目。昌吉州第五中学系原中石油天然气运输公司子校，始建于1988年，2005年移交昌吉州，校园水泥地坪也已经使用了三十余年，早已坑洼不平、损坏严重，既不美观也存在安全隐患。另外，由于教学楼前没有排水系统，每逢下雨天气和积雪融化校园都会积水严重，影响师生出行，不能满足《自治区标准化办学条件标准》的要求。根据昌吉州财教（2023）20号文件《2023昌吉州中小学校园环境改造提升》的文件要求，学校经过综合分析研究，将校园地坪硬化及排水改造维修项目上报昌吉州教育局，经昌吉州教育局党组研究决定通过后开始实施此项目工程，该项目完工投入使用后，能够满足《自治区标准化办学条件标准》的要求，能够通过国家办学要求的验收。同时解决了方圆1.5公里半径就学学生和家长的需求，提高了政府办学的条件，满足了社会的认可。</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校园文化建设项目。近年来通过对习近平新时代中国特色社会主义思想的学习，学校加大力度进行宣传党的教育方针和教育教学办学的新理念，在校园文化方面加大投入，此次校园文化建设的完成有利于更好地宣传党的教育方针和办学思想，让学生从小感受到党和政府对全社会的关爱、对教育的重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初中楼正面外墙粉刷。学校初中教学楼建于1988年，初中教学楼外墙墙皮脱落，经过多年风吹雨打外墙颜色变淡，墙面污垢较多，根据昌吉州财教（2023）20号文件《2023昌吉州中小学校园环境改造提升》的文件要求，学校决定粉刷初中楼正面外墙，完工后校园环境得到大的提升，得到师生、家长和社会的一致好评。</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3.实施情况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实施主体：昌吉回族自治州第五中学。</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实施时间：本项目实施周期为2023年8月-2023年11月。</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实施情况：2023年7月14日召开学校党委会，制定项目的初步计划，学校开始做前期准备工作。2023年7月25日学校组织相关人员对设计院、造价预算单位进行询价，8月2日委托政府采购中心，通过竞争性谈判完成了对校园地坪硬化及排水改造项目的招标，2023年8月10日项目施工方进驻学校开始施工。通过政采云平台以电子卖场——网上超市——直接订购方式完成对校园文化建设项目、初中楼正面外墙粉刷项目的采购，上述项目在2023年11月已全部施工完毕，验收合格，并且完成审计报告。截止2023年11月，2023年昌吉州中小学校园环境改造提升工程专项资金项目已全部支付完毕。该项目满足了学生活动场地安全性的提升，营造了教育文化氛围，改善了办学条件，优化了学习环境。</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4.项目实施主体</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（1）主要职能</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昌吉州第五中学是一所九年一贯制义务教育学校，以促进基础教育发展，全面贯彻党的教育方针、深化教育改革、转变教育观念为目的，主要实施九年一贯制义务教育包含小学学历教育和初中学历教育。</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（2）机构设置情况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昌吉州第五中学单位无下属预算单位，下设 6个科室，分别是：党政办公室、教务处、政教处、教研室、安全管理办公室、总务基本教学保障科室。</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昌吉州第五中学编制数86个，实有人数 147人，其中：在职 86人，减少3人；退休 55人，增加 3人；离休0人，增加0人。</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5.资金投入和使用情况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（1）项目资金安排落实、总投入等情况分析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本项目预算安排总额为80.00万元，资金来源为昌吉州本级专项资金，其中：财政资金80.00万元，其他资金0.00万元，2023年实际收到预算资金80.00万元，预算资金到位率为100.00%。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（2）项目资金实际使用情况分析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截至2023年12月31日，本项目实际支付资金78.68万元，预算执行率98.35%（预算执行率=（实际支出资金/到位金额）*100.0%，如项目预算执行率不是100.0%，则说明结转资金额度和结余资金额度）。本项目资金主要用于支付校园地坪及排水改在工程款48.70万元、校园文化建设项目费用19.98万元、外墙粉刷项目工程款10.00万元。</w:t>
      </w:r>
    </w:p>
    <w:p w14:paraId="3E5DE531">
      <w:pPr>
        <w:spacing w:line="540" w:lineRule="exact"/>
        <w:ind w:firstLine="567"/>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（二）项目绩效目标</w:t>
      </w:r>
    </w:p>
    <w:p w14:paraId="44232B54">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1.总体目标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计划校园地坪硬化及排水改造维修项目总共3000平方，在原有水泥地面采用沥青铺面，沥青面喷涂聚氨酯彩色漆。在校园四周设计排水沟130米，改善校园积水状况。校园硬化地面将会更加平整，有利于学生课外活动，学生的教学活动场所面积增加，运动场地安全行更加可靠。建设校园文化，绘制校园文化墙90平米，提升校园文化氛围。</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2.阶段性目标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（1）项目产出指标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①数量指标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“改造修缮地坪工程量”指标，预期指标值为“小于等于3000平米”；</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“修建排水沟”指标，预期指标值为“小于等于130米”；</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“绘制文化墙”指标，预期指标值为“等于90平米”；</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“改造修缮校数”指标，预期指标值为“1所”；</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②质量指标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“项目验收合格率（%）”指标，预期指标值为“大于等于95.00%”；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“项目资金支付率”指标，预期指标值为“大于等于95.00%”；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③时效指标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“项目按计划开工时间”指标，预期指标值为“2023年8月1日”；</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“项目按计划完工时间”指标，预期指标值为“2023年11月30日</w:t>
      </w:r>
      <w:r>
        <w:rPr>
          <w:rStyle w:val="18"/>
          <w:rFonts w:hint="eastAsia" w:ascii="楷体" w:hAnsi="楷体" w:eastAsia="楷体"/>
          <w:b w:val="0"/>
          <w:bCs w:val="0"/>
          <w:color w:val="auto"/>
          <w:spacing w:val="-4"/>
          <w:sz w:val="32"/>
          <w:szCs w:val="32"/>
        </w:rPr>
        <w:tab/>
      </w:r>
      <w:r>
        <w:rPr>
          <w:rStyle w:val="18"/>
          <w:rFonts w:hint="eastAsia" w:ascii="楷体" w:hAnsi="楷体" w:eastAsia="楷体"/>
          <w:b w:val="0"/>
          <w:bCs w:val="0"/>
          <w:color w:val="auto"/>
          <w:spacing w:val="-4"/>
          <w:sz w:val="32"/>
          <w:szCs w:val="32"/>
        </w:rPr>
        <w:t>”；</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（2）项目成本指标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①经济成本指标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“项目投入资金”指标，预期指标值为“小于等于80.00万元”；</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“项目预算控制率”指标，预期指标值为“小于等于100.00%”；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②社会成本指标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“正常运转率”指标，预期指标值为“大于等于95.00%”；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③生态环境成本指标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无此类指标。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（3）项目效益指标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①经济效益指标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无此类指标。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②社会效益指标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“正常运转率”指标，预期指标值为“大于等于95.00%”；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③生态效益指标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无此类指标。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（4）项目满意度指标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①满意度指标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“学生满意度”指标，预期指标值为“大于等于95.00%”。</w:t>
      </w:r>
    </w:p>
    <w:p w14:paraId="49F1C88B">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二、绩效评价工作开展情况</w:t>
      </w:r>
    </w:p>
    <w:p w14:paraId="6E77BBFC">
      <w:pPr>
        <w:spacing w:line="540" w:lineRule="exact"/>
        <w:ind w:firstLine="567" w:firstLineChars="181"/>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（一）绩效评价目的、对象和范围</w:t>
      </w:r>
    </w:p>
    <w:p w14:paraId="2A9734BB">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1.绩效评价的目的</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2.绩效评价对象</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此次我单位根据《财政支出绩效评价管理暂行办法》（财预〔2020〕10号）文件要求实施评价工作，本次评价对象为2023年昌吉州中小学校园环境改造提升工程专项资金项目，评价核心为项目资金、项目产出、项目效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3.绩效评价范围</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4.绩效评价依据</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(1)《中华人民共和国预算法》；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(2)《中共中央国务院关于全面实施预算绩效管理的意见》（中发〔2018〕34号）；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(3)《项目支出绩效评价管理办法》（财预〔2020〕10号）；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(4)《自治区财政支出绩效评价管理暂行办法》（新财预〔2018〕189号）；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(5)项目其他相关资料。项目资金下达文件，项目合同，审计报告，验收单，项目支出明细账，满意度调查报告。</w:t>
      </w:r>
    </w:p>
    <w:p w14:paraId="1CEC4223">
      <w:pPr>
        <w:spacing w:line="540" w:lineRule="exact"/>
        <w:ind w:firstLine="567"/>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（二）绩效评价原则、评价指标体系、评价方法、评价标准</w:t>
      </w:r>
    </w:p>
    <w:p w14:paraId="375AF0E1">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1.绩效评价原则</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（4）公开透明。绩效评价结果应依法依规公开，并自觉接受社会监督。</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2.绩效评价指标体系</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4个，包括：决策指标（21.0%）、过程指标（19.0%）、产出指标（30.0%）、效益指标（30.0%）四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3.评价方法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正确的评价方法是评价工作顺利开展的保障，在结合实际经验的情况下，绩效评价小组根据该项目资金的性质和特点，选用比较法、公众评判法以及文献法对项目进行评价，旨在通过综合分析影响绩效目标实现、实施效果的内外部因素，从而评价本项目绩效。三级指标分析环节：总体采用比较法，同时辅以文献法</w:t>
      </w:r>
      <w:bookmarkStart w:id="0" w:name="_GoBack"/>
      <w:bookmarkEnd w:id="0"/>
      <w:r>
        <w:rPr>
          <w:rStyle w:val="18"/>
          <w:rFonts w:hint="eastAsia" w:ascii="楷体" w:hAnsi="楷体" w:eastAsia="楷体"/>
          <w:b w:val="0"/>
          <w:bCs w:val="0"/>
          <w:color w:val="auto"/>
          <w:spacing w:val="-4"/>
          <w:sz w:val="32"/>
          <w:szCs w:val="32"/>
        </w:rPr>
        <w:t>以及公众评判法。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4.评价标准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43EA9AB4">
      <w:pPr>
        <w:spacing w:line="540" w:lineRule="exact"/>
        <w:ind w:firstLine="567" w:firstLineChars="181"/>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（三）绩效评价工作过程</w:t>
      </w:r>
    </w:p>
    <w:p w14:paraId="0E4351C8">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1.前期准备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我单位于2024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陶刚（评价小组组长）：主要负责项目策划和监督，全面负责项目绩效评价办稿的最终质量，对评估人员出具的最终报告质量进行复核，确保评估结果的客观性；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吕青山（评价小组组员）：主要负责资料的收集，取证、数据统计分析；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王厚珍（评价小组组员）：主要负责主要负责项目报告的制定，指标的研判，数据分析及报告撰写。</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2.组织实施</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2024年3月2日-3月10日，评价工作进入实施阶段。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 xml:space="preserve">经调研了解，该项目主要受益群体包括学生。我们根据绩效评价目标和绩效指标体系，设计满意度调查问卷进行问卷调查，其中学生受益对象共选取样本100人，共发放问卷100份，最终收回100份。 </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3.分析评价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2024年3月10日-3月16日，评价小组按照绩效评价的原则和规范，对取得的资料进行审查核实，对采集的数据进行分析，按照绩效评价指标评分表逐项进行打分、分析、汇总各方评价结果。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4.撰写与提交评价报告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2024年3月16-3月31日，评价小组撰写绩效评价报告，按照新疆维吾尔自治区财政绩效管理信息系统绩效评价模块中统一格式和文本框架撰写绩效评价报告并提交审核。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5.问题整改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6.档案整理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建立和落实档案管理制度，将项目相关资料存档，包括但不限于：评价项目基本情况和相关文件、评价实施方案、项目支付资料等相关档案。</w:t>
      </w:r>
    </w:p>
    <w:p w14:paraId="65083002">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三、综合评价情况及评价结论</w:t>
      </w:r>
    </w:p>
    <w:p w14:paraId="7179C266">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（一）综合评价情况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经评价，本项目较大程度达成年初设立的绩效目标，在实施过程中取得了良好的成效，具体表现在：通过项目的实施，完成了改善学校校园环境的产出目标，发挥了满足教育教学需求的效益。但在实施过程中也存在一些不足：项目规划略有欠缺，资金执行率未达100.00%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（二）评价结论</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此次绩效评价通过绩效评价小组论证的评价指标体系及评分标准，采用因素分析法和比较法对本项目绩效进行客观评价，本项目共设置三级指标数量23个，实现三级指标数量22个，总体完成率为95.65%。最终评分结果：总分为99.92分，绩效评级为“优秀”。综合评价结论如下：</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项目决策类指标共设置6个，满分指标6个，得分率100.00%；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过程管理类指标共设置5个，满分指标4个，得分率99.58%；</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项目产出类指标共设置10个，满分指标10个，得分率100.00%；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项目效益类指标共设置2个，满分指标2个，得分率100.00%。</w:t>
      </w:r>
    </w:p>
    <w:p w14:paraId="1F14B6E3">
      <w:pPr>
        <w:spacing w:line="540" w:lineRule="exact"/>
        <w:ind w:firstLine="640"/>
        <w:rPr>
          <w:rStyle w:val="18"/>
          <w:rFonts w:ascii="黑体" w:hAnsi="黑体" w:eastAsia="黑体"/>
          <w:color w:val="auto"/>
        </w:rPr>
      </w:pPr>
      <w:r>
        <w:rPr>
          <w:rStyle w:val="18"/>
          <w:rFonts w:hint="eastAsia" w:ascii="黑体" w:hAnsi="黑体" w:eastAsia="黑体"/>
          <w:b w:val="0"/>
          <w:color w:val="auto"/>
          <w:spacing w:val="-4"/>
          <w:sz w:val="32"/>
          <w:szCs w:val="32"/>
        </w:rPr>
        <w:t>四、绩效评价指标分析</w:t>
      </w:r>
      <w:r>
        <w:rPr>
          <w:rStyle w:val="18"/>
          <w:rFonts w:hint="eastAsia" w:ascii="黑体" w:hAnsi="黑体" w:eastAsia="黑体"/>
          <w:color w:val="auto"/>
        </w:rPr>
        <w:t xml:space="preserve"> </w:t>
      </w:r>
    </w:p>
    <w:p w14:paraId="0B41C995">
      <w:pPr>
        <w:spacing w:line="540" w:lineRule="exact"/>
        <w:ind w:firstLine="567" w:firstLineChars="181"/>
        <w:rPr>
          <w:rFonts w:ascii="楷体" w:hAnsi="楷体" w:eastAsia="楷体"/>
          <w:b/>
          <w:color w:val="auto"/>
          <w:spacing w:val="-4"/>
          <w:sz w:val="32"/>
          <w:szCs w:val="32"/>
        </w:rPr>
      </w:pPr>
      <w:r>
        <w:rPr>
          <w:rFonts w:hint="eastAsia" w:ascii="楷体" w:hAnsi="楷体" w:eastAsia="楷体"/>
          <w:b/>
          <w:color w:val="auto"/>
          <w:spacing w:val="-4"/>
          <w:sz w:val="32"/>
          <w:szCs w:val="32"/>
        </w:rPr>
        <w:t>（一）</w:t>
      </w:r>
      <w:r>
        <w:rPr>
          <w:rStyle w:val="18"/>
          <w:rFonts w:hint="eastAsia" w:ascii="楷体" w:hAnsi="楷体" w:eastAsia="楷体"/>
          <w:color w:val="auto"/>
          <w:spacing w:val="-4"/>
          <w:sz w:val="32"/>
          <w:szCs w:val="32"/>
        </w:rPr>
        <w:t>项目决策情况</w:t>
      </w:r>
    </w:p>
    <w:p w14:paraId="775A5CD8">
      <w:pPr>
        <w:tabs>
          <w:tab w:val="center" w:pos="4295"/>
        </w:tabs>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（一）项目决策情况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项目决策类指标由3个二级指标和6个三级指标构成，权重分21.00分，实际得分21.00分。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1.项目立项情况分析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（1）立项依据充分性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立项符合昌吉州财政局颁发的《关于拨付2023年昌吉州中小学校园环境改造提升工程专项资金的通知》（昌州财教〔2023〕20号）中：“实施校园环境改造提升工程，进一步美化校园环境，丰富学校文化内涵。”；本项目立项符合昌吉州党委财经委员会2023年第三次会议纪要中：“现拨付我单位2023年昌吉州中小学环境改造提升工程专项资金80.00万元”内容，符合行业发展规划和政策要求；本项目立项符合《昌吉州第五中学单位配置内设机构和人员编制规定》中职责范围中的“承担中小学的教育教学任务”，属于我单位履职所需；根据《财政资金直接支付申请书》，本项目资金性质为“公共财政预算”功能分类为“205教育支出”经济分类为“50502商品和服务支出”属于公共财政支持范围，符合中央、地方事权支出责任划分原则；经检查我单位财政应用平台指标，本项目不存在重复。</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综上所述，本指标满分为5.00分，根据评分标准得5.00分，本项目立项依据充分。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（2）立项程序规范性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为非基础建设类项目，属于专项资金安排项目，不涉及事前绩效评估、可行性研究以及风险评估，由我单位严格按照《关于拨付2023年昌吉州中小学校园环境改造提升工程专项资金的通知》(昌州财教〔2023〕20号)文件要求实施项目。</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综上所述，本指标满分为3.00分，根据评分标准得3.00分，本项目立项程序规范。</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2.绩效目标情况分析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（1）绩效目标合理性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已设置年度绩效目标，具体内容为“校园地坪硬化及排水改造维修项目总共3000平方，在原有水泥地面采用沥青铺面，沥青面喷涂聚氨酯彩色漆。在校园四周设计排水沟130米，改善校园积水状况。预期目标：校园硬化地面将会更加平整，有利于学生课外活动，学生的教学活动场所面积增加，运动场地安全行更加可靠。建设校园文化，绘制校园文化墙90平米，提升校园文化氛围。”；本项目实际工作内容为：2023年昌吉州中小学校园环境改造提升工程项目专项资金的投入，校园地坪硬化及排水改造项目，硬化地面面积约3000平方米，在原有的水泥地面采用沥青铺面，在沥青面上喷绘聚氨酯彩色漆。另在在校园四周设计排水沟，总长约130米。经过改造，学校教学活动场地更加平整，有利于学生进行课外活动，运动场地更加安全。校园文化建设项目，绘制文化墙约90平方米，营造教育文化氛围，改善办学条件优化学习环境。绩效目标与实际工作内容一致，两者具有相关性;本项目按照绩效目标完成了数量指标、质量指标、时效指标、成本指标，有效满足了教育教学需求，达到提升教育质量，促进教育公平，扎实了教育教学的发展基础项目正常运转，年度绩效目标完成，预期产出效益和效果符合正常的业绩水平。</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综上所述，本指标满分为4.00分，根据评分标准得4.00分，本项目绩效目标设置合理。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（2）绩效指标明确性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经检查我单位年初设置的《项目支出绩效目标表》，得出如下结论：本项目已将年度绩效目标进行细化为绩效指标体系，共设置一级指标4个，二级指标6个，三级指标12个，定量指标10个，定性指标2个，指标量化率为83.33%，量化率达70.00%以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综上所述，本指标满分为3.00分，根据评分标准得3.00分，本项目所设置绩效指标明确。</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3.资金投入情况分析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（1）预算编制科学性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本项目预算编制通过市场询价得出，即预算编制较科学且经过论证；</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预算申请内容为校园地坪硬化及排水改造维修项目、校园文化建设建设项目、初中楼正面外墙粉刷项目。项目实际内容为校园地坪硬化及排水改造维修项目、校园文化建设建设项目、初中楼正面外墙粉刷项目，预算申请与《校园环境改造提升工程项目实施方案》中涉及的项目内容匹配；</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预算申请资金80.00万元，我单位在预算申请中严格按照单位标准和数量进行核算，其中：校园地坪硬化及排水改造维修项目50.00万元、校园文化建设建设项目20.00万元、初中楼正面外墙粉刷项目10.00万元。本项目预算额度测算依据充分，严格按照标准编制，预算确定资金量与实际工作任务相匹配；</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综上所述，本指标满分为4.00分，根据评分标准4.00分，本项目预算编制科学。</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（2）资金分配合理性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实际分配资金以《关于申请校园环境改造提升工程项目资金的请示》和《校园环境改造提升工程项目实施方案》为依据进行资金分配，预算资金分配依据充分。根据《关于拨付2023年昌吉州中小学校园环境改造提升工程专项资金的通知》文件显示，本项目实际到位资金80.00万元，实际分配资金与我单位提交申请的资金额度一致，资金分配额度合理，与我单位实际需求相适应。</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综上所述，本指标满分为2.00分，根据评分标准得2.00分，本项目资金分配合理。</w:t>
      </w:r>
      <w:r>
        <w:rPr>
          <w:rStyle w:val="18"/>
          <w:rFonts w:hint="eastAsia" w:ascii="楷体" w:hAnsi="楷体" w:eastAsia="楷体"/>
          <w:b w:val="0"/>
          <w:bCs w:val="0"/>
          <w:color w:val="auto"/>
          <w:spacing w:val="-4"/>
          <w:sz w:val="32"/>
          <w:szCs w:val="32"/>
        </w:rPr>
        <w:tab/>
      </w:r>
    </w:p>
    <w:p w14:paraId="3BC18295">
      <w:pPr>
        <w:spacing w:line="540" w:lineRule="exact"/>
        <w:ind w:firstLine="567" w:firstLineChars="181"/>
        <w:rPr>
          <w:rStyle w:val="18"/>
          <w:rFonts w:ascii="楷体" w:hAnsi="楷体" w:eastAsia="楷体"/>
          <w:color w:val="auto"/>
          <w:spacing w:val="-4"/>
          <w:sz w:val="32"/>
          <w:szCs w:val="32"/>
        </w:rPr>
      </w:pPr>
      <w:r>
        <w:rPr>
          <w:rFonts w:hint="eastAsia" w:ascii="楷体" w:hAnsi="楷体" w:eastAsia="楷体"/>
          <w:b/>
          <w:color w:val="auto"/>
          <w:spacing w:val="-4"/>
          <w:sz w:val="32"/>
          <w:szCs w:val="32"/>
        </w:rPr>
        <w:t>（二）</w:t>
      </w:r>
      <w:r>
        <w:rPr>
          <w:rStyle w:val="18"/>
          <w:rFonts w:hint="eastAsia" w:ascii="楷体" w:hAnsi="楷体" w:eastAsia="楷体"/>
          <w:color w:val="auto"/>
          <w:spacing w:val="-4"/>
          <w:sz w:val="32"/>
          <w:szCs w:val="32"/>
        </w:rPr>
        <w:t>项目过程情况</w:t>
      </w:r>
    </w:p>
    <w:p w14:paraId="3A5563AC">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（二）项目过程情况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项目过程管理类指标由2个二级指标和5个三级指标构成，权重分19.00分，实际得分18.92分。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1.资金管理情况分析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（1）资金到位率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本项目预算资金为80.00万元，其中：本级财政安排资金80.00万元，其他资金0.00万元，实际到位资金80.00万元，资金到位率=（实际到位资金/预算资金）×100.00%=（XX/XX）*100.00%=100.00%。得分=资金到位率*分值=XX%*4=4分。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综上所述，本指标满分为4.00分，根据评分标准得4.00分，本项目资金分配合理。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（2）预算执行率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本项目实际支出资金78.68万元，预算执行率=（实际支出资金/实际到位资金）×100.00%=（XX/XX）*100.00%=98.35%。得分=预算执行率*分值=XX%*5=4.92分。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综上所述，本指标满分为5.00分，根据评分标准得4.92分，本项目资金分配合理。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（3）资金使用合规性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通过检查本项目签订的合同、资金申请文件、发票等财务付款凭证，得出本项目资金支出符合国家财经法规、《政府会计制度》以及《昌吉州第五中学单位资金管理办法》《昌吉州第五中学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综上所述，本指标满分为4.00分，根据评分标准得4.00分，资金支出符合我单位财务管理制度规定。</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2.组织实施情况分析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（1）管理制度健全性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我单位已制定《昌吉州第五中学资金管理办法》《昌吉州第五中学收支业务管理制度》《昌吉州第五中学政府采购业务管理制度》《昌吉州第五中学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综上所述，本指标满分为2.00分，根据评分标准得2.00分，项目制度建设健全。</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（2）制度执行有效性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校园环境改造提升工程项目工作领导小组，由党组书记陶刚任组长，负责项目的组织工作；吕青山任副组长，负责项目的实施工作；组员包括：马骥，主要负责项目监督管理、验收以及资金核拨等工作。</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综上所述，本指标满分为4.00分，根据评分标准得4.00分，本项目所建立制度执行有效。</w:t>
      </w:r>
    </w:p>
    <w:p w14:paraId="114E4173">
      <w:pPr>
        <w:spacing w:line="540" w:lineRule="exact"/>
        <w:ind w:firstLine="567" w:firstLineChars="181"/>
        <w:rPr>
          <w:rFonts w:ascii="楷体" w:hAnsi="楷体" w:eastAsia="楷体"/>
          <w:b/>
          <w:color w:val="auto"/>
          <w:spacing w:val="-4"/>
          <w:sz w:val="32"/>
          <w:szCs w:val="32"/>
        </w:rPr>
      </w:pPr>
      <w:r>
        <w:rPr>
          <w:rFonts w:hint="eastAsia" w:ascii="楷体" w:hAnsi="楷体" w:eastAsia="楷体"/>
          <w:b/>
          <w:color w:val="auto"/>
          <w:spacing w:val="-4"/>
          <w:sz w:val="32"/>
          <w:szCs w:val="32"/>
        </w:rPr>
        <w:t>（三）</w:t>
      </w:r>
      <w:r>
        <w:rPr>
          <w:rStyle w:val="18"/>
          <w:rFonts w:hint="eastAsia" w:ascii="楷体" w:hAnsi="楷体" w:eastAsia="楷体"/>
          <w:color w:val="auto"/>
          <w:spacing w:val="-4"/>
          <w:sz w:val="32"/>
          <w:szCs w:val="32"/>
        </w:rPr>
        <w:t>项目产出情况</w:t>
      </w:r>
    </w:p>
    <w:p w14:paraId="69B96907">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（三）项目产出情况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项目产出类指标由4个二级指标和10个三级指标构成，权重分30.00分，实际得分30.00分。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1.数量指标完成情况分析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“改造修缮地坪工程量”指标：预期指标值为“小于等于3000平米”，实际完成指标值为“100.00%”，指标完成率为100.00%。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综上所述，本指标满分为3.00分，根据评分标准得3.00分。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“修建排水沟”指标：预期指标值为“小于等于130米”，实际完成指标值为“100.00%”，指标完成率为100.00%。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综上所述，本指标满分为3.00分，根据评分标准得3.00分。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“绘制文化墙”指标：预期指标值为“等于90平米”，实际完成指标值为“90平米”，指标完成率为100.00%。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综上所述，本指标满分为3.00分，根据评分标准得3.00分。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“改造修缮校数”指标：预期指标值为“等于1所”，实际完成指标值为“1所”，指标完成率为100.00%。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综上所述，本指标满分为3.00分，根据评分标准得3.00分。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2.质量指标完成情况分析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“项目验收合格率（%）”指标：预期指标值为“大于等于95.00%”，实际完成指标值为“100.00%”，指标完成率为100.00%。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综上所述，本指标满分为3.00分，根据评分标准得3.00分。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“项目资金支付率”指标：预期指标值为“大于等于95.00%”，实际完成指标值为“100.00%”，指标完成率为100.00%。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综上所述，本指标满分为3.00分，根据评分标准得3.00分。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3.时效指标完成情况分析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“项目按计划开工时间”指标：预期指标值为“=2023年8月1日”，实际完成指标值为“2023年8月1日”，指标完成率为100.00%。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综上所述，本指标满分为3.00分，根据评分标准得3.00分。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“项目按计划完工时间”指标：预期指标值为“=2023年11月30日”，实际完成指标值为“2023年11月30日”，指标完成率为100.00%。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综上所述，本指标满分为3.00分，根据评分标准得3.00分。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4.成本指标完成情况分析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“项目投入资金”指标：预期指标值为“小于等于80.00万元”，实际完成指标值为“78.68万元”，指标完成率为100.00%。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综上所述，本指标满分为3.00分，根据评分标准得3.00分。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“项目预算控制率”指标：预期指标值为“小于等于100.00%”，实际完成指标值为“100.00%”，指标完成率为100.00%。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综上所述，本指标满分为3.00分，根据评分标准得3.00分。</w:t>
      </w:r>
    </w:p>
    <w:p w14:paraId="2770A8EA">
      <w:pPr>
        <w:spacing w:line="540" w:lineRule="exact"/>
        <w:ind w:firstLine="567" w:firstLineChars="181"/>
        <w:rPr>
          <w:rFonts w:ascii="楷体" w:hAnsi="楷体" w:eastAsia="楷体"/>
          <w:b/>
          <w:color w:val="auto"/>
          <w:spacing w:val="-4"/>
          <w:sz w:val="32"/>
          <w:szCs w:val="32"/>
        </w:rPr>
      </w:pPr>
      <w:r>
        <w:rPr>
          <w:rFonts w:hint="eastAsia" w:ascii="楷体" w:hAnsi="楷体" w:eastAsia="楷体"/>
          <w:b/>
          <w:color w:val="auto"/>
          <w:spacing w:val="-4"/>
          <w:sz w:val="32"/>
          <w:szCs w:val="32"/>
        </w:rPr>
        <w:t>（四）</w:t>
      </w:r>
      <w:r>
        <w:rPr>
          <w:rStyle w:val="18"/>
          <w:rFonts w:hint="eastAsia" w:ascii="楷体" w:hAnsi="楷体" w:eastAsia="楷体"/>
          <w:color w:val="auto"/>
          <w:spacing w:val="-4"/>
          <w:sz w:val="32"/>
          <w:szCs w:val="32"/>
        </w:rPr>
        <w:t>项目效益情况</w:t>
      </w:r>
    </w:p>
    <w:p w14:paraId="4975AE1D">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（四）项目效益情况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项目效益类指标由2个二级指标和2个三级指标构成，权重分30.00分，实际得分30.00分。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1.经济效益完成情况分析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本项目无该指标。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2.社会效益完成情况分析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“正常运转率”指标：预期指标值为“大于等于95.00%”，实际完成指标值为“等于100.00%”，指标完成率为100.00%。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综上所述，本指标满分为15.00分，根据评分标准得15.00分。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3.生态效益完成情况分析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本项目无该指标。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4.满意度完成情况分析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“学生满意度”指标：预期指标值为“大于等于95.00%”，实际完成指标值为“等于96.00%”，指标完成率为100.00%。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综上所述，本指标满分为15.00分，根据评分标准得15.00分。</w:t>
      </w:r>
    </w:p>
    <w:p w14:paraId="608E158D">
      <w:pPr>
        <w:spacing w:line="540" w:lineRule="exact"/>
        <w:ind w:firstLine="567"/>
        <w:rPr>
          <w:rStyle w:val="18"/>
          <w:rFonts w:ascii="楷体" w:hAnsi="楷体" w:eastAsia="楷体"/>
          <w:color w:val="auto"/>
          <w:spacing w:val="-4"/>
          <w:sz w:val="32"/>
          <w:szCs w:val="32"/>
        </w:rPr>
      </w:pPr>
    </w:p>
    <w:p w14:paraId="00B894CC">
      <w:pPr>
        <w:numPr>
          <w:ilvl w:val="0"/>
          <w:numId w:val="1"/>
        </w:numPr>
        <w:spacing w:line="540" w:lineRule="exact"/>
        <w:ind w:firstLine="640"/>
        <w:rPr>
          <w:rStyle w:val="18"/>
          <w:rFonts w:hint="eastAsia" w:ascii="黑体" w:hAnsi="黑体" w:eastAsia="黑体"/>
          <w:b w:val="0"/>
          <w:color w:val="auto"/>
          <w:spacing w:val="-4"/>
          <w:sz w:val="32"/>
          <w:szCs w:val="32"/>
        </w:rPr>
      </w:pPr>
      <w:r>
        <w:rPr>
          <w:rStyle w:val="18"/>
          <w:rFonts w:hint="eastAsia" w:ascii="黑体" w:hAnsi="黑体" w:eastAsia="黑体"/>
          <w:b w:val="0"/>
          <w:color w:val="auto"/>
          <w:spacing w:val="-4"/>
          <w:sz w:val="32"/>
          <w:szCs w:val="32"/>
          <w:lang w:val="en-US" w:eastAsia="zh-CN"/>
        </w:rPr>
        <w:t>预算执行进度与绩效指标偏差</w:t>
      </w:r>
    </w:p>
    <w:p w14:paraId="26212743">
      <w:pPr>
        <w:spacing w:line="540" w:lineRule="exact"/>
        <w:ind w:firstLine="567"/>
        <w:rPr>
          <w:rStyle w:val="18"/>
          <w:rFonts w:hint="default" w:ascii="黑体" w:hAnsi="黑体" w:eastAsia="黑体"/>
          <w:b w:val="0"/>
          <w:color w:val="auto"/>
          <w:spacing w:val="-4"/>
          <w:sz w:val="32"/>
          <w:szCs w:val="32"/>
          <w:lang w:val="en-US" w:eastAsia="zh-CN"/>
        </w:rPr>
      </w:pPr>
      <w:r>
        <w:rPr>
          <w:rStyle w:val="18"/>
          <w:rFonts w:hint="eastAsia" w:ascii="楷体" w:hAnsi="楷体" w:eastAsia="楷体"/>
          <w:b w:val="0"/>
          <w:bCs w:val="0"/>
          <w:color w:val="auto"/>
          <w:spacing w:val="-4"/>
          <w:sz w:val="32"/>
          <w:szCs w:val="32"/>
        </w:rPr>
        <w:t>本项目年初预算资金总额为80.00万元，全年预算数为80.00万元，全年执行数为78.68万元，预算执行率为98.35%。</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本项目共设置三级指标数量23个，满分指标数量22个，扣分指标数量1个，经分析计算所有三级指标完成率得出，本项目总体完成率为99.94%。</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综上所述本项目预算执行进度与总体完成进度之间的偏差为1.59%。主要偏差原因是：项目全年预算数80.00万元，全年执行数78.68万元，预算执行率98.35%。</w:t>
      </w:r>
    </w:p>
    <w:p w14:paraId="20E4DC3F">
      <w:pPr>
        <w:numPr>
          <w:ilvl w:val="0"/>
          <w:numId w:val="1"/>
        </w:numPr>
        <w:spacing w:line="540" w:lineRule="exact"/>
        <w:ind w:firstLine="640"/>
        <w:rPr>
          <w:rStyle w:val="18"/>
          <w:rFonts w:hint="eastAsia" w:ascii="黑体" w:hAnsi="黑体" w:eastAsia="黑体"/>
          <w:b w:val="0"/>
          <w:color w:val="auto"/>
          <w:spacing w:val="-4"/>
          <w:sz w:val="32"/>
          <w:szCs w:val="32"/>
        </w:rPr>
      </w:pPr>
      <w:r>
        <w:rPr>
          <w:rStyle w:val="18"/>
          <w:rFonts w:hint="eastAsia" w:ascii="黑体" w:hAnsi="黑体" w:eastAsia="黑体"/>
          <w:b w:val="0"/>
          <w:color w:val="auto"/>
          <w:spacing w:val="-4"/>
          <w:sz w:val="32"/>
          <w:szCs w:val="32"/>
        </w:rPr>
        <w:t>主要经验及做法、存在的问题及原因分析</w:t>
      </w:r>
    </w:p>
    <w:p w14:paraId="16026460">
      <w:pPr>
        <w:spacing w:line="540" w:lineRule="exact"/>
        <w:ind w:firstLine="567"/>
        <w:rPr>
          <w:rFonts w:ascii="仿宋_GB2312" w:eastAsia="仿宋_GB2312"/>
          <w:color w:val="auto"/>
          <w:spacing w:val="-4"/>
          <w:sz w:val="32"/>
          <w:szCs w:val="32"/>
        </w:rPr>
      </w:pPr>
      <w:r>
        <w:rPr>
          <w:rStyle w:val="18"/>
          <w:rFonts w:hint="eastAsia" w:ascii="楷体" w:hAnsi="楷体" w:eastAsia="楷体"/>
          <w:b w:val="0"/>
          <w:bCs w:val="0"/>
          <w:color w:val="auto"/>
          <w:spacing w:val="-4"/>
          <w:sz w:val="32"/>
          <w:szCs w:val="32"/>
        </w:rPr>
        <w:t>（一）主要经验及做法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提高重视，主要领导亲自抓，并予以充分的人力、财力保障。责任落实到位：将各项目工作列入年度干部绩效考核实施方案，将各项目工作落实到具体科室、具体岗位、具体到人。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（二）存在的问题及原因分析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1、绩效预算认识不够充分，绩效理念有待进一步强化</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2、数据分析能力不足、共享机制不健全、数据驱动决策的意识不强</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相关工作人员对于数据分析的重要性认识不足，缺乏必要的数据处理和分析技能，导致无法有效利用数据指导预算编制和执行。部门间信息孤岛现象仍然存在，缺乏有效的数据共享和沟通机制，使得数据无法得到充分利用，影响了绩效预算的精准性和科学性。在决策过程中，依赖经验和直觉而非数据的情况较为普遍，这降低了绩效预算对组织绩效提升的贡献度。</w:t>
      </w:r>
    </w:p>
    <w:p w14:paraId="4CC55CF8">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lang w:val="en-US" w:eastAsia="zh-CN"/>
        </w:rPr>
        <w:t>七</w:t>
      </w:r>
      <w:r>
        <w:rPr>
          <w:rStyle w:val="18"/>
          <w:rFonts w:hint="eastAsia" w:ascii="黑体" w:hAnsi="黑体" w:eastAsia="黑体"/>
          <w:b w:val="0"/>
          <w:color w:val="auto"/>
          <w:spacing w:val="-4"/>
          <w:sz w:val="32"/>
          <w:szCs w:val="32"/>
        </w:rPr>
        <w:t>、有关建议</w:t>
      </w:r>
    </w:p>
    <w:p w14:paraId="1546D815">
      <w:pPr>
        <w:spacing w:line="540" w:lineRule="exact"/>
        <w:ind w:firstLine="567"/>
        <w:rPr>
          <w:rStyle w:val="18"/>
          <w:rFonts w:ascii="楷体" w:hAnsi="楷体" w:eastAsia="楷体"/>
          <w:color w:val="auto"/>
          <w:spacing w:val="-4"/>
          <w:sz w:val="32"/>
          <w:szCs w:val="32"/>
        </w:rPr>
      </w:pPr>
      <w:r>
        <w:rPr>
          <w:rStyle w:val="18"/>
          <w:rFonts w:hint="eastAsia" w:ascii="楷体" w:hAnsi="楷体" w:eastAsia="楷体"/>
          <w:b w:val="0"/>
          <w:bCs w:val="0"/>
          <w:color w:val="auto"/>
          <w:spacing w:val="-4"/>
          <w:sz w:val="32"/>
          <w:szCs w:val="32"/>
        </w:rPr>
        <w:t>1、加强培训，提高相关人员工作水平。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建立数据分析体系，提高相关人员工作水平。通过数据分析进行归纳总结，加强项目规划的科学性和前瞻性，确保规划与当地经济社会发展水平和人口流动趋势相适应。同时，加强项目执行过程中的协调和沟通，确保各项任务顺利推进。</w:t>
      </w:r>
    </w:p>
    <w:p w14:paraId="17909EDB">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lang w:val="en-US" w:eastAsia="zh-CN"/>
        </w:rPr>
        <w:t>八</w:t>
      </w:r>
      <w:r>
        <w:rPr>
          <w:rStyle w:val="18"/>
          <w:rFonts w:hint="eastAsia" w:ascii="黑体" w:hAnsi="黑体" w:eastAsia="黑体"/>
          <w:b w:val="0"/>
          <w:color w:val="auto"/>
          <w:spacing w:val="-4"/>
          <w:sz w:val="32"/>
          <w:szCs w:val="32"/>
        </w:rPr>
        <w:t>、其他需要说明的问题</w:t>
      </w:r>
    </w:p>
    <w:p w14:paraId="61C092BB">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（四）我单位对上述项目支出绩效评价报告内反映内容的真实性、完整性负责，接受上级部门及社会公众监督。</w:t>
      </w:r>
    </w:p>
    <w:p w14:paraId="4C3711D3">
      <w:pPr>
        <w:spacing w:line="540" w:lineRule="exact"/>
        <w:ind w:firstLine="567"/>
        <w:rPr>
          <w:rStyle w:val="18"/>
          <w:rFonts w:ascii="仿宋" w:hAnsi="仿宋" w:eastAsia="仿宋"/>
          <w:b w:val="0"/>
          <w:color w:val="auto"/>
          <w:spacing w:val="-4"/>
          <w:sz w:val="32"/>
          <w:szCs w:val="32"/>
        </w:rPr>
      </w:pPr>
    </w:p>
    <w:p w14:paraId="31393992">
      <w:pPr>
        <w:spacing w:line="540" w:lineRule="exact"/>
        <w:ind w:firstLine="567"/>
        <w:rPr>
          <w:rStyle w:val="18"/>
          <w:rFonts w:ascii="仿宋" w:hAnsi="仿宋" w:eastAsia="仿宋"/>
          <w:b w:val="0"/>
          <w:color w:val="auto"/>
          <w:spacing w:val="-4"/>
          <w:sz w:val="32"/>
          <w:szCs w:val="32"/>
        </w:rPr>
      </w:pPr>
    </w:p>
    <w:p w14:paraId="1FFE16F0">
      <w:pPr>
        <w:spacing w:line="540" w:lineRule="exact"/>
        <w:ind w:firstLine="567"/>
        <w:rPr>
          <w:rStyle w:val="18"/>
          <w:rFonts w:ascii="仿宋" w:hAnsi="仿宋" w:eastAsia="仿宋"/>
          <w:b w:val="0"/>
          <w:color w:val="auto"/>
          <w:spacing w:val="-4"/>
          <w:sz w:val="32"/>
          <w:szCs w:val="32"/>
        </w:rPr>
      </w:pPr>
    </w:p>
    <w:p w14:paraId="6690C287">
      <w:pPr>
        <w:spacing w:line="540" w:lineRule="exact"/>
        <w:ind w:firstLine="567"/>
        <w:rPr>
          <w:rStyle w:val="18"/>
          <w:rFonts w:ascii="仿宋" w:hAnsi="仿宋" w:eastAsia="仿宋"/>
          <w:b w:val="0"/>
          <w:color w:val="auto"/>
          <w:spacing w:val="-4"/>
          <w:sz w:val="32"/>
          <w:szCs w:val="32"/>
        </w:rPr>
      </w:pPr>
    </w:p>
    <w:p w14:paraId="43953817">
      <w:pPr>
        <w:spacing w:line="540" w:lineRule="exact"/>
        <w:ind w:firstLine="567"/>
        <w:rPr>
          <w:rStyle w:val="18"/>
          <w:rFonts w:ascii="仿宋" w:hAnsi="仿宋" w:eastAsia="仿宋"/>
          <w:b w:val="0"/>
          <w:color w:val="auto"/>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EF4F08A">
        <w:pPr>
          <w:pStyle w:val="12"/>
          <w:jc w:val="center"/>
        </w:pPr>
        <w:r>
          <w:fldChar w:fldCharType="begin"/>
        </w:r>
        <w:r>
          <w:instrText xml:space="preserve">PAGE   \* MERGEFORMAT</w:instrText>
        </w:r>
        <w:r>
          <w:fldChar w:fldCharType="separate"/>
        </w:r>
        <w:r>
          <w:rPr>
            <w:lang w:val="zh-CN"/>
          </w:rPr>
          <w:t>2</w:t>
        </w:r>
        <w:r>
          <w:fldChar w:fldCharType="end"/>
        </w:r>
      </w:p>
    </w:sdtContent>
  </w:sdt>
  <w:p w14:paraId="689BE5A7">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9BF7FD9"/>
    <w:rsid w:val="4D2606A1"/>
    <w:rsid w:val="51830480"/>
    <w:rsid w:val="53A616BE"/>
    <w:rsid w:val="54662BFB"/>
    <w:rsid w:val="59A02F0D"/>
    <w:rsid w:val="61107DEC"/>
    <w:rsid w:val="62051CA5"/>
    <w:rsid w:val="6503348A"/>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7726</Words>
  <Characters>8226</Characters>
  <Lines>4</Lines>
  <Paragraphs>1</Paragraphs>
  <TotalTime>0</TotalTime>
  <ScaleCrop>false</ScaleCrop>
  <LinksUpToDate>false</LinksUpToDate>
  <CharactersWithSpaces>8249</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巴霍巴利</cp:lastModifiedBy>
  <cp:lastPrinted>2018-12-31T10:56:00Z</cp:lastPrinted>
  <dcterms:modified xsi:type="dcterms:W3CDTF">2025-05-27T12:13:51Z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C734C92AAAF24344A0E4232D8EB3359B</vt:lpwstr>
  </property>
</Properties>
</file>