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E6BE3">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7E5CC597">
      <w:pPr>
        <w:spacing w:line="540" w:lineRule="exact"/>
        <w:jc w:val="center"/>
        <w:rPr>
          <w:rFonts w:hint="eastAsia" w:ascii="华文中宋" w:hAnsi="华文中宋" w:eastAsia="华文中宋" w:cs="宋体"/>
          <w:b/>
          <w:kern w:val="0"/>
          <w:sz w:val="52"/>
          <w:szCs w:val="52"/>
        </w:rPr>
      </w:pPr>
    </w:p>
    <w:p w14:paraId="044D0ABB">
      <w:pPr>
        <w:spacing w:line="540" w:lineRule="exact"/>
        <w:jc w:val="center"/>
        <w:rPr>
          <w:rFonts w:hint="eastAsia" w:ascii="华文中宋" w:hAnsi="华文中宋" w:eastAsia="华文中宋" w:cs="宋体"/>
          <w:b/>
          <w:kern w:val="0"/>
          <w:sz w:val="52"/>
          <w:szCs w:val="52"/>
        </w:rPr>
      </w:pPr>
    </w:p>
    <w:p w14:paraId="225145B8">
      <w:pPr>
        <w:spacing w:line="540" w:lineRule="exact"/>
        <w:jc w:val="center"/>
        <w:rPr>
          <w:rFonts w:hint="eastAsia" w:ascii="华文中宋" w:hAnsi="华文中宋" w:eastAsia="华文中宋" w:cs="宋体"/>
          <w:b/>
          <w:kern w:val="0"/>
          <w:sz w:val="52"/>
          <w:szCs w:val="52"/>
        </w:rPr>
      </w:pPr>
    </w:p>
    <w:p w14:paraId="5336BA17">
      <w:pPr>
        <w:spacing w:line="540" w:lineRule="exact"/>
        <w:jc w:val="center"/>
        <w:rPr>
          <w:rFonts w:hint="eastAsia" w:ascii="华文中宋" w:hAnsi="华文中宋" w:eastAsia="华文中宋" w:cs="宋体"/>
          <w:b/>
          <w:kern w:val="0"/>
          <w:sz w:val="52"/>
          <w:szCs w:val="52"/>
        </w:rPr>
      </w:pPr>
    </w:p>
    <w:p w14:paraId="71C8F3CE">
      <w:pPr>
        <w:spacing w:line="540" w:lineRule="exact"/>
        <w:jc w:val="center"/>
        <w:rPr>
          <w:rFonts w:hint="eastAsia" w:ascii="华文中宋" w:hAnsi="华文中宋" w:eastAsia="华文中宋" w:cs="宋体"/>
          <w:b/>
          <w:kern w:val="0"/>
          <w:sz w:val="52"/>
          <w:szCs w:val="52"/>
        </w:rPr>
      </w:pPr>
    </w:p>
    <w:p w14:paraId="3BAF1FE9">
      <w:pPr>
        <w:spacing w:line="540" w:lineRule="exact"/>
        <w:jc w:val="center"/>
        <w:rPr>
          <w:rFonts w:hint="eastAsia" w:ascii="华文中宋" w:hAnsi="华文中宋" w:eastAsia="华文中宋" w:cs="宋体"/>
          <w:b/>
          <w:kern w:val="0"/>
          <w:sz w:val="52"/>
          <w:szCs w:val="52"/>
        </w:rPr>
      </w:pPr>
    </w:p>
    <w:p w14:paraId="51E6C045">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5EA4C66A">
      <w:pPr>
        <w:spacing w:line="540" w:lineRule="exact"/>
        <w:jc w:val="center"/>
        <w:rPr>
          <w:rFonts w:hint="eastAsia" w:ascii="华文中宋" w:hAnsi="华文中宋" w:eastAsia="华文中宋" w:cs="宋体"/>
          <w:b/>
          <w:kern w:val="0"/>
          <w:sz w:val="52"/>
          <w:szCs w:val="52"/>
        </w:rPr>
      </w:pPr>
    </w:p>
    <w:p w14:paraId="6B48A424">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524F1054">
      <w:pPr>
        <w:spacing w:line="540" w:lineRule="exact"/>
        <w:jc w:val="center"/>
        <w:rPr>
          <w:rFonts w:hint="eastAsia" w:hAnsi="宋体" w:eastAsia="仿宋_GB2312" w:cs="宋体"/>
          <w:kern w:val="0"/>
          <w:sz w:val="30"/>
          <w:szCs w:val="30"/>
        </w:rPr>
      </w:pPr>
    </w:p>
    <w:p w14:paraId="084DD207">
      <w:pPr>
        <w:spacing w:line="540" w:lineRule="exact"/>
        <w:jc w:val="center"/>
        <w:rPr>
          <w:rFonts w:hint="eastAsia" w:hAnsi="宋体" w:eastAsia="仿宋_GB2312" w:cs="宋体"/>
          <w:kern w:val="0"/>
          <w:sz w:val="30"/>
          <w:szCs w:val="30"/>
        </w:rPr>
      </w:pPr>
    </w:p>
    <w:p w14:paraId="3EE7BC3E">
      <w:pPr>
        <w:spacing w:line="540" w:lineRule="exact"/>
        <w:jc w:val="center"/>
        <w:rPr>
          <w:rFonts w:hint="eastAsia" w:hAnsi="宋体" w:eastAsia="仿宋_GB2312" w:cs="宋体"/>
          <w:kern w:val="0"/>
          <w:sz w:val="30"/>
          <w:szCs w:val="30"/>
        </w:rPr>
      </w:pPr>
    </w:p>
    <w:p w14:paraId="760D230F">
      <w:pPr>
        <w:spacing w:line="540" w:lineRule="exact"/>
        <w:jc w:val="center"/>
        <w:rPr>
          <w:rFonts w:hint="eastAsia" w:hAnsi="宋体" w:eastAsia="仿宋_GB2312" w:cs="宋体"/>
          <w:kern w:val="0"/>
          <w:sz w:val="30"/>
          <w:szCs w:val="30"/>
        </w:rPr>
      </w:pPr>
    </w:p>
    <w:p w14:paraId="1EA2169D">
      <w:pPr>
        <w:spacing w:line="540" w:lineRule="exact"/>
        <w:jc w:val="center"/>
        <w:rPr>
          <w:rFonts w:hint="eastAsia" w:hAnsi="宋体" w:eastAsia="仿宋_GB2312" w:cs="宋体"/>
          <w:kern w:val="0"/>
          <w:sz w:val="30"/>
          <w:szCs w:val="30"/>
        </w:rPr>
      </w:pPr>
    </w:p>
    <w:p w14:paraId="27B13426">
      <w:pPr>
        <w:spacing w:line="540" w:lineRule="exact"/>
        <w:jc w:val="center"/>
        <w:rPr>
          <w:rFonts w:hint="eastAsia" w:hAnsi="宋体" w:eastAsia="仿宋_GB2312" w:cs="宋体"/>
          <w:kern w:val="0"/>
          <w:sz w:val="30"/>
          <w:szCs w:val="30"/>
        </w:rPr>
      </w:pPr>
    </w:p>
    <w:p w14:paraId="7421E23C">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《昌吉年鉴（2023）》编纂印刷、出版、发行</w:t>
      </w:r>
    </w:p>
    <w:p w14:paraId="668AC52A">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中共昌吉回族自治州委员会党史地方志办公室</w:t>
      </w:r>
    </w:p>
    <w:p w14:paraId="299FD5B5">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中共昌吉回族自治州委员会党史地方志办公室</w:t>
      </w:r>
    </w:p>
    <w:p w14:paraId="24F64B3C">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刘开林</w:t>
      </w:r>
    </w:p>
    <w:p w14:paraId="2D4C0F5C">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2024年03月29日</w:t>
      </w:r>
    </w:p>
    <w:p w14:paraId="1304DF2D">
      <w:pPr>
        <w:spacing w:line="700" w:lineRule="exact"/>
        <w:ind w:firstLine="708" w:firstLineChars="236"/>
        <w:jc w:val="left"/>
        <w:rPr>
          <w:rFonts w:hint="eastAsia" w:hAnsi="宋体" w:eastAsia="仿宋_GB2312" w:cs="宋体"/>
          <w:kern w:val="0"/>
          <w:sz w:val="30"/>
          <w:szCs w:val="30"/>
        </w:rPr>
      </w:pPr>
    </w:p>
    <w:p w14:paraId="18DAA0B5">
      <w:pPr>
        <w:spacing w:line="540" w:lineRule="exact"/>
        <w:rPr>
          <w:rStyle w:val="18"/>
          <w:rFonts w:hint="eastAsia" w:ascii="黑体" w:hAnsi="黑体" w:eastAsia="黑体"/>
          <w:b w:val="0"/>
          <w:spacing w:val="-4"/>
          <w:sz w:val="32"/>
          <w:szCs w:val="32"/>
        </w:rPr>
      </w:pPr>
    </w:p>
    <w:p w14:paraId="1D2EF4BC">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3E22F443">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089D52D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一、基本情况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2023年部门预算的通知》（昌州财行〔2023〕1号）文件、国务院《地方志工作条例》和《新疆维吾尔自治区实施地方志工作条例办法》，依法履行组织、指导、督促和检查地方志工作。《昌吉年鉴》作为州党委、州人民政府主力的刊物，是社会各界了解州情、指导和推动各项工作的重要工具，汇集了昌吉州政治、经济、文化、科技、教育、军事、社会生活等方面内容，按年度展示昌吉地区各行业、各部门、各单位的发展情况和工作业绩，是综合性、权威性的年度信息总汇，是编修地方志的基础资料。每年编纂、印刷、出版、发行《昌吉年鉴》，《昌吉年鉴》逐年出版，全面系统记录昌吉州自然、政治、经济、社会等方面的基本面貌和基本情况。刊物总字数70-90万字，印刷合格率99.00%，本年度完成上年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（1）项目名称：《昌吉年鉴（2023）》编纂印刷、出版、发行项目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内容为2023年，重点完成《昌吉年鉴（2023）》需收编的上年度资料的收集、编辑等工作，经自治区地方志编纂委员会审定后，报出版社三审三校，提出终审意见，申请书号后出版发行。项目的实施有效发挥存史资政育人作用，满足人们日益增长的物质文化需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实施主体：中共昌吉回族自治州委员会党史和文献研究室。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实施，截止2023年12月已完成《昌吉年鉴（2023）》的资料收集、编辑等工作，因三审三校工作正在进行还未结束，兵团出版社申请书号困难等待时间长，故刊物暂未出版。《昌吉年鉴》逐年出版，全面系统记录昌吉州自然、政治、经济、社会等方面的基本面貌和基本情况。刊物总字数70-90万字，印刷合格率99.00%，本年度完成上年内容收集编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昌吉年鉴（2023）》编纂印刷、出版、发行项目的实施主体为中共昌吉回族自治州委员会党史和文献研究室，该单位纳入2023年部门决算编制范围的有3个科室，分别是：综合科、党史和文献研究科、地方志年鉴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10人，其中：参公8人，事业1人（“千名硕士进昌吉”人才引进），工勤1人。实有在编人数8人，在职7人（1人参加自治区遴选在自治区单位上班、2023年7月退休2人）。离退休人员9人，其中：行政退休人员9人、事业退休0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22.00万元，资金来源为《关于下达昌吉州本级预算单位2023年部门预算的通知》（昌州财行〔2023〕1号）文件，其中：财政资金22.00万元，其他资金0.00万元，2023年实际收到预算资金22.00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截至2023年12月31日，本项目实际支付资金6.25万元，预算执行率28.41%。本项目资金主要用于支付《昌吉年鉴（2023）》编纂印刷、出版、发行项目费用6.25万元。</w:t>
      </w:r>
    </w:p>
    <w:p w14:paraId="5A25AE4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2EC0960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计划按年度收集、整理完成2022年度资料的收集、编辑，经自治区地方志编委会审定，报出版社三审三校，提出终审意见，申请书号后申请出版发行。完成《昌吉年鉴（2023）》的收集编辑整理，字数不少于70万字，内容包括文字及图片资料。收录内容时间自2022年1月至2022年12月，完成时限2023年12月31日。出版《昌吉年鉴（2023）》，刊物准确率不低于99.00%，发行刊物数量1个，印刷数量600册，出版时间2023年12月31日前，有效发挥存史资政育人作用，满足人们日益增长的物质文化需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“刊物字数”指标，预期指标值为“大于等于70万字”；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“发行刊物数量”指标，预期指标值为“等于1个”；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“印刷数量”指标，预期指标值为“等于600册”；</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“刊物准确率”指标，预期指标为“大于等于99.00%”；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“三审三校费、审读费”指标，预期指标为“小于等于7.50万元”；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“《昌吉年鉴（2023）》印装费”指标，预期指标为“小于等于8.50万元”；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“调研征集和采录复印所需的各类费用”指标，预期指标为“小于等于6.00万元”；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“为社会各界提供读志用志服务”指标，预期指标为“有效提供”；</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“查阅资料的单位和群众满意度”指标，预期指标为“大于等于90.00%”。</w:t>
      </w:r>
    </w:p>
    <w:p w14:paraId="012016E9">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44702B58">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798147B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二、绩效评价工作开展情况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此次我单位根据《财政支出绩效评价管理暂行办法》（财预〔2020〕10号）文件要求实施评价工作，本次评价对象为《昌吉年鉴（2023）》编纂印刷、出版、发行项目，评价核心为项目资金、项目产出、项目效益。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(5)《关于下达昌吉州本级预算单位2023年部门预算的通知》（昌州财行〔2023〕1号）文件；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(6)国务院《地方志工作条例》；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(7)《新疆维吾尔自治区实施&lt;地方志工作条例&gt;办法》；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(8)《中共昌吉回族自治州委员会党史和文献研究室职能配置、内设机构和人员编制规定》（昌州党办字〔2019〕26号）。</w:t>
      </w:r>
    </w:p>
    <w:p w14:paraId="49483A65">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1A5244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21.00%）、过程指标（19.00%）、产出指标（30.00%）、效益指标（30.00%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比较法：通过整理本项目相关资料和数据，评价数量指标的完成情况；通过分析项目的实施情况与绩效目标实现情况，评价项目实施的效果；通过分析项目资金使用情况及产生的效果，评价预算资金分配的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354B0C6E">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51F7D247">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古丽娜尔·木拉提（评价小组组长）：主要负责项目策划和监督，全面负责项目绩效评价办稿的最终质量，对评估人员出具的最终报告质量进行复核，确保评估结果的客观性；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杨海波（评价小组组员）：主要负责资料的收集，取证、数据统计分析；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潘珊（评价小组组员）：主要负责主要负责项目报告的制定，指标的研判，数据分析及报告撰写。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2024年3月5日-3月10日，评价工作进入实施阶段。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2024年3月10日-3月15日，评价小组按照绩效评价的原则和规范，对取得的资料进行审查核实，对采集的数据进行分析，按照绩效评价指标评分表逐项进行打分、分析、汇总各方评价结果。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2024年4月20-4月25日，评价小组撰写绩效评价报告，按照新疆维吾尔自治区财政绩效管理信息系统绩效评价模块中统一格式和文本框架撰写绩效评价报告并提交审核。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7B567ED0">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7048C53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三、综合评价情况及评价结论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部分达成年初设立的绩效目标，在实施过程中取得了良好的成效，具体表现在：通过项目的实施，完成了《昌吉年鉴（2023）》初稿编纂和终审工作，为社会各界提供读志用志服务，发挥了年鉴存史资政育人的作用。但在实施过程中也存在一些不足：《昌吉年鉴（2023）》未完成三审三校和出版发行工作，相关费用未支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20个，实现三级指标数量15个，总体完成率为75.00%。最终评分结果：总分为79.42分，绩效评级为“中”。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过程管理类指标共设置5个，满分指标4个，得分率81.16%；</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项目产出类指标共设置7个，满分指标3个，得分率43.33%；</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01B2AC80">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2F04C861">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0A02043D">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四、绩效评价指标分析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国务院颁发的《地方志工作条例》《新疆维吾尔自治区实施&lt;地方志工作条例&gt;办法》中：本项目立项符合《新疆维吾尔自治区实施&lt;地方志工作条例&gt;办法》中：“县级以上人民政府地方志工作机构主管本行政区域内的地方志工作”内容，符合行业发展规划和政策要求；本项目立项符合《中共昌吉回族自治州委员会党史和文献研究室职能配置、内设机构和人员编制规定》中职责范围中的“负责昌吉州本级志书、年鉴的资料收集和编辑出版，收集、整理旧志”，属于我单位履职所需；根据《财政资金直接支付申请书》，本项目资金性质为“公共财政预算”功能分类为“一般行政管理事务”经济分类为“委托业务费”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地方志工作条例》《新疆维吾尔自治区实施&lt;地方志工作条例&gt;办法》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昌吉年鉴（2023）》编纂印刷、出版、发行”；本项目实际工作内容为：编纂、印刷、出版、发行《昌吉年鉴》，《昌吉年鉴》逐年出版，全面系统记录昌吉州自然、政治、经济、社会等方面的基本面貌和基本情况；绩效目标与实际工作内容一致，两者具有相关性;本项目按照绩效目标完成了数量指标、质量指标、时效指标、成本指标，为红色教育提供史料，为图书馆档案馆提供党史资料为社会各界提供读志用志服务，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9个，定量指标7个，定性指标2个，指标量化率为77.78%，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本项目预算编制通过历史标准得出，即预算编制较科学且经过论证；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预算申请内容为《昌吉年鉴（2023）》编纂印刷、出版、发行，项目实际内容为《昌吉年鉴（2023）》编纂印刷、出版、发行，预算申请与</w:t>
      </w:r>
      <w:r>
        <w:rPr>
          <w:rStyle w:val="18"/>
          <w:rFonts w:hint="eastAsia" w:ascii="楷体" w:hAnsi="楷体" w:eastAsia="楷体"/>
          <w:b w:val="0"/>
          <w:bCs w:val="0"/>
          <w:spacing w:val="-4"/>
          <w:sz w:val="32"/>
          <w:szCs w:val="32"/>
          <w:lang w:eastAsia="zh-CN"/>
        </w:rPr>
        <w:t>《</w:t>
      </w:r>
      <w:r>
        <w:rPr>
          <w:rStyle w:val="18"/>
          <w:rFonts w:hint="eastAsia" w:ascii="楷体" w:hAnsi="楷体" w:eastAsia="楷体"/>
          <w:b w:val="0"/>
          <w:bCs w:val="0"/>
          <w:spacing w:val="-4"/>
          <w:sz w:val="32"/>
          <w:szCs w:val="32"/>
        </w:rPr>
        <w:t>昌吉年鉴（2023）》编纂印刷、出版、发行项目实施方案》中涉及的项目内容匹配；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22.00万元，我单位在预算申请中严格按照单位标准和数量进行核算，其中：三审三校费、审读费7.50万元、《昌吉年鉴（2023）》印装费8.50万元、调研征集和采录复印所需的各类费用6.00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本项目实际分配资金以《关于申请《昌吉年鉴（2023）》编纂印刷、出版、发行项目资金的请示》和</w:t>
      </w:r>
      <w:r>
        <w:rPr>
          <w:rStyle w:val="18"/>
          <w:rFonts w:hint="eastAsia" w:ascii="楷体" w:hAnsi="楷体" w:eastAsia="楷体"/>
          <w:b w:val="0"/>
          <w:bCs w:val="0"/>
          <w:spacing w:val="-4"/>
          <w:sz w:val="32"/>
          <w:szCs w:val="32"/>
          <w:lang w:eastAsia="zh-CN"/>
        </w:rPr>
        <w:t>《</w:t>
      </w:r>
      <w:r>
        <w:rPr>
          <w:rStyle w:val="18"/>
          <w:rFonts w:hint="eastAsia" w:ascii="楷体" w:hAnsi="楷体" w:eastAsia="楷体"/>
          <w:b w:val="0"/>
          <w:bCs w:val="0"/>
          <w:spacing w:val="-4"/>
          <w:sz w:val="32"/>
          <w:szCs w:val="32"/>
        </w:rPr>
        <w:t>昌吉年鉴（2023）》编纂印刷、出版、发行项目实施方案》为依据进行资金分配，预算资金分配依据充分。根据《关于下达昌吉州本级预算单位2023年部门预算的通知》（昌州财行〔2023〕1号）文件显示，本项目实际到位资金22.00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43420093">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0D90599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项目过程管理类指标由2个二级指标和5个三级指标构成，权重分19.00分，实际得分15.42分。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22.00万元，其中：本级财政安排资金22.00万元，其他资金0.00万元，实际到位资金22.00万元，资金到位率=100%（实际到位资金/预算资金）×100.00%=（22/22）*100.00%=100%。得分=资金到位率*分值=100.00%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本项目实际支出资金6.25万元，预算执行率=28.41%（实际支出资金/实际到位资金）×100.00%=（6.252/22）*100.00%=28.41%。得分=预算执行率*分值=28.41%*5=1.42分。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综上所述，本指标满分为5.00分，根据评分标准得1.42分，本项目资金分配合理。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党研室“三重一大”决策事项实施细则》《昌吉州党研室财务管理制度》《昌吉州党研室财务管理责任追究制度》，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党研室“三重一大”决策事项实施细则》《昌吉州党研室财务管理制度》《昌吉州党研室财务管理责任追究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年鉴（2023）》编纂印刷、出版、发行项目工作领导小组，由党组书记刘开林任组长，负责项目的组织工作；古丽娜尔·木拉提任副组长，负责项目的实施工作；组员包括：杨海波和潘珊，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6FB0F63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9AD8D1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项目产出类指标由4个二级指标和7个三级指标构成，权重分30.00分，实际得分13.00分。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“刊物字数”指标：预期指标值为“大于等于70万字”，实际完成指标值为“70万字”，指标完成率为100.00%。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行刊物数量”指标：预期指标值为“等于1个”，实际完成指标值为“等于0个”，指标完成率为0.00%。（偏差率为100.00%，偏差原因主要为：《昌吉年鉴（2023）》三审三校工作正在进行还未结束，兵团出版社申请书号困难等待时间长，故刊物暂未出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印刷数量”指标：预期指标值为“等于600册个”，实际完成指标值为“等于0册”，指标完成率为0.00%。（偏差率为100.00%，偏差原因主要为：《昌吉年鉴（2023）》三审三校工作正在进行还未结束，兵团出版社申请书号困难等待时间长，故刊物暂未出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“刊物准确率”指标：预期指标值为“大于等于99.00%”，实际完成指标值为“99.90%”，指标完成率为100.00%。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审三校费、审读费”指标：预期指标值为“小于等于7.50万元”，实际完成指标值为“等于0.00万元”，指标完成率为0.00%。（偏差率为100.00%，偏差原因主要为：《昌吉年鉴（2023）》三审三校工作正在进行还未结束，兵团出版社申请书号困难等待时间长，故刊物暂未出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综上所述，本指标满分为3.50分，根据评分标准得0.00分。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年鉴（2023）》印装费”指标：预期指标值为“小于等于8.50万元”，实际完成指标值为“等于0.00万元”，指标完成率为0.00%。（偏差率为100.00%，偏差原因主要为：《昌吉年鉴（2023）》三审三校工作正在进行还未结束，兵团出版社申请书号困难等待时间长，故刊物暂未出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综上所述，本指标满分为3.50分，根据评分标准得0.00分。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“调研征集和采录复印所需的各类费用”指标：预期指标值为“小于等于6.00万元”，实际完成指标值为“6.25万元”，指标完成率为100.00%。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p>
    <w:p w14:paraId="34DC0824">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37845BF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“为社会各界提供读志用志服务”指标：预期指标值为“大于等于90.00%”，实际完成指标值为“100.00%”，指标完成率为100.00%。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“查阅资料的单位和群众满意度”指标：预期指标值为“大于等于90.00%”，实际完成指标值为“100.00%”，指标完成率为100.00%。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3C1C80E1">
      <w:pPr>
        <w:spacing w:line="540" w:lineRule="exact"/>
        <w:ind w:firstLine="567"/>
        <w:rPr>
          <w:rStyle w:val="18"/>
          <w:rFonts w:hint="eastAsia" w:ascii="楷体" w:hAnsi="楷体" w:eastAsia="楷体"/>
          <w:spacing w:val="-4"/>
          <w:sz w:val="32"/>
          <w:szCs w:val="32"/>
        </w:rPr>
      </w:pPr>
    </w:p>
    <w:p w14:paraId="5EC5EC8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7D0E74B8">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五、预算执行进度与绩效指标偏差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本项目年初预算资金总额为22.00万元，全年预算数为22.00万元，全年执行数为6.25万元，预算执行率为28.41%。</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本项目共设置三级指标数量20个，满分指标数量15个，扣分指标数量5个，经分析计算所有三级指标完成率得出，本项目总体完成率为76.40%。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综上所述本项目预算执行进度与总体完成进度之间的偏差为47.99%。主要偏差原因是：《昌吉年鉴（2023）》三审三校工作正在进行还未结束，兵团出版社申请书号困难等待时间长，故刊物暂未出版。</w:t>
      </w:r>
    </w:p>
    <w:p w14:paraId="4B79BF0B">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39347F12">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对项目立项、预算编制工作进行科学研究，保证了项目的可行性和科学性。制定了项目实施方案，明确分工，责任到人，通过领导班子会议进行研究确定，保证专项资金执行到位。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年鉴（2023）》编纂印刷、出版、发行项目未完成三审三校及印装费用的支付。原因是地方志年鉴工作队伍缺乏系统的财务知识培训，人员不足，工作能力相对薄弱，对预算资金安排和支付进度把握上有差距，该项目在年鉴审读、出版、申请书号过程中需要跨年完成。</w:t>
      </w:r>
    </w:p>
    <w:p w14:paraId="6417F082">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70F6BC92">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七、有关建议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1.制定项目时从工作实际出发，制定当年能完成的绩效目标，科学管理和分配资金，按时完成阶段性任务。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2.加强财政绩效知识和政策的学习，提高业务工作能力和绩效自评水平。</w:t>
      </w:r>
    </w:p>
    <w:p w14:paraId="6365CEED">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221624F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八、其他需要说明的问题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（三）我单位对上述项目支出绩效评价报告内反映内容的真实性、完整性负责，接受上级部门及社会公众监督。</w:t>
      </w:r>
    </w:p>
    <w:p w14:paraId="75B8CC43">
      <w:pPr>
        <w:spacing w:line="540" w:lineRule="exact"/>
        <w:ind w:firstLine="567"/>
        <w:rPr>
          <w:rStyle w:val="18"/>
          <w:rFonts w:hint="eastAsia" w:ascii="仿宋" w:hAnsi="仿宋" w:eastAsia="仿宋"/>
          <w:b w:val="0"/>
          <w:spacing w:val="-4"/>
          <w:sz w:val="32"/>
          <w:szCs w:val="32"/>
        </w:rPr>
      </w:pPr>
    </w:p>
    <w:p w14:paraId="63083407">
      <w:pPr>
        <w:spacing w:line="540" w:lineRule="exact"/>
        <w:ind w:firstLine="567"/>
        <w:rPr>
          <w:rStyle w:val="18"/>
          <w:rFonts w:hint="eastAsia" w:ascii="仿宋" w:hAnsi="仿宋" w:eastAsia="仿宋"/>
          <w:b w:val="0"/>
          <w:spacing w:val="-4"/>
          <w:sz w:val="32"/>
          <w:szCs w:val="32"/>
        </w:rPr>
      </w:pPr>
    </w:p>
    <w:p w14:paraId="523721A2">
      <w:pPr>
        <w:spacing w:line="540" w:lineRule="exact"/>
        <w:ind w:firstLine="567"/>
        <w:rPr>
          <w:rStyle w:val="18"/>
          <w:rFonts w:hint="eastAsia" w:ascii="仿宋" w:hAnsi="仿宋" w:eastAsia="仿宋"/>
          <w:b w:val="0"/>
          <w:spacing w:val="-4"/>
          <w:sz w:val="32"/>
          <w:szCs w:val="32"/>
        </w:rPr>
      </w:pPr>
    </w:p>
    <w:p w14:paraId="0C074DE4">
      <w:pPr>
        <w:spacing w:line="540" w:lineRule="exact"/>
        <w:ind w:firstLine="567"/>
        <w:rPr>
          <w:rStyle w:val="18"/>
          <w:rFonts w:hint="eastAsia" w:ascii="仿宋" w:hAnsi="仿宋" w:eastAsia="仿宋"/>
          <w:b w:val="0"/>
          <w:spacing w:val="-4"/>
          <w:sz w:val="32"/>
          <w:szCs w:val="32"/>
        </w:rPr>
      </w:pPr>
    </w:p>
    <w:p w14:paraId="2F07DC01">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022ABB6">
        <w:pPr>
          <w:pStyle w:val="12"/>
          <w:jc w:val="center"/>
        </w:pPr>
        <w:r>
          <w:fldChar w:fldCharType="begin"/>
        </w:r>
        <w:r>
          <w:instrText xml:space="preserve">PAGE   \* MERGEFORMAT</w:instrText>
        </w:r>
        <w:r>
          <w:fldChar w:fldCharType="separate"/>
        </w:r>
        <w:r>
          <w:rPr>
            <w:lang w:val="zh-CN"/>
          </w:rPr>
          <w:t>2</w:t>
        </w:r>
        <w:r>
          <w:fldChar w:fldCharType="end"/>
        </w:r>
      </w:p>
    </w:sdtContent>
  </w:sdt>
  <w:p w14:paraId="3F6C1EE1">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30EA9"/>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5D53BA"/>
    <w:rsid w:val="00707EA0"/>
    <w:rsid w:val="008471E4"/>
    <w:rsid w:val="00855C05"/>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415AA"/>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19D0C2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5359</Words>
  <Characters>5727</Characters>
  <Lines>78</Lines>
  <Paragraphs>22</Paragraphs>
  <TotalTime>2</TotalTime>
  <ScaleCrop>false</ScaleCrop>
  <LinksUpToDate>false</LinksUpToDate>
  <CharactersWithSpaces>5736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2025-05-27T04:16:52Z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