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A861B">
      <w:pPr>
        <w:spacing w:line="540" w:lineRule="exact"/>
        <w:jc w:val="left"/>
        <w:rPr>
          <w:rFonts w:hint="eastAsia"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14:paraId="23D8E9A8">
      <w:pPr>
        <w:spacing w:line="540" w:lineRule="exact"/>
        <w:jc w:val="center"/>
        <w:rPr>
          <w:rFonts w:hint="eastAsia" w:ascii="华文中宋" w:hAnsi="华文中宋" w:eastAsia="华文中宋" w:cs="宋体"/>
          <w:b/>
          <w:kern w:val="0"/>
          <w:sz w:val="52"/>
          <w:szCs w:val="52"/>
        </w:rPr>
      </w:pPr>
    </w:p>
    <w:p w14:paraId="7F6BE189">
      <w:pPr>
        <w:spacing w:line="540" w:lineRule="exact"/>
        <w:jc w:val="center"/>
        <w:rPr>
          <w:rFonts w:hint="eastAsia" w:ascii="华文中宋" w:hAnsi="华文中宋" w:eastAsia="华文中宋" w:cs="宋体"/>
          <w:b/>
          <w:kern w:val="0"/>
          <w:sz w:val="52"/>
          <w:szCs w:val="52"/>
        </w:rPr>
      </w:pPr>
    </w:p>
    <w:p w14:paraId="4B16AE1B">
      <w:pPr>
        <w:spacing w:line="540" w:lineRule="exact"/>
        <w:jc w:val="center"/>
        <w:rPr>
          <w:rFonts w:hint="eastAsia" w:ascii="华文中宋" w:hAnsi="华文中宋" w:eastAsia="华文中宋" w:cs="宋体"/>
          <w:b/>
          <w:kern w:val="0"/>
          <w:sz w:val="52"/>
          <w:szCs w:val="52"/>
        </w:rPr>
      </w:pPr>
    </w:p>
    <w:p w14:paraId="301F2576">
      <w:pPr>
        <w:spacing w:line="540" w:lineRule="exact"/>
        <w:jc w:val="center"/>
        <w:rPr>
          <w:rFonts w:hint="eastAsia" w:ascii="华文中宋" w:hAnsi="华文中宋" w:eastAsia="华文中宋" w:cs="宋体"/>
          <w:b/>
          <w:kern w:val="0"/>
          <w:sz w:val="52"/>
          <w:szCs w:val="52"/>
        </w:rPr>
      </w:pPr>
    </w:p>
    <w:p w14:paraId="1E647759">
      <w:pPr>
        <w:spacing w:line="540" w:lineRule="exact"/>
        <w:jc w:val="center"/>
        <w:rPr>
          <w:rFonts w:hint="eastAsia" w:ascii="华文中宋" w:hAnsi="华文中宋" w:eastAsia="华文中宋" w:cs="宋体"/>
          <w:b/>
          <w:kern w:val="0"/>
          <w:sz w:val="52"/>
          <w:szCs w:val="52"/>
        </w:rPr>
      </w:pPr>
    </w:p>
    <w:p w14:paraId="4289BC82">
      <w:pPr>
        <w:spacing w:line="540" w:lineRule="exact"/>
        <w:jc w:val="center"/>
        <w:rPr>
          <w:rFonts w:hint="eastAsia" w:ascii="华文中宋" w:hAnsi="华文中宋" w:eastAsia="华文中宋" w:cs="宋体"/>
          <w:b/>
          <w:kern w:val="0"/>
          <w:sz w:val="52"/>
          <w:szCs w:val="52"/>
        </w:rPr>
      </w:pPr>
    </w:p>
    <w:p w14:paraId="50344636">
      <w:pPr>
        <w:spacing w:line="540" w:lineRule="exact"/>
        <w:jc w:val="center"/>
        <w:rPr>
          <w:rFonts w:hint="eastAsia"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2C2131FF">
      <w:pPr>
        <w:spacing w:line="540" w:lineRule="exact"/>
        <w:jc w:val="center"/>
        <w:rPr>
          <w:rFonts w:hint="eastAsia" w:ascii="华文中宋" w:hAnsi="华文中宋" w:eastAsia="华文中宋" w:cs="宋体"/>
          <w:b/>
          <w:kern w:val="0"/>
          <w:sz w:val="52"/>
          <w:szCs w:val="52"/>
        </w:rPr>
      </w:pPr>
    </w:p>
    <w:p w14:paraId="209B4F5F">
      <w:pPr>
        <w:spacing w:line="540" w:lineRule="exact"/>
        <w:jc w:val="center"/>
        <w:rPr>
          <w:rFonts w:hint="eastAsia"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042391B6">
      <w:pPr>
        <w:spacing w:line="540" w:lineRule="exact"/>
        <w:jc w:val="center"/>
        <w:rPr>
          <w:rFonts w:hint="eastAsia" w:hAnsi="宋体" w:eastAsia="仿宋_GB2312" w:cs="宋体"/>
          <w:kern w:val="0"/>
          <w:sz w:val="30"/>
          <w:szCs w:val="30"/>
        </w:rPr>
      </w:pPr>
    </w:p>
    <w:p w14:paraId="4F9CFDA1">
      <w:pPr>
        <w:spacing w:line="540" w:lineRule="exact"/>
        <w:jc w:val="center"/>
        <w:rPr>
          <w:rFonts w:hint="eastAsia" w:hAnsi="宋体" w:eastAsia="仿宋_GB2312" w:cs="宋体"/>
          <w:kern w:val="0"/>
          <w:sz w:val="30"/>
          <w:szCs w:val="30"/>
        </w:rPr>
      </w:pPr>
    </w:p>
    <w:p w14:paraId="3F279476">
      <w:pPr>
        <w:spacing w:line="540" w:lineRule="exact"/>
        <w:jc w:val="center"/>
        <w:rPr>
          <w:rFonts w:hint="eastAsia" w:hAnsi="宋体" w:eastAsia="仿宋_GB2312" w:cs="宋体"/>
          <w:kern w:val="0"/>
          <w:sz w:val="30"/>
          <w:szCs w:val="30"/>
        </w:rPr>
      </w:pPr>
    </w:p>
    <w:p w14:paraId="07C59F04">
      <w:pPr>
        <w:spacing w:line="540" w:lineRule="exact"/>
        <w:jc w:val="center"/>
        <w:rPr>
          <w:rFonts w:hint="eastAsia" w:hAnsi="宋体" w:eastAsia="仿宋_GB2312" w:cs="宋体"/>
          <w:kern w:val="0"/>
          <w:sz w:val="30"/>
          <w:szCs w:val="30"/>
        </w:rPr>
      </w:pPr>
    </w:p>
    <w:p w14:paraId="6ACE194A">
      <w:pPr>
        <w:spacing w:line="540" w:lineRule="exact"/>
        <w:jc w:val="center"/>
        <w:rPr>
          <w:rFonts w:hint="eastAsia" w:hAnsi="宋体" w:eastAsia="仿宋_GB2312" w:cs="宋体"/>
          <w:kern w:val="0"/>
          <w:sz w:val="30"/>
          <w:szCs w:val="30"/>
        </w:rPr>
      </w:pPr>
    </w:p>
    <w:p w14:paraId="055A3205">
      <w:pPr>
        <w:spacing w:line="540" w:lineRule="exact"/>
        <w:jc w:val="center"/>
        <w:rPr>
          <w:rFonts w:hint="eastAsia" w:hAnsi="宋体" w:eastAsia="仿宋_GB2312" w:cs="宋体"/>
          <w:kern w:val="0"/>
          <w:sz w:val="30"/>
          <w:szCs w:val="30"/>
        </w:rPr>
      </w:pPr>
    </w:p>
    <w:p w14:paraId="2643AFF2">
      <w:pPr>
        <w:spacing w:line="540" w:lineRule="exact"/>
        <w:rPr>
          <w:rFonts w:hint="eastAsia" w:hAnsi="宋体" w:eastAsia="仿宋_GB2312" w:cs="宋体"/>
          <w:kern w:val="0"/>
          <w:sz w:val="30"/>
          <w:szCs w:val="30"/>
        </w:rPr>
      </w:pPr>
    </w:p>
    <w:p w14:paraId="22290A5B">
      <w:pPr>
        <w:spacing w:line="700" w:lineRule="exact"/>
        <w:jc w:val="left"/>
        <w:rPr>
          <w:rFonts w:hint="eastAsia" w:hAnsi="宋体" w:eastAsia="仿宋_GB2312" w:cs="宋体"/>
          <w:kern w:val="0"/>
          <w:sz w:val="36"/>
          <w:szCs w:val="36"/>
        </w:rPr>
      </w:pPr>
      <w:r>
        <w:rPr>
          <w:rFonts w:hint="eastAsia" w:hAnsi="宋体" w:eastAsia="仿宋_GB2312" w:cs="宋体"/>
          <w:kern w:val="0"/>
          <w:sz w:val="36"/>
          <w:szCs w:val="36"/>
        </w:rPr>
        <w:t xml:space="preserve">     </w:t>
      </w:r>
    </w:p>
    <w:p w14:paraId="0A22DDB2">
      <w:pPr>
        <w:spacing w:line="700" w:lineRule="exact"/>
        <w:ind w:firstLine="900" w:firstLineChars="250"/>
        <w:jc w:val="left"/>
        <w:rPr>
          <w:rFonts w:hint="eastAsia"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机关编制业务经费项目</w:t>
      </w:r>
    </w:p>
    <w:p w14:paraId="641D0A14">
      <w:pPr>
        <w:spacing w:line="540" w:lineRule="exact"/>
        <w:ind w:firstLine="567"/>
        <w:rPr>
          <w:rFonts w:hint="eastAsia"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中共昌吉回族自治州委员会机构编制委员会办公室</w:t>
      </w:r>
    </w:p>
    <w:p w14:paraId="24FDF700">
      <w:pPr>
        <w:spacing w:line="540" w:lineRule="exact"/>
        <w:ind w:firstLine="900" w:firstLineChars="250"/>
        <w:rPr>
          <w:rFonts w:hint="eastAsia"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中共昌吉回族自治州委员会机构编制委员会办公室</w:t>
      </w:r>
    </w:p>
    <w:p w14:paraId="6A3BFF5C">
      <w:pPr>
        <w:spacing w:line="540" w:lineRule="exact"/>
        <w:ind w:firstLine="900" w:firstLineChars="250"/>
        <w:rPr>
          <w:rFonts w:hint="eastAsia"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王东升</w:t>
      </w:r>
    </w:p>
    <w:p w14:paraId="30241588">
      <w:pPr>
        <w:spacing w:line="540" w:lineRule="exact"/>
        <w:ind w:left="273" w:firstLine="567"/>
        <w:rPr>
          <w:rStyle w:val="18"/>
          <w:rFonts w:hint="eastAsia"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2024年03月29日</w:t>
      </w:r>
    </w:p>
    <w:p w14:paraId="403F80B0">
      <w:pPr>
        <w:spacing w:line="700" w:lineRule="exact"/>
        <w:ind w:firstLine="708" w:firstLineChars="236"/>
        <w:jc w:val="left"/>
        <w:rPr>
          <w:rFonts w:hint="eastAsia" w:hAnsi="宋体" w:eastAsia="仿宋_GB2312" w:cs="宋体"/>
          <w:kern w:val="0"/>
          <w:sz w:val="30"/>
          <w:szCs w:val="30"/>
        </w:rPr>
      </w:pPr>
    </w:p>
    <w:p w14:paraId="48984B7D">
      <w:pPr>
        <w:spacing w:line="540" w:lineRule="exact"/>
        <w:rPr>
          <w:rStyle w:val="18"/>
          <w:rFonts w:hint="eastAsia" w:ascii="黑体" w:hAnsi="黑体" w:eastAsia="黑体"/>
          <w:b w:val="0"/>
          <w:spacing w:val="-4"/>
          <w:sz w:val="32"/>
          <w:szCs w:val="32"/>
        </w:rPr>
      </w:pPr>
    </w:p>
    <w:p w14:paraId="2707EEB0">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一、基本情况</w:t>
      </w:r>
    </w:p>
    <w:p w14:paraId="0B3FB01D">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（一）项目概况。</w:t>
      </w:r>
    </w:p>
    <w:p w14:paraId="47606F26">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一、基本情况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（一）项目概况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昌州财行〔2023〕1号文件要求，贯彻落实中央、自治区机构改革部署，深化综合行政执法党政机构改革，推进事业单位改革试点，指导州本级各部门及各县市组织实施机构改革及事业单位改革试点工作等。指导县市事业单位登记管理，做好自治州事业单位登记管理的电子化工作，实施自治州事业单位登记管理工作和事业单位登记年检管理工作，加强对自治州机构编制系统实名制信息数据的统计汇总、上报和全州机构编制管理干部的业务培训、信息培训工作，做好实名制系统平台的管理维护，加强实名制业务相关人员网上平台操作培训等。</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（1）项目名称：机关编制业务经费项目项目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本项目主要内容为指导县市事业单位登记管理，做好自治州事业单位登记管理的电子化工作，实施自治州事业单位登记管理工作和事业单位登记年检管理工作，加强对自治州机构编制系统实名制信息数据的统计汇总、上报和全州机构编制管理干部的业务培训、信息培训工作，做好实名制系统平台的管理维护，加强实名制业务相关人员网上平台操作培训等。</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实施主体：中共昌吉回族自治州委员会机构编制委员会办公室。</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本项目于2023年1月开始实施，截止2023年12月已经全部完成，通过本项目的实施，对单位机关办公提供支撑，工作开展得到保障，提升机构编制管理水平。项目的实施对机关办公提供支撑，工作开展得到保障，提升机构编制管理水平。我办在实施机构编制业务经费项目中，完成事业单位法人网上年审工作，机构编制信息网络维护，实名制季报、年报数据统计汇总，为促进机构编制事业高质量发展作出了贡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1)贯彻执行党和国家以及自治区关于行政管理体制改革、机构改革和机构编制管理的方针、政策和法规，研究拟定自治州行政管理体制改革、机构改革和机构编制管理的规定和办法，并组织实施。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2）统一管理自治州各级党政机关，人大、政协、法院和检察院机关，各民主党派、人民团体和群众团体机关及事业单位的机构编制工作。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3）研究拟定自治州行政管理体制与机构改革的总体方案，并组织实施；审核自治州党政机关各部门，人大和政协机关，法院和检察院机关，各民主党派、人民团体和群众团体机关的“三定”规定（方案）和机构改革方案；审核各县市、乡镇机构改革方案和机构改革实施意见；指导协调县市、乡镇行政管理体制和机构改革以及机构编制管理工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4）负责自治州州级机关各部门职能配置和调整工作；协调自治州州级机关各部门之间以及州级机关各部门与县市之间的职责分工。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5）研究拟定自治州事业单位分类改革方案和事业单位机构编制管理的规定和办法，研究拟定自治州各类事业单位的机构编制标准；指导县市事业单位分类改革和机构编制管理工作。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6）审核自治州州级机关（含州人民政府驻外机构）和自治州直属事业机构的机构设置、人员编制和领导职数；审核州级机关各部门所属事业单位的机构设置、人员编制、领导职数和经费形式；审批州级机关各部门、自治州直属事业机构和州级机关各部门所属事业单位内设机构设置和科级领导职数。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7）根据自治州关于议事协调机构和临时机构的管理办法，负责自治州党委、人民政府审批的议事协调机构和临时机构的有关机构编制管理工作。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8）审核县市党政机关各部门、有关人民团体和群众团体机关及事业单位的机构设置；监督管理县市人员编制总量和结构，审核县市增加人员编制和核定副科级以上领导职数；审核乡镇调整人员编制总量，对县市招录和聘用乡镇人员实行总量控编审批。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9）负责实施自治州事业单位登记管理工作。研究拟定自治州事业单位登记管理办法；负责自治州本级登记管辖范围内的事业单位登记管理工作；依法保护自治州核准登记的事业单位有关登记事项的合法权益，依法处理自治州违反条例和细则的行为；指导县市事业单位登记管理机关的工作；负责自治州事业单位登记管理的电子化工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10）加强机构编制管理工作的监督检查，监督检查自治州各级行政管理体制改革、机构改革和机构编制的执行情况，报告自治州机构编制委员会并上报自治州党委、人民政府；查处违反机构编制法规和规定的行为。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11）负责自治州行政管理体制改革、机构改革和机构编制管理的理论研究和信息收集工作；负责自治州机构编制的统计汇总、上报和全州机构编制管理干部的培训工作；配合自治州财政局做好全州财政统一发放工资的有关工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12）负责联系、协调双重领导、以条管理为主单位的有关机构编制事宜。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13）完成自治州党委、自治州人民政府和自治州机构编制委员会交办的其他工作。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中共昌吉回族自治州委员会机构编制委员会办公室无下属预算单位，下设五个科室，分别是：综合科（组织人事科）、行政科、事业科、监督检查科、事业单位登记管理科、昌吉回族自治州机构编制服务中心(副县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本项目预算安排总额为37.00万元，资金来源为州本级财政拨款，其中：财政资金37.00万元，其他资0.00万元，2023年实际收到预算资金37.00万元，预算资金到位率为100.00%。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10.20万元，预算执行率27.57%，结余资金财政收回。本项目资金主要用于支付机构编制业务信息化建设、网上办公成本4.80万元、机构编制业务工作经费0.92万元、事业单位法人网上登记成本4.48万元。</w:t>
      </w:r>
    </w:p>
    <w:p w14:paraId="68CD4680">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（二）项目绩效目标</w:t>
      </w:r>
    </w:p>
    <w:p w14:paraId="18992381">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该项目计划完成事业单位法人网上年检不少于168个，机构编制信息网络维护不少于2次，实名制季报不少于4次、年报数据统计汇总不少于1次，计划通过该项目实施，对机关办公提供支撑，工作开展得到保障，提升机构编制管理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“事业单位法人登记网上年检个数”指标，预期指标值为“大于等于168个”；</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“机构编制信息网络维护次数”指标，预期指标值为“大于等于2次”；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“实名制季报、年报数据统计汇总分析次数”指标，预期指标值为“大于等于4次”。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“印发州本级事业单位改革实施方案“指标，预期指标值为“等于35个”；</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“事业单位法人登记网上年检合格率”指标，预期指标值为“大于等于100%”；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“机构编制信息网络维护合格率”指标，预期指标值为“大于等于100%”；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“印发州本级事业单位改革实施方案完成率“指标，预期指标值“大于等于100%”；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③时效指标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“信息系统维护及时率”指标，预期指标值为“大于等于95%”；</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“机构编制业务工作经费”指标，预期指标值为“小于等于27万元”；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“事业单位法人网上登记成本”指标，预期指标值为“小于等于5万元”；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“机构编制业务信息化建设、网上办公成本”指标，预期指标值为“小于等于5万元”。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“对机关办公提供支撑”指标，预期指标值为“保障”；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“优化资源配置，提升运行效率”指标，预期指标值为“提升”；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“机关事业单位满意度”指标，预期指标值为“大于等于90%”。</w:t>
      </w:r>
    </w:p>
    <w:p w14:paraId="0BEA1B4B">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448DBEE4">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1A0182FF">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（一）绩效评价的目的、对象和范围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强化部门和资金使用单位的绩效意识，全面了解该项目预算编制合理性、资金使用合规性、项目管理规范性、绩效目标实现情况以及服务对象的满意度等，及时总结经验和教训，为下年度部门项目支出预算安排、完善政策和改进管理提供可行性参考建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机构编制业务工作经费项目，评价核心为项目资金、项目产出、项目效益，主要围绕项目资金使用情况、财务管理状况和资产配置、使用、处置及其收益管理情况；项目管理相关制度及措施是否被认真执行；绩效目标的实现程度，包括是否达到预定产出和效果等方面开展综合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(5)《中国共产党机构编制工作条例》。</w:t>
      </w:r>
    </w:p>
    <w:p w14:paraId="5B377381">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71388315">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（二）绩效评价原则、评价指标体系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71B5F111">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（三）绩效评价工作过程</w:t>
      </w:r>
    </w:p>
    <w:p w14:paraId="51B91C56">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（三）绩效评价工作过程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1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程光平（评价小组组长）：主要负责项目策划和监督，全面负责项目绩效评价办稿的最终质量，对评估人员出具的最终报告质量进行复核，确保评估结果的客观性；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王颖（评价小组组员）：主要负责资料的收集，取证、数据统计分析；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朱钧豪（评价小组组员）：主要负责主要负责项目报告的制定，指标的研判，数据分析及报告撰写。</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2024年3月2日-3月20日，评价工作进入实施阶段。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质量管理等相关资料，完成绩效评价内容所需的印证资料整理，所有数据经核查后统计汇总。</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经调研了解，该项目主要受益群体包括机关事业单位。我们根据绩效评价目标和绩效指标体系，设计满意度调查问卷进行问卷调查，其中机关事业单位受益对象共选取样本10人，共发放问卷10份，最终收回10份。</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2024年3月21日-4月10日，评价小组按照绩效评价的原则和规范，对取得的资料进行审查核实，对采集的数据进行分析，按照绩效评价指标评分表逐项进行打分、分析、汇总各方评价结果。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2024年4月10日-4月30日，评价小组撰写绩效评价报告，按照新疆维吾尔自治区财政绩效管理信息系统绩效评价模块中统一格式和文本框架撰写绩效评价报告并提交审核。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40FD586E">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72575DA2">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三、综合评价情况及评价结论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通过机关编制业务经费项目的实施，对机关办公提供支撑，工作开展得到保障，提升机构编制管理水平，该项目预算执行率达27.57%，项目预期绩效目标及各项具体指标均已全部达成。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（二）综合评价结论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三、综合评价情况及评价结论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部分达成年初设立的绩效目标，在实施过程中取得了良好的成效，具体表现在：通过项目的实施，完成了完成事业单位法人网上年检168个，机构编制信息网络维护2次，实名制季报4次、年报数据统计汇总1次，发挥了对机关办公提供支撑，优化资源配置，提升运行效率效益。但在实施过程中也存在一些不足：该项目预算执行率27.57%，预算执行率较低。</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25个，实现三级指标数量21个，总体完成率为93.32%。最终评分结果：总分为92.20分，绩效评级为“优”。综合评价结论如下：</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过程管理类指标共设置5个，满分指标4个，得分率80.94%；</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项目产出类指标共设置11个，满分指标8个，得分率86.07%；</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项目效益类指标共设置3个，满分指标3个，得分率100%。</w:t>
      </w:r>
    </w:p>
    <w:p w14:paraId="79AD02CC">
      <w:pPr>
        <w:spacing w:line="540" w:lineRule="exact"/>
        <w:ind w:firstLine="640"/>
        <w:rPr>
          <w:rStyle w:val="18"/>
          <w:rFonts w:hint="eastAsia"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1722D364">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10B0A302">
      <w:pPr>
        <w:tabs>
          <w:tab w:val="center" w:pos="4295"/>
        </w:tabs>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（一）项目决策情况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项目决策类指标由3个二级指标和6个三级指标构成，权重分21.00分，实际得分19.00分。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中国共产党机构编制工作条例》中：“以推进党和国家机构职能优化协同高效为着力点，完善机构设置，优化职能配置，提高效率效能”内容，符合行业发展规划和政策要求；本项目立项符合《中共昌吉回族自治州委员会机构编制委员会办公室配置内设机构和人员编制规定》中职责范围中的“贯彻执行党和国家以及自治区关于行政管理体制改革、机构改革和机构编制管理的方针、政策和法规，研究拟定自治州行政管理体制改革、机构改革和机构编制管理的规定和办法，并组织实施”，属于我单位履职所需；根据《财政资金直接支付申请书》，本项目资金性质为“公共财政预算”功能分类为“一般公共服务支出”经济分类为“商品和服务支出”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项目支出绩效评价管理办法》（财预〔2020〕10号）《自治区财政支出绩效评价管理暂行办法》（新财预〔2018〕189号）文件要求实施项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印发州本级事业单位改革实施方案35个，完成事业单位改革试点任务。事业单位法人登记网上年检168个，机构编制信息网络维护次数2次。”；本项目实际工作内容为：印发州本级事业单位改革实施方案35个，完成事业单位改革试点任务。事业单位法人登记网上年检84个，机构编制信息网络维护次数1次,实名制季报汇总分析次数1次；绩效目标与实际工作内容一致，两者具有相关性;本项目按照绩效目标完成了数量指标、质量指标、时效指标、成本指标，有效保障了对机关办公提供支撑，优化资源配置，提升运行效率，年度绩效目标完成，预期产出效益和效果符合正常的业绩水平。</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4个，二级指标6个，三级指标14个，定量指标12个，定性指标2个，指标量化率为85.71%，量化率达70.00%以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本项目预算编制通过往年费用支出情况估算得出，即预算编制较科学且经过论证；</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预算申请内容为机关编制业务经费项目，项目实际内容为机关编制业务经费项目，预算申请与涉及的项目内容匹配；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37.00万元，我单位在预算申请中严格按照单位标准和数量进行核算，其中：单位标准为机构编制业务工作经费，数量为27.00万；事业单位法人网上登记成本，数量为5.00万；机构编制业务信息化建设、网上办公成本，数量为5.00万。本项目预算额度测算依据充分，严格按照标准编制，预算确定资金量与实际工作任务相匹配；</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关于申请机关编制业务经费项目项目资金的请示》为依据进行资金分配，预算资金分配依据充分。根据《关于批复昌吉州本级2023年部门预算的通知》文件显示，本项目实际到位资金37.00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12CF26EF">
      <w:pPr>
        <w:spacing w:line="540" w:lineRule="exact"/>
        <w:ind w:firstLine="567" w:firstLineChars="181"/>
        <w:rPr>
          <w:rStyle w:val="18"/>
          <w:rFonts w:hint="eastAsia"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571CE023">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（二）项目过程情况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项目过程管理类指标由2个二级指标和5个三级指标构成，权重分19.00分，实际得分15.40分。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本项目预算资金为37.00万元，其中：本级财政安排资金37.00万元，其他资金0.00万元，实际到位资金37.00万元，资金到位率100.00%。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本项目实际支出资金10.20万元，预算执行率27.57%。</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综上所述，本指标满分为5.00分，根据评分标准得1.38分，本项目资金分配合理。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州党委编办财务工作管理制度》《昌吉州党委编办财务支出管理制度》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综上所述，本指标满分为4.00分，根据评分标准得4.00分，资金支出符合我单位财务管理制度规定。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州党委编办财务工作管理制度》《昌吉州党委编办财务支出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综上所述，本指标满分为2.00分，根据评分标准得2.00分，项目制度建设健全。</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机关编制业务经费项目项目工作领导小组，由副主任王东升任组长，负责项目的组织工作；黄岩霞任副组长，负责项目的实施工作；组员包括：石生军和薛贵生，主要负责项目监督管理、验收以及资金核拨等工作。</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综上所述，本指标满分为4.00分，根据评分标准得4.00分，本项目所建立制度执行有效。</w:t>
      </w:r>
    </w:p>
    <w:p w14:paraId="19E16553">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72214871">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（三）项目产出情况</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项目产出类指标由4个二级指标和11个三级指标构成，权重分30.00分，实际得分25.82分。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（1）“事业单位法人登记网上年检个数”指标，预期指标值为“&gt;=168个”，实际完成指标值为“168个”，指标完成率为100.0%。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综上所述，本指标满分为2.5分，根据评分标准得2.5分。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（2）“机构编制信息网络维护次数”指标，预期指标值为“&gt;=2次”，实际完成指标值为“2次”，指标完成率为100.0%。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综上所述，本指标满分为2.5分，根据评分标准得2.5分。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（3）“实名制季报、年报数据统计汇总分析次数”指标，预期指标值为“&gt;=4次”，实际完成指标值为“4次”，指标完成率为100.0%。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综上所述，本指标满分为3分，根据评分标准得3分。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（4）“印发州本级事业单位改革实施方案”指标，预期指标值为“&gt;=35个”，实际完成指标值为“35个”，指标完成率为100.0%。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综上所述，本指标满分为3分，根据评分标准得3分。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（1）“事业单位法人登记网上年检合格率”指标：预期指标值为“&gt;=100%”，实际完成指标值为“100%”，指标完成率为100.00%。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 “机构编制信息网络维护合格率”指标：预期指标值为“&gt;=100%”，实际完成指标值为“100%”，指标完成率为100.00%。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（3）“印发州本级事业单位改革实施方案完成率”指标：预期指标值为“&gt;=100%”，实际完成指标值为“100%”，指标完成率为100.00%。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（1）“信息系统维护及时率”指标：预期指标值为“&gt;=95%”，实际完成指标值为“95%”，指标完成率为100.00%。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机构编制业务工作经费”指标：预期指标值为“&lt;=27万元”，实际完成指标值为“0.92万”，指标完成率为3.41%，偏差率为96.59%，偏差原因主要为：1.加强对预算的监督管理，提高资金使用率。2.严格按预算控制资金支出，减少不必要的开支，节约项目资金。</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综上所述，本指标满分为3.00分，根据评分标准得0.00分。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事业单位法人网上登记成本”指标：预期指标值为“&lt;=5万元”，实际完成指标值为“4.48万”，指标完成率为90.00%，偏差率为10%，偏差原因主要为：1.加强对预算的监督管理，提高资金使用率。2.严格按预算控制资金支出，减少不必要的开支，节约项目资金。</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综上所述，本指标满分为3.00分，根据评分标准得2.22分。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 “机构编制业务信息化建设、网上办公成本”指标：预期指标值为“&lt;=5万元”，实际完成指标值为“4.8万”，指标完成率为96%，偏差率为4%，偏差原因主要为：1.加强对预算的监督管理，提高资金使用率。2.严格按预算控制资金支出，减少不必要的开支，节约项目资金。</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综上所述，本指标满分为4.00分，根据评分标准得3.60分。</w:t>
      </w:r>
    </w:p>
    <w:p w14:paraId="52BBAEFF">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48434DEE">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（1）“对机关办公提供支撑”指标：预期指标值为“保障”，实际完成指标值为“保障”，指标完成率为100.00%。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（2）“优化资源配置，提升运行效率”指标：预期指标值为“提升”，实际完成指标值为“提升”，指标完成率为100.00%。</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综上所述，本指标满分为10.00分，根据评分标准得10.00分。4.满意度完成情况分析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（1）“机关事业单位满意度”指标：预期指标值为“&gt;=90%”，实际完成指标值为“100%”，指标完成率为111.11%。</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综上所述，本指标满分为10.00分，根据评分标准得10.00分。</w:t>
      </w:r>
    </w:p>
    <w:p w14:paraId="23831136">
      <w:pPr>
        <w:spacing w:line="540" w:lineRule="exact"/>
        <w:ind w:firstLine="567"/>
        <w:rPr>
          <w:rStyle w:val="18"/>
          <w:rFonts w:hint="eastAsia" w:ascii="楷体" w:hAnsi="楷体" w:eastAsia="楷体"/>
          <w:spacing w:val="-4"/>
          <w:sz w:val="32"/>
          <w:szCs w:val="32"/>
        </w:rPr>
      </w:pPr>
    </w:p>
    <w:p w14:paraId="479B8BE5">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预算执行进度与绩效指标偏差</w:t>
      </w:r>
    </w:p>
    <w:p w14:paraId="6E363F05">
      <w:pPr>
        <w:spacing w:line="540" w:lineRule="exact"/>
        <w:ind w:firstLine="567"/>
        <w:rPr>
          <w:rStyle w:val="18"/>
          <w:rFonts w:hint="eastAsia" w:ascii="黑体" w:hAnsi="黑体" w:eastAsia="黑体"/>
          <w:b w:val="0"/>
          <w:spacing w:val="-4"/>
          <w:sz w:val="32"/>
          <w:szCs w:val="32"/>
        </w:rPr>
      </w:pPr>
      <w:r>
        <w:rPr>
          <w:rStyle w:val="18"/>
          <w:rFonts w:hint="eastAsia" w:ascii="楷体" w:hAnsi="楷体" w:eastAsia="楷体"/>
          <w:b w:val="0"/>
          <w:bCs w:val="0"/>
          <w:spacing w:val="-4"/>
          <w:sz w:val="32"/>
          <w:szCs w:val="32"/>
        </w:rPr>
        <w:t>本项目年初预算资金总额为37.00万元，全年预算数为37.00万元，全年执行数为10.20万元，预算执行率为27.57%。</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本项目共设置三级指标数量25个，满分指标数量21个，扣分指标数量4个，经分析计算所有三级指标完成率得出，本项目总体完成率为93.32%。</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综上所述本项目预算执行进度与总体完成进度之间的偏差为65.75%。主要偏差原因是：1.加强对预算的监督管理，提高资金使用率。2.严格按预算控制资金支出，减少不必要的开支，节约项目资金。</w:t>
      </w:r>
    </w:p>
    <w:p w14:paraId="056C5A40">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5708DA6D">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六、主要经验及做法、存在的问题及原因分析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1.聚焦重点任务，推动项目工作落地落实</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有效推进项目工作开展，提高财政资金使用效益，项目领导小组进一步强化项目意识，严格实行“三专”管理，即设专户、建专帐、定专人，明确责任和时间节点，一项一项抓好具体落实，确保了项目按时保质完成，保障了项目效益发挥。</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有效推进项目工作开展，提高财政资金使用效益，项目领导小组进一步强化项目意识，对照计划全面梳理重点任务，仔细谋划、紧抓落实，理顺内部分工和工作流程，明确责任和时间节点，一项一项抓好具体落实，确保了项目按时保质完成，保障了项目效益发挥。</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2.坚持问题导向，加强执行监控，提高资金效益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全面参与专项资金事前、事中和事后全过程的监管，把专项资金的执行、拨付、管理作为监督的重点；在监督环节上，实行关口前移，从事后监督管理转向事前审核，事中监督和事后检查稽核相结合的监督制度上来，形成多环节全过程的监督管理格局，尽量早发现问题，早解决问题，提高专项资金使用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紧抓预算执行动态监控，提高资金使用效益。坚持以问题为导向，对资金执行进度及绩效目标实现程度开展审核，对绩效监控中发现的问题及时整改，强化资金使用过程管理，有效了降低资金偏离政策目标的风险，提高了资金使用效益。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3.强化绩效目标刚性约束，及时对项目进行跟踪问效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加强绩效目标的刚性约束，及时对项目实施进度与资金支付进度进行全程跟踪问效，发现问题及时解决，对于重大问题实行集体讨论，确保项目按计划进行，项目资金支付安排高效、合理，杜绝截留、挤占或挪用项目资金的情况发生。</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一是领导重视到位：高度重视，主要领导亲自抓，并予以充分的人力、财力保障。责任落实到位：将各项目工作列入年度干部绩效考核实施方案，将各项目工作落实到具体科室、具体岗位、具体个人。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二是合理合规使用经费。根据项目业务流程，参考历年经费使用情况，认真测算各阶段所需经费，确保当前项目实施经费充足。在经费使用方面，严格执行经费使用管理制度，厉行节约，专款专用，对每笔经费使用情况建立监督机制，确保经费使用合理合规。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三是健全项目管理制度。我单位已有保证项目实施的制度、措施等，如《中华人民共和国预算法》、《昌吉州党委编办财务工作管理制度》《昌吉州党委编办财务支出管理制度》等。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（二）存在问题及原因分析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1.绩效预算认识不够充分，绩效理念有待进一步强化</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2.绩效档案归档工作有待提高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未发挥其综合价值。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3.项目支出绩效评价存在局限，客观性有待加强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项目支出绩效评价工作还存在自我审定的局限性，项目支出绩效工作有较大弹性，评价报告多局限于描述项目实施情况，对问题避重就轻，对项目的打分松紧不一，会影响评价质量，在客观性和公正性上说服力不强。六、主要经验及做法、存在的问题及原因分析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（一）主要经验及做法</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1.聚焦重点任务，推动项目工作落地落实</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有效推进项目工作开展，提高财政资金使用效益，项目领导小组进一步强化项目意识，严格实行“三专”管理，即设专户、建专帐、定专人，明确责任和时间节点，一项一项抓好具体落实，确保了项目按时保质完成，保障了项目效益发挥。</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为有效推进项目工作开展，提高财政资金使用效益，项目领导小组进一步强化项目意识，对照计划全面梳理重点任务，仔细谋划、紧抓落实，理顺内部分工和工作流程，明确责任和时间节点，一项一项抓好具体落实，确保了项目按时保质完成，保障了项目效益发挥。</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2.坚持问题导向，加强执行监控，提高资金效益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全面参与专项资金事前、事中和事后全过程的监管，把专项资金的执行、拨付、管理作为监督的重点；在监督环节上，实行关口前移，从事后监督管理转向事前审核，事中监督和事后检查稽核相结合的监督制度上来，形成多环节全过程的监督管理格局，尽量早发现问题，早解决问题，提高专项资金使用效益。</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紧抓预算执行动态监控，提高资金使用效益。坚持以问题为导向，对资金执行进度及绩效目标实现程度开展审核，对绩效监控中发现的问题及时整改，强化资金使用过程管理，有效了降低资金偏离政策目标的风险，提高了资金使用效益。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3.强化绩效目标刚性约束，及时对项目进行跟踪问效</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加强绩效目标的刚性约束，及时对项目实施进度与资金支付进度进行全程跟踪问效，发现问题及时解决，对于重大问题实行集体讨论，确保项目按计划进行，项目资金支付安排高效、合理，杜绝截留、挤占或挪用项目资金的情况发生。</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一是领导重视到位：高度重视，主要领导亲自抓，并予以充分的人力、财力保障。责任落实到位：将各项目工作列入年度干部绩效考核实施方案，将各项目工作落实到具体科室、具体岗位、具体个人。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二是合理合规使用经费。根据项目业务流程，参考历年经费使用情况，认真测算各阶段所需经费，确保当前项目实施经费充足。在经费使用方面，严格执行经费使用管理制度，厉行节约，专款专用，对每笔经费使用情况建立监督机制，确保经费使用合理合规。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三是健全项目管理制度。我单位已有保证项目实施的制度、措施等，如《中华人民共和国预算法》、《昌吉州党委编办财务工作管理制度》《昌吉州党委编办财务支出管理制度》等。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（二）存在的问题及原因分析</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1.绩效预算认识不够充分，绩效理念有待进一步强化</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2.绩效档案归档工作有待提高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理与实际业务存在一定偏差，未发挥其综合价值。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3.项目支出绩效评价存在局限，客观性有待加强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项目支出绩效评价工作还存在自我审定的局限性，项目支出绩效工作有较大弹性，评价报告多局限于描述项目实施情况，对问题避重就轻，对项目的打分松紧不一，会影响评价质量，在客观性和公正性上说服力不强。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4.预算执行率为27.57%，预算执行率低。原因分析：加强对预算的监督管理，提高资金使用率；严格按预算控制资金支出，减少不必要的开支，节约项目资金。</w:t>
      </w:r>
    </w:p>
    <w:p w14:paraId="58FF0B1F">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七、有关建议</w:t>
      </w:r>
    </w:p>
    <w:p w14:paraId="58BDDD60">
      <w:pPr>
        <w:spacing w:line="540" w:lineRule="exact"/>
        <w:ind w:firstLine="567"/>
        <w:rPr>
          <w:rStyle w:val="18"/>
          <w:rFonts w:hint="eastAsia" w:ascii="楷体" w:hAnsi="楷体" w:eastAsia="楷体"/>
          <w:spacing w:val="-4"/>
          <w:sz w:val="32"/>
          <w:szCs w:val="32"/>
        </w:rPr>
      </w:pPr>
      <w:r>
        <w:rPr>
          <w:rStyle w:val="18"/>
          <w:rFonts w:hint="eastAsia" w:ascii="楷体" w:hAnsi="楷体" w:eastAsia="楷体"/>
          <w:b w:val="0"/>
          <w:bCs w:val="0"/>
          <w:spacing w:val="-4"/>
          <w:sz w:val="32"/>
          <w:szCs w:val="32"/>
        </w:rPr>
        <w:t>七、有关建议</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1.加强培训，提高相关人员工作水平。采取多种培训形式对单位财务人员、业务科室人员进行集中培训，进一步树牢绩效观念，提高本单位工作人员的绩效管理能力和工作水平，为预算绩效管理相关工作的顺利开展提供保障。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2.扎实推进档案规范化建设，提升档案管理水平。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一是进一步完善项目评价资料。项目启动时同步做好档案的归纳与整理，及时整理、收集、汇总，健全档案资料。二是严格落实自治区关于绩效管理工作档案资料归档的相关要求，强化收集力度，确保归档资料的完整齐全。 </w:t>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   3.高度重视，加强领导，精心组织。项目绩效领导小组对绩效评价工作进行指导、监督、检查，确保项目绩效评价反映项目完成真实情况。严格执行项目绩效评价工作要求，切实提高项目绩效报告的客观性和公正性。</w:t>
      </w:r>
    </w:p>
    <w:p w14:paraId="0D6894E7">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八、其他需要说明的问题</w:t>
      </w:r>
    </w:p>
    <w:p w14:paraId="4354A569">
      <w:pPr>
        <w:spacing w:line="540" w:lineRule="exact"/>
        <w:ind w:firstLine="567"/>
        <w:rPr>
          <w:rStyle w:val="18"/>
          <w:rFonts w:hint="eastAsia" w:ascii="楷体" w:hAnsi="楷体" w:eastAsia="楷体"/>
          <w:b w:val="0"/>
          <w:bCs w:val="0"/>
          <w:spacing w:val="-4"/>
          <w:sz w:val="32"/>
          <w:szCs w:val="32"/>
        </w:rPr>
      </w:pPr>
      <w:r>
        <w:rPr>
          <w:rStyle w:val="18"/>
          <w:rFonts w:hint="eastAsia" w:ascii="楷体" w:hAnsi="楷体" w:eastAsia="楷体"/>
          <w:b w:val="0"/>
          <w:bCs w:val="0"/>
          <w:spacing w:val="-4"/>
          <w:sz w:val="32"/>
          <w:szCs w:val="32"/>
        </w:rPr>
        <w:t>本单位对上述项目支出绩效评价报告内反映内容的真实性、完整性负责，并接受上级部门及社会公众监督。</w:t>
      </w:r>
    </w:p>
    <w:p w14:paraId="7EAC4DBE">
      <w:pPr>
        <w:spacing w:line="540" w:lineRule="exact"/>
        <w:ind w:firstLine="567"/>
        <w:rPr>
          <w:rStyle w:val="18"/>
          <w:rFonts w:hint="eastAsia" w:ascii="仿宋" w:hAnsi="仿宋" w:eastAsia="仿宋"/>
          <w:b w:val="0"/>
          <w:spacing w:val="-4"/>
          <w:sz w:val="32"/>
          <w:szCs w:val="32"/>
        </w:rPr>
      </w:pPr>
    </w:p>
    <w:p w14:paraId="3798EB85">
      <w:pPr>
        <w:spacing w:line="540" w:lineRule="exact"/>
        <w:ind w:firstLine="567"/>
        <w:rPr>
          <w:rStyle w:val="18"/>
          <w:rFonts w:hint="eastAsia" w:ascii="仿宋" w:hAnsi="仿宋" w:eastAsia="仿宋"/>
          <w:b w:val="0"/>
          <w:spacing w:val="-4"/>
          <w:sz w:val="32"/>
          <w:szCs w:val="32"/>
        </w:rPr>
      </w:pPr>
    </w:p>
    <w:p w14:paraId="179C3B57">
      <w:pPr>
        <w:spacing w:line="540" w:lineRule="exact"/>
        <w:ind w:firstLine="567"/>
        <w:rPr>
          <w:rStyle w:val="18"/>
          <w:rFonts w:hint="eastAsia" w:ascii="仿宋" w:hAnsi="仿宋" w:eastAsia="仿宋"/>
          <w:b w:val="0"/>
          <w:spacing w:val="-4"/>
          <w:sz w:val="32"/>
          <w:szCs w:val="32"/>
        </w:rPr>
      </w:pPr>
    </w:p>
    <w:p w14:paraId="64B43B4E">
      <w:pPr>
        <w:spacing w:line="540" w:lineRule="exact"/>
        <w:ind w:firstLine="567"/>
        <w:rPr>
          <w:rStyle w:val="18"/>
          <w:rFonts w:hint="eastAsia" w:ascii="仿宋" w:hAnsi="仿宋" w:eastAsia="仿宋"/>
          <w:b w:val="0"/>
          <w:spacing w:val="-4"/>
          <w:sz w:val="32"/>
          <w:szCs w:val="32"/>
        </w:rPr>
      </w:pPr>
    </w:p>
    <w:p w14:paraId="265044B6">
      <w:pPr>
        <w:spacing w:line="540" w:lineRule="exact"/>
        <w:ind w:firstLine="567"/>
        <w:rPr>
          <w:rStyle w:val="18"/>
          <w:rFonts w:hint="eastAsia"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30F731E1">
        <w:pPr>
          <w:pStyle w:val="12"/>
          <w:jc w:val="center"/>
        </w:pPr>
        <w:r>
          <w:fldChar w:fldCharType="begin"/>
        </w:r>
        <w:r>
          <w:instrText xml:space="preserve">PAGE   \* MERGEFORMAT</w:instrText>
        </w:r>
        <w:r>
          <w:fldChar w:fldCharType="separate"/>
        </w:r>
        <w:r>
          <w:rPr>
            <w:lang w:val="zh-CN"/>
          </w:rPr>
          <w:t>2</w:t>
        </w:r>
        <w:r>
          <w:fldChar w:fldCharType="end"/>
        </w:r>
      </w:p>
    </w:sdtContent>
  </w:sdt>
  <w:p w14:paraId="159D921B">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320862"/>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0436F"/>
    <w:rsid w:val="00B13C5A"/>
    <w:rsid w:val="00B40063"/>
    <w:rsid w:val="00B41F61"/>
    <w:rsid w:val="00BA46E6"/>
    <w:rsid w:val="00C56C72"/>
    <w:rsid w:val="00CA6457"/>
    <w:rsid w:val="00CE2FD9"/>
    <w:rsid w:val="00D17F2E"/>
    <w:rsid w:val="00D30354"/>
    <w:rsid w:val="00DE4CA5"/>
    <w:rsid w:val="00DF42A0"/>
    <w:rsid w:val="00E30E91"/>
    <w:rsid w:val="00E769FE"/>
    <w:rsid w:val="00EA2CBE"/>
    <w:rsid w:val="00F32FEE"/>
    <w:rsid w:val="00FB10BB"/>
    <w:rsid w:val="0856517C"/>
    <w:rsid w:val="0BFB189F"/>
    <w:rsid w:val="11BD75F7"/>
    <w:rsid w:val="13BE561A"/>
    <w:rsid w:val="15392994"/>
    <w:rsid w:val="18FE139B"/>
    <w:rsid w:val="29905911"/>
    <w:rsid w:val="3029612C"/>
    <w:rsid w:val="32A221C5"/>
    <w:rsid w:val="33F20F2A"/>
    <w:rsid w:val="34C44675"/>
    <w:rsid w:val="3B5B5607"/>
    <w:rsid w:val="3CE21B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semiHidden/>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uiPriority w:val="10"/>
    <w:rPr>
      <w:rFonts w:asciiTheme="majorHAnsi" w:hAnsiTheme="majorHAnsi" w:eastAsiaTheme="majorEastAsia"/>
      <w:b/>
      <w:bCs/>
      <w:kern w:val="28"/>
      <w:sz w:val="32"/>
      <w:szCs w:val="32"/>
    </w:rPr>
  </w:style>
  <w:style w:type="character" w:customStyle="1" w:styleId="30">
    <w:name w:val="副标题 字符"/>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字符"/>
    <w:basedOn w:val="17"/>
    <w:link w:val="13"/>
    <w:uiPriority w:val="99"/>
    <w:rPr>
      <w:rFonts w:ascii="Calibri" w:hAnsi="Calibri" w:eastAsia="宋体"/>
      <w:kern w:val="2"/>
      <w:sz w:val="18"/>
      <w:szCs w:val="18"/>
    </w:rPr>
  </w:style>
  <w:style w:type="character" w:customStyle="1" w:styleId="44">
    <w:name w:val="页脚 字符"/>
    <w:basedOn w:val="17"/>
    <w:link w:val="12"/>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28</Pages>
  <Words>9086</Words>
  <Characters>9515</Characters>
  <Lines>106</Lines>
  <Paragraphs>30</Paragraphs>
  <TotalTime>3</TotalTime>
  <ScaleCrop>false</ScaleCrop>
  <LinksUpToDate>false</LinksUpToDate>
  <CharactersWithSpaces>9606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2025-05-27T04:14:24Z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