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61581">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6A902686">
      <w:pPr>
        <w:spacing w:line="540" w:lineRule="exact"/>
        <w:jc w:val="center"/>
        <w:rPr>
          <w:rFonts w:hint="eastAsia" w:ascii="华文中宋" w:hAnsi="华文中宋" w:eastAsia="华文中宋" w:cs="宋体"/>
          <w:b/>
          <w:kern w:val="0"/>
          <w:sz w:val="52"/>
          <w:szCs w:val="52"/>
        </w:rPr>
      </w:pPr>
    </w:p>
    <w:p w14:paraId="0600CD72">
      <w:pPr>
        <w:spacing w:line="540" w:lineRule="exact"/>
        <w:jc w:val="center"/>
        <w:rPr>
          <w:rFonts w:hint="eastAsia" w:ascii="华文中宋" w:hAnsi="华文中宋" w:eastAsia="华文中宋" w:cs="宋体"/>
          <w:b/>
          <w:kern w:val="0"/>
          <w:sz w:val="52"/>
          <w:szCs w:val="52"/>
        </w:rPr>
      </w:pPr>
    </w:p>
    <w:p w14:paraId="4078CB7A">
      <w:pPr>
        <w:spacing w:line="540" w:lineRule="exact"/>
        <w:jc w:val="center"/>
        <w:rPr>
          <w:rFonts w:hint="eastAsia" w:ascii="华文中宋" w:hAnsi="华文中宋" w:eastAsia="华文中宋" w:cs="宋体"/>
          <w:b/>
          <w:kern w:val="0"/>
          <w:sz w:val="52"/>
          <w:szCs w:val="52"/>
        </w:rPr>
      </w:pPr>
    </w:p>
    <w:p w14:paraId="57D940DF">
      <w:pPr>
        <w:spacing w:line="540" w:lineRule="exact"/>
        <w:jc w:val="center"/>
        <w:rPr>
          <w:rFonts w:hint="eastAsia" w:ascii="华文中宋" w:hAnsi="华文中宋" w:eastAsia="华文中宋" w:cs="宋体"/>
          <w:b/>
          <w:kern w:val="0"/>
          <w:sz w:val="52"/>
          <w:szCs w:val="52"/>
        </w:rPr>
      </w:pPr>
    </w:p>
    <w:p w14:paraId="4DAD5A94">
      <w:pPr>
        <w:spacing w:line="540" w:lineRule="exact"/>
        <w:jc w:val="center"/>
        <w:rPr>
          <w:rFonts w:hint="eastAsia" w:ascii="华文中宋" w:hAnsi="华文中宋" w:eastAsia="华文中宋" w:cs="宋体"/>
          <w:b/>
          <w:kern w:val="0"/>
          <w:sz w:val="52"/>
          <w:szCs w:val="52"/>
        </w:rPr>
      </w:pPr>
    </w:p>
    <w:p w14:paraId="3D888443">
      <w:pPr>
        <w:spacing w:line="540" w:lineRule="exact"/>
        <w:jc w:val="center"/>
        <w:rPr>
          <w:rFonts w:hint="eastAsia" w:ascii="华文中宋" w:hAnsi="华文中宋" w:eastAsia="华文中宋" w:cs="宋体"/>
          <w:b/>
          <w:kern w:val="0"/>
          <w:sz w:val="52"/>
          <w:szCs w:val="52"/>
        </w:rPr>
      </w:pPr>
    </w:p>
    <w:p w14:paraId="7038B181">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16CF0020">
      <w:pPr>
        <w:spacing w:line="540" w:lineRule="exact"/>
        <w:jc w:val="center"/>
        <w:rPr>
          <w:rFonts w:hint="eastAsia" w:ascii="华文中宋" w:hAnsi="华文中宋" w:eastAsia="华文中宋" w:cs="宋体"/>
          <w:b/>
          <w:kern w:val="0"/>
          <w:sz w:val="52"/>
          <w:szCs w:val="52"/>
        </w:rPr>
      </w:pPr>
    </w:p>
    <w:p w14:paraId="5A5CB914">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0E97DB5F">
      <w:pPr>
        <w:spacing w:line="540" w:lineRule="exact"/>
        <w:jc w:val="center"/>
        <w:rPr>
          <w:rFonts w:hint="eastAsia" w:hAnsi="宋体" w:eastAsia="仿宋_GB2312" w:cs="宋体"/>
          <w:kern w:val="0"/>
          <w:sz w:val="30"/>
          <w:szCs w:val="30"/>
        </w:rPr>
      </w:pPr>
    </w:p>
    <w:p w14:paraId="24FB833D">
      <w:pPr>
        <w:spacing w:line="540" w:lineRule="exact"/>
        <w:jc w:val="center"/>
        <w:rPr>
          <w:rFonts w:hint="eastAsia" w:hAnsi="宋体" w:eastAsia="仿宋_GB2312" w:cs="宋体"/>
          <w:kern w:val="0"/>
          <w:sz w:val="30"/>
          <w:szCs w:val="30"/>
        </w:rPr>
      </w:pPr>
    </w:p>
    <w:p w14:paraId="148EED6D">
      <w:pPr>
        <w:spacing w:line="540" w:lineRule="exact"/>
        <w:jc w:val="center"/>
        <w:rPr>
          <w:rFonts w:hint="eastAsia" w:hAnsi="宋体" w:eastAsia="仿宋_GB2312" w:cs="宋体"/>
          <w:kern w:val="0"/>
          <w:sz w:val="30"/>
          <w:szCs w:val="30"/>
        </w:rPr>
      </w:pPr>
    </w:p>
    <w:p w14:paraId="65AAF5B9">
      <w:pPr>
        <w:spacing w:line="540" w:lineRule="exact"/>
        <w:jc w:val="center"/>
        <w:rPr>
          <w:rFonts w:hint="eastAsia" w:hAnsi="宋体" w:eastAsia="仿宋_GB2312" w:cs="宋体"/>
          <w:kern w:val="0"/>
          <w:sz w:val="30"/>
          <w:szCs w:val="30"/>
        </w:rPr>
      </w:pPr>
    </w:p>
    <w:p w14:paraId="3001E791">
      <w:pPr>
        <w:spacing w:line="540" w:lineRule="exact"/>
        <w:jc w:val="center"/>
        <w:rPr>
          <w:rFonts w:hint="eastAsia" w:hAnsi="宋体" w:eastAsia="仿宋_GB2312" w:cs="宋体"/>
          <w:kern w:val="0"/>
          <w:sz w:val="30"/>
          <w:szCs w:val="30"/>
        </w:rPr>
      </w:pPr>
    </w:p>
    <w:p w14:paraId="484C8CCE">
      <w:pPr>
        <w:spacing w:line="540" w:lineRule="exact"/>
        <w:jc w:val="center"/>
        <w:rPr>
          <w:rFonts w:hint="eastAsia" w:hAnsi="宋体" w:eastAsia="仿宋_GB2312" w:cs="宋体"/>
          <w:kern w:val="0"/>
          <w:sz w:val="30"/>
          <w:szCs w:val="30"/>
        </w:rPr>
      </w:pPr>
    </w:p>
    <w:p w14:paraId="032D9663">
      <w:pPr>
        <w:spacing w:line="540" w:lineRule="exact"/>
        <w:rPr>
          <w:rFonts w:hint="eastAsia" w:hAnsi="宋体" w:eastAsia="仿宋_GB2312" w:cs="宋体"/>
          <w:kern w:val="0"/>
          <w:sz w:val="30"/>
          <w:szCs w:val="30"/>
        </w:rPr>
      </w:pPr>
    </w:p>
    <w:p w14:paraId="38623166">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6BE9BA83">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人民陪审员经费</w:t>
      </w:r>
    </w:p>
    <w:p w14:paraId="41E66614">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新疆维吾尔自治区昌吉回族自治州中级人民法院</w:t>
      </w:r>
    </w:p>
    <w:p w14:paraId="0479C1CE">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新疆维吾尔自治区昌吉回族自治州中级人民法院</w:t>
      </w:r>
    </w:p>
    <w:p w14:paraId="259453AA">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高光华</w:t>
      </w:r>
    </w:p>
    <w:p w14:paraId="0959B9C5">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2024年04月12日</w:t>
      </w:r>
    </w:p>
    <w:p w14:paraId="7E87FE8C">
      <w:pPr>
        <w:spacing w:line="700" w:lineRule="exact"/>
        <w:ind w:firstLine="708" w:firstLineChars="236"/>
        <w:jc w:val="left"/>
        <w:rPr>
          <w:rFonts w:hint="eastAsia" w:hAnsi="宋体" w:eastAsia="仿宋_GB2312" w:cs="宋体"/>
          <w:kern w:val="0"/>
          <w:sz w:val="30"/>
          <w:szCs w:val="30"/>
        </w:rPr>
      </w:pPr>
    </w:p>
    <w:p w14:paraId="5DCD5BE7">
      <w:pPr>
        <w:spacing w:line="540" w:lineRule="exact"/>
        <w:rPr>
          <w:rStyle w:val="18"/>
          <w:rFonts w:hint="eastAsia" w:ascii="黑体" w:hAnsi="黑体" w:eastAsia="黑体"/>
          <w:b w:val="0"/>
          <w:spacing w:val="-4"/>
          <w:sz w:val="32"/>
          <w:szCs w:val="32"/>
        </w:rPr>
      </w:pPr>
    </w:p>
    <w:p w14:paraId="7556272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4863ED61">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7306909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印发&lt;自治区高级人民法院关于人民陪审员经费管理问题的意见&gt;的通知》（新高法[2013]47号）文件要求，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等工作。为进一步贯彻落实全国人民代表大会常务委员会《关于完善人民陪审员制度的决定》，切实做好人民陪审员经费的保障工作，根据财政部、最高人民法院《关于人民陪审员经费管理有关问题的通知》（财行【2005】72号）精神，自治区法院系统人民陪审员经费需保障人民陪审员费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（1）项目名称：人民陪审员经费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（2）项目主要内容：“人民陪审员业务经费”支出包括交通补助费、培训费、资料费、无固定收入人民陪审员的生活补助费、其他费用等，具体使用范围：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1、交通费补助，人民陪审员应参加审判活动，培训活动而支出的交通费用的补助，每人次案20-50元的标准予以补助，如果超过50元按实际产生的费用报销；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培训费，人民法院按规定组织人民陪审员岗前培训和任职期间审判业务专项培训活动，所开支的场地租用费，聘请教师讲课费，培训资料费以及人民陪审员在培训期间食宿费用（培训经费按在职干警同等标准列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3、资料费，为人民陪审员提供有关报刊、简报及最新法律书籍等开支的费用，人民陪审员的资料费每人每年按300到500元标准予以补助。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无固定收入人民陪审员生活补助费，对无固定收入的人民陪审员按其实际参加审判活动、培训活动的工作日，按照当地职工上年度平均货币工资水平计算给予的补助。按案件数量计算补助的，以不低于前一方式补助标准支付。原则上按每天100-200元的补助标准予以补助。有固定收入人民陪审员参加审判活动培训期间，所在法院可根据实际情况参照上述标准给予适当补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其他费用，对人民陪审员的表彰、奖励以及其他与人民陪审员履行职责有关的所必需的费用。人民陪审员因参加审判活动无法按时回家或回原单位就餐的，应当参照当地差旅费标准给予其误餐补助，因参加审判活动培训而支出的住宿费由所属法院参照法院干警差旅费标准予以报销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实施主体：昌吉回族自治州中级人民法院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为保障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正常审理，需保障自治州法院系统人民陪审员经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本项目于2023年1月开始实施，截止2023年12月已全部完成，通过本项目的实施，提高人民陪审员业务水平，保证公正审判，不断提高司法公信力，提高陪审员的履职能力和业务水平，保证审判质量。</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自学遵守宪法和法律；监督指导全州法院的执行工作；监督指导全州法院的司法警察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中级人民法院纳入2023年部门决算编制范围的有17个科室，分别是：办公室、政治部、立案一庭、立案二庭、刑事审判第一庭、刑事审判第二庭、民事审判第一庭、民事审判第二庭、民事审判第三庭、行政审判庭、审判监督庭、执行局、法律政策研究室、司法警察支队、信息技术处、纪检监察处、审判管理办公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昌吉州中级人民法院单位编制数162人，实有人数238    人，其中：在职150人，增加7人； 退休87人，增加6人；离休1 人，增加0人。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根据（昌州财行【2023】1号）文件，下达2023年人民陪审员经费项目资金，预算安排资金总额20.00万元，其中财政资金20.00万元、其他资金0.00万元，2023年实际收到预算资金20.00万元，预算资金到位率为100.00%。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18.34万元，预算执行率91.70%（预算执行率=（实际支出资金/到位金额）*100.00%）财政收回资金1.66万元，结转资金额度0.00万元，结余资金额度0.00万元。本项目资金主要用于支付人民陪审员业务费用13.34万元、全年培训费用5.00万元。</w:t>
      </w:r>
    </w:p>
    <w:p w14:paraId="3BD8B9E3">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78D250F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划于2023年培训参加人数不少于300人次；全年表彰县市数量7县（市）；全年培训场次不低于2场；人民陪审员培训合格率不低于95.00%；人民陪审员培训出勤率不低于95.00%；陪审员费用报销及时率100.00%。提高人民陪审员业务水平，保证公正审判，不断提高司法公信力。持续提高陪审员的履职能力和业务水平，保证审判质量。</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“培训参加人数”指标，预期指标值为“大于等于300人次”；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“全年表彰县市数量”指标，预期指标值为“7县市”；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“全年培训场次”指标，预期指标值为“大于等于2场”；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“购买图书批次”指标，预期指标值为“大于等于1批次”；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“人民陪审员培训合格率”指标，预期指标值为“大于等于95.00%”；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“人民陪审员培训出勤率”指标，预期指标值为“大于等于95.00%”；③时效指标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“陪审员费支付及时率”指标，预期指标值为“100.00%”；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“人民陪审员业务经费　”指标，预期指标值为“小于等于15.00万元”；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“全年培训经费”指标，预期指标值为“小于等于5.00万元”；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“提高人民陪审员业务水平，保证公正审判，不断提高司法公信力。”指标，预期指标值为“有效提高”；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“持续提高陪审员的履职能力和业务水平，保证审判质量。”指标，预期指标值为“持续提高”；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“受训人员满意度”指标，预期指标值为“大于等于90.00%”。</w:t>
      </w:r>
    </w:p>
    <w:p w14:paraId="4D60B11D">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0556E117">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5AA917C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此次我单位根据《财政支出绩效评价管理暂行办法》（财预〔2020〕10号）文件要求实施评价工作，本次评价对象为人民陪审员经费项目，评价核心为项目资金、项目产出、项目效益。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（5）《关于下达昌吉州本级预算单位2023年部门预算的通知》（昌州财行〔2023〕1号）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w:t>
      </w:r>
      <w:r>
        <w:rPr>
          <w:rStyle w:val="18"/>
          <w:rFonts w:hint="eastAsia" w:ascii="楷体" w:hAnsi="楷体" w:eastAsia="楷体"/>
          <w:b w:val="0"/>
          <w:bCs w:val="0"/>
          <w:spacing w:val="-4"/>
          <w:sz w:val="32"/>
          <w:szCs w:val="32"/>
          <w:lang w:eastAsia="zh-CN"/>
        </w:rPr>
        <w:t>昌吉回族自治州</w:t>
      </w:r>
      <w:r>
        <w:rPr>
          <w:rStyle w:val="18"/>
          <w:rFonts w:hint="eastAsia" w:ascii="楷体" w:hAnsi="楷体" w:eastAsia="楷体"/>
          <w:b w:val="0"/>
          <w:bCs w:val="0"/>
          <w:spacing w:val="-4"/>
          <w:sz w:val="32"/>
          <w:szCs w:val="32"/>
        </w:rPr>
        <w:t>中级人民法院制度汇编》</w:t>
      </w:r>
    </w:p>
    <w:p w14:paraId="44D3D0D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36CA53B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41B1C9EF">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3863345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马红军（评价小组组长）：主要负责项目策划和监督，全面负责项目绩效评价办稿的最终质量，对评估人员出具的最终报告质量进行复核，确保评估结果的客观性；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吴军（评价小组组员）：主要负责资料的收集，取证、数据统计分析；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高光华（评价小组组员）：主要负责主要负责项目报告的制定，指标的研判，数据分析及报告撰写。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2024年3月4日-3月15日，评价工作进入实施阶段。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经调研了解，该项目主要受益群体包括受训人民陪审员。我们根据绩效评价目标和绩效指标体系，设计满意度调查问卷进行问卷调查，其中培训受益对象共选取样本304人，共发放问卷304份，最终收回300份。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2024年3月15日-3月26日，评价小组按照绩效评价的原则和规范，对取得的资料进行审查核实，对采集的数据进行分析，按照绩效评价指标评分表逐项进行打分、分析、汇总各方评价结果。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2024年3月26-4月20日，评价小组撰写绩效评价报告，按照新疆维吾尔自治区财政绩效管理信息系统绩效评价模块中统一格式和文本框架撰写绩效评价报告并提交审核。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4DB43F7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923BFB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较大程度达成年初设立的绩效目标，在实施过程中取得了良好的成效，具体表现在：通过项目的实施，完成了培训304人、表彰7县市、培训2场、购买图书1批等产出目标，发挥了提高人民陪审员业务水平，保证公正审判，不断提高司法公信力；持续提高陪审员的履职能力和业务水平，保证审判质量的效益。但在实施过程中也存在一些不足：资金未及时完全支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23个，实现三级指标数量22个，总体完成率为95.65%。最终评分结果：总分为99.59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过程管理类指标共设置5个，满分指标4个，得分率97.84%；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项目产出类指标共设置9个，满分指标9个，得分率100.00%；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52C01448">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65CC2BB0">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4171577">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本项目立项符合财政部、最高人民法院颁发的《关于人民陪审员经费管理有关问题的通知》（财行【2005】72号）中：“自治区法院系统人民陪审员经费需保障人民陪审员费用”；本项目立项符合《关于下达昌吉州本级预算单位2023年部门预算的通知》（昌州财行〔2023〕1号）中：“拨付20.00万元人民陪审员”内容，符合行业发展规划和政策要求，属于我单位履职所需；根据《财政资金直接支付申请书》，本项目资金性质为“公共财政预算”功能分类为“行政运行”经济分类为“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本项目已设置年度绩效目标，具体内容为“培训参加人数300人次；全年表彰县市数量7县（市）；全年培训场次 2场；人民陪审员培训合格率95.00%；人民陪审员培训出勤率95.00%；陪审员费用报销及时率100.00%。提高人民陪审员业务水平，保证公正审判，不断提高司法公信力。持续提高陪审员的履职能力和业务水平，保证审判质量。”；本项目实际工作内容为：用于人民陪审员的各项开支，包括交通补助费、培训费、资料费、无固定收入人民陪审员的生活补助费、其他费用等；绩效目标与实际工作内容一致，两者具有相关性;本项目按照绩效目标完成了数量指标、质量指标、时效指标、成本指标，有效保障了人民陪审员履行规定职责。提高人民陪审员业务水平，保证公正审判，不断提高司法公信力，持续提高陪审员的履职能力，保证审判质量，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12个，定量指标10个，定性指标2个，指标量化率为83.33%，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本项目预算编制通过往年项目执行情况估算得出，即预算编制较科学且经过论证；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保障人民陪审员业务经费支出，项目实际内容为交通补助费、培训费、资料费、无固定收入人民陪审员的生活补助费、其他费用等，预算申请与《人民陪审员业务经费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20.00万元，我单位在预算申请中严格按照往年项目执行情况估算进行核算，其中：人民陪审员业务经费为15.00万元，全年培训经费为5.00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人民陪审员业务经费项目资金的请示》和《人民陪审员业务经费项目实施方案》为依据进行资金分配，预算资金分配依据充分。根据《关于下达昌吉州本级预算单位2023年部门预算的通知》（昌州财行〔2023〕1号）文件显示，本项目实际到位资金20.00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7E85CB14">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335BD5C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项目过程管理类指标由2个二级指标和5个三级指标构成，权重分19.00分，实际得分18.59分。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20.00元，其中：本级财政安排资金20.00万元，其他资金0.00万元，实际到位资金20.00万元，资金到位率=（实际到位资金/预算资金）×100.00%=（20.00/20.00）*100.00%=100.00%。得分=资金到位率*分值=100.00%*4=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本项目实际支出资金18.34万元，预算执行率=（实际支出资金/实际到位资金）×100.00%=（18.34/20.00）*100.00%=91.70%。得分=预算执行率*分值=91.70%*5=4.59分。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综上所述，本指标满分为5.00分，根据评分标准得4.59分，本项目资金分配合理。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中级人民法院单位资金管理办法》《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中级人民法院资金管理办法》《昌吉州中级人民法院收支业务管理制度》《昌吉州中级人民法院政府采购业务管理制度》《昌吉州中级人民法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中级人民法院项目工作领导小组，由党组书记马红军任组长，负责项目的组织工作；吴斌任副组长，负责项目的实施工作；组员包括：李丹青和高光华，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7ECDEA3">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4A94FCB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项目产出类指标由4个二级指标和9个三级指标构成，权重分30.0分，实际得分30.00分。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“培训参加人数”指标：预期指标值为“大于等于300人次”，实际完成指标值为“306人次”，指标完成率为100.00%。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“全年表彰县市数量”指标：预期指标值为“7县市”，实际完成指标值为“7县市”，指标完成率为100.00%。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“全年培训场次”指标：预期指标值为“大于等于2场”，实际完成指标值为“2场”，指标完成率为100.00%。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“购买图书批次”指标：预期指标值为“大于等于1批次”，实际完成指标值为“1批次”，指标完成率为100.00%。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“人民陪审员培训合格率”指标：预期指标值为“大于等于95.00%”，实际完成指标值为“95.00%”，指标完成率为100.00%。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“人民陪审员培训出勤率”指标：预期指标值为“大于等于95.00%”，实际完成指标值为“95.00%”，指标完成率为100.00%。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“陪审员费支付及时率”指标：预期指标值为“100.00%”，实际完成指标值为“100.00%”，指标完成率为100.00%。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“人民陪审员业务经费　”指标：预期指标值为“小于等于15.00万元”，实际完成指标值为“13.34万元”，指标完成率为100.00%。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“全年培训经费”指标：预期指标值为“小于等于5.00万元”，实际完成指标值为“5.00万元”，指标完成率为100.00%。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p>
    <w:p w14:paraId="1CC42184">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2DBC9B2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“提高人民陪审员业务水平，保证公正审判，不断提高司法公信力。”指标：预期指标值为“有效提高”，实际完成指标值为“有效提高”，指标完成率为100.00%。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“持续提高陪审员的履职能力和业务水平，保证审判质量。”指标：预期指标值为“持续提高”，实际完成指标值为“持续提高”，指标完成率为100.00%。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“受训人员满意度”指标：预期指标值为“大于等于90.00%”，实际完成指标值为“95.00%”，指标完成率为100.00%。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5F062BBB">
      <w:pPr>
        <w:spacing w:line="540" w:lineRule="exact"/>
        <w:ind w:firstLine="567"/>
        <w:rPr>
          <w:rStyle w:val="18"/>
          <w:rFonts w:hint="eastAsia" w:ascii="楷体" w:hAnsi="楷体" w:eastAsia="楷体"/>
          <w:spacing w:val="-4"/>
          <w:sz w:val="32"/>
          <w:szCs w:val="32"/>
        </w:rPr>
      </w:pPr>
    </w:p>
    <w:p w14:paraId="1C96A09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3F0697FB">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本项目年初预算资金总额为20.00万元，全年预算数为20.00万元，全年执行数为18.34万元，预算执行率为91.70%。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本项目共设置三级指标数量23个，满分指标数量22个，扣分指标数量1个，经分析计算所有三级指标完成率得出，本项目总体完成率为99.59%。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综上所述本项目预算执行进度与总体完成进度之间的偏差为7.89%。主要偏差原因是：我单位节约资金，按时完成本项目固定内容。</w:t>
      </w:r>
    </w:p>
    <w:p w14:paraId="78C4D26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326D42D5">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“人民陪审员业务经费”项目保障了交通补助费、培训费、资料费、无固定收入人民陪审员的生活补助费、其他费用如：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1、交通费补助，人民陪审员应参加审判活动，培训活动而支出的交通费用的补助，每人次案20-50元的标准予以补助，如果超过50元按实际产生的费用报销；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培训费，人民法院按规定组织人民陪审员岗前培训和任职期间审判业务专项培训活动，所开支的场地租用费，聘请教师讲课费，培训资料费以及人民陪审员在培训期间食宿费用（培训经费按在职干警同等标准列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3、资料费，为人民陪审员提供有关报刊、简报及最新法律书籍等开支的费用，人民陪审员的资料费每人每年按300到500元标准予以补助。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无固定收入人民陪审员生活补助费，对无固定收入的人民陪审员按其实际参加审判活动、培训活动的工作日，按照当地职工上年度平均货币工资水平计算给予的补助。按案件数量计算补助的，以不低于前一方式补助标准支付。原则上按每天100-200元的补助标准予以补助。有固定收入人民陪审员参加审判活动培训期间，所在法院可根据实际情况参照上述标准给予适当补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其他费用，对人民陪审员的表彰、奖励以及其他与人民陪审员履行职责有关的所必需的费用。人民陪审员因参加审判活动无法按时回家或回原单位就餐的，应当参照当地差旅费标准给予其误餐补助，因参加审判活动培训而支出的住宿费由所属法院参照法院干警差旅费标准予以报销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从而保障人民陪审员履行规定职责。提高人民陪审员业务水平，保证公正审判，不断提高司法公信力，持续提高陪审员的履职能力，保证审判质量。</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当前此项工作还存在一些不足和问题：一是司法理念、工作机制，同审判工作现代化还有差距；二是审判执行效率、效果，同人民群众新期待还有差距；三是 “四源共治”措施、成效，同市域治理现代化还有差距；四是作风整治、权力监督，同从严管党治院要求还有差距。对此，我们将积极采取有效措施，认真加以解决。</w:t>
      </w:r>
    </w:p>
    <w:p w14:paraId="76AEB83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2918560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全州法院主动接受州人大及其常委会的法律监督、工作监督和州政协民主监督，深入贯彻落实州人大常委会关于加强法院行政审判、执行工作的决定，探索“人大代表之家”与人民法庭互嵌运行机制，制定实施《加强人大代表联络 主动接受人大代表监督工作办法》，全方位请示报告工作，积极邀请人大代表、政协委员视察法院、旁听庭审、见证执行、座谈研讨，收集整改意见建议，办理代表建议、政协提案。自觉接受监察监督，支持配合派驻纪检组履行职责。依法接受检察监督，共同维护司法公正。积极保障律师执业权利，共话法律职业共同体。通过开新闻通气会，人民陪审员参审案件等方式积极接受舆论和群众监督。同时加强部门决策、完善工作机制、发挥履职效能、优化支出结构、提高资金使用效益等。</w:t>
      </w:r>
    </w:p>
    <w:p w14:paraId="274FED34">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0A0496B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3B7C0DDA">
      <w:pPr>
        <w:spacing w:line="540" w:lineRule="exact"/>
        <w:ind w:firstLine="567"/>
        <w:rPr>
          <w:rStyle w:val="18"/>
          <w:rFonts w:hint="eastAsia" w:ascii="仿宋" w:hAnsi="仿宋" w:eastAsia="仿宋"/>
          <w:b w:val="0"/>
          <w:spacing w:val="-4"/>
          <w:sz w:val="32"/>
          <w:szCs w:val="32"/>
        </w:rPr>
      </w:pPr>
    </w:p>
    <w:p w14:paraId="056B0337">
      <w:pPr>
        <w:spacing w:line="540" w:lineRule="exact"/>
        <w:ind w:firstLine="567"/>
        <w:rPr>
          <w:rStyle w:val="18"/>
          <w:rFonts w:hint="eastAsia" w:ascii="仿宋" w:hAnsi="仿宋" w:eastAsia="仿宋"/>
          <w:b w:val="0"/>
          <w:spacing w:val="-4"/>
          <w:sz w:val="32"/>
          <w:szCs w:val="32"/>
        </w:rPr>
      </w:pPr>
    </w:p>
    <w:p w14:paraId="38083513">
      <w:pPr>
        <w:spacing w:line="540" w:lineRule="exact"/>
        <w:ind w:firstLine="567"/>
        <w:rPr>
          <w:rStyle w:val="18"/>
          <w:rFonts w:hint="eastAsia" w:ascii="仿宋" w:hAnsi="仿宋" w:eastAsia="仿宋"/>
          <w:b w:val="0"/>
          <w:spacing w:val="-4"/>
          <w:sz w:val="32"/>
          <w:szCs w:val="32"/>
        </w:rPr>
      </w:pPr>
    </w:p>
    <w:p w14:paraId="34FD139D">
      <w:pPr>
        <w:spacing w:line="540" w:lineRule="exact"/>
        <w:ind w:firstLine="567"/>
        <w:rPr>
          <w:rStyle w:val="18"/>
          <w:rFonts w:hint="eastAsia" w:ascii="仿宋" w:hAnsi="仿宋" w:eastAsia="仿宋"/>
          <w:b w:val="0"/>
          <w:spacing w:val="-4"/>
          <w:sz w:val="32"/>
          <w:szCs w:val="32"/>
        </w:rPr>
      </w:pPr>
    </w:p>
    <w:p w14:paraId="7F14FA88">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0265341">
        <w:pPr>
          <w:pStyle w:val="12"/>
          <w:jc w:val="center"/>
        </w:pPr>
        <w:r>
          <w:fldChar w:fldCharType="begin"/>
        </w:r>
        <w:r>
          <w:instrText xml:space="preserve">PAGE   \* MERGEFORMAT</w:instrText>
        </w:r>
        <w:r>
          <w:fldChar w:fldCharType="separate"/>
        </w:r>
        <w:r>
          <w:rPr>
            <w:lang w:val="zh-CN"/>
          </w:rPr>
          <w:t>2</w:t>
        </w:r>
        <w:r>
          <w:fldChar w:fldCharType="end"/>
        </w:r>
      </w:p>
    </w:sdtContent>
  </w:sdt>
  <w:p w14:paraId="6523262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110C0"/>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652950"/>
    <w:rsid w:val="00746CD4"/>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22C04"/>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9C74304"/>
    <w:rsid w:val="4D2606A1"/>
    <w:rsid w:val="51830480"/>
    <w:rsid w:val="53A616BE"/>
    <w:rsid w:val="54662BFB"/>
    <w:rsid w:val="5F0A2395"/>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8856</Words>
  <Characters>9472</Characters>
  <Lines>90</Lines>
  <Paragraphs>25</Paragraphs>
  <TotalTime>2</TotalTime>
  <ScaleCrop>false</ScaleCrop>
  <LinksUpToDate>false</LinksUpToDate>
  <CharactersWithSpaces>9500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2025-05-27T04:01:39Z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