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7671B">
      <w:pPr>
        <w:spacing w:line="540" w:lineRule="exact"/>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附件2：</w:t>
      </w:r>
    </w:p>
    <w:p w14:paraId="6AC08418">
      <w:pPr>
        <w:spacing w:line="540" w:lineRule="exact"/>
        <w:jc w:val="center"/>
        <w:rPr>
          <w:rFonts w:ascii="华文中宋" w:hAnsi="华文中宋" w:eastAsia="华文中宋" w:cs="宋体"/>
          <w:b/>
          <w:color w:val="auto"/>
          <w:kern w:val="0"/>
          <w:sz w:val="52"/>
          <w:szCs w:val="52"/>
        </w:rPr>
      </w:pPr>
    </w:p>
    <w:p w14:paraId="10ECAA88">
      <w:pPr>
        <w:spacing w:line="540" w:lineRule="exact"/>
        <w:jc w:val="center"/>
        <w:rPr>
          <w:rFonts w:ascii="华文中宋" w:hAnsi="华文中宋" w:eastAsia="华文中宋" w:cs="宋体"/>
          <w:b/>
          <w:color w:val="auto"/>
          <w:kern w:val="0"/>
          <w:sz w:val="52"/>
          <w:szCs w:val="52"/>
        </w:rPr>
      </w:pPr>
    </w:p>
    <w:p w14:paraId="7391F43F">
      <w:pPr>
        <w:spacing w:line="540" w:lineRule="exact"/>
        <w:jc w:val="center"/>
        <w:rPr>
          <w:rFonts w:ascii="华文中宋" w:hAnsi="华文中宋" w:eastAsia="华文中宋" w:cs="宋体"/>
          <w:b/>
          <w:color w:val="auto"/>
          <w:kern w:val="0"/>
          <w:sz w:val="52"/>
          <w:szCs w:val="52"/>
        </w:rPr>
      </w:pPr>
    </w:p>
    <w:p w14:paraId="334BA7F9">
      <w:pPr>
        <w:spacing w:line="540" w:lineRule="exact"/>
        <w:jc w:val="center"/>
        <w:rPr>
          <w:rFonts w:ascii="华文中宋" w:hAnsi="华文中宋" w:eastAsia="华文中宋" w:cs="宋体"/>
          <w:b/>
          <w:color w:val="auto"/>
          <w:kern w:val="0"/>
          <w:sz w:val="52"/>
          <w:szCs w:val="52"/>
        </w:rPr>
      </w:pPr>
    </w:p>
    <w:p w14:paraId="5326169B">
      <w:pPr>
        <w:spacing w:line="540" w:lineRule="exact"/>
        <w:jc w:val="center"/>
        <w:rPr>
          <w:rFonts w:ascii="华文中宋" w:hAnsi="华文中宋" w:eastAsia="华文中宋" w:cs="宋体"/>
          <w:b/>
          <w:color w:val="auto"/>
          <w:kern w:val="0"/>
          <w:sz w:val="52"/>
          <w:szCs w:val="52"/>
        </w:rPr>
      </w:pPr>
    </w:p>
    <w:p w14:paraId="24872867">
      <w:pPr>
        <w:spacing w:line="540" w:lineRule="exact"/>
        <w:jc w:val="center"/>
        <w:rPr>
          <w:rFonts w:ascii="华文中宋" w:hAnsi="华文中宋" w:eastAsia="华文中宋" w:cs="宋体"/>
          <w:b/>
          <w:color w:val="auto"/>
          <w:kern w:val="0"/>
          <w:sz w:val="52"/>
          <w:szCs w:val="52"/>
        </w:rPr>
      </w:pPr>
    </w:p>
    <w:p w14:paraId="5AF959B2">
      <w:pPr>
        <w:spacing w:line="540" w:lineRule="exact"/>
        <w:jc w:val="center"/>
        <w:rPr>
          <w:rFonts w:ascii="方正小标宋_GBK" w:hAnsi="华文中宋" w:eastAsia="方正小标宋_GBK" w:cs="宋体"/>
          <w:b/>
          <w:color w:val="auto"/>
          <w:kern w:val="0"/>
          <w:sz w:val="48"/>
          <w:szCs w:val="48"/>
        </w:rPr>
      </w:pPr>
      <w:r>
        <w:rPr>
          <w:rFonts w:hint="eastAsia" w:ascii="方正小标宋_GBK" w:hAnsi="华文中宋" w:eastAsia="方正小标宋_GBK" w:cs="宋体"/>
          <w:b/>
          <w:color w:val="auto"/>
          <w:kern w:val="0"/>
          <w:sz w:val="48"/>
          <w:szCs w:val="48"/>
        </w:rPr>
        <w:t>项目支出绩效自评报告</w:t>
      </w:r>
    </w:p>
    <w:p w14:paraId="29EA9407">
      <w:pPr>
        <w:spacing w:line="540" w:lineRule="exact"/>
        <w:jc w:val="center"/>
        <w:rPr>
          <w:rFonts w:ascii="华文中宋" w:hAnsi="华文中宋" w:eastAsia="华文中宋" w:cs="宋体"/>
          <w:b/>
          <w:color w:val="auto"/>
          <w:kern w:val="0"/>
          <w:sz w:val="52"/>
          <w:szCs w:val="52"/>
        </w:rPr>
      </w:pPr>
    </w:p>
    <w:p w14:paraId="6511DC09">
      <w:pPr>
        <w:spacing w:line="540" w:lineRule="exact"/>
        <w:jc w:val="center"/>
        <w:rPr>
          <w:rFonts w:hAnsi="宋体" w:eastAsia="仿宋_GB2312" w:cs="宋体"/>
          <w:color w:val="auto"/>
          <w:kern w:val="0"/>
          <w:sz w:val="36"/>
          <w:szCs w:val="36"/>
        </w:rPr>
      </w:pPr>
      <w:bookmarkStart w:id="0" w:name="_GoBack"/>
      <w:bookmarkEnd w:id="0"/>
      <w:r>
        <w:rPr>
          <w:rFonts w:hint="eastAsia" w:hAnsi="宋体" w:eastAsia="仿宋_GB2312" w:cs="宋体"/>
          <w:color w:val="auto"/>
          <w:kern w:val="0"/>
          <w:sz w:val="36"/>
          <w:szCs w:val="36"/>
        </w:rPr>
        <w:t xml:space="preserve">（   </w:t>
      </w:r>
      <w:r>
        <w:rPr>
          <w:rStyle w:val="18"/>
          <w:rFonts w:hint="eastAsia" w:ascii="楷体" w:hAnsi="楷体" w:eastAsia="楷体"/>
          <w:color w:val="auto"/>
          <w:spacing w:val="-4"/>
          <w:sz w:val="32"/>
          <w:szCs w:val="32"/>
        </w:rPr>
        <w:t>2023</w:t>
      </w:r>
      <w:r>
        <w:rPr>
          <w:rFonts w:hint="eastAsia" w:hAnsi="宋体" w:eastAsia="仿宋_GB2312" w:cs="宋体"/>
          <w:color w:val="auto"/>
          <w:kern w:val="0"/>
          <w:sz w:val="36"/>
          <w:szCs w:val="36"/>
        </w:rPr>
        <w:t xml:space="preserve">  年度）</w:t>
      </w:r>
    </w:p>
    <w:p w14:paraId="448F4505">
      <w:pPr>
        <w:spacing w:line="540" w:lineRule="exact"/>
        <w:jc w:val="center"/>
        <w:rPr>
          <w:rFonts w:hAnsi="宋体" w:eastAsia="仿宋_GB2312" w:cs="宋体"/>
          <w:color w:val="auto"/>
          <w:kern w:val="0"/>
          <w:sz w:val="30"/>
          <w:szCs w:val="30"/>
        </w:rPr>
      </w:pPr>
    </w:p>
    <w:p w14:paraId="371EFCB2">
      <w:pPr>
        <w:spacing w:line="540" w:lineRule="exact"/>
        <w:jc w:val="center"/>
        <w:rPr>
          <w:rFonts w:hAnsi="宋体" w:eastAsia="仿宋_GB2312" w:cs="宋体"/>
          <w:color w:val="auto"/>
          <w:kern w:val="0"/>
          <w:sz w:val="30"/>
          <w:szCs w:val="30"/>
        </w:rPr>
      </w:pPr>
    </w:p>
    <w:p w14:paraId="2F8D2309">
      <w:pPr>
        <w:spacing w:line="540" w:lineRule="exact"/>
        <w:jc w:val="center"/>
        <w:rPr>
          <w:rFonts w:hAnsi="宋体" w:eastAsia="仿宋_GB2312" w:cs="宋体"/>
          <w:color w:val="auto"/>
          <w:kern w:val="0"/>
          <w:sz w:val="30"/>
          <w:szCs w:val="30"/>
        </w:rPr>
      </w:pPr>
    </w:p>
    <w:p w14:paraId="694FA0D6">
      <w:pPr>
        <w:spacing w:line="540" w:lineRule="exact"/>
        <w:jc w:val="center"/>
        <w:rPr>
          <w:rFonts w:hAnsi="宋体" w:eastAsia="仿宋_GB2312" w:cs="宋体"/>
          <w:color w:val="auto"/>
          <w:kern w:val="0"/>
          <w:sz w:val="30"/>
          <w:szCs w:val="30"/>
        </w:rPr>
      </w:pPr>
    </w:p>
    <w:p w14:paraId="03C282A8">
      <w:pPr>
        <w:spacing w:line="540" w:lineRule="exact"/>
        <w:jc w:val="center"/>
        <w:rPr>
          <w:rFonts w:hAnsi="宋体" w:eastAsia="仿宋_GB2312" w:cs="宋体"/>
          <w:color w:val="auto"/>
          <w:kern w:val="0"/>
          <w:sz w:val="30"/>
          <w:szCs w:val="30"/>
        </w:rPr>
      </w:pPr>
    </w:p>
    <w:p w14:paraId="25671909">
      <w:pPr>
        <w:spacing w:line="540" w:lineRule="exact"/>
        <w:jc w:val="center"/>
        <w:rPr>
          <w:rFonts w:hAnsi="宋体" w:eastAsia="仿宋_GB2312" w:cs="宋体"/>
          <w:color w:val="auto"/>
          <w:kern w:val="0"/>
          <w:sz w:val="30"/>
          <w:szCs w:val="30"/>
        </w:rPr>
      </w:pPr>
    </w:p>
    <w:p w14:paraId="0F47C069">
      <w:pPr>
        <w:spacing w:line="540" w:lineRule="exact"/>
        <w:rPr>
          <w:rFonts w:hAnsi="宋体" w:eastAsia="仿宋_GB2312" w:cs="宋体"/>
          <w:color w:val="auto"/>
          <w:kern w:val="0"/>
          <w:sz w:val="30"/>
          <w:szCs w:val="30"/>
        </w:rPr>
      </w:pPr>
    </w:p>
    <w:p w14:paraId="04A941D4">
      <w:pPr>
        <w:spacing w:line="700" w:lineRule="exact"/>
        <w:jc w:val="left"/>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p>
    <w:p w14:paraId="6EFD8FD9">
      <w:pPr>
        <w:spacing w:line="700" w:lineRule="exact"/>
        <w:ind w:firstLine="900" w:firstLineChars="250"/>
        <w:jc w:val="left"/>
        <w:rPr>
          <w:rFonts w:hAnsi="宋体" w:eastAsia="仿宋_GB2312" w:cs="宋体"/>
          <w:color w:val="auto"/>
          <w:kern w:val="0"/>
          <w:sz w:val="36"/>
          <w:szCs w:val="36"/>
        </w:rPr>
      </w:pPr>
      <w:r>
        <w:rPr>
          <w:rFonts w:hint="eastAsia" w:hAnsi="宋体" w:eastAsia="仿宋_GB2312" w:cs="宋体"/>
          <w:color w:val="auto"/>
          <w:kern w:val="0"/>
          <w:sz w:val="36"/>
          <w:szCs w:val="36"/>
        </w:rPr>
        <w:t>项目名称：</w:t>
      </w:r>
      <w:r>
        <w:rPr>
          <w:rStyle w:val="18"/>
          <w:rFonts w:hint="eastAsia" w:ascii="楷体" w:hAnsi="楷体" w:eastAsia="楷体"/>
          <w:color w:val="auto"/>
          <w:spacing w:val="-4"/>
          <w:sz w:val="32"/>
          <w:szCs w:val="32"/>
        </w:rPr>
        <w:t>业务费补助</w:t>
      </w:r>
    </w:p>
    <w:p w14:paraId="16FF40E5">
      <w:pPr>
        <w:spacing w:line="540" w:lineRule="exact"/>
        <w:ind w:firstLine="567"/>
        <w:rPr>
          <w:rFonts w:ascii="楷体" w:hAnsi="楷体" w:eastAsia="楷体"/>
          <w:b/>
          <w:bCs/>
          <w:color w:val="auto"/>
          <w:spacing w:val="-4"/>
          <w:sz w:val="32"/>
          <w:szCs w:val="32"/>
        </w:rPr>
      </w:pPr>
      <w:r>
        <w:rPr>
          <w:rFonts w:hint="eastAsia" w:hAnsi="宋体" w:eastAsia="仿宋_GB2312" w:cs="宋体"/>
          <w:color w:val="auto"/>
          <w:kern w:val="0"/>
          <w:sz w:val="36"/>
          <w:szCs w:val="36"/>
        </w:rPr>
        <w:t xml:space="preserve">  实施单位（公章）：</w:t>
      </w:r>
      <w:r>
        <w:rPr>
          <w:rStyle w:val="18"/>
          <w:rFonts w:hint="eastAsia" w:ascii="楷体" w:hAnsi="楷体" w:eastAsia="楷体"/>
          <w:color w:val="auto"/>
          <w:spacing w:val="-4"/>
          <w:sz w:val="28"/>
          <w:szCs w:val="28"/>
        </w:rPr>
        <w:t>吉木萨尔县人民法院</w:t>
      </w:r>
    </w:p>
    <w:p w14:paraId="3E13B586">
      <w:pPr>
        <w:spacing w:line="540" w:lineRule="exact"/>
        <w:ind w:firstLine="900" w:firstLineChars="250"/>
        <w:rPr>
          <w:rFonts w:ascii="楷体" w:hAnsi="楷体" w:eastAsia="楷体"/>
          <w:b/>
          <w:bCs/>
          <w:color w:val="auto"/>
          <w:spacing w:val="-4"/>
          <w:sz w:val="28"/>
          <w:szCs w:val="28"/>
        </w:rPr>
      </w:pPr>
      <w:r>
        <w:rPr>
          <w:rFonts w:hint="eastAsia" w:hAnsi="宋体" w:eastAsia="仿宋_GB2312" w:cs="宋体"/>
          <w:color w:val="auto"/>
          <w:kern w:val="0"/>
          <w:sz w:val="36"/>
          <w:szCs w:val="36"/>
        </w:rPr>
        <w:t>主管部门（公章）：</w:t>
      </w:r>
      <w:r>
        <w:rPr>
          <w:rStyle w:val="18"/>
          <w:rFonts w:hint="eastAsia" w:ascii="楷体" w:hAnsi="楷体" w:eastAsia="楷体"/>
          <w:color w:val="auto"/>
          <w:spacing w:val="-4"/>
          <w:sz w:val="28"/>
          <w:szCs w:val="28"/>
        </w:rPr>
        <w:t>吉木萨尔县人民法院</w:t>
      </w:r>
    </w:p>
    <w:p w14:paraId="4B7632A1">
      <w:pPr>
        <w:spacing w:line="540" w:lineRule="exact"/>
        <w:ind w:firstLine="900" w:firstLineChars="250"/>
        <w:rPr>
          <w:rFonts w:ascii="楷体" w:hAnsi="楷体" w:eastAsia="楷体"/>
          <w:b/>
          <w:bCs/>
          <w:color w:val="auto"/>
          <w:spacing w:val="-4"/>
          <w:sz w:val="32"/>
          <w:szCs w:val="32"/>
        </w:rPr>
      </w:pPr>
      <w:r>
        <w:rPr>
          <w:rFonts w:hint="eastAsia" w:hAnsi="宋体" w:eastAsia="仿宋_GB2312" w:cs="宋体"/>
          <w:color w:val="auto"/>
          <w:kern w:val="0"/>
          <w:sz w:val="36"/>
          <w:szCs w:val="36"/>
        </w:rPr>
        <w:t>项目负责人（签章）：</w:t>
      </w:r>
      <w:r>
        <w:rPr>
          <w:rStyle w:val="18"/>
          <w:rFonts w:hint="eastAsia" w:ascii="楷体" w:hAnsi="楷体" w:eastAsia="楷体"/>
          <w:color w:val="auto"/>
          <w:spacing w:val="-4"/>
          <w:sz w:val="32"/>
          <w:szCs w:val="32"/>
        </w:rPr>
        <w:t>李召军</w:t>
      </w:r>
    </w:p>
    <w:p w14:paraId="2F40096A">
      <w:pPr>
        <w:spacing w:line="540" w:lineRule="exact"/>
        <w:ind w:left="273" w:firstLine="567"/>
        <w:rPr>
          <w:rStyle w:val="18"/>
          <w:rFonts w:ascii="楷体" w:hAnsi="楷体" w:eastAsia="楷体"/>
          <w:color w:val="auto"/>
          <w:spacing w:val="-4"/>
          <w:sz w:val="32"/>
          <w:szCs w:val="32"/>
        </w:rPr>
      </w:pPr>
      <w:r>
        <w:rPr>
          <w:rFonts w:hint="eastAsia" w:hAnsi="宋体" w:eastAsia="仿宋_GB2312" w:cs="宋体"/>
          <w:color w:val="auto"/>
          <w:kern w:val="0"/>
          <w:sz w:val="36"/>
          <w:szCs w:val="36"/>
        </w:rPr>
        <w:t>填报时间：</w:t>
      </w:r>
      <w:r>
        <w:rPr>
          <w:rStyle w:val="18"/>
          <w:rFonts w:hint="eastAsia" w:ascii="楷体" w:hAnsi="楷体" w:eastAsia="楷体"/>
          <w:color w:val="auto"/>
          <w:spacing w:val="-4"/>
          <w:sz w:val="32"/>
          <w:szCs w:val="32"/>
        </w:rPr>
        <w:t>2024年03月15日</w:t>
      </w:r>
    </w:p>
    <w:p w14:paraId="429A1D66">
      <w:pPr>
        <w:spacing w:line="700" w:lineRule="exact"/>
        <w:ind w:firstLine="708" w:firstLineChars="236"/>
        <w:jc w:val="left"/>
        <w:rPr>
          <w:rFonts w:hAnsi="宋体" w:eastAsia="仿宋_GB2312" w:cs="宋体"/>
          <w:color w:val="auto"/>
          <w:kern w:val="0"/>
          <w:sz w:val="30"/>
          <w:szCs w:val="30"/>
        </w:rPr>
      </w:pPr>
    </w:p>
    <w:p w14:paraId="5053420F">
      <w:pPr>
        <w:spacing w:line="540" w:lineRule="exact"/>
        <w:rPr>
          <w:rStyle w:val="18"/>
          <w:rFonts w:ascii="黑体" w:hAnsi="黑体" w:eastAsia="黑体"/>
          <w:b w:val="0"/>
          <w:color w:val="auto"/>
          <w:spacing w:val="-4"/>
          <w:sz w:val="32"/>
          <w:szCs w:val="32"/>
        </w:rPr>
      </w:pPr>
    </w:p>
    <w:p w14:paraId="2C8C7815">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一、基本情况</w:t>
      </w:r>
    </w:p>
    <w:p w14:paraId="5BFDFA89">
      <w:pPr>
        <w:spacing w:line="540" w:lineRule="exact"/>
        <w:ind w:firstLine="567"/>
        <w:rPr>
          <w:rStyle w:val="18"/>
          <w:rFonts w:hint="default" w:ascii="楷体" w:hAnsi="楷体" w:eastAsia="楷体"/>
          <w:color w:val="auto"/>
          <w:spacing w:val="-4"/>
          <w:sz w:val="32"/>
          <w:szCs w:val="32"/>
          <w:lang w:val="en-US" w:eastAsia="zh-CN"/>
        </w:rPr>
      </w:pPr>
      <w:r>
        <w:rPr>
          <w:rStyle w:val="18"/>
          <w:rFonts w:hint="eastAsia" w:ascii="楷体" w:hAnsi="楷体" w:eastAsia="楷体"/>
          <w:color w:val="auto"/>
          <w:spacing w:val="-4"/>
          <w:sz w:val="32"/>
          <w:szCs w:val="32"/>
        </w:rPr>
        <w:t>（一）项目概况</w:t>
      </w:r>
      <w:r>
        <w:rPr>
          <w:rStyle w:val="18"/>
          <w:rFonts w:hint="eastAsia" w:ascii="楷体" w:hAnsi="楷体" w:eastAsia="楷体"/>
          <w:color w:val="auto"/>
          <w:spacing w:val="-4"/>
          <w:sz w:val="32"/>
          <w:szCs w:val="32"/>
          <w:lang w:eastAsia="zh-CN"/>
        </w:rPr>
        <w:t>。</w:t>
      </w:r>
    </w:p>
    <w:p w14:paraId="013DA0DA">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1.项目背景</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为了提高审判办案质效，保障法院重点工作，弥补法院项目经费不足的情况，最高人民法院财政部下发了《司法行政机关办案(业务)经费和业务装备经费开支范围》[85]司发计字第384号)、《最高人民法院关于进一步推进案件繁简分流优化司法资源配置的若干意见》（法发〔2016〕21号），该通知主要是围绕法院审判办案所需的业务经费以及办案有关的一些经费支出作出规范要求，以提高审判办案质效，提高案件结案率、执行率，保障法院重点工作，弥补法院项目经费不足的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2023年，吉木萨尔县人民法院使用该项目资金主要用于保障法院依法履行审判执行、受理案件职责，保障35名工作人员工资，保障17辆公务车辆正常运行，维修法庭及审判大楼500平方米。通过实施该项目，有利于为我院提供必要的经费支持，提升了干警满意度，维护社会稳定与长治久安。</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2.主要内容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（1）项目名称：业务费补助项目（以下简称“该项目”或“项目”）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主要内容：本项目主要用于法院依法履行审判执行、受理案件经费支出，支出35名干部4个月工资、差旅费、办公费，支出维修500平方米法庭及审判大楼维修费，支出17辆公务车辆运行维护费，项目的实施提升了干警满意度，维护了社会稳定与长治久安。</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3.实施情况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实施主体：吉木萨尔县人民法院。</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实施时间：本项目实施周期为2023年1月-2023年12月。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情况：本项目于2023年1月开始实施，截止2023年12月支出69.91万元，分别为支出35名干部4个月工资、差旅费、办公费63.75万元，支出维修500平方米法庭及审判大楼10.00万元，支出17辆公务车辆运行维护费6.16万元通过本项目的实施，提升了干警满意度，维护了社会稳定与长治久安。</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4.项目实施主体</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（1）主要职能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吉木萨尔县人民法院是党领导下国家的审判机关，对县人民代表大会及其 常委会负责并报告工作，接受上级人民法院的监督和业务指导，其主要职责是：审判法律规定由县人民法院管辖的刑事、民事、行政案件。审理 由上级人民法院指定管辖的刑事、民事、行政案件。审理由上级人民法 院交办的再审案件。依法行使司法执行权和司法决定权。在审判工 作中宣传法制、教育公民自觉遵守宪法、法律。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（2）机构设置情况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2023年业务费补助项目的实施主体为吉木萨尔县人民法院，该单位纳入2023年部门决算编制范围的有11个科室，分别是：立案庭、刑事审判庭、民事审判庭、行政审判庭、执行局、审判管理办公室、政治部、 综合办公室、三台人民法庭、大有人民法庭、五彩湾人民法庭。</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编制人数为69人，其中：行政人员编制148人。实有在职人数64人，其中：行政在职64人。离退休人员26人。其中：行政退休人员26人。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5.资金投入和使用情况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（1）项目资金安排落实、总投入等情况分析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本项目预算安排总额为80.00万元，资金来源为本级部门预算，其中：财政资金80.00元，其他资金0.00万元，2023年实际收到预算资金80.00万元，预算资金到位率为100.00%。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（2）项目资金实际使用情况分析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截至2023年12月31日，本项目实际支付资金79.91万元，预算执行率99.89%。本项目资金主要用于支付工作经费69.91万元、法庭及审判大楼维修10.00万元。</w:t>
      </w:r>
    </w:p>
    <w:p w14:paraId="0D45DB21">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（二）项目绩效目标</w:t>
      </w:r>
    </w:p>
    <w:p w14:paraId="77670131">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1.总体目标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该项目计划保障办公人员35人，保障17辆车辆正常运行，保障法庭及审判大楼维修面积500平方米，保障审判案件量8000件，验收合格率达到100.00%，案件结案率80.00%，维修大楼时限不超过3个月，法庭及审判大楼维修成本不超过10.00万元，工作经费不超过70.00万元，通过该项目实施，维护社会稳定与长治久安，使干警对保障情况满意度不低于90.00%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2.阶段性目标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（1）项目产出指标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①数量指标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“保障办公人员人数”指标，预期指标值为“大于等于35人”；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“保障车辆正常运行”指标，预期指标值为“大于等于17辆”；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“法庭及审判大楼维修面积”指标，预期指标值为“大于等于500平方米”；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“保障安保运行天数”指标，预期指标值为“大于等于365天”；</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“保障审判案件量”指标，预期指标值为“大于等于8000件”；</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②质量指标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“验收合格率”指标，预期指标值为“等于100.00%”；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“案件结案率”指标，预期指标值为“大于等于80.00%”；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③时效指标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“维修大楼时限”指标，预期指标值为“小于等于3月”；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“法庭及审判大楼维修成本”指标，预期指标值为“小于等于10.00万元”；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“工作经费”指标，预期指标值为“小于等于70.00万元”；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③生态环境成本指标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“维护社会稳定与长治久安”指标，预期指标值为“长久”；</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“干警对保障情况满意度”指标，预期指标值为“大于等于90.00%”。</w:t>
      </w:r>
    </w:p>
    <w:p w14:paraId="503A3434">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二、绩效评价工作开展情况</w:t>
      </w:r>
    </w:p>
    <w:p w14:paraId="0BFA254D">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（一）绩效评价目的、对象和范围</w:t>
      </w:r>
    </w:p>
    <w:p w14:paraId="263E9175">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1.绩效评价的目的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为下年度部门项目支出预算安排、完善政策和改进管理提供可行性参考建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2.绩效评价对象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此次我单位根据《财政支出绩效评价管理暂行办法》（财预〔2020〕10号）文件要求实施评价工作，本次评价对象为业务费补助项目，评价核心为项目资金、项目产出、项目效益。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3.绩效评价范围</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4.绩效评价依据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（1）《中华人民共和国预算法》；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（2）《中共中央国务院关于全面实施预算绩效管理的意见》（中发〔2018〕34号）；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（3）《项目支出绩效评价管理办法》（财预〔2020〕10号）；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（4）《自治区财政支出绩效评价管理暂行办法》（新财预〔2018〕189号）；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（5）《司法行政机关办案(业务)经费和业务装备经费开支范围》[85]司发计字第384号)；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（6）《最高人民法院关于进一步推进案件繁简分流优化司法资源配置的若干意见 》（法发〔2016〕21号）。</w:t>
      </w:r>
    </w:p>
    <w:p w14:paraId="62A8CD39">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（二）绩效评价原则、评价指标体系、评价方法、评价标准</w:t>
      </w:r>
    </w:p>
    <w:p w14:paraId="512EBDEE">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依据《中华人民共和国预算法》《中共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（4）公开透明。绩效评价结果应依法依规公开，并自觉接受社会监督。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2.绩效评价指标体系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3.评价方法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color w:val="auto"/>
          <w:spacing w:val="-4"/>
          <w:sz w:val="32"/>
          <w:szCs w:val="32"/>
          <w:lang w:eastAsia="zh-CN"/>
        </w:rPr>
        <w:t>以及</w:t>
      </w:r>
      <w:r>
        <w:rPr>
          <w:rStyle w:val="18"/>
          <w:rFonts w:hint="eastAsia" w:ascii="楷体" w:hAnsi="楷体" w:eastAsia="楷体"/>
          <w:b w:val="0"/>
          <w:bCs w:val="0"/>
          <w:color w:val="auto"/>
          <w:spacing w:val="-4"/>
          <w:sz w:val="32"/>
          <w:szCs w:val="32"/>
        </w:rPr>
        <w:t>公众评判法。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4.评价标准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66954A09">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（三）绩效评价工作过程</w:t>
      </w:r>
    </w:p>
    <w:p w14:paraId="68C338CC">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1.前期准备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于2024年3月9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马宁（评价小组组长）：主要负责项目策划和监督，全面负责项目绩效评价办稿的最终质量，对评估人员出具的最终报告质量进行复核，确保评估结果的客观性；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解朝霞（评价小组组员）：主要负责资料的收集，取证、数据统计分析；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李召军（评价小组组员）：主要负责主要负责项目报告的制定，指标的研判，数据分析及报告撰写。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2024年3月10日-3月15日，评价工作进入实施阶段。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质量管理、项目建设等相关资料，完成绩效评价内容所需的印证资料整理，所有数据经核查后统计汇总。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经调研了解，该项目主要受益群体包括社会公众。我们根据绩效评价目标和绩效指标体系，设计满意度调查问卷进行问卷调查，其中社会公众受益对象共选取样本20人，共发放问卷20份，最终收回20份。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3.分析评价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2024年3月16日-3月25日，评价小组按照绩效评价的原则和规范，对取得的资料进行审查核实，对采集的数据进行分析，按照绩效评价指标评分表逐项进行打分、分析、汇总各方评价结果。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4.撰写与提交评价报告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2024年3月26日-4月3日，评价小组撰写绩效评价报告，按照新疆维吾尔自治区财政绩效管理信息系统绩效评价模块中统一格式和文本框架撰写绩效评价报告并提交审核。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5.问题整改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6.档案整理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建立和落实档案管理制度，将项目相关资料存档，包括但不限于：评价项目基本情况和相关文件、评价实施方案、项目支付资料等相关档案。</w:t>
      </w:r>
    </w:p>
    <w:p w14:paraId="087F139D">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三、综合评价情况及评价结论</w:t>
      </w:r>
    </w:p>
    <w:p w14:paraId="2150A273">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（一）综合评价情况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评价，本项目达成年初设立的绩效目标，在实施过程中取得了良好的成效，具体表现在：通过项目的实施，完成了受理案件数量、保障干部人数、业务经费支付及时率产出目标，发挥了维护社会稳定与长治久安效益。但在实施过程中也存在一些不足：预算支出责任意识不够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绩效评价通过绩效评价小组论证的评价指标体系及评分标准，采用因素分析法和比较法对本项目绩效进行客观评价，本项目共设置三级指标数量23个，实现三级指标数量22个，总体完成率为95.65%。最终评分结果：总分为99.99分，绩效评级为“优”。综合评价结论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项目决策类指标共设置6个，满分指标6个，得分率100.00%；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过程管理类指标共设置5个，满分指标4个，得分率99.95%；</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项目产出类指标共设置10个，满分指标10个，得分率100.00%；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项目效益类指标共设置2个，满分指标2个，得分率100.00%。</w:t>
      </w:r>
    </w:p>
    <w:p w14:paraId="34B5B42E">
      <w:pPr>
        <w:spacing w:line="540" w:lineRule="exact"/>
        <w:ind w:firstLine="640"/>
        <w:rPr>
          <w:rStyle w:val="18"/>
          <w:rFonts w:ascii="黑体" w:hAnsi="黑体" w:eastAsia="黑体"/>
          <w:color w:val="auto"/>
        </w:rPr>
      </w:pPr>
      <w:r>
        <w:rPr>
          <w:rStyle w:val="18"/>
          <w:rFonts w:hint="eastAsia" w:ascii="黑体" w:hAnsi="黑体" w:eastAsia="黑体"/>
          <w:b w:val="0"/>
          <w:color w:val="auto"/>
          <w:spacing w:val="-4"/>
          <w:sz w:val="32"/>
          <w:szCs w:val="32"/>
        </w:rPr>
        <w:t>四、绩效评价指标分析</w:t>
      </w:r>
      <w:r>
        <w:rPr>
          <w:rStyle w:val="18"/>
          <w:rFonts w:hint="eastAsia" w:ascii="黑体" w:hAnsi="黑体" w:eastAsia="黑体"/>
          <w:color w:val="auto"/>
        </w:rPr>
        <w:t xml:space="preserve"> </w:t>
      </w:r>
    </w:p>
    <w:p w14:paraId="696D6F1E">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（一）</w:t>
      </w:r>
      <w:r>
        <w:rPr>
          <w:rStyle w:val="18"/>
          <w:rFonts w:hint="eastAsia" w:ascii="楷体" w:hAnsi="楷体" w:eastAsia="楷体"/>
          <w:color w:val="auto"/>
          <w:spacing w:val="-4"/>
          <w:sz w:val="32"/>
          <w:szCs w:val="32"/>
        </w:rPr>
        <w:t>项目决策情况</w:t>
      </w:r>
    </w:p>
    <w:p w14:paraId="6132C4F6">
      <w:pPr>
        <w:tabs>
          <w:tab w:val="center" w:pos="4295"/>
        </w:tabs>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项目决策类指标由3个二级指标和6个三级指标构成，权重分21.00分，实际得分21.00分。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1.项目立项情况分析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（1）立项依据充分性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立项符合最高人民法院颁发的《司法行政机关办案(业务)经费和业务装备经费开支范围》[85]司发计字第384号)中：“一、调解费：调解委员会的办公文具、纸张补助费，调解人员学习专业资料费、误工补贴、表彰会经费，无固定工资收入、工作成绩优异的调解人员生活补助费。六、业务设备消耗费：司法行政业务用的器材设备的保养费、修理费、燃料费、饲料费、武器修理费。九、其他：上述一至八项未能包括的其他司法行政业务费用；本项目立项符合《最高人民法院关于进一步推进案件繁简分流优化司法资源配置的若干意见 》（法发〔2016〕21号）中：“提升人案配比科学性。在精确测算人员、案件数量和工作量的基础上，动态调整不同法院、不同审判部门的审判力量。根据法院审级、案件繁简等相关因素，合理确定法官、法官助理、书记员的配置比例，科学界定各自职能定位及其相互关系，最大程度地发挥审判团队优势”内容，符合行业发展规划和政策要求；本项目立项符合《吉木萨尔县人民法院配置内设机构和人员编制规定》中职责范围中的“依法审判法律规定由基层人民法院管辖，自治州中级人民法院指定管辖或者认为应当由自己审判的刑事、民事、行政等第一审案件。审理上级法院指令再审的各类案件；受理不服本院一审生效裁判的各类申诉和再诉申请，对其中确有错误的，依法提起再审。依法审判由市人民检察院按照审判监督程序提出的抗诉案件。处理不需要开庭审判的民事纠纷和轻微的刑事案件。依法行使司法执行权和司法决定权。依法办理外地法院委托办理的司法协助事项。对法院的法官和其他工作人员进行思想政治教育，组织业务专业培训和监督管理工作。管理人民法院的有关经费和物质装备”的职责范围，属于我单位履职所需；根据《财政资金直接支付申请书》，本项目资金性质为“公共财政预算”功能分类为“一般行政管理事务”经济分类为“商品和服务支出”属于公共财政支持范围，符合中央、地方事权支出责任划分原则；经检查我单位财政应用平台指标，本项目不存在重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综上所述，本指标满分为5.00分，根据评分标准得5.00分，本项目立项依据充分。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（2）立项程序规范性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本项目为非基础建设类项目，属于专项资金安排项目，不涉及事前绩效评估、可行性研究以及风险评估，由我单位严格按照昌州党财〔2023〕01号文件文件要求实施项目。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综上所述，本指标满分为3.00分，根据评分标准得3.00分，本项目立项程序规范。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2.绩效目标情况分析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（1）绩效目标合理性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本项目已设置年度绩效目标，具体内容为：通过此项目实施保障法院各项工作正常运行，保障办公人员大于等于35名； 保障车辆正常运行大于等于17辆；保障法庭及审判大楼维修面积大于等于500平方米； 保障安保运行天数大于等于365天；保障审判案件量大于等于8000件，案件质效大幅提高，为地方经济发展提供有力保障；本项目实际工作内容为：保障办公人员人数35人，保障17辆车辆正常运行，维修500平方米法庭及审判大楼，保障审判案件量11929件，验收合格率达到100.00%，案件结案率达到93.12%，维修大楼时限3个月，支出法庭及审判大楼维修成本10.00万元，支出工作经费69.91万元，通过该项目实施，使干警对保障情况满意度达到100.00%，最后达到维护社会稳定与长治久安的效果。绩效目标与实际工作内容一致，两者具有相关性;本项目按照绩效目标完成了数量指标、质量指标、时效指标、成本指标，有效维护社会稳定与长治久安，年度绩效目标完成，预期产出效益和效果符合正常的业绩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综上所述，本指标满分为4.00分，根据评分标准得4.00分，本项目绩效目标设置合理。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（2）绩效指标明确性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检查我单位年初设置的《项目支出绩效目标表》，得出如下结论：本项目已将年度绩效目标进行细化为绩效指标体系，共设置一级指标4个，二级指标6个，三级指标12个，定量指标11个，定性指标1个，指标量化率为91.67%，量化率达70.00%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综上所述，本指标满分为3.00分，根据评分标准得3.00分，本项目所设置绩效指标明确。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3.资金投入情况分析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（1）预算编制科学性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本项目预算编制通过预估35名干部4个月工资、差旅费、办公费、法庭及审判大楼维修费、公务车辆运行维护费，即预算编制较科学且经过论证；</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预算申请内容为业务费补助，项目实际内容为人员工资和办案经费，预算申请与《业务费补助项目实施方案》中涉及的项目内容匹配；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申请资金80.00万元，我单位在预算申请中严格按照单位标准和数量进行核算，其中：法庭及审判大楼维修成本为10.00万元，工作经费成本为70.00万元。本项目预算额度测算依据充分，严格按照标准编制，预算确定资金量与实际工作任务相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综上所述，本指标满分为4.00分，根据评分标准4.00分，本项目预算编制科学。</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（2）资金分配合理性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分配资金以《关于申请业务费补助项目资金的请示》和《业务费补助项目实施方案》为依据进行资金分配，预算资金分配依据充分。年初预算批复文件显示，本项目实际到位资金80.00万元，实际分配资金与我单位提交申请的资金额度一致，资金分配额度合理，与我单位实际需求相适应。</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综上所述，本指标满分为2.00分，根据评分标准得2.00分，本项目资金分配合理。</w:t>
      </w:r>
      <w:r>
        <w:rPr>
          <w:rStyle w:val="18"/>
          <w:rFonts w:hint="eastAsia" w:ascii="楷体" w:hAnsi="楷体" w:eastAsia="楷体"/>
          <w:b w:val="0"/>
          <w:bCs w:val="0"/>
          <w:color w:val="auto"/>
          <w:spacing w:val="-4"/>
          <w:sz w:val="32"/>
          <w:szCs w:val="32"/>
        </w:rPr>
        <w:tab/>
      </w:r>
    </w:p>
    <w:p w14:paraId="2819AE63">
      <w:pPr>
        <w:spacing w:line="540" w:lineRule="exact"/>
        <w:ind w:firstLine="567" w:firstLineChars="181"/>
        <w:rPr>
          <w:rStyle w:val="18"/>
          <w:rFonts w:ascii="楷体" w:hAnsi="楷体" w:eastAsia="楷体"/>
          <w:color w:val="auto"/>
          <w:spacing w:val="-4"/>
          <w:sz w:val="32"/>
          <w:szCs w:val="32"/>
        </w:rPr>
      </w:pPr>
      <w:r>
        <w:rPr>
          <w:rFonts w:hint="eastAsia" w:ascii="楷体" w:hAnsi="楷体" w:eastAsia="楷体"/>
          <w:b/>
          <w:color w:val="auto"/>
          <w:spacing w:val="-4"/>
          <w:sz w:val="32"/>
          <w:szCs w:val="32"/>
        </w:rPr>
        <w:t>（二）</w:t>
      </w:r>
      <w:r>
        <w:rPr>
          <w:rStyle w:val="18"/>
          <w:rFonts w:hint="eastAsia" w:ascii="楷体" w:hAnsi="楷体" w:eastAsia="楷体"/>
          <w:color w:val="auto"/>
          <w:spacing w:val="-4"/>
          <w:sz w:val="32"/>
          <w:szCs w:val="32"/>
        </w:rPr>
        <w:t>项目过程情况</w:t>
      </w:r>
    </w:p>
    <w:p w14:paraId="55934431">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项目过程管理类指标由6个二级指标和8个三级指标构成，权重分19.00分，实际得分18.99分。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1.资金管理情况分析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（1）资金到位率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资金为80.00万元，其中：本级财政安排资金80.00万元，其他资金0.00万元，实际到位资金80.00万元，资金到位率=（实际到位资金/预算资金）×100.00%=（80.00/80.00）*100.00%=100.00%。得分=资金到位率*分值=100.00%*4.00=4.00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（2）预算执行率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本项目实际支出资金79.91万元，预算执行率=（实际支出资金/实际到位资金）×100.00%=（79.91/80.00）*100.00%=99.89%。得分=预算执行率*分值=99.89%*5.00=4.99分。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综上所述，本指标满分为5.00分，根据评分标准得4.99分，本项目资金分配合理。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（3）资金使用合规性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通过检查本项目签订的合同、资金申请文件、发票等财务付款凭证，得出本项目资金支出符合国家财经法规、《政府会计制度》以及《吉木萨尔县人民法院资金管理办法》《吉木萨尔县人民法院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综上所述，本指标满分为4.00分，根据评分标准得4.00分，资金支出符合我单位财务管理制度规定。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（1）管理制度健全性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已制定《吉木萨尔县人民法院资金管理办法》《吉木萨尔县人民法院收支业务管理制度》《吉木萨尔县人民法院政府采购业务管理制度》《吉木萨尔县人民法院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综上所述，本指标满分为2.00分，根据评分标准得2.00分，项目制度建设健全。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（2）制度执行有效性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对比分析本项目实际执行过程资料和已建立的项目管理制度和财务管理制度，得出本项目严格按照本单位已建立制度执行。项目资金支出严格按照自治区、地区以及本单位资金管理办法执行，项目启动实施后，为了加快本项目的实施，成立了业务费补助项目工作领导小组，由办公室主任李召军任组长，负责项目的组织工作；高莲任副组长，负责项目的实施工作；组员包括：李尧，主要负责项目监督管理、验收以及资金核拨等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综上所述，本指标满分为4.00分，根据评分标准得4.00分，本项目所建立制度执行有效。</w:t>
      </w:r>
    </w:p>
    <w:p w14:paraId="5D83F825">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（三）</w:t>
      </w:r>
      <w:r>
        <w:rPr>
          <w:rStyle w:val="18"/>
          <w:rFonts w:hint="eastAsia" w:ascii="楷体" w:hAnsi="楷体" w:eastAsia="楷体"/>
          <w:color w:val="auto"/>
          <w:spacing w:val="-4"/>
          <w:sz w:val="32"/>
          <w:szCs w:val="32"/>
        </w:rPr>
        <w:t>项目产出情况</w:t>
      </w:r>
    </w:p>
    <w:p w14:paraId="3D26CF9F">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项目产出类指标4个二级指标和10个三级指标构成，权重分30.00分，实际得分30.00分。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1.数量指标完成情况分析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“保障办公人员人数”指标：预期指标值为“ 大于等于35人”，实际完成指标值为“35人”，指标完成率为100.00%。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“保障车辆正常运行”指标：预期指标值为“大于等于17辆”，实际完成指标值为“17辆”，指标完成率为100.00%。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“法庭及审判大楼维修面积”指标：预期指标值为“大于等于500平方米”，实际完成指标值为“500平方米”，指标完成率为100.00%。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“保障安保运行天数”指标：预期指标值为“大于等于365天”，实际完成指标值为“等于365天”，指标完成率为100.00%。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“保障审判案件量”指标：预期指标值为“大于等于8000件”，实际完成指标值为“等于11929件”，指标完成率为100.00%。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综上所述，数量指标满分为10.00分，根据评分标准得10.00分。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2.质量指标完成情况分析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“验收合格率”指标：预期指标值为“等于100.00%”，实际完成指标值为“100.00%”，指标完成率为100.00%。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“案件结案率”指标：预期指标值为“ 大于等于80.00%”，实际完成指标值为“93.12%”，指标完成率为100.00%。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综上所述，质量指标满分为5.00分，根据评分标准得5.00分。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3.时效指标完成情况分析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“维修大楼时限”指标：预期指标值为“小于等于3月”，实际完成指标值为“3月”，指标完成率为100.00%。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综上所述，时效指标满分为5.00分，根据评分标准得5.00分。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4.成本指标完成情况分析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“法庭及审判大楼维修成本”指标：预期指标值为“小于等于10.00万元”，实际完成指标值为“10.00万元”，指标完成率为100.00%。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“工作经费”指标：预期指标值为“小于等于70.00万元”，实际完成指标值为“69.91万元”，指标完成率为100.00%。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综上所述，成本指标满分为10.00分，根据评分标准得10.00分。</w:t>
      </w:r>
    </w:p>
    <w:p w14:paraId="0831AD9E">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（四）</w:t>
      </w:r>
      <w:r>
        <w:rPr>
          <w:rStyle w:val="18"/>
          <w:rFonts w:hint="eastAsia" w:ascii="楷体" w:hAnsi="楷体" w:eastAsia="楷体"/>
          <w:color w:val="auto"/>
          <w:spacing w:val="-4"/>
          <w:sz w:val="32"/>
          <w:szCs w:val="32"/>
        </w:rPr>
        <w:t>项目效益情况</w:t>
      </w:r>
    </w:p>
    <w:p w14:paraId="5739F764">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项目效益类指标由2个二级指标和2个三级指标构成，权重分30.00分，实际得分30.00分。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1.经济效益完成情况分析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2.社会效益完成情况分析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“维护社会稳定与长治久安”指标：预期指标值为“长久”，实际完成指标值为“持续”，指标完成率为100.00%。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综上所述，本指标满分为15.00分，根据评分标准得15.00分。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3.生态效益完成情况分析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4.满意度完成情况分析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“干警对保障情况满意度”指标：预期指标值为“大于等于90.00%”，实际完成指标值为“等于100.00%”，指标完成率为100.00%。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综上所述，本指标满分为15.00分，根据评分标准得15.00分。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五、预算执行进度与绩效指标偏差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本项目年初预算资金总额为80.00万元，全年预算数为80.00万元，全年执行数为79.91万元，预算执行率为99.89%。</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本项目共设置三级指标数量23个，满分指标数量22个，扣分指标数量1个，经分析计算所有三级指标完成率得出，本项目总体完成率为95.65%。</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综上所述本项目预算执行进度与总体完成进度之间的偏差为4.24%。主要偏差原因是：2023年按照单位实际需求支出业务费补助。节约财政资金0.09万元。</w:t>
      </w:r>
    </w:p>
    <w:p w14:paraId="37C9ED71">
      <w:pPr>
        <w:spacing w:line="540" w:lineRule="exact"/>
        <w:ind w:firstLine="567"/>
        <w:rPr>
          <w:rStyle w:val="18"/>
          <w:rFonts w:ascii="楷体" w:hAnsi="楷体" w:eastAsia="楷体"/>
          <w:color w:val="auto"/>
          <w:spacing w:val="-4"/>
          <w:sz w:val="32"/>
          <w:szCs w:val="32"/>
        </w:rPr>
      </w:pPr>
    </w:p>
    <w:p w14:paraId="63A5107D">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预算执行进度与绩效指标偏差</w:t>
      </w:r>
    </w:p>
    <w:p w14:paraId="56D23991">
      <w:pPr>
        <w:spacing w:line="540" w:lineRule="exact"/>
        <w:ind w:firstLine="567"/>
        <w:rPr>
          <w:rStyle w:val="18"/>
          <w:rFonts w:hint="default" w:ascii="黑体" w:hAnsi="黑体" w:eastAsia="黑体"/>
          <w:b w:val="0"/>
          <w:color w:val="auto"/>
          <w:spacing w:val="-4"/>
          <w:sz w:val="32"/>
          <w:szCs w:val="32"/>
          <w:lang w:val="en-US" w:eastAsia="zh-CN"/>
        </w:rPr>
      </w:pPr>
      <w:r>
        <w:rPr>
          <w:rStyle w:val="18"/>
          <w:rFonts w:hint="eastAsia" w:ascii="楷体" w:hAnsi="楷体" w:eastAsia="楷体"/>
          <w:b w:val="0"/>
          <w:bCs w:val="0"/>
          <w:color w:val="auto"/>
          <w:spacing w:val="-4"/>
          <w:sz w:val="32"/>
          <w:szCs w:val="32"/>
        </w:rPr>
        <w:t>2023年按照单位实际需求支出业务费补助，节约财政资金0.09万元。</w:t>
      </w:r>
    </w:p>
    <w:p w14:paraId="6FAF65AA">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rPr>
        <w:t>主要经验及做法、存在的问题及原因分析</w:t>
      </w:r>
    </w:p>
    <w:p w14:paraId="35F2C2E4">
      <w:pPr>
        <w:spacing w:line="540" w:lineRule="exact"/>
        <w:ind w:firstLine="567"/>
        <w:rPr>
          <w:rFonts w:ascii="仿宋_GB2312" w:eastAsia="仿宋_GB2312"/>
          <w:color w:val="auto"/>
          <w:spacing w:val="-4"/>
          <w:sz w:val="32"/>
          <w:szCs w:val="32"/>
        </w:rPr>
      </w:pPr>
      <w:r>
        <w:rPr>
          <w:rStyle w:val="18"/>
          <w:rFonts w:hint="eastAsia" w:ascii="楷体" w:hAnsi="楷体" w:eastAsia="楷体"/>
          <w:b w:val="0"/>
          <w:bCs w:val="0"/>
          <w:color w:val="auto"/>
          <w:spacing w:val="-4"/>
          <w:sz w:val="32"/>
          <w:szCs w:val="32"/>
        </w:rPr>
        <w:t>（一）主要经验及做法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办公室建立健全了预算管理规章制度，各部门严格按预算编制和要求做好当年预算编制工作，在预算绩效管理工作中，做到合理安排各项资金，重点保障基本支出，按轻重缓急顺序原则，优先安排了阜康市人民政府办公室事业发展中关系民生与稳定的项目，切实优化资源配置，提高了资金使用的效率和效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所设定的绩效目标依据充分，绩效目标设定的绩效指标明确，预算编制具有合理性，制度建设完全，相关制度执行有效，资金到位不及时，但未影响项目进度。项目资金严格按照预算管理规定开支，项目能够按时开展，并及时完成，总体完成质量较好，达成了既定的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重视前期工作，做好实施方案。建设单位通过关口前置，把项目单位之所需、项目单位之所想、项目单位之所困作为设计工作的基础，在做设计的过程中让这些因素得到充分考量和体现，细化实化工程任务，协调推进工程建设。建设单位积极配合设计单位呈现实情，设计单位应深入现场，全面把握第一手资料，使实施方案科学合理、切合实际。在进行可行性研究时，强调可行性和可操作性，以实事求是的态度对待可行性研究工作，注重建设地点是否可以落实、项目建设外部条件是否具备、建设内容规模是否科学合理、切合实际等，避免立项后存在先天不足，影响项目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（二）存在的问题及原因分析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一是我单位绩效项目相关工作人员因未参与过正式的业务培训，绩效知识较为薄弱。二是项目资金支付未完成，项目资金预期金额和实际支付金额存在偏差。</w:t>
      </w:r>
    </w:p>
    <w:p w14:paraId="7B465D6B">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七</w:t>
      </w:r>
      <w:r>
        <w:rPr>
          <w:rStyle w:val="18"/>
          <w:rFonts w:hint="eastAsia" w:ascii="黑体" w:hAnsi="黑体" w:eastAsia="黑体"/>
          <w:b w:val="0"/>
          <w:color w:val="auto"/>
          <w:spacing w:val="-4"/>
          <w:sz w:val="32"/>
          <w:szCs w:val="32"/>
        </w:rPr>
        <w:t>、有关建议</w:t>
      </w:r>
    </w:p>
    <w:p w14:paraId="0E77BB36">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b w:val="0"/>
          <w:bCs w:val="0"/>
          <w:color w:val="auto"/>
          <w:spacing w:val="-4"/>
          <w:sz w:val="32"/>
          <w:szCs w:val="32"/>
        </w:rPr>
        <w:t>一是加大对参与绩效管理工作的人员培训力度，进一步统一认识，充实业务知识。以提高工作人员素质，以达到预算绩效管理标准化、常态化的要求，最终实现提高绩效管理工作效率及质量的目标。二是提高本单位工作人员的绩效管理能力和工作水平，加快资金支付力度。</w:t>
      </w:r>
    </w:p>
    <w:p w14:paraId="7D3ADDBB">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八</w:t>
      </w:r>
      <w:r>
        <w:rPr>
          <w:rStyle w:val="18"/>
          <w:rFonts w:hint="eastAsia" w:ascii="黑体" w:hAnsi="黑体" w:eastAsia="黑体"/>
          <w:b w:val="0"/>
          <w:color w:val="auto"/>
          <w:spacing w:val="-4"/>
          <w:sz w:val="32"/>
          <w:szCs w:val="32"/>
        </w:rPr>
        <w:t>、其他需要说明的问题</w:t>
      </w:r>
    </w:p>
    <w:p w14:paraId="2A457931">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我单位对上述项目支出绩效评价报告内反映内容的真实性、完整性负责，接受上级部门及社会公众监督。</w:t>
      </w:r>
    </w:p>
    <w:p w14:paraId="0722E544">
      <w:pPr>
        <w:spacing w:line="540" w:lineRule="exact"/>
        <w:ind w:firstLine="567"/>
        <w:rPr>
          <w:rStyle w:val="18"/>
          <w:rFonts w:ascii="仿宋" w:hAnsi="仿宋" w:eastAsia="仿宋"/>
          <w:b w:val="0"/>
          <w:color w:val="auto"/>
          <w:spacing w:val="-4"/>
          <w:sz w:val="32"/>
          <w:szCs w:val="32"/>
        </w:rPr>
      </w:pPr>
    </w:p>
    <w:p w14:paraId="52B66479">
      <w:pPr>
        <w:spacing w:line="540" w:lineRule="exact"/>
        <w:ind w:firstLine="567"/>
        <w:rPr>
          <w:rStyle w:val="18"/>
          <w:rFonts w:ascii="仿宋" w:hAnsi="仿宋" w:eastAsia="仿宋"/>
          <w:b w:val="0"/>
          <w:color w:val="auto"/>
          <w:spacing w:val="-4"/>
          <w:sz w:val="32"/>
          <w:szCs w:val="32"/>
        </w:rPr>
      </w:pPr>
    </w:p>
    <w:p w14:paraId="2EB6B3E1">
      <w:pPr>
        <w:spacing w:line="540" w:lineRule="exact"/>
        <w:ind w:firstLine="567"/>
        <w:rPr>
          <w:rStyle w:val="18"/>
          <w:rFonts w:ascii="仿宋" w:hAnsi="仿宋" w:eastAsia="仿宋"/>
          <w:b w:val="0"/>
          <w:color w:val="auto"/>
          <w:spacing w:val="-4"/>
          <w:sz w:val="32"/>
          <w:szCs w:val="32"/>
        </w:rPr>
      </w:pPr>
    </w:p>
    <w:p w14:paraId="6E9E32D9">
      <w:pPr>
        <w:spacing w:line="540" w:lineRule="exact"/>
        <w:ind w:firstLine="567"/>
        <w:rPr>
          <w:rStyle w:val="18"/>
          <w:rFonts w:ascii="仿宋" w:hAnsi="仿宋" w:eastAsia="仿宋"/>
          <w:b w:val="0"/>
          <w:color w:val="auto"/>
          <w:spacing w:val="-4"/>
          <w:sz w:val="32"/>
          <w:szCs w:val="32"/>
        </w:rPr>
      </w:pPr>
    </w:p>
    <w:p w14:paraId="3C1EE6F9">
      <w:pPr>
        <w:spacing w:line="540" w:lineRule="exact"/>
        <w:ind w:firstLine="567"/>
        <w:rPr>
          <w:rStyle w:val="18"/>
          <w:rFonts w:ascii="仿宋" w:hAnsi="仿宋" w:eastAsia="仿宋"/>
          <w:b w:val="0"/>
          <w:color w:val="auto"/>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06E165A1">
        <w:pPr>
          <w:pStyle w:val="12"/>
          <w:jc w:val="center"/>
        </w:pPr>
        <w:r>
          <w:fldChar w:fldCharType="begin"/>
        </w:r>
        <w:r>
          <w:instrText xml:space="preserve">PAGE   \* MERGEFORMAT</w:instrText>
        </w:r>
        <w:r>
          <w:fldChar w:fldCharType="separate"/>
        </w:r>
        <w:r>
          <w:rPr>
            <w:lang w:val="zh-CN"/>
          </w:rPr>
          <w:t>2</w:t>
        </w:r>
        <w:r>
          <w:fldChar w:fldCharType="end"/>
        </w:r>
      </w:p>
    </w:sdtContent>
  </w:sdt>
  <w:p w14:paraId="2764647A">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1F3D3457"/>
    <w:rsid w:val="3029612C"/>
    <w:rsid w:val="32A221C5"/>
    <w:rsid w:val="33F20F2A"/>
    <w:rsid w:val="34C44675"/>
    <w:rsid w:val="3B5B5607"/>
    <w:rsid w:val="3CE21B3C"/>
    <w:rsid w:val="43B00D03"/>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7448</Words>
  <Characters>7925</Characters>
  <Lines>4</Lines>
  <Paragraphs>1</Paragraphs>
  <TotalTime>2</TotalTime>
  <ScaleCrop>false</ScaleCrop>
  <LinksUpToDate>false</LinksUpToDate>
  <CharactersWithSpaces>7949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2025-05-27T03:52:47Z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