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4CD01">
      <w:pPr>
        <w:spacing w:line="540" w:lineRule="exact"/>
        <w:jc w:val="left"/>
        <w:rPr>
          <w:rFonts w:ascii="仿宋" w:hAnsi="仿宋" w:eastAsia="仿宋" w:cs="宋体"/>
          <w:kern w:val="0"/>
          <w:sz w:val="32"/>
          <w:szCs w:val="32"/>
        </w:rPr>
      </w:pPr>
      <w:r>
        <w:rPr>
          <w:rFonts w:hint="eastAsia" w:ascii="仿宋" w:hAnsi="仿宋" w:eastAsia="仿宋" w:cs="宋体"/>
          <w:kern w:val="0"/>
          <w:sz w:val="32"/>
          <w:szCs w:val="32"/>
        </w:rPr>
        <w:t>附件2：</w:t>
      </w:r>
    </w:p>
    <w:p w14:paraId="1369B494">
      <w:pPr>
        <w:spacing w:line="540" w:lineRule="exact"/>
        <w:jc w:val="center"/>
        <w:rPr>
          <w:rFonts w:ascii="华文中宋" w:hAnsi="华文中宋" w:eastAsia="华文中宋" w:cs="宋体"/>
          <w:b/>
          <w:kern w:val="0"/>
          <w:sz w:val="52"/>
          <w:szCs w:val="52"/>
        </w:rPr>
      </w:pPr>
    </w:p>
    <w:p w14:paraId="0CB93AE7">
      <w:pPr>
        <w:spacing w:line="540" w:lineRule="exact"/>
        <w:jc w:val="center"/>
        <w:rPr>
          <w:rFonts w:ascii="华文中宋" w:hAnsi="华文中宋" w:eastAsia="华文中宋" w:cs="宋体"/>
          <w:b/>
          <w:kern w:val="0"/>
          <w:sz w:val="52"/>
          <w:szCs w:val="52"/>
        </w:rPr>
      </w:pPr>
    </w:p>
    <w:p w14:paraId="262CB72B">
      <w:pPr>
        <w:spacing w:line="540" w:lineRule="exact"/>
        <w:jc w:val="center"/>
        <w:rPr>
          <w:rFonts w:ascii="华文中宋" w:hAnsi="华文中宋" w:eastAsia="华文中宋" w:cs="宋体"/>
          <w:b/>
          <w:kern w:val="0"/>
          <w:sz w:val="52"/>
          <w:szCs w:val="52"/>
        </w:rPr>
      </w:pPr>
    </w:p>
    <w:p w14:paraId="1645FFBD">
      <w:pPr>
        <w:spacing w:line="540" w:lineRule="exact"/>
        <w:jc w:val="center"/>
        <w:rPr>
          <w:rFonts w:ascii="华文中宋" w:hAnsi="华文中宋" w:eastAsia="华文中宋" w:cs="宋体"/>
          <w:b/>
          <w:kern w:val="0"/>
          <w:sz w:val="52"/>
          <w:szCs w:val="52"/>
        </w:rPr>
      </w:pPr>
    </w:p>
    <w:p w14:paraId="51E18A39">
      <w:pPr>
        <w:spacing w:line="540" w:lineRule="exact"/>
        <w:jc w:val="center"/>
        <w:rPr>
          <w:rFonts w:ascii="华文中宋" w:hAnsi="华文中宋" w:eastAsia="华文中宋" w:cs="宋体"/>
          <w:b/>
          <w:kern w:val="0"/>
          <w:sz w:val="52"/>
          <w:szCs w:val="52"/>
        </w:rPr>
      </w:pPr>
    </w:p>
    <w:p w14:paraId="2C3E2ECB">
      <w:pPr>
        <w:spacing w:line="540" w:lineRule="exact"/>
        <w:jc w:val="center"/>
        <w:rPr>
          <w:rFonts w:ascii="华文中宋" w:hAnsi="华文中宋" w:eastAsia="华文中宋" w:cs="宋体"/>
          <w:b/>
          <w:kern w:val="0"/>
          <w:sz w:val="52"/>
          <w:szCs w:val="52"/>
        </w:rPr>
      </w:pPr>
    </w:p>
    <w:p w14:paraId="5C0955CA">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03366014">
      <w:pPr>
        <w:spacing w:line="540" w:lineRule="exact"/>
        <w:jc w:val="center"/>
        <w:rPr>
          <w:rFonts w:ascii="华文中宋" w:hAnsi="华文中宋" w:eastAsia="华文中宋" w:cs="宋体"/>
          <w:b/>
          <w:kern w:val="0"/>
          <w:sz w:val="52"/>
          <w:szCs w:val="52"/>
        </w:rPr>
      </w:pPr>
    </w:p>
    <w:p w14:paraId="1F2C7C63">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54FF0B31">
      <w:pPr>
        <w:spacing w:line="540" w:lineRule="exact"/>
        <w:jc w:val="center"/>
        <w:rPr>
          <w:rFonts w:hAnsi="宋体" w:eastAsia="仿宋_GB2312" w:cs="宋体"/>
          <w:kern w:val="0"/>
          <w:sz w:val="30"/>
          <w:szCs w:val="30"/>
        </w:rPr>
      </w:pPr>
    </w:p>
    <w:p w14:paraId="7DEB6B06">
      <w:pPr>
        <w:spacing w:line="540" w:lineRule="exact"/>
        <w:jc w:val="center"/>
        <w:rPr>
          <w:rFonts w:hAnsi="宋体" w:eastAsia="仿宋_GB2312" w:cs="宋体"/>
          <w:kern w:val="0"/>
          <w:sz w:val="30"/>
          <w:szCs w:val="30"/>
        </w:rPr>
      </w:pPr>
    </w:p>
    <w:p w14:paraId="650040C3">
      <w:pPr>
        <w:spacing w:line="540" w:lineRule="exact"/>
        <w:jc w:val="center"/>
        <w:rPr>
          <w:rFonts w:hAnsi="宋体" w:eastAsia="仿宋_GB2312" w:cs="宋体"/>
          <w:kern w:val="0"/>
          <w:sz w:val="30"/>
          <w:szCs w:val="30"/>
        </w:rPr>
      </w:pPr>
    </w:p>
    <w:p w14:paraId="04F5A7C7">
      <w:pPr>
        <w:spacing w:line="540" w:lineRule="exact"/>
        <w:jc w:val="center"/>
        <w:rPr>
          <w:rFonts w:hAnsi="宋体" w:eastAsia="仿宋_GB2312" w:cs="宋体"/>
          <w:kern w:val="0"/>
          <w:sz w:val="30"/>
          <w:szCs w:val="30"/>
        </w:rPr>
      </w:pPr>
    </w:p>
    <w:p w14:paraId="7129C928">
      <w:pPr>
        <w:spacing w:line="540" w:lineRule="exact"/>
        <w:jc w:val="center"/>
        <w:rPr>
          <w:rFonts w:hAnsi="宋体" w:eastAsia="仿宋_GB2312" w:cs="宋体"/>
          <w:kern w:val="0"/>
          <w:sz w:val="30"/>
          <w:szCs w:val="30"/>
        </w:rPr>
      </w:pPr>
    </w:p>
    <w:p w14:paraId="74814C68">
      <w:pPr>
        <w:spacing w:line="540" w:lineRule="exact"/>
        <w:jc w:val="center"/>
        <w:rPr>
          <w:rFonts w:hAnsi="宋体" w:eastAsia="仿宋_GB2312" w:cs="宋体"/>
          <w:kern w:val="0"/>
          <w:sz w:val="30"/>
          <w:szCs w:val="30"/>
        </w:rPr>
      </w:pPr>
    </w:p>
    <w:p w14:paraId="2CF94014">
      <w:pPr>
        <w:spacing w:line="540" w:lineRule="exact"/>
        <w:rPr>
          <w:rFonts w:hAnsi="宋体" w:eastAsia="仿宋_GB2312" w:cs="宋体"/>
          <w:kern w:val="0"/>
          <w:sz w:val="30"/>
          <w:szCs w:val="30"/>
        </w:rPr>
      </w:pPr>
    </w:p>
    <w:p w14:paraId="5B7465B9">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1AEB29C3">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业务费补助</w:t>
      </w:r>
    </w:p>
    <w:p w14:paraId="51402212">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昌吉市人民法院</w:t>
      </w:r>
    </w:p>
    <w:p w14:paraId="4F2E21F9">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昌吉市人民法院</w:t>
      </w:r>
    </w:p>
    <w:p w14:paraId="21DB86E8">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王胜军</w:t>
      </w:r>
    </w:p>
    <w:p w14:paraId="67D0C1C5">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2024年05月15日</w:t>
      </w:r>
    </w:p>
    <w:p w14:paraId="5651B94E">
      <w:pPr>
        <w:spacing w:line="700" w:lineRule="exact"/>
        <w:ind w:firstLine="708" w:firstLineChars="236"/>
        <w:jc w:val="left"/>
        <w:rPr>
          <w:rFonts w:hAnsi="宋体" w:eastAsia="仿宋_GB2312" w:cs="宋体"/>
          <w:kern w:val="0"/>
          <w:sz w:val="30"/>
          <w:szCs w:val="30"/>
        </w:rPr>
      </w:pPr>
    </w:p>
    <w:p w14:paraId="2AFA1A00">
      <w:pPr>
        <w:spacing w:line="540" w:lineRule="exact"/>
        <w:rPr>
          <w:rStyle w:val="18"/>
          <w:rFonts w:ascii="黑体" w:hAnsi="黑体" w:eastAsia="黑体"/>
          <w:b w:val="0"/>
          <w:spacing w:val="-4"/>
          <w:sz w:val="32"/>
          <w:szCs w:val="32"/>
        </w:rPr>
      </w:pPr>
    </w:p>
    <w:p w14:paraId="2E560D1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2C8E9D64">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606A2B3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了提高审判办案质效，保障法院重点工作，弥补法院项目经费不足的情况，最高人民法院财政部下发了《司法行政机关办案(业务)经费和业务装备经费开支范围》[85]司发计字第384号)、《最高人民法院关于进一步推进案件繁简分流优化司法资源配置的若干意见》（法发〔2016〕21号），该通知主要是围绕法院审判办案所需的业务经费以及办案有关的一些经费支出作出规范要求，以提高审判办案质效，提高案件结案率、执行率，保障法院重点工作，弥补法院项目经费不足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昌吉市人民法院使用该项目资金主要用于保障法院依法履行审判执行、受理案件职责，保障130名工作人员工资。通过实施该项目，有利于为我院提供必要的经费支持，提升社会公众满意度，维护社会稳定与长治久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（1）项目名称：业务费补助项目（以下简称“该项目”或“项目”）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（2）项目主要内容：本项目主要用于法院依法履行审判执行、受理案件4个月的后勤经费支出30万元，3个保洁人员4个月工资 45707.20元，8个厨房大师傅4个月工资 187881.60元，4个驾驶员4个月工资  71576元，114个书记员4个月工资3034835.2元。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实施主体：昌吉市人民法院。</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开始实施，截止2023年7月已全部支付受理、审判案件工作人员4个月后勤经费支出，全部支付8个厨房大师傅、3个保洁人员、4个驾驶员、114个书记员4个月工资，支付前办公室已全部通过政采云成交并验收，通过本项目的实施，提升了社会公众满意度，维护了社会稳定与长治久安。</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市人民法院是国家审判机关，对市人民代表大会及常务委员会负责并报告工作，接受自治州中级人民法院对审判工作的监督和业务指导，正科级建制。其主要职责是：1.依法审判法律规定由基层人民法院管辖，自治州中级人民法院指定管辖或者认为应当由自己审判的刑事、民事、行政等第一审案件。2.审理上级法院指令再审的各类案件；受理不服本院一审生效裁判的各类申诉和再诉申请，对其中确有错误的，依法提起再审。3.依法审判由市人民检察院按照审判监督程序提出的抗诉案件。4.处理不需要开庭审判的民事纠纷和轻微的刑事案件。5.依法行使司法执行权和司法决定权。6.依法办理外地法院委托办理的司法协助事项。7.对法院的法官和其他工作人员进行思想政治教育，组织业务专业培训和监督管理工作。8.指导基层人民调解委员会的工作。9.在审判工作中宣传法制，教育公民自觉遵守宪法、法律。10.管理人民法院的有关经费和物质装备。11.承办其他应当由市法院负责的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2023年业务费补助项目的实施主体为昌吉市人民法院，该单位纳入2023年部门决算编制范围的有13个科室，分别是：行政办公室、 政治部、司法警察大队、立案庭、民事审判第一庭、民事审判第二庭、刑事审 判庭、行政审判庭、审判研究室（审判委员会办公室）、执行局、大西渠人民 法庭、滨湖人民法庭、三工法庭。</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编制人数为153人，其中：行政人员编制148人、工勤5人。实有在职人数27人，其中：行政在职129人、工勤14人。离退休人员60人，遗属人员1人。其中：行政退休人员60人。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本项目预算安排总额为364万元，资金来源为本级部门预算，其中：财政资金364万元，其他资金0万元，2023年实际收到预算资金364万元，预算资金到位率为100.0%。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截至2023年12月31日，本项目实际支付资金364万元，预算执行率100.0%。本项目资金主要用于支付干部工资费用334万元、业务保障费用30万元。</w:t>
      </w:r>
    </w:p>
    <w:p w14:paraId="2BB7E635">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31BA9FE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达到社会稳定与长治久安，使社会公众满意度达到90%，更好的履行审判执行、受理案件职责，我单位计划受理案件数量大于3万件，保障干部人数大于等于130人，受理案件完成率达到90%，业务经费支付及时率达到100%，保障人员经费小于等于334万元，保障业务经费小于等于30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“受理案件数量”指标，预期指标值为“大于3万件”；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“保障干部人数”指标，预期指标值为“大于等于130人”；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“受理案件完成率”指标，预期指标值为“大于等于90%”；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“业务经费支付及时率”指标，预期指标值为“等于100%”；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“保障人员经费”指标，预期指标值为“小于等于334万元”；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“保障业务经费”指标，预期指标值为“小于等于30万元”；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“维护社会稳定与长治久安”指标，预期指标值为“长久”；</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“社会公众满意度”指标，预期指标值为“大于等于90%”。</w:t>
      </w:r>
    </w:p>
    <w:p w14:paraId="2CFDFCE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22272B59">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1732838E">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（5）《司法行政机关办案(业务)经费和业务装备经费开支范围》[85]司发计字第384号)；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（6）《最高人民法院关于进一步推进案件繁简分流优化司法资源配置的若干意见 》（法发〔2016〕21号）。</w:t>
      </w:r>
    </w:p>
    <w:p w14:paraId="51DE841A">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65A741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为下年度部门项目支出预算安排、完善政策和改进管理提供可行性参考建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（5）《司法行政机关办案(业务)经费和业务装备经费开支范围》[85]司发计字第384号)；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（6）《最高人民法院关于进一步推进案件繁简分流优化司法资源配置的若干意见 》（法发〔2016〕21号）。</w:t>
      </w:r>
    </w:p>
    <w:p w14:paraId="3C40767D">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0BD5D1B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6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李佩隶（评价小组组长）：主要负责项目策划和监督，全面负责项目绩效评价办稿的最终质量，对评估人员出具的最终报告质量进行复核，确保评估结果的客观性；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张玉芳（评价小组组员）：主要负责资料的收集，取证、数据统计分析；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王思玉（评价小组组员）：主要负责主要负责项目报告的制定，指标的研判，数据分析及报告撰写。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2024年3月7日-3月16日，评价工作进入实施阶段。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经调研了解，该项目主要受益群体包括社会公众。我们根据绩效评价目标和绩效指标体系，设计满意度调查问卷进行问卷调查，其中社会公众受益对象共选取样本20人，共发放问卷20份，最终收回20份。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2024年3月17日-3月27日，评价小组按照绩效评价的原则和规范，对取得的资料进行审查核实，对采集的数据进行分析，按照绩效评价指标评分表逐项进行打分、分析、汇总各方评价结果。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w:t>
      </w:r>
      <w:bookmarkStart w:id="0" w:name="_GoBack"/>
      <w:bookmarkEnd w:id="0"/>
      <w:r>
        <w:rPr>
          <w:rStyle w:val="18"/>
          <w:rFonts w:hint="eastAsia" w:ascii="楷体" w:hAnsi="楷体" w:eastAsia="楷体"/>
          <w:b w:val="0"/>
          <w:bCs w:val="0"/>
          <w:spacing w:val="-4"/>
          <w:sz w:val="32"/>
          <w:szCs w:val="32"/>
        </w:rPr>
        <w:t>7日-4月9日，评价小组撰写绩效评价报告，按照新疆维吾尔自治区财政绩效管理信息系统绩效评价模块中统一格式和文本框架撰写绩效评价报告并提交审核。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7704E3A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167576B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项目的实施，完成了受理案件数量、保障干部人数产出目标，发挥了维护社会稳定与长治久安效益。但在实施过程中也存在一些不足：预算支出责任意识不够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19个，总体完成率为100.0%。最终评分结果：总分为100.0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过程管理类指标共设置5个，满分指标5个，得分率100.0%；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项目产出类指标共设置4个，满分指标4个，得分率100.0%；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项目成本类指标共设置2个，满分指标2个，得分率100.0%；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项目效益类指标共设置2个，满分指标2个，得分率100.0%。</w:t>
      </w:r>
    </w:p>
    <w:p w14:paraId="4DB68B89">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0AB52C96">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5A65A611">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项目决策类指标由3个二级指标和6个三级指标构成，权重分21.00分，实际得分21.00分。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本项目立项符合最高人民法院颁发的《司法行政机关办案(业务)经费和业务装备经费开支范围》[85]司发计字第384号)中：“一、调解费：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调解委员会的办公文具、纸张补助费，调解人员学习专业资料费、误工补贴、表彰会经费，无固定工资收入、工作成绩优异的调解人员生活补助费；九、其他：上述一至八项未能包括的其他司法行政业务费用。”；本项目立项符合《最高人民法院关于进一步推进案件繁简分流优化司法资源配置的若干意见 》（法发〔2016〕21号）中：“提升人案配比科学性。在精确测算人员、案件数量和工作量的基础上，动态调整不同法院、不同审判部门的审判力量。根据法院审级、案件繁简等相关因素，合理确定法官、法官助理、书记员的配置比例，科学界定各自职能定位及其相互关系，最大程度地发挥审判团队优势。”内容，符合行业发展规划和政策要求；本项目立项符合《昌吉市人民法院配置内设机构和人员编制规定》中职责范围中的“依法审判法律规定由基层人民法院管辖，自治州中级人民法院指定管辖或者认为应当由自己审判的刑事、民事、行政等第一审案件。审理上级法院指令再审的各类案件；受理不服本院一审生效裁判的各类申诉和再诉申请，对其中确有错误的，依法提起再审。”属于我单位履职所需；根据《财政资金直接支付申请书》，本项目资金性质为“公共财政预算”功能分类为“一般行政管理事务”经济分类为“商品和服务支出、对个人和家庭的补助、资本性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本项目为非基础建设类项目，属于专项资金安排项目，不涉及事前绩效评估、可行性研究以及风险评估，由我单位严格按照昌州党财〔2023〕001号文件要求实施项目。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本项目已设置年度绩效目标，具体内容为“根据《司法行政机关办案(业务)经费和业务装备经费开支范围》[85]司发计字第384号)、《最高人民法院关于进一步推进案件繁简分流优化司法资源配置的若干意见 》（法发〔2016〕21号）。我单位负责受理民事、刑事、行政等案件3万件；保障130名工作人员，依法受理、审、执案件,办理公益诉讼案件，最后达到维护社会稳定与长治久安的效果。”；本项目实际工作内容为：受理案件数量4.62万件；保障130名工作人员，受理案件完成率达到94.52%，业务经费支付及时率达到100%，保障人员经费334万元，保障业务经费30万元，最后达到维护社会稳定与长治久安的效果；绩效目标与实际工作内容一致，两者具有相关性;本项目按照绩效目标完成了数量指标、质量指标、时效指标、成本指标，有效维护社会稳定与长治久安，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8个，定量指标7个，定性指标1个，指标量化率为87.5%，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本项目预算编制通过市场询价测算得出，受理、审判案件人员4个月后勤经费支出30万元，3个保洁人员4个月工资 45707.20元，8个厨房大师傅4个月工资 187881.60元，4个驾驶员4个月工资  71576元，114个书记员4个月工资3034835.2元。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即预算编制较科学且经过论证；</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预算申请内容为人员工资及业务费补助，项目实际内容为人员工资和办案经费，预算申请与《业务费补助项目实施方案》中涉及的项目内容匹配；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364万元，我单位在预算申请中严格按照分项成本进行核算，其中：保障人员经费成本为334万元、保障业务经费成本为30万元。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业务费补助项目资金的请示》和《业务费补助项目实施方案》为依据进行资金分配，预算资金分配依据充分。根据《2023年预算资金批复》文件显示，本项目实际到位资金364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2B8945BC">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4F39023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项目过程管理类指标由2个二级指标和5个三级指标构成，权重分19.00分，实际得分19.00分。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364万元，其中：本级财政安排资金364万元，其他资金0万元，实际到位资金364万元，资金到位率等于（实际到位资金/预算资金）×100.00%等于（364/364）×100.00%等于100.0%。得分等于资金到位率*分值等于100.0%×4等于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本项目实际支出资金364万元，预算执行率等于（实际支出资金/实际到位资金）×100.00%等于（364/364）×100.00%等于100%。得分等于预算执行率×分值等于100%×5等于5分。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市人民法院资金管理办法》《昌吉市人民法院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市人民法院资金管理办法》《昌吉市人民法院收支业务管理制度》《昌吉市人民法院政府采购业务管理制度》《昌吉市人民法院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业务费补助项目工作领导小组，由院长王胜军任组长，负责项目的组织工作；刘威任副组长，负责项目的实施工作；组员包括：李智刚，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364228FE">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2C24C6C5">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项目产出类指标3个二级指标和4个三级指标构成，权重分20.0分，实际得分20.0分。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“受理案件数量”指标：预期指标值为“大于3万件”，实际完成指标值为“4.62万件”，指标完成率为100.0%。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“保障干部人数”指标：预期指标值为“大于等于130人”，实际完成指标值为“130人”，指标完成率为100.0%。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综上所述，本指标满分为10.0分，根据评分标准得10.0分。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“受理案件完成率”指标：预期指标值为“大于等于90%”，实际完成指标值为“94.52%”，指标完成率为100.0%。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“业务经费支付及时率”指标：预期指标值为“100%”，实际完成指标值为“100%”，指标完成率为100.0%。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（四）项目成本情况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项目成本情况指标由1个二级指标和2个三级指标构成，权重分10.0分，实际得分10.0分。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“保障人员经费”指标：预期指标值为“小于等于334万元”，实际完成指标值为“334万元”，指标完成率为100.0%。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“保障业务经费”指标：预期指标值为“小于等于30万元”，实际完成指标值为“30万元”，指标完成率为100.0%。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综上所述，本指标满分为10.0分，根据评分标准得10.0分。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3.生态环境成本指标完成情况分析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p>
    <w:p w14:paraId="79F0EC71">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0D3AC848">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项目效益类指标由2个二级指标和2个三级指标构成，权重分30.0分，实际得分30.0分。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“维护社会稳定与长治久安”指标：预期指标值为“长久”，实际完成指标值为“长久”，指标完成率为100.0%。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综上所述，本指标满分为15.0分，根据评分标准得15.0分。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“社会公众满意度”指标：预期指标值为“大于等于90%”，实际完成指标值为“100%”，指标完成率为100.0%。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综上所述，本指标满分为15.0分，根据评分标准得15.0分。</w:t>
      </w:r>
    </w:p>
    <w:p w14:paraId="437236C5">
      <w:pPr>
        <w:spacing w:line="540" w:lineRule="exact"/>
        <w:ind w:firstLine="567"/>
        <w:rPr>
          <w:rStyle w:val="18"/>
          <w:rFonts w:ascii="楷体" w:hAnsi="楷体" w:eastAsia="楷体"/>
          <w:spacing w:val="-4"/>
          <w:sz w:val="32"/>
          <w:szCs w:val="32"/>
        </w:rPr>
      </w:pPr>
    </w:p>
    <w:p w14:paraId="29C6C7F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47CCBC4A">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本项目年初预算资金总额为364.00万元，全年预算数为364.00万元，全年执行数为364.00万元，预算执行率为100.0%。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本项目共设置三级指标数量19个，满分指标数量19个，扣分指标数量0个，经分析计算所有三级指标完成率得出，本项目总体完成率为100.0%。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综上所述本项目预算执行进度与绩效指标完成进度无偏差。</w:t>
      </w:r>
    </w:p>
    <w:p w14:paraId="75FDB91C">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60B84885">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办公室建立健全了预算管理规章制度，各部门严格按预算编制和要求做好当年预算编制工作，在预算绩效管理工作中，做到合理安排各项资金，重点保障基本支出，按轻重缓急顺序原则，优先安排了昌吉市人民政府办公室事业发展中关系民生与稳定的项目，切实优化资源配置，提高了资金使用的效率和效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所设定的绩效目标依据充分，绩效目标设定的绩效指标明确，预算编制具有合理性，制度建设完全，相关制度执行有效，资金到位不及时，但未影响项目进度。项目资金严格按照预算管理规定开支，项目能够按时开展，并及时完成，总体完成质量较好，达成了既定的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重视前期工作，做好实施方案。建设单位通过关口前置，把项目单位之所需、项目单位之所想、项目单位之所困作为设计工作的基础，在做设计的过程中让这些因素得到充分考量和体现，细化实化工程任务，协调推进工程建设。建设单位积极配合设计单位呈现实情，设计单位应深入现场，全面把握第一手资料，使实施方案科学合理、切合实际。在进行可行性研究时，强调可行性和可操作性，以实事求是的态度对待可行性研究工作，注重建设地点是否可以落实、项目建设外部条件是否具备、建设内容规模是否科学合理、切合实际等，避免立项后存在先天不足，影响项目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我单位绩效项目相关工作人员因未参与过正式的业务培训，绩效知识较为薄弱。</w:t>
      </w:r>
    </w:p>
    <w:p w14:paraId="7E998FF0">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404909BD">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加强预算绩效目标编制的培训学习。提高绩效目标编制质量，确保绩效目标“够得着、能实现”。加大对参与绩效管理工作的人员培训力度，进一步统一认识，充实业务知识。以提高工作人员素质，以达到预算绩效管理标准化、常态化的要求，最终实现提高绩效管理工作效率及质量的目标。</w:t>
      </w:r>
    </w:p>
    <w:p w14:paraId="4FA2FC91">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6F1DEE2D">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我单位对上述项目支出绩效评价报告内反映内容的真实性、完整性负责，接受上级部门及社会公众监督。</w:t>
      </w:r>
    </w:p>
    <w:p w14:paraId="5C0EFC5A">
      <w:pPr>
        <w:spacing w:line="540" w:lineRule="exact"/>
        <w:ind w:firstLine="567"/>
        <w:rPr>
          <w:rStyle w:val="18"/>
          <w:rFonts w:ascii="仿宋" w:hAnsi="仿宋" w:eastAsia="仿宋"/>
          <w:b w:val="0"/>
          <w:spacing w:val="-4"/>
          <w:sz w:val="32"/>
          <w:szCs w:val="32"/>
        </w:rPr>
      </w:pPr>
    </w:p>
    <w:p w14:paraId="296E204F">
      <w:pPr>
        <w:spacing w:line="540" w:lineRule="exact"/>
        <w:ind w:firstLine="567"/>
        <w:rPr>
          <w:rStyle w:val="18"/>
          <w:rFonts w:ascii="仿宋" w:hAnsi="仿宋" w:eastAsia="仿宋"/>
          <w:b w:val="0"/>
          <w:spacing w:val="-4"/>
          <w:sz w:val="32"/>
          <w:szCs w:val="32"/>
        </w:rPr>
      </w:pPr>
    </w:p>
    <w:p w14:paraId="49F2CAB7">
      <w:pPr>
        <w:spacing w:line="540" w:lineRule="exact"/>
        <w:ind w:firstLine="567"/>
        <w:rPr>
          <w:rStyle w:val="18"/>
          <w:rFonts w:ascii="仿宋" w:hAnsi="仿宋" w:eastAsia="仿宋"/>
          <w:b w:val="0"/>
          <w:spacing w:val="-4"/>
          <w:sz w:val="32"/>
          <w:szCs w:val="32"/>
        </w:rPr>
      </w:pPr>
    </w:p>
    <w:p w14:paraId="67EDD29E">
      <w:pPr>
        <w:spacing w:line="540" w:lineRule="exact"/>
        <w:ind w:firstLine="567"/>
        <w:rPr>
          <w:rStyle w:val="18"/>
          <w:rFonts w:ascii="仿宋" w:hAnsi="仿宋" w:eastAsia="仿宋"/>
          <w:b w:val="0"/>
          <w:spacing w:val="-4"/>
          <w:sz w:val="32"/>
          <w:szCs w:val="32"/>
        </w:rPr>
      </w:pPr>
    </w:p>
    <w:p w14:paraId="02B1E343">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171E226A">
        <w:pPr>
          <w:pStyle w:val="12"/>
          <w:jc w:val="center"/>
        </w:pPr>
        <w:r>
          <w:fldChar w:fldCharType="begin"/>
        </w:r>
        <w:r>
          <w:instrText xml:space="preserve">PAGE   \* MERGEFORMAT</w:instrText>
        </w:r>
        <w:r>
          <w:fldChar w:fldCharType="separate"/>
        </w:r>
        <w:r>
          <w:rPr>
            <w:lang w:val="zh-CN"/>
          </w:rPr>
          <w:t>2</w:t>
        </w:r>
        <w:r>
          <w:fldChar w:fldCharType="end"/>
        </w:r>
      </w:p>
    </w:sdtContent>
  </w:sdt>
  <w:p w14:paraId="39C8DE17">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0C224FA9"/>
    <w:rsid w:val="11BD75F7"/>
    <w:rsid w:val="13BE561A"/>
    <w:rsid w:val="15392994"/>
    <w:rsid w:val="18FE139B"/>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7783</Words>
  <Characters>8337</Characters>
  <Lines>4</Lines>
  <Paragraphs>1</Paragraphs>
  <TotalTime>3</TotalTime>
  <ScaleCrop>false</ScaleCrop>
  <LinksUpToDate>false</LinksUpToDate>
  <CharactersWithSpaces>8368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2025-05-27T03:35:57Z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