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F4039C">
      <w:pPr>
        <w:spacing w:line="540" w:lineRule="exact"/>
        <w:jc w:val="left"/>
        <w:rPr>
          <w:rFonts w:ascii="仿宋" w:hAnsi="仿宋" w:eastAsia="仿宋" w:cs="宋体"/>
          <w:color w:val="auto"/>
          <w:kern w:val="0"/>
          <w:sz w:val="32"/>
          <w:szCs w:val="32"/>
        </w:rPr>
      </w:pPr>
      <w:bookmarkStart w:id="0" w:name="_GoBack"/>
      <w:bookmarkEnd w:id="0"/>
      <w:r>
        <w:rPr>
          <w:rFonts w:hint="eastAsia" w:ascii="仿宋" w:hAnsi="仿宋" w:eastAsia="仿宋" w:cs="宋体"/>
          <w:color w:val="auto"/>
          <w:kern w:val="0"/>
          <w:sz w:val="32"/>
          <w:szCs w:val="32"/>
        </w:rPr>
        <w:t>附件2：</w:t>
      </w:r>
    </w:p>
    <w:p w14:paraId="30180B4B">
      <w:pPr>
        <w:spacing w:line="540" w:lineRule="exact"/>
        <w:jc w:val="center"/>
        <w:rPr>
          <w:rFonts w:ascii="华文中宋" w:hAnsi="华文中宋" w:eastAsia="华文中宋" w:cs="宋体"/>
          <w:b/>
          <w:color w:val="auto"/>
          <w:kern w:val="0"/>
          <w:sz w:val="52"/>
          <w:szCs w:val="52"/>
        </w:rPr>
      </w:pPr>
    </w:p>
    <w:p w14:paraId="5F717BD1">
      <w:pPr>
        <w:spacing w:line="540" w:lineRule="exact"/>
        <w:jc w:val="center"/>
        <w:rPr>
          <w:rFonts w:ascii="华文中宋" w:hAnsi="华文中宋" w:eastAsia="华文中宋" w:cs="宋体"/>
          <w:b/>
          <w:color w:val="auto"/>
          <w:kern w:val="0"/>
          <w:sz w:val="52"/>
          <w:szCs w:val="52"/>
        </w:rPr>
      </w:pPr>
    </w:p>
    <w:p w14:paraId="3599541C">
      <w:pPr>
        <w:spacing w:line="540" w:lineRule="exact"/>
        <w:jc w:val="center"/>
        <w:rPr>
          <w:rFonts w:ascii="华文中宋" w:hAnsi="华文中宋" w:eastAsia="华文中宋" w:cs="宋体"/>
          <w:b/>
          <w:color w:val="auto"/>
          <w:kern w:val="0"/>
          <w:sz w:val="52"/>
          <w:szCs w:val="52"/>
        </w:rPr>
      </w:pPr>
    </w:p>
    <w:p w14:paraId="0ED33CE9">
      <w:pPr>
        <w:spacing w:line="540" w:lineRule="exact"/>
        <w:jc w:val="center"/>
        <w:rPr>
          <w:rFonts w:ascii="华文中宋" w:hAnsi="华文中宋" w:eastAsia="华文中宋" w:cs="宋体"/>
          <w:b/>
          <w:color w:val="auto"/>
          <w:kern w:val="0"/>
          <w:sz w:val="52"/>
          <w:szCs w:val="52"/>
        </w:rPr>
      </w:pPr>
    </w:p>
    <w:p w14:paraId="08B40467">
      <w:pPr>
        <w:spacing w:line="540" w:lineRule="exact"/>
        <w:jc w:val="center"/>
        <w:rPr>
          <w:rFonts w:ascii="华文中宋" w:hAnsi="华文中宋" w:eastAsia="华文中宋" w:cs="宋体"/>
          <w:b/>
          <w:color w:val="auto"/>
          <w:kern w:val="0"/>
          <w:sz w:val="52"/>
          <w:szCs w:val="52"/>
        </w:rPr>
      </w:pPr>
    </w:p>
    <w:p w14:paraId="4B4B8C2F">
      <w:pPr>
        <w:spacing w:line="540" w:lineRule="exact"/>
        <w:jc w:val="center"/>
        <w:rPr>
          <w:rFonts w:ascii="华文中宋" w:hAnsi="华文中宋" w:eastAsia="华文中宋" w:cs="宋体"/>
          <w:b/>
          <w:color w:val="auto"/>
          <w:kern w:val="0"/>
          <w:sz w:val="52"/>
          <w:szCs w:val="52"/>
        </w:rPr>
      </w:pPr>
    </w:p>
    <w:p w14:paraId="4A089476">
      <w:pPr>
        <w:spacing w:line="540" w:lineRule="exact"/>
        <w:jc w:val="center"/>
        <w:rPr>
          <w:rFonts w:ascii="方正小标宋_GBK" w:hAnsi="华文中宋" w:eastAsia="方正小标宋_GBK" w:cs="宋体"/>
          <w:b/>
          <w:color w:val="auto"/>
          <w:kern w:val="0"/>
          <w:sz w:val="48"/>
          <w:szCs w:val="48"/>
        </w:rPr>
      </w:pPr>
      <w:r>
        <w:rPr>
          <w:rFonts w:hint="eastAsia" w:ascii="方正小标宋_GBK" w:hAnsi="华文中宋" w:eastAsia="方正小标宋_GBK" w:cs="宋体"/>
          <w:b/>
          <w:color w:val="auto"/>
          <w:kern w:val="0"/>
          <w:sz w:val="48"/>
          <w:szCs w:val="48"/>
        </w:rPr>
        <w:t>项目支出绩效自评报告</w:t>
      </w:r>
    </w:p>
    <w:p w14:paraId="45057B43">
      <w:pPr>
        <w:spacing w:line="540" w:lineRule="exact"/>
        <w:jc w:val="center"/>
        <w:rPr>
          <w:rFonts w:ascii="华文中宋" w:hAnsi="华文中宋" w:eastAsia="华文中宋" w:cs="宋体"/>
          <w:b/>
          <w:color w:val="auto"/>
          <w:kern w:val="0"/>
          <w:sz w:val="52"/>
          <w:szCs w:val="52"/>
        </w:rPr>
      </w:pPr>
    </w:p>
    <w:p w14:paraId="46774326">
      <w:pPr>
        <w:spacing w:line="540" w:lineRule="exact"/>
        <w:jc w:val="center"/>
        <w:rPr>
          <w:rFonts w:hAnsi="宋体" w:eastAsia="仿宋_GB2312" w:cs="宋体"/>
          <w:color w:val="auto"/>
          <w:kern w:val="0"/>
          <w:sz w:val="36"/>
          <w:szCs w:val="36"/>
        </w:rPr>
      </w:pPr>
      <w:r>
        <w:rPr>
          <w:rFonts w:hint="eastAsia" w:hAnsi="宋体" w:eastAsia="仿宋_GB2312" w:cs="宋体"/>
          <w:color w:val="auto"/>
          <w:kern w:val="0"/>
          <w:sz w:val="36"/>
          <w:szCs w:val="36"/>
        </w:rPr>
        <w:t xml:space="preserve">（   </w:t>
      </w:r>
      <w:r>
        <w:rPr>
          <w:rStyle w:val="18"/>
          <w:rFonts w:hint="eastAsia" w:ascii="楷体" w:hAnsi="楷体" w:eastAsia="楷体"/>
          <w:color w:val="auto"/>
          <w:spacing w:val="-4"/>
          <w:sz w:val="32"/>
          <w:szCs w:val="32"/>
        </w:rPr>
        <w:t>2023</w:t>
      </w:r>
      <w:r>
        <w:rPr>
          <w:rFonts w:hint="eastAsia" w:hAnsi="宋体" w:eastAsia="仿宋_GB2312" w:cs="宋体"/>
          <w:color w:val="auto"/>
          <w:kern w:val="0"/>
          <w:sz w:val="36"/>
          <w:szCs w:val="36"/>
        </w:rPr>
        <w:t xml:space="preserve">  年度）</w:t>
      </w:r>
    </w:p>
    <w:p w14:paraId="7C96468F">
      <w:pPr>
        <w:spacing w:line="540" w:lineRule="exact"/>
        <w:jc w:val="center"/>
        <w:rPr>
          <w:rFonts w:hAnsi="宋体" w:eastAsia="仿宋_GB2312" w:cs="宋体"/>
          <w:color w:val="auto"/>
          <w:kern w:val="0"/>
          <w:sz w:val="30"/>
          <w:szCs w:val="30"/>
        </w:rPr>
      </w:pPr>
    </w:p>
    <w:p w14:paraId="5611162E">
      <w:pPr>
        <w:spacing w:line="540" w:lineRule="exact"/>
        <w:jc w:val="center"/>
        <w:rPr>
          <w:rFonts w:hAnsi="宋体" w:eastAsia="仿宋_GB2312" w:cs="宋体"/>
          <w:color w:val="auto"/>
          <w:kern w:val="0"/>
          <w:sz w:val="30"/>
          <w:szCs w:val="30"/>
        </w:rPr>
      </w:pPr>
    </w:p>
    <w:p w14:paraId="20BEC30C">
      <w:pPr>
        <w:spacing w:line="540" w:lineRule="exact"/>
        <w:jc w:val="center"/>
        <w:rPr>
          <w:rFonts w:hAnsi="宋体" w:eastAsia="仿宋_GB2312" w:cs="宋体"/>
          <w:color w:val="auto"/>
          <w:kern w:val="0"/>
          <w:sz w:val="30"/>
          <w:szCs w:val="30"/>
        </w:rPr>
      </w:pPr>
    </w:p>
    <w:p w14:paraId="59FC9FEE">
      <w:pPr>
        <w:spacing w:line="540" w:lineRule="exact"/>
        <w:jc w:val="center"/>
        <w:rPr>
          <w:rFonts w:hAnsi="宋体" w:eastAsia="仿宋_GB2312" w:cs="宋体"/>
          <w:color w:val="auto"/>
          <w:kern w:val="0"/>
          <w:sz w:val="30"/>
          <w:szCs w:val="30"/>
        </w:rPr>
      </w:pPr>
    </w:p>
    <w:p w14:paraId="3DBFA1DC">
      <w:pPr>
        <w:spacing w:line="540" w:lineRule="exact"/>
        <w:jc w:val="center"/>
        <w:rPr>
          <w:rFonts w:hAnsi="宋体" w:eastAsia="仿宋_GB2312" w:cs="宋体"/>
          <w:color w:val="auto"/>
          <w:kern w:val="0"/>
          <w:sz w:val="30"/>
          <w:szCs w:val="30"/>
        </w:rPr>
      </w:pPr>
    </w:p>
    <w:p w14:paraId="03DF9DA4">
      <w:pPr>
        <w:spacing w:line="540" w:lineRule="exact"/>
        <w:jc w:val="center"/>
        <w:rPr>
          <w:rFonts w:hAnsi="宋体" w:eastAsia="仿宋_GB2312" w:cs="宋体"/>
          <w:color w:val="auto"/>
          <w:kern w:val="0"/>
          <w:sz w:val="30"/>
          <w:szCs w:val="30"/>
        </w:rPr>
      </w:pPr>
    </w:p>
    <w:p w14:paraId="3A84498C">
      <w:pPr>
        <w:spacing w:line="540" w:lineRule="exact"/>
        <w:rPr>
          <w:rFonts w:hAnsi="宋体" w:eastAsia="仿宋_GB2312" w:cs="宋体"/>
          <w:color w:val="auto"/>
          <w:kern w:val="0"/>
          <w:sz w:val="30"/>
          <w:szCs w:val="30"/>
        </w:rPr>
      </w:pPr>
    </w:p>
    <w:p w14:paraId="1FEE65D0">
      <w:pPr>
        <w:spacing w:line="700" w:lineRule="exact"/>
        <w:jc w:val="left"/>
        <w:rPr>
          <w:rFonts w:hAnsi="宋体" w:eastAsia="仿宋_GB2312" w:cs="宋体"/>
          <w:color w:val="auto"/>
          <w:kern w:val="0"/>
          <w:sz w:val="36"/>
          <w:szCs w:val="36"/>
        </w:rPr>
      </w:pPr>
      <w:r>
        <w:rPr>
          <w:rFonts w:hint="eastAsia" w:hAnsi="宋体" w:eastAsia="仿宋_GB2312" w:cs="宋体"/>
          <w:color w:val="auto"/>
          <w:kern w:val="0"/>
          <w:sz w:val="36"/>
          <w:szCs w:val="36"/>
        </w:rPr>
        <w:t xml:space="preserve">     </w:t>
      </w:r>
    </w:p>
    <w:p w14:paraId="2821D450">
      <w:pPr>
        <w:spacing w:line="700" w:lineRule="exact"/>
        <w:ind w:firstLine="900" w:firstLineChars="250"/>
        <w:jc w:val="left"/>
        <w:rPr>
          <w:rFonts w:hAnsi="宋体" w:eastAsia="仿宋_GB2312" w:cs="宋体"/>
          <w:color w:val="auto"/>
          <w:kern w:val="0"/>
          <w:sz w:val="36"/>
          <w:szCs w:val="36"/>
        </w:rPr>
      </w:pPr>
      <w:r>
        <w:rPr>
          <w:rFonts w:hint="eastAsia" w:hAnsi="宋体" w:eastAsia="仿宋_GB2312" w:cs="宋体"/>
          <w:color w:val="auto"/>
          <w:kern w:val="0"/>
          <w:sz w:val="36"/>
          <w:szCs w:val="36"/>
        </w:rPr>
        <w:t>项目名称：</w:t>
      </w:r>
      <w:r>
        <w:rPr>
          <w:rStyle w:val="18"/>
          <w:rFonts w:hint="eastAsia" w:ascii="楷体" w:hAnsi="楷体" w:eastAsia="楷体"/>
          <w:color w:val="auto"/>
          <w:spacing w:val="-4"/>
          <w:sz w:val="32"/>
          <w:szCs w:val="32"/>
        </w:rPr>
        <w:t>优化营商环境业务宣传费</w:t>
      </w:r>
    </w:p>
    <w:p w14:paraId="3A16E1CD">
      <w:pPr>
        <w:spacing w:line="540" w:lineRule="exact"/>
        <w:ind w:firstLine="567"/>
        <w:rPr>
          <w:rFonts w:ascii="楷体" w:hAnsi="楷体" w:eastAsia="楷体"/>
          <w:b/>
          <w:bCs/>
          <w:color w:val="auto"/>
          <w:spacing w:val="-4"/>
          <w:sz w:val="32"/>
          <w:szCs w:val="32"/>
        </w:rPr>
      </w:pPr>
      <w:r>
        <w:rPr>
          <w:rFonts w:hint="eastAsia" w:hAnsi="宋体" w:eastAsia="仿宋_GB2312" w:cs="宋体"/>
          <w:color w:val="auto"/>
          <w:kern w:val="0"/>
          <w:sz w:val="36"/>
          <w:szCs w:val="36"/>
        </w:rPr>
        <w:t xml:space="preserve">  实施单位（公章）：</w:t>
      </w:r>
      <w:r>
        <w:rPr>
          <w:rStyle w:val="18"/>
          <w:rFonts w:hint="eastAsia" w:ascii="楷体" w:hAnsi="楷体" w:eastAsia="楷体"/>
          <w:color w:val="auto"/>
          <w:spacing w:val="-4"/>
          <w:sz w:val="28"/>
          <w:szCs w:val="28"/>
        </w:rPr>
        <w:t>昌吉回族自治州政府投资项目评审中心</w:t>
      </w:r>
    </w:p>
    <w:p w14:paraId="7046E265">
      <w:pPr>
        <w:spacing w:line="540" w:lineRule="exact"/>
        <w:ind w:firstLine="900" w:firstLineChars="250"/>
        <w:rPr>
          <w:rFonts w:ascii="楷体" w:hAnsi="楷体" w:eastAsia="楷体"/>
          <w:b/>
          <w:bCs/>
          <w:color w:val="auto"/>
          <w:spacing w:val="-4"/>
          <w:sz w:val="28"/>
          <w:szCs w:val="28"/>
        </w:rPr>
      </w:pPr>
      <w:r>
        <w:rPr>
          <w:rFonts w:hint="eastAsia" w:hAnsi="宋体" w:eastAsia="仿宋_GB2312" w:cs="宋体"/>
          <w:color w:val="auto"/>
          <w:kern w:val="0"/>
          <w:sz w:val="36"/>
          <w:szCs w:val="36"/>
        </w:rPr>
        <w:t>主管部门（公章）：</w:t>
      </w:r>
      <w:r>
        <w:rPr>
          <w:rStyle w:val="18"/>
          <w:rFonts w:hint="eastAsia" w:ascii="楷体" w:hAnsi="楷体" w:eastAsia="楷体"/>
          <w:color w:val="auto"/>
          <w:spacing w:val="-4"/>
          <w:sz w:val="28"/>
          <w:szCs w:val="28"/>
        </w:rPr>
        <w:t>昌吉回族自治州政府投资项目评审中心</w:t>
      </w:r>
    </w:p>
    <w:p w14:paraId="6B2F55A9">
      <w:pPr>
        <w:spacing w:line="540" w:lineRule="exact"/>
        <w:ind w:firstLine="900" w:firstLineChars="250"/>
        <w:rPr>
          <w:rFonts w:ascii="楷体" w:hAnsi="楷体" w:eastAsia="楷体"/>
          <w:b/>
          <w:bCs/>
          <w:color w:val="auto"/>
          <w:spacing w:val="-4"/>
          <w:sz w:val="32"/>
          <w:szCs w:val="32"/>
        </w:rPr>
      </w:pPr>
      <w:r>
        <w:rPr>
          <w:rFonts w:hint="eastAsia" w:hAnsi="宋体" w:eastAsia="仿宋_GB2312" w:cs="宋体"/>
          <w:color w:val="auto"/>
          <w:kern w:val="0"/>
          <w:sz w:val="36"/>
          <w:szCs w:val="36"/>
        </w:rPr>
        <w:t>项目负责人（签章）：</w:t>
      </w:r>
      <w:r>
        <w:rPr>
          <w:rStyle w:val="18"/>
          <w:rFonts w:hint="eastAsia" w:ascii="楷体" w:hAnsi="楷体" w:eastAsia="楷体"/>
          <w:color w:val="auto"/>
          <w:spacing w:val="-4"/>
          <w:sz w:val="32"/>
          <w:szCs w:val="32"/>
        </w:rPr>
        <w:t>王佳</w:t>
      </w:r>
    </w:p>
    <w:p w14:paraId="1B0C556D">
      <w:pPr>
        <w:spacing w:line="540" w:lineRule="exact"/>
        <w:ind w:left="273" w:firstLine="567"/>
        <w:rPr>
          <w:rStyle w:val="18"/>
          <w:rFonts w:ascii="楷体" w:hAnsi="楷体" w:eastAsia="楷体"/>
          <w:color w:val="auto"/>
          <w:spacing w:val="-4"/>
          <w:sz w:val="32"/>
          <w:szCs w:val="32"/>
        </w:rPr>
      </w:pPr>
      <w:r>
        <w:rPr>
          <w:rFonts w:hint="eastAsia" w:hAnsi="宋体" w:eastAsia="仿宋_GB2312" w:cs="宋体"/>
          <w:color w:val="auto"/>
          <w:kern w:val="0"/>
          <w:sz w:val="36"/>
          <w:szCs w:val="36"/>
        </w:rPr>
        <w:t>填报时间：</w:t>
      </w:r>
      <w:r>
        <w:rPr>
          <w:rStyle w:val="18"/>
          <w:rFonts w:hint="eastAsia" w:ascii="楷体" w:hAnsi="楷体" w:eastAsia="楷体"/>
          <w:color w:val="auto"/>
          <w:spacing w:val="-4"/>
          <w:sz w:val="32"/>
          <w:szCs w:val="32"/>
        </w:rPr>
        <w:t>2024年04月08日</w:t>
      </w:r>
    </w:p>
    <w:p w14:paraId="44C11D4D">
      <w:pPr>
        <w:spacing w:line="700" w:lineRule="exact"/>
        <w:ind w:firstLine="708" w:firstLineChars="236"/>
        <w:jc w:val="left"/>
        <w:rPr>
          <w:rFonts w:hAnsi="宋体" w:eastAsia="仿宋_GB2312" w:cs="宋体"/>
          <w:color w:val="auto"/>
          <w:kern w:val="0"/>
          <w:sz w:val="30"/>
          <w:szCs w:val="30"/>
        </w:rPr>
      </w:pPr>
    </w:p>
    <w:p w14:paraId="23ADC6F9">
      <w:pPr>
        <w:spacing w:line="540" w:lineRule="exact"/>
        <w:rPr>
          <w:rStyle w:val="18"/>
          <w:rFonts w:ascii="黑体" w:hAnsi="黑体" w:eastAsia="黑体"/>
          <w:b w:val="0"/>
          <w:color w:val="auto"/>
          <w:spacing w:val="-4"/>
          <w:sz w:val="32"/>
          <w:szCs w:val="32"/>
        </w:rPr>
      </w:pPr>
    </w:p>
    <w:p w14:paraId="54F2E344">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一、基本情况</w:t>
      </w:r>
    </w:p>
    <w:p w14:paraId="7A92AC7A">
      <w:pPr>
        <w:spacing w:line="540" w:lineRule="exact"/>
        <w:ind w:firstLine="567"/>
        <w:rPr>
          <w:rStyle w:val="18"/>
          <w:rFonts w:hint="default" w:ascii="楷体" w:hAnsi="楷体" w:eastAsia="楷体"/>
          <w:color w:val="auto"/>
          <w:spacing w:val="-4"/>
          <w:sz w:val="32"/>
          <w:szCs w:val="32"/>
          <w:lang w:val="en-US" w:eastAsia="zh-CN"/>
        </w:rPr>
      </w:pPr>
      <w:r>
        <w:rPr>
          <w:rStyle w:val="18"/>
          <w:rFonts w:hint="eastAsia" w:ascii="楷体" w:hAnsi="楷体" w:eastAsia="楷体"/>
          <w:color w:val="auto"/>
          <w:spacing w:val="-4"/>
          <w:sz w:val="32"/>
          <w:szCs w:val="32"/>
        </w:rPr>
        <w:t>（一）项目概况</w:t>
      </w:r>
      <w:r>
        <w:rPr>
          <w:rStyle w:val="18"/>
          <w:rFonts w:hint="eastAsia" w:ascii="楷体" w:hAnsi="楷体" w:eastAsia="楷体"/>
          <w:color w:val="auto"/>
          <w:spacing w:val="-4"/>
          <w:sz w:val="32"/>
          <w:szCs w:val="32"/>
          <w:lang w:eastAsia="zh-CN"/>
        </w:rPr>
        <w:t>。</w:t>
      </w:r>
    </w:p>
    <w:p w14:paraId="6A8A2220">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（一）项目概况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1.项目背景</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根据昌州党财（2023）001号文件要求，本项目实施是为充分贯彻落实国家和自治区优化营商环境工作相关政策要求，充分做好优化营商环境宣传工作，营造全社会广泛支持和参与营商环境建设的良好氛围，进一步实现惠企利民，2023年我单位大力加强优化营商宣传力度，多方举措做好宣传服务工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2.主要内容</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（1）项目名称：优化营商环境业务宣传费项目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主要内容：全方位贯彻落实2024年我州优化营商环境三年行动方案重点工作任务。制定宣传工作方案，通过网络宣传优化营商各项政策，充分做好自治区对我州营商环境工作的评价考核，进一步提高优化营商服务能力，加强优化营商政策业务学习以及疆内外交流沟通，借鉴先进的工作经验，为企业创造良好的营商氛围。</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3.实施情况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实施主体：优化营商环境业务宣传费。</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实施时间：本项目实施周期为2023年1月-2023年12月。</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施情况：本项目于2023年1月开始实施，截止2023年12月已全部完成当年宣传工作，项目实施根据自治州优化营商环境三年行动方案重点工作任务。制定宣传工作方案，通过网络宣传优化营商各项政策，充分做好自治区对我州营商环境工作的评价考核，进一步提高优化营商服务能力，通过本项目的实施，提升了自治州营商环境的感知度和影响力，打造全社会广泛支持和参与营商环境建设的良好氛围。</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4.项目实施主体</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（1）主要职能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自治州优化营商环境服务中心主要负责牵头推进优化营商环境的服务保障工作；指导、组织、协调、督促有关部门单位落实优化营商环境相关措施；负责优化营商环境绩效考核的具体组织实施工作；研究分析优化营商环境存在的问题并提出意见建议；负责组织开展政府投资项目评审工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（2）机构设置情况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2023年优化营商环境宣传费项目的实施主体为州优化营商环境服务中心，属于纳入2023年部门决算编制范围的科级单位。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编制人数为9人，其中：事业编制9人。实有在职人数9人，离退休人员4人，其中：事业退休4人。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5.资金投入和使用情况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（1）项目资金安排落实、总投入等情况分析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本项目预算安排总额为10.00万元，资金来源为财政资金，其中：财政资金10.00万元，其他资金0.00万元，2023年实际收到预算资金10.00万元，预算资金到位率为100.00%。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（2）项目资金实际使用情况分析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截至2023年12月31日，本项目实际支付资金10.00万元，预算执行率100.00%（预算执行率=（实际支出资金/到位金额）*100.0%，如项目预算执行率不是100.0%，则说明结转资金额度和结余资金额度）。本项目资金主要用于支付宣传费用8.00万元、办公费用2.00万元。</w:t>
      </w:r>
    </w:p>
    <w:p w14:paraId="79A833E6">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（二）项目绩效目标</w:t>
      </w:r>
    </w:p>
    <w:p w14:paraId="1A9A5A31">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1.总体目标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充分贯彻落实国家和自治区优化营商环境工作相关政策要求，依据中华人民共和国国务院令第722号文，《优化营商环境条例》规定、自治区优化营商环境三年行动方案和昌吉州优化营商环境三年行动方案要求。计划2023年我单位完成指导、督促各县市宣传工作不少于7个，多媒体宣传优化营商工作不少于1个，采购办公用品不少于2批，疆内外交流学习不少于6次，各项工作完成率不少于90%，进一步实现惠民利民，全方位宣传报道自治州优良的营商环境和政策解读，促进昌吉州经济繁荣发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2.阶段性目标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（1）项目产出指标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①数量指标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xml:space="preserve"> “指导、督促各县市宣传工资”指标，预期指标值为“大于等于7个”；</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“多媒体宣传优化营商工作”指标，预期指标值为“大于等于1个”；</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“采购办公用品”指标，预期指标值为“大于等于2批”；</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“疆内外交流学习”指标，预期指标值为“大于等于6次”；</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②质量指标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“各项工作完成率”，预期指标值为大于等于90.00%；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③时效指标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无此项指标；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①经济成本指标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“项目工作经费”，预期指标值为小于等于3.80万元；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“优化营商多媒体宣传费”，预期指标值为小于等于3.20万元；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“办公费”，预期指标值为小于等于3.00万元；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②社会成本指标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③生态环境成本指标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（3）项目效益指标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①经济效益指标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②社会效益指标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“打造昌吉州优良的营商环境，进一步实现惠民利民”，预期指标值为长期；</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“推动我州经济工作繁荣发展”，预期指标值为推动；</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③生态效益指标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（4）项目满意度指标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①满意度指标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p>
    <w:p w14:paraId="44ED9D3C">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二、绩效评价工作开展情况</w:t>
      </w:r>
    </w:p>
    <w:p w14:paraId="45B9DF63">
      <w:pPr>
        <w:spacing w:line="540" w:lineRule="exact"/>
        <w:ind w:firstLine="567" w:firstLineChars="181"/>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（一）绩效评价目的、对象和范围</w:t>
      </w:r>
    </w:p>
    <w:p w14:paraId="328E7FE5">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1.绩效评价的目的</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绩效评价，促进本单位总结经验、发现问题、改进工作，旨在评价本项目前期审批、实施过程及实施效果，促进预算管理不断完善，加快绩效目标的实现，保证财政资金有效、合理使用。</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2.绩效评价对象</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此次我单位根据《财政支出绩效评价管理暂行办法》（财预〔2020〕10号）文件要求实施评价工作，本次评价对象为优化营商环境业务宣传费项目，评价核心为项目资金、项目产出、项目效益。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3.绩效评价范围</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4.绩效评价依据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(1)《中华人民共和国预算法》；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(2)《中共中央国务院关于全面实施预算绩效管理的意见》（中发〔2018〕34号）；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(3)《项目支出绩效评价管理办法》（财预〔2020〕10号）；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(4)《自治区财政支出绩效评价管理暂行办法》（新财预〔2018〕189号）；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(5)依据中华人民共和国国务院令第722号文，《优化营商环境条例》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(6)自治区优化营商环境三年行动方案</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(7)自治州优化营商环境三年行动方案</w:t>
      </w:r>
    </w:p>
    <w:p w14:paraId="31B42D76">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（二）绩效评价原则、评价指标体系、评价方法、评价标准</w:t>
      </w:r>
    </w:p>
    <w:p w14:paraId="48262118">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1.绩效评价原则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（4）公开透明。绩效评价结果应依法依规公开，并自觉接受社会监督。</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2.绩效评价指标体系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3.评价方法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r>
        <w:rPr>
          <w:rStyle w:val="18"/>
          <w:rFonts w:hint="eastAsia" w:ascii="楷体" w:hAnsi="楷体" w:eastAsia="楷体"/>
          <w:b w:val="0"/>
          <w:bCs w:val="0"/>
          <w:color w:val="auto"/>
          <w:spacing w:val="-4"/>
          <w:sz w:val="32"/>
          <w:szCs w:val="32"/>
          <w:lang w:eastAsia="zh-CN"/>
        </w:rPr>
        <w:t>以及</w:t>
      </w:r>
      <w:r>
        <w:rPr>
          <w:rStyle w:val="18"/>
          <w:rFonts w:hint="eastAsia" w:ascii="楷体" w:hAnsi="楷体" w:eastAsia="楷体"/>
          <w:b w:val="0"/>
          <w:bCs w:val="0"/>
          <w:color w:val="auto"/>
          <w:spacing w:val="-4"/>
          <w:sz w:val="32"/>
          <w:szCs w:val="32"/>
        </w:rPr>
        <w:t>公众评判法。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4.评价标准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330EE88F">
      <w:pPr>
        <w:spacing w:line="540" w:lineRule="exact"/>
        <w:ind w:firstLine="567" w:firstLineChars="181"/>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（三）绩效评价工作过程</w:t>
      </w:r>
    </w:p>
    <w:p w14:paraId="516E4455">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1.前期准备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于2024年3月5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郑旭雯（评价小组组长）：主要负责项目策划和监督，全面负责项目绩效评价办稿的最终质量，对评估人员出具的最终报告质量进行复核，确保评估结果的客观性；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曹洁（评价小组组员）：主要负责资料的收集，取证、数据统计分析；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章妍（评价小组组员）：主要负责主要负责项目报告的制定，指标的研判，数据分析及报告撰写。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2.组织实施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2024年3月5日-3月15日，评价工作进入实施阶段。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xml:space="preserve">质量管理等相关资料，完成绩效评价内容所需的印证资料整理，所有数据经核查后统计汇总。 </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3.分析评价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2024年3月15日-3月20日，评价小组按照绩效评价的原则和规范，对取得的资料进行审查核实，对采集的数据进行分析，按照绩效评价指标评分表逐项进行打分、分析、汇总各方评价结果。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4.撰写与提交评价报告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2024年3月20日-3月25日，评价小组撰写绩效评价报告，按照新疆维吾尔自治区财政绩效管理信息系统绩效评价模块中统一格式和文本框架撰写绩效评价报告并提交审核。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5.问题整改</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6.档案整理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建立和落实档案管理制度，将项目相关资料存档，包括但不限于：评价项目基本情况和相关文件、评价实施方案、项目支付资料等相关档案。</w:t>
      </w:r>
    </w:p>
    <w:p w14:paraId="41106DEF">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三、综合评价情况及评价结论</w:t>
      </w:r>
    </w:p>
    <w:p w14:paraId="7F3FC59D">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（一）综合评价情况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评价，本项目达成年初设立的绩效目标，在实施过程中取得了良好的成效，具体表现在：通过项目的实施，完成了2023年我单位完成指导、督促各县市宣传工作7个，多媒体宣传优化营商工作1个，采购办公用品2批，疆内外交流学习6次，各项工作完成率达90.00%，发挥了营造全社会广泛支持和参与营商环境建设的良好氛围，进一步实现惠企利民的效益。但在实施过程中也存在一些不足：项目资金支付进度需进行合理安排，使项目资金使用更加高效。</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（二）评价结论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此次绩效评价通过绩效评价小组论证的评价指标体系及评分标准，采用因素分析法和比较法对本项目绩效进行客观评价，本项目共设置三级指标数量21个，实现三级指标数量21个，总体完成率为100.00%。最终评分结果：总分为100.00分，绩效评级为“优”。综合评价结论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项目决策类指标共设置6个，满分指标6个，得分率100.00%；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过程管理类指标共设置5个，满分指标5个，得分率100.00%；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项目产出类指标共设置8个，满分指标8个，得分率100.00%；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项目效益类指标共设置2个，满分指标2个，得分率100.00%。</w:t>
      </w:r>
    </w:p>
    <w:p w14:paraId="6F302D5B">
      <w:pPr>
        <w:spacing w:line="540" w:lineRule="exact"/>
        <w:ind w:firstLine="640"/>
        <w:rPr>
          <w:rStyle w:val="18"/>
          <w:rFonts w:ascii="黑体" w:hAnsi="黑体" w:eastAsia="黑体"/>
          <w:color w:val="auto"/>
        </w:rPr>
      </w:pPr>
      <w:r>
        <w:rPr>
          <w:rStyle w:val="18"/>
          <w:rFonts w:hint="eastAsia" w:ascii="黑体" w:hAnsi="黑体" w:eastAsia="黑体"/>
          <w:b w:val="0"/>
          <w:color w:val="auto"/>
          <w:spacing w:val="-4"/>
          <w:sz w:val="32"/>
          <w:szCs w:val="32"/>
        </w:rPr>
        <w:t>四、绩效评价指标分析</w:t>
      </w:r>
      <w:r>
        <w:rPr>
          <w:rStyle w:val="18"/>
          <w:rFonts w:hint="eastAsia" w:ascii="黑体" w:hAnsi="黑体" w:eastAsia="黑体"/>
          <w:color w:val="auto"/>
        </w:rPr>
        <w:t xml:space="preserve"> </w:t>
      </w:r>
    </w:p>
    <w:p w14:paraId="3232716C">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（一）</w:t>
      </w:r>
      <w:r>
        <w:rPr>
          <w:rStyle w:val="18"/>
          <w:rFonts w:hint="eastAsia" w:ascii="楷体" w:hAnsi="楷体" w:eastAsia="楷体"/>
          <w:color w:val="auto"/>
          <w:spacing w:val="-4"/>
          <w:sz w:val="32"/>
          <w:szCs w:val="32"/>
        </w:rPr>
        <w:t>项目决策情况</w:t>
      </w:r>
    </w:p>
    <w:p w14:paraId="3AF0060D">
      <w:pPr>
        <w:tabs>
          <w:tab w:val="center" w:pos="4295"/>
        </w:tabs>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（一）项目决策情况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项目决策类指标由3个二级指标和6个三级指标构成，权重分21.00分，实际得分21.00分。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1.项目立项情况分析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（1）立项依据充分性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立项符合自治区党委办公厅自治区人民政府办公厅印发颁发的《自治区实施营商环境优化提升三年行动方案（2022—2025年）》中：“广泛宣传推介自治区营商环境政策举措，不断提升自治区营商环境的感知度和影响力，形成全社会广泛支持和参与营商环境建设的良好氛围。”，符合行业发展规划和政策要求；本项目立项符合《优化营商环境服务中心配置内设机构和人员编制规定》中职责范围中的“主要负责牵头推进优化营商环境的服务保障工作；指导、组织、协调、督促有关部门单位落实优化营商环境相关措施”，属于我单位履职所需；根据《财政资金直接支付申请书》，本项目资金性质为“公共财政预算”功能分类为“事业运行”经济分类为“2010450”属于公共财政支持范围，符合中央、地方事权支出责任划分原则；经检查我单位财政应用平台指标，本项目不存在重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综上所述，本指标满分为5.00分，根据评分标准得5.00分，本项目立项依据充分。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（2）立项程序规范性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本项目为非基础建设类项目，属于专项资金安排项目，不涉及事前绩效评估、可行性研究以及风险评估，由我单位严格按照《自治区实施营商环境优化提升三年行动方案（2022—2025年）》文件要求实施项目。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综上所述，本指标满分为3.00分，根据评分标准得3.00分，本项目立项程序规范。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2.绩效目标情况分析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（1）绩效目标合理性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已设置年度绩效目标，具体内容为“依据自治区优化营商环境三年行动方案和昌吉州优化营商环境三年行动方案要求，大力加强优化营商宣传力度，多方举措做好宣传服务工作，进一步实现惠民利民。本项目实际工作内容为：依据自治区、州优化营商环境三年行动方案重点工作任务。制定宣传工作方案，通过网络宣传优化营商各项政策；绩效目标与实际工作内容一致，两者具有相关性;本项目按照绩效目标完成了数量指标、质量指标、时效指标、成本指标，有效保障了我州经济工作繁荣发展，提升了自治州营商环境的感知度和影响力，打造全社会广泛支持和参与营商环境建设的良好氛围，2023年度绩效目标完成，预期产出效益和效果符合正常的业绩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综上所述，本指标满分为4.00分，根据评分标准得4.00分，本项目绩效目标设置合理。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（2）绩效指标明确性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检查我单位年初设置的《项目支出绩效目标表》，得出如下结论：本项目已将年度绩效目标进行细化为绩效指标体系，共设置一级指标3个，二级指标4个，三级指标10个，定量指标8个，定性指标2个，指标量化率为80.00%，量化率达70.00%以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综上所述，本指标满分为3.00分，根据评分标准得3.00分，本项目所设置绩效指标明确。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3.资金投入情况分析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（1）预算编制科学性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本项目预算编制通过市场询价得出，即预算编制较科学且经过论证；</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预算申请内容为优化营商环境业务宣传费，项目实际内容为优化营商环境业务宣传费，预算申请与《优化营商环境业务宣传费项目实施方案》中涉及的项目内容匹配；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申请资金10.00万元，我单位在预算申请中严格按照单位标准和数量进行核算，其中：项目工作经费3.80万元，优化营商环境多媒体宣传费用3.20万元，办公费3.00万元。本项目预算额度测算依据充分，严格按照标准编制，预算确定资金量与实际工作任务相匹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综上所述，本指标满分为4.00分，根据评分标准4.00分，本项目预算编制科学。</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（2）资金分配合理性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实际分配资金以《关于申请优化营商环境业务宣传费项目资金的请示》和《优化营商环境业务宣传费项目实施方案》为依据进行资金分配，预算资金分配依据充分。根据《2023年财政预算项目资金下达文件》文件显示，本项目实际到位资金10.00万元，实际分配资金与我单位提交申请的资金额度一致，资金分配额度合理，与我单位实际需求相适应。</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综上所述，本指标满分为2.00分，根据评分标准得2.00分，本项目资金分配合理。</w:t>
      </w:r>
      <w:r>
        <w:rPr>
          <w:rStyle w:val="18"/>
          <w:rFonts w:hint="eastAsia" w:ascii="楷体" w:hAnsi="楷体" w:eastAsia="楷体"/>
          <w:b w:val="0"/>
          <w:bCs w:val="0"/>
          <w:color w:val="auto"/>
          <w:spacing w:val="-4"/>
          <w:sz w:val="32"/>
          <w:szCs w:val="32"/>
        </w:rPr>
        <w:tab/>
      </w:r>
    </w:p>
    <w:p w14:paraId="2295849D">
      <w:pPr>
        <w:spacing w:line="540" w:lineRule="exact"/>
        <w:ind w:firstLine="567" w:firstLineChars="181"/>
        <w:rPr>
          <w:rStyle w:val="18"/>
          <w:rFonts w:ascii="楷体" w:hAnsi="楷体" w:eastAsia="楷体"/>
          <w:color w:val="auto"/>
          <w:spacing w:val="-4"/>
          <w:sz w:val="32"/>
          <w:szCs w:val="32"/>
        </w:rPr>
      </w:pPr>
      <w:r>
        <w:rPr>
          <w:rFonts w:hint="eastAsia" w:ascii="楷体" w:hAnsi="楷体" w:eastAsia="楷体"/>
          <w:b/>
          <w:color w:val="auto"/>
          <w:spacing w:val="-4"/>
          <w:sz w:val="32"/>
          <w:szCs w:val="32"/>
        </w:rPr>
        <w:t>（二）</w:t>
      </w:r>
      <w:r>
        <w:rPr>
          <w:rStyle w:val="18"/>
          <w:rFonts w:hint="eastAsia" w:ascii="楷体" w:hAnsi="楷体" w:eastAsia="楷体"/>
          <w:color w:val="auto"/>
          <w:spacing w:val="-4"/>
          <w:sz w:val="32"/>
          <w:szCs w:val="32"/>
        </w:rPr>
        <w:t>项目过程情况</w:t>
      </w:r>
    </w:p>
    <w:p w14:paraId="4EED207E">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项目过程管理类指标由2个二级指标和5个三级指标构成，权重分19.00分，实际得分19.00分。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1.资金管理情况分析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（1）资金到位率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本项目预算资金为10.00万元，其中：本级财政安排资金10.00万元，其他资金0.00万元，实际到位资金10.00万元，资金到位率=（实际到位资金/预算资金）×100.00%=（10/10）*100.00%=100%。得分=资金到位率*分值=100%*4=4分。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综上所述，本指标满分为4.00分，根据评分标准得4.00分，本项目资金分配合理。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（2）预算执行率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本项目实际支出资金10.00万元，预算执行率=（实际支出资金/实际到位资金）×100.00%=（10/10）*100.00%=100%。得分=预算执行率*分值=100%*5=5分。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综上所述，本指标满分为5.00分，根据评分标准得5.00分，本项目资金分配合理。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（3）资金使用合规性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通过检查本项目签订的合同、资金申请文件、发票等财务付款凭证，得出本项目资金支出符合国家财经法规、《政府会计制度》以及《优化营商环境服务中心单位资金管理办法》《优化营商环境业务宣传费专项资金管理办法》，资金的拨付有完整的审批程序和手续，资金实际使用方向与预算批复用途一致，不存在截留、挤占、挪用、虚列支出的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综上所述，本指标满分为4.00分，根据评分标准得4.00分，资金支出符合我单位财务管理制度规定。</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2.组织实施情况分析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（1）管理制度健全性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已制定《项目资金管理办法》《优化营商环境服务中心收支业务管理制度》《优化营商环境服务中心政府采购业务管理制度》《项目合同管理制度》，上述已建立的制度均符合行政事业单位内控管理要求，财务和业务管理制度合法、合规、完整，本项目执行符合上述制度规定。</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综上所述，本指标满分为2.00分，根据评分标准得2.00分，项目制度建设健全。</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（2）制度执行有效性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优化营商环境业务宣传费项目工作领导小组，由优化营商环境服务中心中心副主任王佳任组长，负责项目的组织和实施工作；组员包括：章妍和郑旭雯，主要负责项目监督管理、验收以及资金核拨等工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综上所述，本指标满分为4.00分，根据评分标准得4.00分，本项目所建立制度执行有效。</w:t>
      </w:r>
    </w:p>
    <w:p w14:paraId="448352A5">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（三）</w:t>
      </w:r>
      <w:r>
        <w:rPr>
          <w:rStyle w:val="18"/>
          <w:rFonts w:hint="eastAsia" w:ascii="楷体" w:hAnsi="楷体" w:eastAsia="楷体"/>
          <w:color w:val="auto"/>
          <w:spacing w:val="-4"/>
          <w:sz w:val="32"/>
          <w:szCs w:val="32"/>
        </w:rPr>
        <w:t>项目产出情况</w:t>
      </w:r>
    </w:p>
    <w:p w14:paraId="47D34480">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项目产出类指标由3个二级指标和8个三级指标构成，权重分30.00分，实际得分30.00分。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1.数量指标完成情况分析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(1).“指导、督促各县市宣传工资”指标，预期指标值为“大于等于7个”，实际完成指标值为“7个”，指标完成率为100.00%；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综上所述，本指标满分为5.00分，根据评分标准得5.00分。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(2).“多媒体宣传优化营商工作”指标，预期指标值为“大于等于1个”，实际完成指标值为“1个”，指标完成率为100.00%；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综上所述，本指标满分为5.00分，根据评分标准得5.00分。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(3).“采购办公用品”指标，预期指标值为“大于等于2批”，实际完成指标值为“2批”，指标完成率为100.00%；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综上所述，本指标满分为2.00分，根据评分标准得2.00分。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(4).“疆内外交流学习”指标，预期指标值为“大于等于6次”实际完成指标值为“6次”，指标完成率为100.00%；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2.质量指标完成情况分析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“各项工作完成率；”指标：预期指标值为“大于等于90.00%”，实际完成指标值为“90.00%”，指标完成率为100.00%。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3.时效指标完成情况分析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本项目无该指标。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4.成本指标完成情况分析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“项目工作经费”指标：预期指标值为“小于等于3.80万元”，实际完成指标值为“3.80万元”，指标完成率为100.00%。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综上所述，本指标满分为5.00分，根据评分标准得5.00分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“优化营商多媒体宣传费”指标：预期指标值为“小于等于3.20万元”，实际完成指标值为“3.20万元”，指标完成率为100.00%。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综上所述，本指标满分为5.00分，根据评分标准得5.00分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“办公费”指标：预期指标值为“小于等于3.00万元”，实际完成指标值为“3.00万元”，指标完成率为100.00%。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综上所述，本指标满分为2.00分，根据评分标准得2.00分。</w:t>
      </w:r>
    </w:p>
    <w:p w14:paraId="713040DD">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（四）</w:t>
      </w:r>
      <w:r>
        <w:rPr>
          <w:rStyle w:val="18"/>
          <w:rFonts w:hint="eastAsia" w:ascii="楷体" w:hAnsi="楷体" w:eastAsia="楷体"/>
          <w:color w:val="auto"/>
          <w:spacing w:val="-4"/>
          <w:sz w:val="32"/>
          <w:szCs w:val="32"/>
        </w:rPr>
        <w:t>项目效益情况</w:t>
      </w:r>
    </w:p>
    <w:p w14:paraId="24368F62">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项目效益类指标由1个二级指标和2个三级指标构成，权重分30.00分，实际得分30.00分。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1.经济效益完成情况分析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本项目无该指标。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2.社会效益完成情况分析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（1）“打造昌吉州优良的营商环境，进一步实现惠民利民”指标：预期指标值为“长期”，实际完成指标值为“基本达成目标”，指标完成率为100.00%。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综上所述，本指标满分为15.00分，根据评分标准得15.00分。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（2）“推动我州经济工作繁荣发展”指标：预期指标值为“推动”，实际完成指标值为“基本达成目标”，指标完成率为100.00%。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综上所述，本指标满分为15.00分，根据评分标准得15.00分。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3.生态效益完成情况分析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本项目无该指标。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4.满意度完成情况分析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本项目无该指标。</w:t>
      </w:r>
    </w:p>
    <w:p w14:paraId="5DAAAF47">
      <w:pPr>
        <w:spacing w:line="540" w:lineRule="exact"/>
        <w:ind w:firstLine="567"/>
        <w:rPr>
          <w:rStyle w:val="18"/>
          <w:rFonts w:ascii="楷体" w:hAnsi="楷体" w:eastAsia="楷体"/>
          <w:color w:val="auto"/>
          <w:spacing w:val="-4"/>
          <w:sz w:val="32"/>
          <w:szCs w:val="32"/>
        </w:rPr>
      </w:pPr>
    </w:p>
    <w:p w14:paraId="0D5D4EE1">
      <w:pPr>
        <w:numPr>
          <w:ilvl w:val="0"/>
          <w:numId w:val="1"/>
        </w:numPr>
        <w:spacing w:line="540" w:lineRule="exact"/>
        <w:ind w:firstLine="640"/>
        <w:rPr>
          <w:rStyle w:val="18"/>
          <w:rFonts w:hint="eastAsia"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预算执行进度与绩效指标偏差</w:t>
      </w:r>
    </w:p>
    <w:p w14:paraId="4EE1A557">
      <w:pPr>
        <w:spacing w:line="540" w:lineRule="exact"/>
        <w:ind w:firstLine="567"/>
        <w:rPr>
          <w:rStyle w:val="18"/>
          <w:rFonts w:hint="default" w:ascii="黑体" w:hAnsi="黑体" w:eastAsia="黑体"/>
          <w:b w:val="0"/>
          <w:color w:val="auto"/>
          <w:spacing w:val="-4"/>
          <w:sz w:val="32"/>
          <w:szCs w:val="32"/>
          <w:lang w:val="en-US" w:eastAsia="zh-CN"/>
        </w:rPr>
      </w:pPr>
      <w:r>
        <w:rPr>
          <w:rStyle w:val="18"/>
          <w:rFonts w:hint="eastAsia" w:ascii="楷体" w:hAnsi="楷体" w:eastAsia="楷体"/>
          <w:b w:val="0"/>
          <w:bCs w:val="0"/>
          <w:color w:val="auto"/>
          <w:spacing w:val="-4"/>
          <w:sz w:val="32"/>
          <w:szCs w:val="32"/>
        </w:rPr>
        <w:t>本项目年初预算资金总额为10.00万元，全年预算数为10.00万元，全年执行数为10.00万元，预算执行率为100.00%。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本项目共设置三级指标数量21个，满分指标数量21个，扣分指标数量0个，经分析计算所有三级指标完成率得出，本项目总体完成率为100.00%。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综上所述本项目预算执行进度与总体完成进度之间的无偏差.</w:t>
      </w:r>
    </w:p>
    <w:p w14:paraId="142C1760">
      <w:pPr>
        <w:numPr>
          <w:ilvl w:val="0"/>
          <w:numId w:val="1"/>
        </w:numPr>
        <w:spacing w:line="540" w:lineRule="exact"/>
        <w:ind w:firstLine="640"/>
        <w:rPr>
          <w:rStyle w:val="18"/>
          <w:rFonts w:hint="eastAsia" w:ascii="黑体" w:hAnsi="黑体" w:eastAsia="黑体"/>
          <w:b w:val="0"/>
          <w:color w:val="auto"/>
          <w:spacing w:val="-4"/>
          <w:sz w:val="32"/>
          <w:szCs w:val="32"/>
        </w:rPr>
      </w:pPr>
      <w:r>
        <w:rPr>
          <w:rStyle w:val="18"/>
          <w:rFonts w:hint="eastAsia" w:ascii="黑体" w:hAnsi="黑体" w:eastAsia="黑体"/>
          <w:b w:val="0"/>
          <w:color w:val="auto"/>
          <w:spacing w:val="-4"/>
          <w:sz w:val="32"/>
          <w:szCs w:val="32"/>
        </w:rPr>
        <w:t>主要经验及做法、存在的问题及原因分析</w:t>
      </w:r>
    </w:p>
    <w:p w14:paraId="4AE92690">
      <w:pPr>
        <w:spacing w:line="540" w:lineRule="exact"/>
        <w:ind w:firstLine="567"/>
        <w:rPr>
          <w:rFonts w:ascii="仿宋_GB2312" w:eastAsia="仿宋_GB2312"/>
          <w:color w:val="auto"/>
          <w:spacing w:val="-4"/>
          <w:sz w:val="32"/>
          <w:szCs w:val="32"/>
        </w:rPr>
      </w:pPr>
      <w:r>
        <w:rPr>
          <w:rStyle w:val="18"/>
          <w:rFonts w:hint="eastAsia" w:ascii="楷体" w:hAnsi="楷体" w:eastAsia="楷体"/>
          <w:b w:val="0"/>
          <w:bCs w:val="0"/>
          <w:color w:val="auto"/>
          <w:spacing w:val="-4"/>
          <w:sz w:val="32"/>
          <w:szCs w:val="32"/>
        </w:rPr>
        <w:t>（一）主要经验及做法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1.健全各项制度，保障项目资金的高效使用</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单位建立健全了预算管理规章制度，各部门严格按预算编制和要求做好当年预算编制工作，在预算绩效管理工作中，做到合理安排各项资金，重点保障主要项目支出，按轻重缓急顺序原则，切实优化资源配置，提高了资金使用的效率和效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2.聚焦项目工作的贯彻落实</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为有效推进项目工作开展，提高财政资金使用效益，我单位进一步强化项目意识，对照计划全面梳理重点任务，仔细谋划、紧抓落实，理顺内部分工和工作流程，明确责任和时间节点，一项一项抓好具体落实，确保了项目按时保质完成，保障了项目效益发挥。</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3.强化绩效监控，及时对项目进行跟踪问效</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一是根据绩效目标监控情况反馈，及时对项目实施进度与资金支付进度进行全程跟踪问效，发现问题及时解决，确保项目按计划进行，项目资金支付安排高效、合理。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是合理合规使用经费。根据项目业务流程，认真测算各阶段所需经费，确保当前项目实施经费充足。在经费使用方面，严格执行经费使用管理制度，厉行节约，专款专用，对每笔经费使用情况建立监督机制，确保经费使用合理合规。</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（一）存在的问题及原因分析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1.绩效预算认识不够充分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单位绩效管理理念尚未牢固树立，单位对全面实施绩效管理认识不够，绩效水平不高，单位内部绩效管理工作力量薄弱，多数以财务人员牵头开展绩效管理，工作推动机制不全，业务人员业务能力和素质还有待进一步提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2.绩效项目需进一步做好资金使用规划</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对项目资金的使用和管理高度重视、精心组织，制定详细分配方案，合理安排资金；坚持应保尽保、应退尽退、精准纳保原则，不断完善项目工作全流程跟踪机制，提高资金使用效率。</w:t>
      </w:r>
    </w:p>
    <w:p w14:paraId="4D224D13">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七</w:t>
      </w:r>
      <w:r>
        <w:rPr>
          <w:rStyle w:val="18"/>
          <w:rFonts w:hint="eastAsia" w:ascii="黑体" w:hAnsi="黑体" w:eastAsia="黑体"/>
          <w:b w:val="0"/>
          <w:color w:val="auto"/>
          <w:spacing w:val="-4"/>
          <w:sz w:val="32"/>
          <w:szCs w:val="32"/>
        </w:rPr>
        <w:t>、有关建议</w:t>
      </w:r>
    </w:p>
    <w:p w14:paraId="434BD4F6">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b w:val="0"/>
          <w:bCs w:val="0"/>
          <w:color w:val="auto"/>
          <w:spacing w:val="-4"/>
          <w:sz w:val="32"/>
          <w:szCs w:val="32"/>
        </w:rPr>
        <w:t xml:space="preserve"> 1建立完善内部控制制度，加强廉政风险防控机制建设。</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按照行政事业单位内部控制规范建立完善内部控制制度，加强单位内部管理，节约项目资金成本，提高资金使用效率，同时做好廉政风险防控，堵住项目资金挤占、挪用和流失的风险。</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2.加强预算绩效目标编制的培训学习</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对单位财务人员、业务科室人员进行集中培训，进一步树牢绩效观念，提高本单位工作人员的绩效管理能力和工作水平，为预算绩效管理相关工作的顺利开展提供保障。提高绩效目标编制质量，确保绩效目标“够得着、能实现。</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3.加强财务人员业务学习能力和自身素质的提高。</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对财务工作的严要求、高标准，进一步加强预算管理，预算编制依据充分合理，避免预算统筹考虑不足，出现预算执行不均衡现象。</w:t>
      </w:r>
    </w:p>
    <w:p w14:paraId="12F79355">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八</w:t>
      </w:r>
      <w:r>
        <w:rPr>
          <w:rStyle w:val="18"/>
          <w:rFonts w:hint="eastAsia" w:ascii="黑体" w:hAnsi="黑体" w:eastAsia="黑体"/>
          <w:b w:val="0"/>
          <w:color w:val="auto"/>
          <w:spacing w:val="-4"/>
          <w:sz w:val="32"/>
          <w:szCs w:val="32"/>
        </w:rPr>
        <w:t>、其他需要说明的问题</w:t>
      </w:r>
    </w:p>
    <w:p w14:paraId="297B0DBE">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（三）评价结果分别编入政府决算和部门预算，报送本级人民代表大会常务委员会，并依法予以公开。</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（四）我单位对上述项目支出绩效评价报告内反映内容的真实性、完整性负责，接受上级部门及社会公众监督。</w:t>
      </w:r>
    </w:p>
    <w:p w14:paraId="4077B144">
      <w:pPr>
        <w:spacing w:line="540" w:lineRule="exact"/>
        <w:ind w:firstLine="567"/>
        <w:rPr>
          <w:rStyle w:val="18"/>
          <w:rFonts w:ascii="仿宋" w:hAnsi="仿宋" w:eastAsia="仿宋"/>
          <w:b w:val="0"/>
          <w:color w:val="auto"/>
          <w:spacing w:val="-4"/>
          <w:sz w:val="32"/>
          <w:szCs w:val="32"/>
        </w:rPr>
      </w:pPr>
    </w:p>
    <w:p w14:paraId="26C9A376">
      <w:pPr>
        <w:spacing w:line="540" w:lineRule="exact"/>
        <w:ind w:firstLine="567"/>
        <w:rPr>
          <w:rStyle w:val="18"/>
          <w:rFonts w:ascii="仿宋" w:hAnsi="仿宋" w:eastAsia="仿宋"/>
          <w:b w:val="0"/>
          <w:color w:val="auto"/>
          <w:spacing w:val="-4"/>
          <w:sz w:val="32"/>
          <w:szCs w:val="32"/>
        </w:rPr>
      </w:pPr>
    </w:p>
    <w:p w14:paraId="7834585F">
      <w:pPr>
        <w:spacing w:line="540" w:lineRule="exact"/>
        <w:ind w:firstLine="567"/>
        <w:rPr>
          <w:rStyle w:val="18"/>
          <w:rFonts w:ascii="仿宋" w:hAnsi="仿宋" w:eastAsia="仿宋"/>
          <w:b w:val="0"/>
          <w:color w:val="auto"/>
          <w:spacing w:val="-4"/>
          <w:sz w:val="32"/>
          <w:szCs w:val="32"/>
        </w:rPr>
      </w:pPr>
    </w:p>
    <w:p w14:paraId="4B5F885F">
      <w:pPr>
        <w:spacing w:line="540" w:lineRule="exact"/>
        <w:ind w:firstLine="567"/>
        <w:rPr>
          <w:rStyle w:val="18"/>
          <w:rFonts w:ascii="仿宋" w:hAnsi="仿宋" w:eastAsia="仿宋"/>
          <w:b w:val="0"/>
          <w:color w:val="auto"/>
          <w:spacing w:val="-4"/>
          <w:sz w:val="32"/>
          <w:szCs w:val="32"/>
        </w:rPr>
      </w:pPr>
    </w:p>
    <w:p w14:paraId="79AF4879">
      <w:pPr>
        <w:spacing w:line="540" w:lineRule="exact"/>
        <w:ind w:firstLine="567"/>
        <w:rPr>
          <w:rStyle w:val="18"/>
          <w:rFonts w:ascii="仿宋" w:hAnsi="仿宋" w:eastAsia="仿宋"/>
          <w:b w:val="0"/>
          <w:color w:val="auto"/>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706CA37E">
        <w:pPr>
          <w:pStyle w:val="12"/>
          <w:jc w:val="center"/>
        </w:pPr>
        <w:r>
          <w:fldChar w:fldCharType="begin"/>
        </w:r>
        <w:r>
          <w:instrText xml:space="preserve">PAGE   \* MERGEFORMAT</w:instrText>
        </w:r>
        <w:r>
          <w:fldChar w:fldCharType="separate"/>
        </w:r>
        <w:r>
          <w:rPr>
            <w:lang w:val="zh-CN"/>
          </w:rPr>
          <w:t>2</w:t>
        </w:r>
        <w:r>
          <w:fldChar w:fldCharType="end"/>
        </w:r>
      </w:p>
    </w:sdtContent>
  </w:sdt>
  <w:p w14:paraId="1671579D">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B3A40"/>
    <w:rsid w:val="00285E45"/>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856517C"/>
    <w:rsid w:val="0BFB189F"/>
    <w:rsid w:val="119E3DB2"/>
    <w:rsid w:val="11BD75F7"/>
    <w:rsid w:val="13BE561A"/>
    <w:rsid w:val="15392994"/>
    <w:rsid w:val="18FE139B"/>
    <w:rsid w:val="3029612C"/>
    <w:rsid w:val="32A221C5"/>
    <w:rsid w:val="33F20F2A"/>
    <w:rsid w:val="34C44675"/>
    <w:rsid w:val="3B5B5607"/>
    <w:rsid w:val="3CE21B3C"/>
    <w:rsid w:val="4D2606A1"/>
    <w:rsid w:val="51830480"/>
    <w:rsid w:val="53A616BE"/>
    <w:rsid w:val="54662BFB"/>
    <w:rsid w:val="62051CA5"/>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5"/>
    <w:semiHidden/>
    <w:unhideWhenUsed/>
    <w:qFormat/>
    <w:uiPriority w:val="99"/>
    <w:rPr>
      <w:sz w:val="18"/>
      <w:szCs w:val="18"/>
    </w:rPr>
  </w:style>
  <w:style w:type="paragraph" w:styleId="12">
    <w:name w:val="footer"/>
    <w:basedOn w:val="1"/>
    <w:link w:val="44"/>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uiPriority w:val="10"/>
    <w:rPr>
      <w:rFonts w:asciiTheme="majorHAnsi" w:hAnsiTheme="majorHAnsi" w:eastAsiaTheme="majorEastAsia"/>
      <w:b/>
      <w:bCs/>
      <w:kern w:val="28"/>
      <w:sz w:val="32"/>
      <w:szCs w:val="32"/>
    </w:rPr>
  </w:style>
  <w:style w:type="character" w:customStyle="1" w:styleId="30">
    <w:name w:val="副标题 Char"/>
    <w:basedOn w:val="17"/>
    <w:link w:val="14"/>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qFormat/>
    <w:uiPriority w:val="99"/>
    <w:rPr>
      <w:rFonts w:ascii="Calibri" w:hAnsi="Calibri" w:eastAsia="宋体"/>
      <w:kern w:val="2"/>
      <w:sz w:val="18"/>
      <w:szCs w:val="18"/>
    </w:rPr>
  </w:style>
  <w:style w:type="character" w:customStyle="1" w:styleId="44">
    <w:name w:val="页脚 Char"/>
    <w:basedOn w:val="17"/>
    <w:link w:val="12"/>
    <w:qFormat/>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6668</Words>
  <Characters>7057</Characters>
  <Lines>4</Lines>
  <Paragraphs>1</Paragraphs>
  <TotalTime>2</TotalTime>
  <ScaleCrop>false</ScaleCrop>
  <LinksUpToDate>false</LinksUpToDate>
  <CharactersWithSpaces>7075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2025-05-27T03:28:25Z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C734C92AAAF24344A0E4232D8EB3359B</vt:lpwstr>
  </property>
</Properties>
</file>