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48821">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42B72597">
      <w:pPr>
        <w:spacing w:line="540" w:lineRule="exact"/>
        <w:jc w:val="center"/>
        <w:rPr>
          <w:rFonts w:hint="eastAsia" w:ascii="华文中宋" w:hAnsi="华文中宋" w:eastAsia="华文中宋" w:cs="宋体"/>
          <w:b/>
          <w:kern w:val="0"/>
          <w:sz w:val="52"/>
          <w:szCs w:val="52"/>
        </w:rPr>
      </w:pPr>
    </w:p>
    <w:p w14:paraId="0729F643">
      <w:pPr>
        <w:spacing w:line="540" w:lineRule="exact"/>
        <w:jc w:val="center"/>
        <w:rPr>
          <w:rFonts w:hint="eastAsia" w:ascii="华文中宋" w:hAnsi="华文中宋" w:eastAsia="华文中宋" w:cs="宋体"/>
          <w:b/>
          <w:kern w:val="0"/>
          <w:sz w:val="52"/>
          <w:szCs w:val="52"/>
        </w:rPr>
      </w:pPr>
    </w:p>
    <w:p w14:paraId="6FD92B19">
      <w:pPr>
        <w:spacing w:line="540" w:lineRule="exact"/>
        <w:jc w:val="center"/>
        <w:rPr>
          <w:rFonts w:hint="eastAsia" w:ascii="华文中宋" w:hAnsi="华文中宋" w:eastAsia="华文中宋" w:cs="宋体"/>
          <w:b/>
          <w:kern w:val="0"/>
          <w:sz w:val="52"/>
          <w:szCs w:val="52"/>
        </w:rPr>
      </w:pPr>
    </w:p>
    <w:p w14:paraId="79575836">
      <w:pPr>
        <w:spacing w:line="540" w:lineRule="exact"/>
        <w:jc w:val="center"/>
        <w:rPr>
          <w:rFonts w:hint="eastAsia" w:ascii="华文中宋" w:hAnsi="华文中宋" w:eastAsia="华文中宋" w:cs="宋体"/>
          <w:b/>
          <w:kern w:val="0"/>
          <w:sz w:val="52"/>
          <w:szCs w:val="52"/>
        </w:rPr>
      </w:pPr>
    </w:p>
    <w:p w14:paraId="26E012D2">
      <w:pPr>
        <w:spacing w:line="540" w:lineRule="exact"/>
        <w:jc w:val="center"/>
        <w:rPr>
          <w:rFonts w:hint="eastAsia" w:ascii="华文中宋" w:hAnsi="华文中宋" w:eastAsia="华文中宋" w:cs="宋体"/>
          <w:b/>
          <w:kern w:val="0"/>
          <w:sz w:val="52"/>
          <w:szCs w:val="52"/>
        </w:rPr>
      </w:pPr>
    </w:p>
    <w:p w14:paraId="7D3EB7DC">
      <w:pPr>
        <w:spacing w:line="540" w:lineRule="exact"/>
        <w:jc w:val="center"/>
        <w:rPr>
          <w:rFonts w:hint="eastAsia" w:ascii="华文中宋" w:hAnsi="华文中宋" w:eastAsia="华文中宋" w:cs="宋体"/>
          <w:b/>
          <w:kern w:val="0"/>
          <w:sz w:val="52"/>
          <w:szCs w:val="52"/>
        </w:rPr>
      </w:pPr>
    </w:p>
    <w:p w14:paraId="6A206E40">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9328CDA">
      <w:pPr>
        <w:spacing w:line="540" w:lineRule="exact"/>
        <w:jc w:val="center"/>
        <w:rPr>
          <w:rFonts w:hint="eastAsia" w:ascii="华文中宋" w:hAnsi="华文中宋" w:eastAsia="华文中宋" w:cs="宋体"/>
          <w:b/>
          <w:kern w:val="0"/>
          <w:sz w:val="52"/>
          <w:szCs w:val="52"/>
        </w:rPr>
      </w:pPr>
    </w:p>
    <w:p w14:paraId="23526DD9">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2C4CF1FA">
      <w:pPr>
        <w:spacing w:line="540" w:lineRule="exact"/>
        <w:jc w:val="center"/>
        <w:rPr>
          <w:rFonts w:hint="eastAsia" w:hAnsi="宋体" w:eastAsia="仿宋_GB2312" w:cs="宋体"/>
          <w:kern w:val="0"/>
          <w:sz w:val="30"/>
          <w:szCs w:val="30"/>
        </w:rPr>
      </w:pPr>
    </w:p>
    <w:p w14:paraId="1EEBDCFD">
      <w:pPr>
        <w:spacing w:line="540" w:lineRule="exact"/>
        <w:jc w:val="center"/>
        <w:rPr>
          <w:rFonts w:hint="eastAsia" w:hAnsi="宋体" w:eastAsia="仿宋_GB2312" w:cs="宋体"/>
          <w:kern w:val="0"/>
          <w:sz w:val="30"/>
          <w:szCs w:val="30"/>
        </w:rPr>
      </w:pPr>
    </w:p>
    <w:p w14:paraId="59898F3B">
      <w:pPr>
        <w:spacing w:line="540" w:lineRule="exact"/>
        <w:jc w:val="center"/>
        <w:rPr>
          <w:rFonts w:hint="eastAsia" w:hAnsi="宋体" w:eastAsia="仿宋_GB2312" w:cs="宋体"/>
          <w:kern w:val="0"/>
          <w:sz w:val="30"/>
          <w:szCs w:val="30"/>
        </w:rPr>
      </w:pPr>
    </w:p>
    <w:p w14:paraId="0D48A28D">
      <w:pPr>
        <w:spacing w:line="540" w:lineRule="exact"/>
        <w:jc w:val="center"/>
        <w:rPr>
          <w:rFonts w:hint="eastAsia" w:hAnsi="宋体" w:eastAsia="仿宋_GB2312" w:cs="宋体"/>
          <w:kern w:val="0"/>
          <w:sz w:val="30"/>
          <w:szCs w:val="30"/>
        </w:rPr>
      </w:pPr>
    </w:p>
    <w:p w14:paraId="3690C614">
      <w:pPr>
        <w:spacing w:line="540" w:lineRule="exact"/>
        <w:jc w:val="center"/>
        <w:rPr>
          <w:rFonts w:hint="eastAsia" w:hAnsi="宋体" w:eastAsia="仿宋_GB2312" w:cs="宋体"/>
          <w:kern w:val="0"/>
          <w:sz w:val="30"/>
          <w:szCs w:val="30"/>
        </w:rPr>
      </w:pPr>
    </w:p>
    <w:p w14:paraId="6B0BB259">
      <w:pPr>
        <w:spacing w:line="540" w:lineRule="exact"/>
        <w:jc w:val="center"/>
        <w:rPr>
          <w:rFonts w:hint="eastAsia" w:hAnsi="宋体" w:eastAsia="仿宋_GB2312" w:cs="宋体"/>
          <w:kern w:val="0"/>
          <w:sz w:val="30"/>
          <w:szCs w:val="30"/>
        </w:rPr>
      </w:pPr>
    </w:p>
    <w:p w14:paraId="3AC5EC4E">
      <w:pPr>
        <w:spacing w:line="540" w:lineRule="exact"/>
        <w:rPr>
          <w:rFonts w:hint="eastAsia" w:hAnsi="宋体" w:eastAsia="仿宋_GB2312" w:cs="宋体"/>
          <w:kern w:val="0"/>
          <w:sz w:val="30"/>
          <w:szCs w:val="30"/>
        </w:rPr>
      </w:pPr>
    </w:p>
    <w:p w14:paraId="56073C6F">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6EA64ED4">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开展信访业务项目</w:t>
      </w:r>
    </w:p>
    <w:p w14:paraId="7D2B196B">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昌吉回族自治州信访局</w:t>
      </w:r>
    </w:p>
    <w:p w14:paraId="797B0831">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昌吉回族自治州信访局</w:t>
      </w:r>
    </w:p>
    <w:p w14:paraId="7FF63669">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李功业</w:t>
      </w:r>
    </w:p>
    <w:p w14:paraId="239248AA">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2024年03月25日</w:t>
      </w:r>
    </w:p>
    <w:p w14:paraId="3DFA789A">
      <w:pPr>
        <w:spacing w:line="700" w:lineRule="exact"/>
        <w:ind w:firstLine="708" w:firstLineChars="236"/>
        <w:jc w:val="left"/>
        <w:rPr>
          <w:rFonts w:hint="eastAsia" w:hAnsi="宋体" w:eastAsia="仿宋_GB2312" w:cs="宋体"/>
          <w:kern w:val="0"/>
          <w:sz w:val="30"/>
          <w:szCs w:val="30"/>
        </w:rPr>
      </w:pPr>
    </w:p>
    <w:p w14:paraId="4CF1736D">
      <w:pPr>
        <w:spacing w:line="540" w:lineRule="exact"/>
        <w:rPr>
          <w:rStyle w:val="18"/>
          <w:rFonts w:hint="eastAsia" w:ascii="黑体" w:hAnsi="黑体" w:eastAsia="黑体"/>
          <w:b w:val="0"/>
          <w:spacing w:val="-4"/>
          <w:sz w:val="32"/>
          <w:szCs w:val="32"/>
        </w:rPr>
      </w:pPr>
    </w:p>
    <w:p w14:paraId="65E60160">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43CFA57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100C1EDA">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信访工作条例》指出，信访工作是党的群众工作的重要组成部分，是了解社情民意的重要窗口。要把握新时代信访工作原则和要求，践行以人民为中心的发展思想，完善信访工作责任体系，把党中央关于信访工作的方针政策和决策部署落到实处。要做好《条例》实施和国务院《信访条例》按法定程序废止前的相关工作衔接，确保顺畅平稳过渡。要做好《条例》的学习培训、宣传解读和落实情况的督促检查，在全社会营造办事依法、遇事找法、解决问题用法、化解矛盾靠法的良好环境。信访工作联席会议、信访部门要牢记职责使命，坚持人民至上，强化问题导向，主动担当作为，不断提高工作能力和水平。各地区各部门在执行《条例》中的重要情况和建议，要及时报告党中央、国务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行〔2023〕1号）文件要求，为保障全州信访工作的顺利开展，保证联合接访大厅正常运行，做好来信来访群众的接待工作，对信访联席会议成员单位进行培训和业务指导，为来信来访群众提供有关法律、法规和政策咨询服务,2023年度我单位计划实施开展信访业务项目，旨在通过项目的实施，促使全州信访形势呈现出“三降一升一好转”态势，更好地维护群众合法权益，信访秩序进一步好转，有效促进社会和谐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（1）项目名称：开展信访业务项目（以下简称“该项目”或“项目”）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对相关部门单位、县市（园区）信访骨干开展业务培训，开展业务指导2次以上；带案下访，对重点信访事项包联指导6次以上；律师每周为来访群众开展一次法律法规咨询服务，全年不少于48次；重要敏感节点驻京驻乌开展信访安全保障工作3次；开展信访工作条例宣传活动3次，进一步提高信访干部业务能力水平；参评群众满意度95%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的实施提高了信访联席会议成员单位信访业务工作能力水平，指导帮助基层做好了矛盾纠纷排查源头治理工作，为来访群众提供了专业法律咨询服务，为群众提供了“门诊式”“一站式”服务，推动了信访案件督导督办力度，切实保障了全州信访形势稳定可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实施主体：昌吉州信访局。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2023年上半年，通过集中培训、跟班轮训等方式对相关部门、单位开展培训及业务指导3次，2023年11月在州委党校开展为期一周的信访干部业务培训，全年共开展培训及业务指导4次。按照工作任务分工，县级干部分别包联各县市（园区），全年带案下访，对重点信访事项包联指导4次。为进一步深入学习贯彻党的二十大精神，持续推进学习贯彻《信访工作条例》（以下简称《条例》）走深走实，引导群众依法、有序、文明信访，昌吉州信访局以《条例》落实年活动为契机，上半年共开展《条例》宣传活动3次。积极引进律师进入联合接访大厅参与接访活动，全年共提供法律咨询服务72次。认真做好重要敏感节点信访安全服务保障工作，2023年在自治区</w:t>
      </w:r>
      <w:r>
        <w:rPr>
          <w:rStyle w:val="18"/>
          <w:rFonts w:hint="eastAsia" w:ascii="楷体" w:hAnsi="楷体" w:eastAsia="楷体"/>
          <w:b w:val="0"/>
          <w:bCs w:val="0"/>
          <w:spacing w:val="-4"/>
          <w:sz w:val="32"/>
          <w:szCs w:val="32"/>
          <w:lang w:eastAsia="zh-CN"/>
        </w:rPr>
        <w:t>两会</w:t>
      </w:r>
      <w:r>
        <w:rPr>
          <w:rStyle w:val="18"/>
          <w:rFonts w:hint="eastAsia" w:ascii="楷体" w:hAnsi="楷体" w:eastAsia="楷体"/>
          <w:b w:val="0"/>
          <w:bCs w:val="0"/>
          <w:spacing w:val="-4"/>
          <w:sz w:val="32"/>
          <w:szCs w:val="32"/>
        </w:rPr>
        <w:t>、全国两会、亚欧博览会等期间派驻专人驻乌驻京开展信访安全服务保障工作3次。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贯彻落实党中央、国务院和自治区党委、人民政府及自治区信访局关于信访工作的方针、政策、和法规，指导自治州的信访工作。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总结、推广各县市（园区）、各部门的信访工作经验，提出改进和加强信访工作的意见和建议。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代表自治州党委、自治州人民政府受理人民群众给自治州党委、自治州人民政府及其主要领导人的来信，接待群众来访，受理网上投诉，为来信来访群众提供有关法律、法规和政策咨询服务。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负责分析研究自治州信访工作形势，开展调查研究，征集群众建议，向自治州党委、自治州人民政府提供信访信息和工作建议。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承办上级领导机关、自治州党委和自治州人民政府领导交办的信访事项，督促检查领导批示件落实情况；向有关单位交办信访事项；组织和协调有关部门联合办理信访事项，会同处理复杂疑难信访事项；督促检查重要信访事项的处理和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协调处理跨地区、跨部门、跨行业和人事分离、人户分离、人事户分离的信访事项、群众集体上访和突发上访事件；督促检查、协调指导州直各县市部门和各县市、各部门信访工作。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承担自治州信访联席会议的日常工作，督促落实联席会议决定的事项，负责自治州重大矛盾纠纷排查调处的组织协调工作，建立排查调处工作机制，掌握矛盾纠纷排查调处动态，负责对涉及自治州有关行业、系统社会政治稳定的重大信访问题进行督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负责《信访条例》的宣传工作；负责自治州信访信息系统办公自动化建设。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完成自治州党委、自治州人民政府交办的其它任务。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开展信访业务工作项目的实施主体为昌吉州信访局，该单位纳入2023年部门决算编制范围的有4个科室1个中心，分别是：办公室（组织人事科），来访接待科，督查办案和复查复核科，网上投诉和来信办理科，信访投诉受理中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20人，其中：行政人员编制12人、工勤2人、事业编制6人。实有在职人数19人，其中：行政在职11人、工勤2人、事业在职6人。离退休人员6人，其中：行政退休人员6人、事业退休0人（根据实际情况填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本项目预算安排总额为90.00万元，资金来源为预算安排，其中：财政资金90.00万元，其他资金0.00万元，2023年实际收到预算资金90.00万元，预算资金到位率为100.00%。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截至2023年12月31日，本项目实际支付资金83.10万元，预算执行率92.33%，结余资金6.90万元。本项目资金主要用于支付安全服务费用39.00万元、工作经费13.54万元、保障正常办公运行费用30.56万元。</w:t>
      </w:r>
    </w:p>
    <w:p w14:paraId="3C084964">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24F4640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认真做好群众来信来访接待工作，受理群众网上投诉；对信访联席会议成员单位进行培训和业务指导；为来信来访群众提供有关法律、法规和政策咨询服务。2023年完成如下工作：1.对相关部门单位、县市（园区）信访骨干开展业务培训，开展业务指导2次以上；2.带案下访，对重点信访事项进行包联指导6次以上；3.律师每周为来访群众开展1次法律法规咨询服务，全年不少于48次；4.重要敏感节点驻京驻乌开展信访保障工作2次以上；5.开展信访工作条例宣传活动2次以上；提高信访干部业务能力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“对相关部门单位培训、开展业务指导”指标，预期指标值为“大于等于2次”；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“带案下访，对重点信访事项包联指导”指标，预期指标值为“大于等于6次”；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“律师开展法律咨询服务”指标，预期指标值为“大于等于48次”；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“重要敏感节点驻京驻乌开展信访保障工作”指标，预期指标值为“大于等于2次”；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“开展信访工作条例宣传活动”指标，预期指标值为“大于等于2次”。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“信访案件督办进度”指标，预期指标值为“等于100.00%”。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“安全服务费”指标，预期指标值为“小于等于39.00万元”；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“工作经费”指标，预期指标值为“小于等于15.00万元”；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“保障正常办公运行费用”指标，预期指标值为“小于等于36.00万元”。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“提高信访干部业务能力水平”指标，预期指标值为“有效支持”。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（2）相关满意度目标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“参评群众满意度率”指标，预期指标值为“大于等于95.00%”。</w:t>
      </w:r>
    </w:p>
    <w:p w14:paraId="4EAD8308">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7188AFBB">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23CA935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此次我单位根据《财政支出绩效评价管理暂行办法》（财预〔2020〕10号）文件要求实施评价工作，本次评价对象为开展信访业务项目，评价核心为项目资金、项目产出、项目效益。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w:t>
      </w:r>
    </w:p>
    <w:p w14:paraId="2D844F7F">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47EA868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比较法：通过整理本项目相关资料和数据，评价数量指标的完成情况；通过分析项目的实施情况与绩效目标实现情况，评价项目实施的效果；通过分析项目资金使用情况及产生的效果，评价预算资金分配的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B374575">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6270424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20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刘海洋（评价小组组长）：主要负责项目策划和监督，全面负责项目绩效评价办稿的最终质量，对评估人员出具的最终报告质量进行复核，确保评估结果的客观性；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黄玉莲（评价小组组员）：主要负责资料的收集，取证、数据统计分析；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马莉（评价小组组员）：主要负责主要负责项目报告的制定，指标的研判，数据分析及报告撰写。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2024年3月21日-3月31日，评价工作进入实施阶段。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经调研了解，该项目主要受益群体包括参评群众。我们根据绩效评价目标和绩效指标体系，设计满意度调查问卷进行问卷调查，其中受益对象共选取样本2425人，共发放问卷2425份，最终收回2425份。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2024年4月1日-4月14日，评价小组按照绩效评价的原则和规范，对取得的资料进行审查核实，对采集的数据进行分析，按照绩效评价指标评分表逐项进行打分、分析、汇总各方评价结果。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2024年4月15-4月25日，评价小组撰写绩效评价报告，按照新疆维吾尔自治区财政绩效管理信息系统绩效评价模块中统一格式和文本框架撰写绩效评价报告并提交审核。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07AAFD5A">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5C6269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对相关部门单位、县市（园区）信访骨干开展业务培训，开展业务指导4次；带案下访，对重点信访事项进行包联指导6次；律师每周为来访群众开展1次法律法规咨询服务，全年95次；重要敏感节点驻京驻乌开展信访保障工作3次；开展信访工作条例宣传活动3次；进一步提高了信访干部业务能力水平。但也存在以下不足：项目人员、财务人员项目绩效工作认识不统一，沟通不及时、部分目标未完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24个，实现三级指标数量22个，总体完成率为91.67%。最终评分结果：总分为98.27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过程管理类指标共设置5个，满分指标4个，得分率97.89%；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项目产出类指标共设置9个，满分指标8个，得分率95.57%；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5DC30781">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E03D6D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4562DC2">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信访工作条例》中：“各级机关、单位应当顺畅信访渠道，做好信访工作，认真处理信访事项，倾听人民群众建议、意见和要求，接受人民群众监督，为人民群众服务”的内容，符合行业发展规划和政策要求；本项目立项符合《昌吉回族自治州信访局单位配置内设机构和人员编制规定》中“贯彻落实党中央、国务院和自治区党委、人民政府及自治区信访局关于信访工作的方针、政策、和法规，指导自治州的信访工作”的职责范围，属于我单位履职所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财政资金直接支付申请书》，本项目资金性质为“公共财政预算”；功能分类为“行政运行”；经济分类为“2010301”；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非基础建设类模版：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本项目为非基础建设类项目，属于专项资金安排项目，不涉及事前绩效评估、可行性研究以及风险评估，由我单位严格按照《信访工作条例》文件要求实施项目。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认真做好群众来信来访接待工作，受理群众网上投诉；对信访联席会议成员单位进行培训和业务指导；为来信来访群众提供有关法律、法规和政策咨询服务。2023年完成如下工作：1.对相关部门单位、县市（园区）信访骨干开展业务培训，开展业务指导2次以上；2.带案下访，对重点信访事项进行包联指导6次以上；3.律师每周为来访群众开展1次法律法规咨询服务，全年不少于48次；4.重要敏感节点驻京驻乌开展信访保障工作2次以上；5.开展信访工作条例宣传活动2次以上；提高信访干部业务能力水平”；本项目实际工作内容为：对相关部门单位、县市（园区）信访骨干开展业务培训，开展业务指导4次；带案下访，对重点信访事项进行包联指导6次；律师每周为来访群众开展1次法律法规咨询服务，全年95次；重要敏感节点驻京驻乌开展信访保障工作3次；开展信访工作条例宣传活动3次；进一步提高了信访干部业务能力水平。绩效目标与实际工作内容一致，两者具有相关性;本项目按照绩效目标完成了数量指标、质量指标、时效指标、成本指标，项目的实施提高了信访联席会议成员单位信访业务工作能力水平，指导帮助基层做好了矛盾纠纷排查源头治理工作，为来访群众提供了专业法律咨询服务，为群众提供了“门诊式”“一站式”服务，推动了信访案件督导督办力度，切实保障了全州信访形势稳定可控。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11个，定量指标10个，定性指标1个，指标量化率为90.91%，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本项目预算编制通过往年支出情况得出，即预算编制较科学且经过论证；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预算申请内容为开展信访业务项目，项目实际内容为开展按购买信访业务，预算申请与《开展信访业务项目实施方案》中涉及的项目内容匹配；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本项目预算申请资金90.00万元，我单位在预算申请中严格按照单位标准和数量进行核算，其中：安全服务费用39.00万元、工作经费15.00万元、保障正常办公运行费用36.00万元。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开展信访业务项目资金的请示》和《开展信访业务项目项目实施方案》为依据进行资金分配，预算资金分配依据充分。《关于下达昌吉州本级预算单位2023年部门预算的通知》（昌州财行〔2023〕1号）文件显示，本项目实际到位资金90.00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492626AB">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7A65AF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项目过程管理类指标由2个二级指标和5个三级指标构成，权重分19.00分，实际得分18.60分。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90.00万元，其中：本级财政安排资金90.00万元，其他资金0.00万元，实际到位资金90.00万元，资金到位率=（实际到位资金/预算资金）×100.00%=（90.00/90.00）*100.00%=100.00%。得分=资金到位率*分值=100.00%*3.00=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本项目实际支出资金83.10万元，预算执行率=（实际支出资金/实际到位资金）×100.00%=（83.10/90.00）*100.00%=92.33%。得分=预算执行率*分值=92.33%*5.00=4.60分。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综上所述，本指标满分为5.00分，根据评分标准得4.60分，本项目资金分配合理。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信访局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信访局资金管理办法》《昌吉州信访局收支业务管理制度》《昌吉州信访局政府采购业务管理制度》《昌吉州信访局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开展信访业务项目工作领导小组，由党组书记王新中任组长，负责项目的组织工作；张东明任副组长，负责项目的实施工作；组员包括：黄玉莲和马莉，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23FD9931">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52EABB4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项目产出类指标由3个二级指标和9个三级指标构成，权重分30.00分，实际得分28.67分。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“带案下访，对重点信访事项包联指导”指标：预期指标值为“大于等于6次”，实际完成指标值为“4次”，指标完成率为66.67%。偏差率为33.33%，偏差原因为根据本年度实际工作需求，仅进行4次指导工作。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综上所述，本指标满分为4.00分，根据评分标准得2.67分。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“对相关部门单位培训、开展业务指导”指标：预期指标值为“大于等于2次”，实际完成指标值为“3次”，指标完成率为100.00%。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“开展信访工作条例宣传活动”指标：预期指标值为“大于等于2次”，实际完成指标值为“3次”，指标完成率为100.00%。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“律师开展法律咨询服务”指标：预期指标值为“大于等于48次”，实际完成指标值为“95次”，指标完成率为100.00%。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“重要敏感节点驻京驻乌开展信访保障工作”指标：预期指标值为“大于等于2次”，实际完成指标值为“3次”，指标完成率为100.00%。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“信访案件督办进度”指标”指标：预期指标值为“等于100.00%”，实际完成指标值为“100.00%”，指标完成率为100.00%%。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“安全服务费”指标：预期指标值为“小于等于39.00万元”，实际完成指标值为“39.00万元”，指标完成率为100.00%。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“保障正常办公运行费用”指标：预期指标值为“小于等于36.00万元”，实际完成指标值为“30.56万元”，指标完成率为100.00%。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“工作经费”指标：预期指标值为“小于等于15.00万元”，实际完成指标值为“13.54万元”，指标完成率为100.00%。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p>
    <w:p w14:paraId="121E66E9">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335EB84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“提高信访干部业务能力水平”指标：预期指标值为“有效支持”，实际完成指标值为“基本达成目标”，指标完成率为100.00%。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本项目无此项指标。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“参评群众满意度率”指标：预期指标值为“大于等于95.00%”，实际完成指标值为“97.50%”，指标完成率为100.00%。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p>
    <w:p w14:paraId="53CF9DFB">
      <w:pPr>
        <w:spacing w:line="540" w:lineRule="exact"/>
        <w:ind w:firstLine="567"/>
        <w:rPr>
          <w:rStyle w:val="18"/>
          <w:rFonts w:hint="eastAsia" w:ascii="楷体" w:hAnsi="楷体" w:eastAsia="楷体"/>
          <w:spacing w:val="-4"/>
          <w:sz w:val="32"/>
          <w:szCs w:val="32"/>
        </w:rPr>
      </w:pPr>
    </w:p>
    <w:p w14:paraId="5EEC9680">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3556910E">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本项目年初预算资金总额为90.00万元，全年预算数为90.00万元，全年执行数为83.10万元，预算执行率为92.33%。</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本项目共设置三级指标数量24个，满分指标数量22个，扣分指标数量2个，经分析计算所有三级指标完成率得出，本项目总体完成率为91.67%。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综上所述本项目预算执行进度与总体完成进度之间的偏差为0.66%。主要偏差原因是：在工作开展中根据实际情况，开展各项工作，同时节约项目成本。</w:t>
      </w:r>
    </w:p>
    <w:p w14:paraId="550796C8">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F30688D">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3.强化绩效目标刚性约束，及时对项目进行跟踪问效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项目人员、财务人员项目绩效工作认识不统一，沟通不及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2.绩效目标设置有待完善。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项目绩效目标设置不够科学，部分绩效指标与实际工作完成情况有偏差。</w:t>
      </w:r>
    </w:p>
    <w:p w14:paraId="1F27A04C">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4E3D4A7E">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 xml:space="preserve"> 1.加强培训，提高相关人员工作水平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预算绩效目标编制的培训学习。如：财政部《中央部门项目支出核心绩效目标和指标设臵及取值指引（试行）》（财预〔2021〕101号）、《自治区分行业分领域共性项目绩效指标体系（2021年度）》、2021年9月3日自治区财政厅绩效评价中心下发的《关于2022年度部门预算项目支出绩效目标设置及审核要求的提示通知》，提高绩效目标编制质量，确保绩效目标“够得着、能实现”。</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2.建立健全预算绩效管理制度体系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不断提高部门和单位工作人员的绩效管理意识，积极组织相关人员学习预算绩效管理制度及相关知识，不断完善本单位预算绩效管理过程监控制度。</w:t>
      </w:r>
    </w:p>
    <w:p w14:paraId="205F972C">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0E372CD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75BFA38B">
      <w:pPr>
        <w:spacing w:line="540" w:lineRule="exact"/>
        <w:ind w:firstLine="567"/>
        <w:rPr>
          <w:rStyle w:val="18"/>
          <w:rFonts w:hint="eastAsia" w:ascii="仿宋" w:hAnsi="仿宋" w:eastAsia="仿宋"/>
          <w:b w:val="0"/>
          <w:spacing w:val="-4"/>
          <w:sz w:val="32"/>
          <w:szCs w:val="32"/>
        </w:rPr>
      </w:pPr>
    </w:p>
    <w:p w14:paraId="53F2063A">
      <w:pPr>
        <w:spacing w:line="540" w:lineRule="exact"/>
        <w:ind w:firstLine="567"/>
        <w:rPr>
          <w:rStyle w:val="18"/>
          <w:rFonts w:hint="eastAsia" w:ascii="仿宋" w:hAnsi="仿宋" w:eastAsia="仿宋"/>
          <w:b w:val="0"/>
          <w:spacing w:val="-4"/>
          <w:sz w:val="32"/>
          <w:szCs w:val="32"/>
        </w:rPr>
      </w:pPr>
    </w:p>
    <w:p w14:paraId="06E5CD4B">
      <w:pPr>
        <w:spacing w:line="540" w:lineRule="exact"/>
        <w:ind w:firstLine="567"/>
        <w:rPr>
          <w:rStyle w:val="18"/>
          <w:rFonts w:hint="eastAsia" w:ascii="仿宋" w:hAnsi="仿宋" w:eastAsia="仿宋"/>
          <w:b w:val="0"/>
          <w:spacing w:val="-4"/>
          <w:sz w:val="32"/>
          <w:szCs w:val="32"/>
        </w:rPr>
      </w:pPr>
    </w:p>
    <w:p w14:paraId="39017124">
      <w:pPr>
        <w:spacing w:line="540" w:lineRule="exact"/>
        <w:ind w:firstLine="567"/>
        <w:rPr>
          <w:rStyle w:val="18"/>
          <w:rFonts w:hint="eastAsia" w:ascii="仿宋" w:hAnsi="仿宋" w:eastAsia="仿宋"/>
          <w:b w:val="0"/>
          <w:spacing w:val="-4"/>
          <w:sz w:val="32"/>
          <w:szCs w:val="32"/>
        </w:rPr>
      </w:pPr>
    </w:p>
    <w:p w14:paraId="075E4314">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A1FD16A">
        <w:pPr>
          <w:pStyle w:val="12"/>
          <w:jc w:val="center"/>
        </w:pPr>
        <w:r>
          <w:fldChar w:fldCharType="begin"/>
        </w:r>
        <w:r>
          <w:instrText xml:space="preserve">PAGE   \* MERGEFORMAT</w:instrText>
        </w:r>
        <w:r>
          <w:fldChar w:fldCharType="separate"/>
        </w:r>
        <w:r>
          <w:rPr>
            <w:lang w:val="zh-CN"/>
          </w:rPr>
          <w:t>2</w:t>
        </w:r>
        <w:r>
          <w:fldChar w:fldCharType="end"/>
        </w:r>
      </w:p>
    </w:sdtContent>
  </w:sdt>
  <w:p w14:paraId="41B1998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747791"/>
    <w:rsid w:val="008006BA"/>
    <w:rsid w:val="00855E3A"/>
    <w:rsid w:val="008923A5"/>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349A0"/>
    <w:rsid w:val="00FB10BB"/>
    <w:rsid w:val="0856517C"/>
    <w:rsid w:val="0BFB189F"/>
    <w:rsid w:val="11BD75F7"/>
    <w:rsid w:val="13BE561A"/>
    <w:rsid w:val="15392994"/>
    <w:rsid w:val="18FE139B"/>
    <w:rsid w:val="3029612C"/>
    <w:rsid w:val="32A221C5"/>
    <w:rsid w:val="33F20F2A"/>
    <w:rsid w:val="34C44675"/>
    <w:rsid w:val="3B5B5607"/>
    <w:rsid w:val="3CE21B3C"/>
    <w:rsid w:val="42D6016F"/>
    <w:rsid w:val="4D2606A1"/>
    <w:rsid w:val="51830480"/>
    <w:rsid w:val="53A616BE"/>
    <w:rsid w:val="54662BFB"/>
    <w:rsid w:val="57347D13"/>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8382</Words>
  <Characters>8786</Characters>
  <Lines>91</Lines>
  <Paragraphs>25</Paragraphs>
  <TotalTime>2</TotalTime>
  <ScaleCrop>false</ScaleCrop>
  <LinksUpToDate>false</LinksUpToDate>
  <CharactersWithSpaces>8807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2025-05-27T03:24:08Z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