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94DA9">
      <w:pPr>
        <w:spacing w:line="540" w:lineRule="exact"/>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附件2：</w:t>
      </w:r>
    </w:p>
    <w:p w14:paraId="1DB60629">
      <w:pPr>
        <w:spacing w:line="540" w:lineRule="exact"/>
        <w:jc w:val="center"/>
        <w:rPr>
          <w:rFonts w:ascii="华文中宋" w:hAnsi="华文中宋" w:eastAsia="华文中宋" w:cs="宋体"/>
          <w:b/>
          <w:color w:val="auto"/>
          <w:kern w:val="0"/>
          <w:sz w:val="52"/>
          <w:szCs w:val="52"/>
        </w:rPr>
      </w:pPr>
    </w:p>
    <w:p w14:paraId="6188E6D1">
      <w:pPr>
        <w:spacing w:line="540" w:lineRule="exact"/>
        <w:jc w:val="center"/>
        <w:rPr>
          <w:rFonts w:ascii="华文中宋" w:hAnsi="华文中宋" w:eastAsia="华文中宋" w:cs="宋体"/>
          <w:b/>
          <w:color w:val="auto"/>
          <w:kern w:val="0"/>
          <w:sz w:val="52"/>
          <w:szCs w:val="52"/>
        </w:rPr>
      </w:pPr>
    </w:p>
    <w:p w14:paraId="3153E66E">
      <w:pPr>
        <w:spacing w:line="540" w:lineRule="exact"/>
        <w:jc w:val="center"/>
        <w:rPr>
          <w:rFonts w:ascii="华文中宋" w:hAnsi="华文中宋" w:eastAsia="华文中宋" w:cs="宋体"/>
          <w:b/>
          <w:color w:val="auto"/>
          <w:kern w:val="0"/>
          <w:sz w:val="52"/>
          <w:szCs w:val="52"/>
        </w:rPr>
      </w:pPr>
    </w:p>
    <w:p w14:paraId="28C71014">
      <w:pPr>
        <w:spacing w:line="540" w:lineRule="exact"/>
        <w:jc w:val="center"/>
        <w:rPr>
          <w:rFonts w:ascii="华文中宋" w:hAnsi="华文中宋" w:eastAsia="华文中宋" w:cs="宋体"/>
          <w:b/>
          <w:color w:val="auto"/>
          <w:kern w:val="0"/>
          <w:sz w:val="52"/>
          <w:szCs w:val="52"/>
        </w:rPr>
      </w:pPr>
      <w:bookmarkStart w:id="0" w:name="_GoBack"/>
      <w:bookmarkEnd w:id="0"/>
    </w:p>
    <w:p w14:paraId="6207C171">
      <w:pPr>
        <w:spacing w:line="540" w:lineRule="exact"/>
        <w:jc w:val="center"/>
        <w:rPr>
          <w:rFonts w:ascii="华文中宋" w:hAnsi="华文中宋" w:eastAsia="华文中宋" w:cs="宋体"/>
          <w:b/>
          <w:color w:val="auto"/>
          <w:kern w:val="0"/>
          <w:sz w:val="52"/>
          <w:szCs w:val="52"/>
        </w:rPr>
      </w:pPr>
    </w:p>
    <w:p w14:paraId="42B82B54">
      <w:pPr>
        <w:spacing w:line="540" w:lineRule="exact"/>
        <w:jc w:val="center"/>
        <w:rPr>
          <w:rFonts w:ascii="华文中宋" w:hAnsi="华文中宋" w:eastAsia="华文中宋" w:cs="宋体"/>
          <w:b/>
          <w:color w:val="auto"/>
          <w:kern w:val="0"/>
          <w:sz w:val="52"/>
          <w:szCs w:val="52"/>
        </w:rPr>
      </w:pPr>
    </w:p>
    <w:p w14:paraId="71447877">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08856BD5">
      <w:pPr>
        <w:spacing w:line="540" w:lineRule="exact"/>
        <w:jc w:val="center"/>
        <w:rPr>
          <w:rFonts w:ascii="华文中宋" w:hAnsi="华文中宋" w:eastAsia="华文中宋" w:cs="宋体"/>
          <w:b/>
          <w:color w:val="auto"/>
          <w:kern w:val="0"/>
          <w:sz w:val="52"/>
          <w:szCs w:val="52"/>
        </w:rPr>
      </w:pPr>
    </w:p>
    <w:p w14:paraId="5AD96069">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679E2686">
      <w:pPr>
        <w:spacing w:line="540" w:lineRule="exact"/>
        <w:jc w:val="center"/>
        <w:rPr>
          <w:rFonts w:hAnsi="宋体" w:eastAsia="仿宋_GB2312" w:cs="宋体"/>
          <w:color w:val="auto"/>
          <w:kern w:val="0"/>
          <w:sz w:val="30"/>
          <w:szCs w:val="30"/>
        </w:rPr>
      </w:pPr>
    </w:p>
    <w:p w14:paraId="2A084E63">
      <w:pPr>
        <w:spacing w:line="540" w:lineRule="exact"/>
        <w:jc w:val="center"/>
        <w:rPr>
          <w:rFonts w:hAnsi="宋体" w:eastAsia="仿宋_GB2312" w:cs="宋体"/>
          <w:color w:val="auto"/>
          <w:kern w:val="0"/>
          <w:sz w:val="30"/>
          <w:szCs w:val="30"/>
        </w:rPr>
      </w:pPr>
    </w:p>
    <w:p w14:paraId="59A5C120">
      <w:pPr>
        <w:spacing w:line="540" w:lineRule="exact"/>
        <w:jc w:val="center"/>
        <w:rPr>
          <w:rFonts w:hAnsi="宋体" w:eastAsia="仿宋_GB2312" w:cs="宋体"/>
          <w:color w:val="auto"/>
          <w:kern w:val="0"/>
          <w:sz w:val="30"/>
          <w:szCs w:val="30"/>
        </w:rPr>
      </w:pPr>
    </w:p>
    <w:p w14:paraId="40C834E7">
      <w:pPr>
        <w:spacing w:line="540" w:lineRule="exact"/>
        <w:jc w:val="center"/>
        <w:rPr>
          <w:rFonts w:hAnsi="宋体" w:eastAsia="仿宋_GB2312" w:cs="宋体"/>
          <w:color w:val="auto"/>
          <w:kern w:val="0"/>
          <w:sz w:val="30"/>
          <w:szCs w:val="30"/>
        </w:rPr>
      </w:pPr>
    </w:p>
    <w:p w14:paraId="5D7046AA">
      <w:pPr>
        <w:spacing w:line="540" w:lineRule="exact"/>
        <w:jc w:val="center"/>
        <w:rPr>
          <w:rFonts w:hAnsi="宋体" w:eastAsia="仿宋_GB2312" w:cs="宋体"/>
          <w:color w:val="auto"/>
          <w:kern w:val="0"/>
          <w:sz w:val="30"/>
          <w:szCs w:val="30"/>
        </w:rPr>
      </w:pPr>
    </w:p>
    <w:p w14:paraId="2213A00E">
      <w:pPr>
        <w:spacing w:line="540" w:lineRule="exact"/>
        <w:jc w:val="center"/>
        <w:rPr>
          <w:rFonts w:hAnsi="宋体" w:eastAsia="仿宋_GB2312" w:cs="宋体"/>
          <w:color w:val="auto"/>
          <w:kern w:val="0"/>
          <w:sz w:val="30"/>
          <w:szCs w:val="30"/>
        </w:rPr>
      </w:pPr>
    </w:p>
    <w:p w14:paraId="34ED8ADF">
      <w:pPr>
        <w:spacing w:line="540" w:lineRule="exact"/>
        <w:rPr>
          <w:rFonts w:hAnsi="宋体" w:eastAsia="仿宋_GB2312" w:cs="宋体"/>
          <w:color w:val="auto"/>
          <w:kern w:val="0"/>
          <w:sz w:val="30"/>
          <w:szCs w:val="30"/>
        </w:rPr>
      </w:pPr>
    </w:p>
    <w:p w14:paraId="6FC79003">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51072B1C">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统计基层基础建设</w:t>
      </w:r>
    </w:p>
    <w:p w14:paraId="122437C8">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昌吉回族自治州统计局本级</w:t>
      </w:r>
    </w:p>
    <w:p w14:paraId="44EA5E44">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昌吉回族自治州统计局本级</w:t>
      </w:r>
    </w:p>
    <w:p w14:paraId="095642FC">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刘立平</w:t>
      </w:r>
    </w:p>
    <w:p w14:paraId="3745D013">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2024年04月08日</w:t>
      </w:r>
    </w:p>
    <w:p w14:paraId="152EB970">
      <w:pPr>
        <w:spacing w:line="700" w:lineRule="exact"/>
        <w:ind w:firstLine="708" w:firstLineChars="236"/>
        <w:jc w:val="left"/>
        <w:rPr>
          <w:rFonts w:hAnsi="宋体" w:eastAsia="仿宋_GB2312" w:cs="宋体"/>
          <w:color w:val="auto"/>
          <w:kern w:val="0"/>
          <w:sz w:val="30"/>
          <w:szCs w:val="30"/>
        </w:rPr>
      </w:pPr>
    </w:p>
    <w:p w14:paraId="51456CF7">
      <w:pPr>
        <w:spacing w:line="540" w:lineRule="exact"/>
        <w:rPr>
          <w:rStyle w:val="18"/>
          <w:rFonts w:ascii="黑体" w:hAnsi="黑体" w:eastAsia="黑体"/>
          <w:b w:val="0"/>
          <w:color w:val="auto"/>
          <w:spacing w:val="-4"/>
          <w:sz w:val="32"/>
          <w:szCs w:val="32"/>
        </w:rPr>
      </w:pPr>
    </w:p>
    <w:p w14:paraId="60863B84">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5384CEA1">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7372DCC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根据《关于下达昌吉州本级预算单位2023年部门预算的通知》昌州财行【2023】1号文件要求，对项目实施背景进行分析为了加大对乡镇（街道）和企业统计人员各项统计业务、统计法律法规知识培训力度，全面提升基层统计人员综合能力。计划乡镇（街道）统计专干业务培训3天以上；企业统计人员业务培训5场次以上；全州统计基层基础现场观摩会1次；加大调研指导力度，开展州级和县级基层基础示范点创建工作，进一步推动乡镇（街道）统计规范化建设。加强基层统计信息化建设，规范整合县市信息化基础设施，优化完善乡镇统计网络建设，保证区州县乡四级统计网络稳定。培养和充实基层统计信息化人才，加强对乡镇（街道）、村（社区）及企业统计人员业务技能、法律等岗位知识的培训，全面提高基层统计人员综合能力。</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（1）项目名称：统计基层基础建设</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项目主要内容：根通过乡镇（街道）统计专干业务培训、企业统计人员业务培训、全州统计基层基础现场观摩会等培训全面提升基层统计人员综合能力加大调研指导力度，开展州级和县级基层基础示范点创建工作，进一步推动乡镇（街道）统计规范化建设，培养和充实了基层统计信息化人才训，全面提高基层统计人员综合能力。</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实施主体：昌吉州统计局。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实施时间：本项目实施周期为2023年1月-2023年12月。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实施情况：项目的实施通过乡镇（街道）统计专干业务培训、企业统计人员业务培训、全州统计基层基础现场观摩会等培训全面提升基层统计人员综合能力加大调研指导力度，开展州级和县级基层基础示范点创建工作，进一步推动乡镇（街道）统计规范化建设，培养和充实了基层统计信息化人才训，全面提高基层统计人员综合能力。</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昌吉回族自治州统计局是自治州人民政府工作部门,为正处级。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（一）依照国家、自治区法律、法规、政策和自治州的统计调查计划,拟订自治州统计工作规章、制度和统计现代化建设规划,监督、检查统计法律、法规的实施。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（二）执行国家、自治区统一的国民经济核算体系、统计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指标体系和基本统计制度及国家的统计标准;组织领导和监督检查各县(市)、自治州各部门的统计和国民经济核算工作负责地区生产总值统一核算、资产负债表编制和自然资源资产负债表编制工作。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（三）会同有关部门组织完成国家、自治区、自治州重大国情国力、区情区力和州情州力普查及抽样调查任务;拟订本地区各项统计计划、调查方案,审批各县(市)及自治州各部门的统计调查计划和调查方案。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四）组织、协调各县(市)、自治州各部门的社会经济调查;汇总、整理全州的基本统计资料;对全州国民经济、社会发展和科技进步等情况进行统计分析、统计预测和统计监督向自治州党委、人民政府及有关部门提供统计信息和咨询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（五）统一核定、管理、公布全州性的基本统计资料,定期向社会公众发布全州国民经济和社会发展情况的统计信息。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（六）建立健全和管理州、县(市)统计信息自动化系统和统计数据库体系,组织领导和管理全州统计数据库网络。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（七）积极推进统计制度方法改革,组织指导全州统计科学研究、统计业务技术教育、统计干部培训,提高全州统计工作水平。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（八）完成自治州党委、人民政府交办的其他任务。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昌吉州统计局单位无下属预算单位，下设 6个科室，办公室(组织人事科)、综合统计科、农业农村统计科(城乡住户调查办公室)、工业和能源资源统计科、社会统计科、统计普查中心。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昌吉州统计局单位编制数33人，实有人数 42人，其中：在职30人， 退休12人。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本项目预算安排总额为44万元，资金来源为本级部门预算，其中：财政资金44万元，其他资金0万元，2023年实际收到预算资金44万元，预算资金到位率为100.00%。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截至2023年12月31日，本项目实际支付资金38.42万元，预算执行率87.32%。结余资金5.58万元，本项目资金主要用于支付培训费用38.42万元。</w:t>
      </w:r>
    </w:p>
    <w:p w14:paraId="3A92D9AF">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6AC2E4F3">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大对乡镇（街道）和企业统计人员各项统计业务、统计法律法规知识培训力度，全面提升基层统计人员综合能力。乡镇（街道）统计专干业务培训3天以上；企业统计人员业务培训5场次以上；全州统计基层基础现场观摩会1次；加大调研指导力度，开展州级和县级基层基础示范点创建工作，进一步推动乡镇（街道）统计规范化建设。加强基层统计信息化建设，规范整合县市信息化基础设施，优化完善乡镇统计网络建设，保证区州县乡四级统计网络稳定。 培养和充实基层统计信息化人才，加强对乡镇（街道）、村（社区）及企业统计人员业务技能、法律等岗位知识的培训，全面提高基层统计人员综合能力。</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“乡镇（街道）统计专干业务培训”指标，预期指标值为“大于等于3天”；</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“企业统计人员业务培训场次”指标，预期指标值为“大于等于5场次”；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“全州统计基层基础现场观摩会”指标，预期指标值为“大于等于1次”；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“乡镇（街道）统计专干覆盖率”指标，预期指标值为“大于等于80%”；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“企业统计人员培训覆盖率”指标，预期指标值为“大于等于50%”；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“按照培训计划完成率”指标，预期指标值为“等于100%”；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（2）项目成本指标指标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“培训经费”指标，预期指标值为“小于等于30万元”；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“工作经费成本”指标，预期指标值为“小于等于14万元”；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“进一步夯实统计基层基础工作，提高统计数据的及时性、真实性、全面性”指标，预期指标值为“有效提高”；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“稳定统计人员队伍，提升基层统计人员素质和能力，为自治州经济社会高质量发展奠定坚实的统计基础”指标，预期指标值为“有效提高”；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“乡镇（街道）统计人员满意率”指标，预期指标值为“大于等于80%”；</w:t>
      </w:r>
    </w:p>
    <w:p w14:paraId="5ADA048B">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7514D506">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7B791D54">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此次我单位根据《财政支出绩效评价管理暂行办法》（财预〔2020〕10号）文件要求实施评价工作，本次评价对象为统计基层基础建设项目，评价核心为项目资金、项目产出、项目效益。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(5)工作计划。</w:t>
      </w:r>
    </w:p>
    <w:p w14:paraId="2323389D">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4D291AA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对项目进行评价，旨在通过综合分析影响绩效目标实现、实施效果的内外部因素，从而评价本项目绩效。三级指标分析环节：总体采用比较法，同时辅以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4FAF5E13">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3D24DC2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8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贠劲春（评价小组组长）：主要负责项目策划和监督，全面负责项目绩效评价办稿的最终质量，对评估人员出具的最终报告质量进行复核，确保评估结果的客观性；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李明燕（评价小组组员）：主要负责资料的收集，取证、数据统计分析；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章琼丹（评价小组组员）：主要负责主要负责项目报告的制定，指标的研判，数据分析及报告撰写。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2024年3月11日-3月13日，评价工作进入实施阶段。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经调研了解，该项目主要受益群体包括参训人员。我们根据绩效评价目标和绩效指标体系，设计满意度调查问卷进行问卷调查，其中参训人员受益对象共选取样本50人，共发放问卷50份，最终收回50份。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2024年3月14日-3月15日，评价小组按照绩效评价的原则和规范，对取得的资料进行审查核实，对采集的数据进行分析，按照绩效评价指标评分表逐项进行打分、分析、汇总各方评价结果。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2024年3月16日-3月17日，评价小组撰写绩效评价报告，按照新疆维吾尔自治区财政绩效管理信息系统绩效评价模块中统一格式和文本框架撰写绩效评价报告并提交审核。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1CDDBA08">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1E42C21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经评价，本项目达成年初设立的绩效目标，在实施过程中取得了良好的成效，具体表现在：通过乡镇（街道）统计专干业务培训、企业统计人员业务培训、全州统计基层基础现场观摩会等培训全面提升基层统计人员综合能力加大调研指导力度，开展州级和县级基层基础示范点创建工作，进一步推动乡镇（街道）统计规范化建设，培养和充实了基层统计信息化人才训，全面提高基层统计人员综合能力。但在实施过程中也存在一些不足：预算资金不够准确，经费未执行完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此次绩效评价通过绩效评价小组论证的评价指标体系及评分标准，采用因素分析法和比较法对本项目绩效进行客观评价，本项目共设置三级指标数量22个，实现三级指标数量19个，总体完成率为97.8%。最终评分结果：总分为96.1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项目决策类指标共设置6个，满分指标6个，得分率100%；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过程管理类指标共设置5个，满分指标4个，得分率96.8%；</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项目产出类指标共设置8个，满分指标6个，得分率83.33%；</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项目效益类指标共设置3个，满分指标3个，得分率100%。</w:t>
      </w:r>
    </w:p>
    <w:p w14:paraId="69EB2CB1">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6478FFF8">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35D0C76E">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立项符合《关于开展“统计基层基础提升年”活动的意见》中：“深入推进统计筑基三年工程，持续提升乡镇（街道）的统计规范化建设和工作水平”内容，符合行业发展规划和政策要求；根据《财政资金直接支付申请书》，本项目资金性质为“公共财政预算”功能分类为“统计管理”经济分类为“培训费”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已设置年度绩效目标，具体内容为“加大对乡镇（街道）和企业统计人员各项统计业务、统计法律法规知识培训力度，全面提升基层统计人员综合能力。乡镇（街道）统计专干业务培训3天以上；企业统计人员业务培训5场次以上；全州统计基层基础现场观摩会1次；加大调研指导力度，开展州级和县级基层基础示范点创建工作，进一步推动乡镇（街道）统计规范化建设。加强基层统计信息化建设，规范整合县市信息化基础设施，优化完善乡镇统计网络建设，保证区州县乡四级统计网络稳定。 培养和充实基层统计信息化人才，加强对乡镇（街道）、村（社区）及企业统计人员业务技能、法律等岗位知识的培训，全面提高基层统计人员综合能力。”本项目实际工作内容为：通过乡镇（街道）统计专干业务培训、企业统计人员业务培训、全州统计基层基础现场观摩会等培训全面提升基层统计人员综合能力加大调研指导力度，开展州级和县级基层基础示范点创建工作，进一步推动乡镇（街道）统计规范化建设，培养和充实了基层统计信息化人才训，全面提高基层统计人员综合能力。；绩效目标与实际工作内容一致，两者具有相关性;本项目按照绩效目标完成了数量指标、质量指标、时效指标、成本指标，有效保障了统计工作高质量发展，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经检查我单位年初设置的《项目支出绩效目标表》，得出如下结论：本项目已将年度绩效目标进行细化为绩效指标体系，共设置一级指标4个，二级指标6个，三级指标11个，定量指标9个，定性指标2个，指标量化率为81.82%，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本项目预算编制通过年度工作计划得出，即预算编制较科学且经过论证；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预算申请内容为基层基础建设，项目实际内容为基层基础建设，预算申请与年初预算批复中涉及的项目内容匹配；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本项目预算申请资金44万元，我单位在预算申请中严格按照单位标准和数量进行核算，其中：</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（一）乡镇（街道）统计专干培训</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1.食宿费：180*100*3+180*150*3=135000元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2.会务费：30000元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（二）企业统计人员培训费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1.食宿费：360*100*5=180000元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2.会务费：40000元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（三）统计基层基础建设现场观摩会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1.食宿费：100*150+100*100*2=35000元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2.会务费：20000元。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实际分配资金以工作计划为依据进行资金分配，预算资金分配依据充分。根据《关于下达昌吉州本级预算单位2023年度部门预算的通知》文件显示，本项目实际到位资金44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2E7B1586">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5EC158A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项目过程管理类指标由2个二级指标和5个三级指标构成，权重分19.00分，实际得分18.37分。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本项目预算资金为44万元，其中：本级财政安排资金44万元，其他资金44万元，实际到位资金44万元，资金到位率=（实际到位资金/预算资金）×100.00%=（44/44）*100.00%=100%。得分=资金到位率*分值=100%*4=4分。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本项目实际支出资金38.42万元，预算执行率=（实际支出资金/实际到位资金）×100.00%=（38.42/44）*100.00%=87.32%。得分=预算执行率*分值=87.32%*5=4.37分。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综上所述，本指标满分为5.00分，根据评分标准得4.37分，本项目资金分配合理。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通过检查本项目签订的合同、资金申请文件、发票等财务付款凭证，得出本项目资金支出符合国家财经法规、《政府会计制度》以及《单位项目管理制度》《昌吉州统计局预算绩效管理制度》，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综上所述，本指标满分为4.00分，根据评分标准得4分，资金支出符合我单位财务管理制度规定。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我单位已制定《昌吉州统计局财务管理制度》《昌吉州统计局资产管理制度》《昌吉州统计局合同管理业务制度》《项目资金绩效评价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综上所述，本指标满分为2.00分，根据评分标准得2分，项目制度建设健全。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统计基层基础建设项目工作领导小组，由党组书记杨学军任组长，负责项目的组织工作；贠劲春任副组长，负责项目的实施工作；组员包括：李慧娟和李明燕，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综上所述，本指标满分为4.00分，根据评分标准得4分，本项目所建立制度执行有效。</w:t>
      </w:r>
    </w:p>
    <w:p w14:paraId="06C47B83">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18984844">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项目产出类指标由4个二级指标和8个三级指标构成，权重分30分，实际得分26.8分。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“乡镇（街道）统计专干业务培训”指标：预期指标值为“大于等于3天”，实际完成指标值为3天，指标完成率为100.0%。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综上所述，本指标满分为3分，根据评分标准得3分。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“企业统计人员业务培训场次”指标：预期指标值为“大于等于5场次”；，实际完成指标值为5场次，指标完成率为100.0%。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综上所述，本指标满分为3分，根据评分标准得3分。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“全州统计基层基础现场观摩会”指标：预期指标值为“大于等于1次”，实际完成指标值为1次，指标完成率为100.0%。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综上所述，本指标满分为3分，根据评分标准得3分。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“乡镇（街道）统计专干覆盖率”指标：预期指标值为“大于等于80%”，实际完成指标值为100%，指标完成率为100.0%。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“企业统计人员培训覆盖率”指标：预期指标值为“大于等于50%”，实际完成指标值为100%，指标完成率为100.0%。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“按照培训计划完成率”指标：预期指标值为“=100%”，实际完成指标值为100%，指标完成率为100.0%。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“培训经费”指标：预期指标值为“小于等于30万元”，实际完成指标值为28万元，指标完成率为93.%。偏差率为4.8%，偏差原因是经费预算环节不够精准，导致费用预算多，未执行完毕。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综上所述，本指标满分为3分，根据评分标准得2.5分。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“工作经费成本”指标：预期指标值为“小于等于14万元，实际完成指标值为10.03万元，指标完成率为72%,偏差率为25.8%，经费预算环节不够精准，导致费用预算多，未执行完毕。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综上所述，本指标满分为3分，根据评分标准得0.3分。</w:t>
      </w:r>
    </w:p>
    <w:p w14:paraId="16006DBD">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1BC42758">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　　　项目效益类指标由2个二级指标和3个三级指标构成，权重分30.0分，实际得分30分。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““进一步夯实统计基层基础工作，提高统计数据的及时性、真实性、全面性”指标：预期指标值为“有效提高”，实际完成指标值为“有效提高”，指标完成率为100.0%。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综上所述，本指标满分为10分，根据评分标准得10分。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稳定统计人员队伍，提升基层统计人员素质和能力，为自治州经济社会高质量发展奠定坚实的统计基础”指标：预期指标值为“有效提高”，实际完成指标值为“有效提高”，指标完成率为100.0%。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综上所述，本指标满分为10分，根据评分标准得10分。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“乡镇（街道）统计人员满意率”指标：预期指标值为“大于等于80%”，实际完成指标值为100%，指标完成率为100.0%。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综上所述，本指标满分为10分，根据评分标准得10分。</w:t>
      </w:r>
    </w:p>
    <w:p w14:paraId="38B35DF9">
      <w:pPr>
        <w:spacing w:line="540" w:lineRule="exact"/>
        <w:ind w:firstLine="567"/>
        <w:rPr>
          <w:rStyle w:val="18"/>
          <w:rFonts w:ascii="楷体" w:hAnsi="楷体" w:eastAsia="楷体"/>
          <w:color w:val="auto"/>
          <w:spacing w:val="-4"/>
          <w:sz w:val="32"/>
          <w:szCs w:val="32"/>
        </w:rPr>
      </w:pPr>
    </w:p>
    <w:p w14:paraId="0E6F5876">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0D8737FA">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本项目年初预算资金总额为44万元，全年预算数为44万元，全年执行数为38.42万元，预算执行率为87.32%%。</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本项目共设置三级指标数量22个，满分指标数量19个，扣分指标数量2个，经分析计算所有三级指标完成率得出，本项目总体完成率为97.8%。</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综上所述本项目预算执行进度与总体完成进度之间的偏差为10.48%。主要偏差原因是：经费预算环节不够精准，导致费用预算多，未执行完毕。</w:t>
      </w:r>
    </w:p>
    <w:p w14:paraId="51C4F8CC">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6F230C15">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1.聚焦重点任务，推动项目工作落地落实</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2.坚持问题导向，加强执行监控，提高资金效益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3.强化绩效目标刚性约束，及时对项目进行跟踪问效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1.绩效预算认识不够充分，绩效理念有待进一步强化</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2.绩效档案归档工作有待提高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3.项目支出绩效评价存在局限，客观性有待加强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支出绩效评价工作还存在自我审定的局限性，项目支出绩效工作有较大弹性，评价报告多局限于描述项目实施情况，对问题避重就轻，对项目的打分松紧不一，会影响评价质量，在客观性和公正性上说服力不强。</w:t>
      </w:r>
    </w:p>
    <w:p w14:paraId="576B9726">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6DBD4A3D">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1.加强培训，提高相关人员工作水平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采取多种培训形式对单位财务人员、业务科室人员进行集中培训，进一步树牢绩效观念，提高本单位工作人员的绩效管理能力和工作水平，为预算绩效管理相关工作的顺利开展提供保障。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2.扎实推进档案规范化建设，提升档案管理水平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进一步完善项目评价资料。项目启动时同步做好档案的归纳与整理，及时整理、收集、汇总，健全档案资料。二是严格落实关于绩效管理工作档案资料归档的相关要求，强化收集力度，确保归档资料的完整齐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 高度重视，加强领导</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高度重视，加强领导，精心组织。项目绩效领导小组对绩效评价工作进行指导、监督、检查，确保项目绩效评价反映项目完成真实情况。严格执行项目绩效评价工作要求，切实提高项目绩效报告的客观性和公正性。</w:t>
      </w:r>
    </w:p>
    <w:p w14:paraId="0B6C09C9">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5CE6F1B3">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19E5AEBD">
      <w:pPr>
        <w:spacing w:line="540" w:lineRule="exact"/>
        <w:ind w:firstLine="567"/>
        <w:rPr>
          <w:rStyle w:val="18"/>
          <w:rFonts w:ascii="仿宋" w:hAnsi="仿宋" w:eastAsia="仿宋"/>
          <w:b w:val="0"/>
          <w:color w:val="auto"/>
          <w:spacing w:val="-4"/>
          <w:sz w:val="32"/>
          <w:szCs w:val="32"/>
        </w:rPr>
      </w:pPr>
    </w:p>
    <w:p w14:paraId="59A2D520">
      <w:pPr>
        <w:spacing w:line="540" w:lineRule="exact"/>
        <w:ind w:firstLine="567"/>
        <w:rPr>
          <w:rStyle w:val="18"/>
          <w:rFonts w:ascii="仿宋" w:hAnsi="仿宋" w:eastAsia="仿宋"/>
          <w:b w:val="0"/>
          <w:color w:val="auto"/>
          <w:spacing w:val="-4"/>
          <w:sz w:val="32"/>
          <w:szCs w:val="32"/>
        </w:rPr>
      </w:pPr>
    </w:p>
    <w:p w14:paraId="044B1C97">
      <w:pPr>
        <w:spacing w:line="540" w:lineRule="exact"/>
        <w:ind w:firstLine="567"/>
        <w:rPr>
          <w:rStyle w:val="18"/>
          <w:rFonts w:ascii="仿宋" w:hAnsi="仿宋" w:eastAsia="仿宋"/>
          <w:b w:val="0"/>
          <w:color w:val="auto"/>
          <w:spacing w:val="-4"/>
          <w:sz w:val="32"/>
          <w:szCs w:val="32"/>
        </w:rPr>
      </w:pPr>
    </w:p>
    <w:p w14:paraId="753C7C02">
      <w:pPr>
        <w:spacing w:line="540" w:lineRule="exact"/>
        <w:ind w:firstLine="567"/>
        <w:rPr>
          <w:rStyle w:val="18"/>
          <w:rFonts w:ascii="仿宋" w:hAnsi="仿宋" w:eastAsia="仿宋"/>
          <w:b w:val="0"/>
          <w:color w:val="auto"/>
          <w:spacing w:val="-4"/>
          <w:sz w:val="32"/>
          <w:szCs w:val="32"/>
        </w:rPr>
      </w:pPr>
    </w:p>
    <w:p w14:paraId="757C7E70">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1898BECF">
        <w:pPr>
          <w:pStyle w:val="12"/>
          <w:jc w:val="center"/>
        </w:pPr>
        <w:r>
          <w:fldChar w:fldCharType="begin"/>
        </w:r>
        <w:r>
          <w:instrText xml:space="preserve">PAGE   \* MERGEFORMAT</w:instrText>
        </w:r>
        <w:r>
          <w:fldChar w:fldCharType="separate"/>
        </w:r>
        <w:r>
          <w:rPr>
            <w:lang w:val="zh-CN"/>
          </w:rPr>
          <w:t>2</w:t>
        </w:r>
        <w:r>
          <w:fldChar w:fldCharType="end"/>
        </w:r>
      </w:p>
    </w:sdtContent>
  </w:sdt>
  <w:p w14:paraId="121B1B36">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2AC3262D"/>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11092</Words>
  <Characters>11708</Characters>
  <Lines>4</Lines>
  <Paragraphs>1</Paragraphs>
  <TotalTime>0</TotalTime>
  <ScaleCrop>false</ScaleCrop>
  <LinksUpToDate>false</LinksUpToDate>
  <CharactersWithSpaces>12123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辣庅小</cp:lastModifiedBy>
  <cp:lastPrinted>2018-12-31T10:56:00Z</cp:lastPrinted>
  <dcterms:modified xsi:type="dcterms:W3CDTF">2024-11-27T03:44:39Z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