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4AC98">
      <w:pPr>
        <w:spacing w:line="540" w:lineRule="exact"/>
        <w:jc w:val="left"/>
        <w:rPr>
          <w:rFonts w:hint="eastAsia" w:ascii="仿宋" w:hAnsi="仿宋" w:eastAsia="仿宋" w:cs="宋体"/>
          <w:kern w:val="0"/>
          <w:sz w:val="32"/>
          <w:szCs w:val="32"/>
        </w:rPr>
      </w:pPr>
      <w:r>
        <w:rPr>
          <w:rFonts w:hint="eastAsia" w:ascii="仿宋" w:hAnsi="仿宋" w:eastAsia="仿宋" w:cs="宋体"/>
          <w:kern w:val="0"/>
          <w:sz w:val="32"/>
          <w:szCs w:val="32"/>
        </w:rPr>
        <w:t>附件2：</w:t>
      </w:r>
    </w:p>
    <w:p w14:paraId="082E393C">
      <w:pPr>
        <w:spacing w:line="540" w:lineRule="exact"/>
        <w:jc w:val="center"/>
        <w:rPr>
          <w:rFonts w:hint="eastAsia" w:ascii="华文中宋" w:hAnsi="华文中宋" w:eastAsia="华文中宋" w:cs="宋体"/>
          <w:b/>
          <w:kern w:val="0"/>
          <w:sz w:val="52"/>
          <w:szCs w:val="52"/>
        </w:rPr>
      </w:pPr>
    </w:p>
    <w:p w14:paraId="7056697E">
      <w:pPr>
        <w:spacing w:line="540" w:lineRule="exact"/>
        <w:jc w:val="center"/>
        <w:rPr>
          <w:rFonts w:hint="eastAsia" w:ascii="华文中宋" w:hAnsi="华文中宋" w:eastAsia="华文中宋" w:cs="宋体"/>
          <w:b/>
          <w:kern w:val="0"/>
          <w:sz w:val="52"/>
          <w:szCs w:val="52"/>
        </w:rPr>
      </w:pPr>
    </w:p>
    <w:p w14:paraId="3E19F78A">
      <w:pPr>
        <w:spacing w:line="540" w:lineRule="exact"/>
        <w:jc w:val="center"/>
        <w:rPr>
          <w:rFonts w:hint="eastAsia" w:ascii="华文中宋" w:hAnsi="华文中宋" w:eastAsia="华文中宋" w:cs="宋体"/>
          <w:b/>
          <w:kern w:val="0"/>
          <w:sz w:val="52"/>
          <w:szCs w:val="52"/>
        </w:rPr>
      </w:pPr>
    </w:p>
    <w:p w14:paraId="053A5136">
      <w:pPr>
        <w:spacing w:line="540" w:lineRule="exact"/>
        <w:jc w:val="center"/>
        <w:rPr>
          <w:rFonts w:hint="eastAsia" w:ascii="华文中宋" w:hAnsi="华文中宋" w:eastAsia="华文中宋" w:cs="宋体"/>
          <w:b/>
          <w:kern w:val="0"/>
          <w:sz w:val="52"/>
          <w:szCs w:val="52"/>
        </w:rPr>
      </w:pPr>
    </w:p>
    <w:p w14:paraId="294A438F">
      <w:pPr>
        <w:spacing w:line="540" w:lineRule="exact"/>
        <w:jc w:val="center"/>
        <w:rPr>
          <w:rFonts w:hint="eastAsia" w:ascii="华文中宋" w:hAnsi="华文中宋" w:eastAsia="华文中宋" w:cs="宋体"/>
          <w:b/>
          <w:kern w:val="0"/>
          <w:sz w:val="52"/>
          <w:szCs w:val="52"/>
        </w:rPr>
      </w:pPr>
    </w:p>
    <w:p w14:paraId="210E8E9B">
      <w:pPr>
        <w:spacing w:line="540" w:lineRule="exact"/>
        <w:jc w:val="center"/>
        <w:rPr>
          <w:rFonts w:hint="eastAsia" w:ascii="华文中宋" w:hAnsi="华文中宋" w:eastAsia="华文中宋" w:cs="宋体"/>
          <w:b/>
          <w:kern w:val="0"/>
          <w:sz w:val="52"/>
          <w:szCs w:val="52"/>
        </w:rPr>
      </w:pPr>
    </w:p>
    <w:p w14:paraId="468198FD">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74D70317">
      <w:pPr>
        <w:spacing w:line="540" w:lineRule="exact"/>
        <w:jc w:val="center"/>
        <w:rPr>
          <w:rFonts w:hint="eastAsia" w:ascii="华文中宋" w:hAnsi="华文中宋" w:eastAsia="华文中宋" w:cs="宋体"/>
          <w:b/>
          <w:kern w:val="0"/>
          <w:sz w:val="52"/>
          <w:szCs w:val="52"/>
        </w:rPr>
      </w:pPr>
    </w:p>
    <w:p w14:paraId="779E79BF">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15B17FE9">
      <w:pPr>
        <w:spacing w:line="540" w:lineRule="exact"/>
        <w:jc w:val="center"/>
        <w:rPr>
          <w:rFonts w:hint="eastAsia" w:hAnsi="宋体" w:eastAsia="仿宋_GB2312" w:cs="宋体"/>
          <w:kern w:val="0"/>
          <w:sz w:val="30"/>
          <w:szCs w:val="30"/>
        </w:rPr>
      </w:pPr>
    </w:p>
    <w:p w14:paraId="5584DA4C">
      <w:pPr>
        <w:spacing w:line="540" w:lineRule="exact"/>
        <w:jc w:val="center"/>
        <w:rPr>
          <w:rFonts w:hint="eastAsia" w:hAnsi="宋体" w:eastAsia="仿宋_GB2312" w:cs="宋体"/>
          <w:kern w:val="0"/>
          <w:sz w:val="30"/>
          <w:szCs w:val="30"/>
        </w:rPr>
      </w:pPr>
    </w:p>
    <w:p w14:paraId="64B7687A">
      <w:pPr>
        <w:spacing w:line="540" w:lineRule="exact"/>
        <w:jc w:val="center"/>
        <w:rPr>
          <w:rFonts w:hint="eastAsia" w:hAnsi="宋体" w:eastAsia="仿宋_GB2312" w:cs="宋体"/>
          <w:kern w:val="0"/>
          <w:sz w:val="30"/>
          <w:szCs w:val="30"/>
        </w:rPr>
      </w:pPr>
      <w:bookmarkStart w:id="0" w:name="_GoBack"/>
      <w:bookmarkEnd w:id="0"/>
    </w:p>
    <w:p w14:paraId="6B300C79">
      <w:pPr>
        <w:spacing w:line="540" w:lineRule="exact"/>
        <w:jc w:val="center"/>
        <w:rPr>
          <w:rFonts w:hint="eastAsia" w:hAnsi="宋体" w:eastAsia="仿宋_GB2312" w:cs="宋体"/>
          <w:kern w:val="0"/>
          <w:sz w:val="30"/>
          <w:szCs w:val="30"/>
        </w:rPr>
      </w:pPr>
    </w:p>
    <w:p w14:paraId="2D5B7D56">
      <w:pPr>
        <w:spacing w:line="540" w:lineRule="exact"/>
        <w:jc w:val="center"/>
        <w:rPr>
          <w:rFonts w:hint="eastAsia" w:hAnsi="宋体" w:eastAsia="仿宋_GB2312" w:cs="宋体"/>
          <w:kern w:val="0"/>
          <w:sz w:val="30"/>
          <w:szCs w:val="30"/>
        </w:rPr>
      </w:pPr>
    </w:p>
    <w:p w14:paraId="29E41DFE">
      <w:pPr>
        <w:spacing w:line="540" w:lineRule="exact"/>
        <w:jc w:val="center"/>
        <w:rPr>
          <w:rFonts w:hint="eastAsia" w:hAnsi="宋体" w:eastAsia="仿宋_GB2312" w:cs="宋体"/>
          <w:kern w:val="0"/>
          <w:sz w:val="30"/>
          <w:szCs w:val="30"/>
        </w:rPr>
      </w:pPr>
    </w:p>
    <w:p w14:paraId="2F5F5345">
      <w:pPr>
        <w:spacing w:line="540" w:lineRule="exact"/>
        <w:rPr>
          <w:rFonts w:hint="eastAsia" w:hAnsi="宋体" w:eastAsia="仿宋_GB2312" w:cs="宋体"/>
          <w:kern w:val="0"/>
          <w:sz w:val="30"/>
          <w:szCs w:val="30"/>
        </w:rPr>
      </w:pPr>
    </w:p>
    <w:p w14:paraId="770A482B">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607F8C1C">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未成年保护工作经费</w:t>
      </w:r>
    </w:p>
    <w:p w14:paraId="182EFCFE">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昌吉回族自治州人民检察院</w:t>
      </w:r>
    </w:p>
    <w:p w14:paraId="5DAC688D">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昌吉回族自治州人民检察院</w:t>
      </w:r>
    </w:p>
    <w:p w14:paraId="3A33BF9E">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金小红</w:t>
      </w:r>
    </w:p>
    <w:p w14:paraId="6E4AD46E">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2024年03月26日</w:t>
      </w:r>
    </w:p>
    <w:p w14:paraId="47C47D77">
      <w:pPr>
        <w:spacing w:line="700" w:lineRule="exact"/>
        <w:ind w:firstLine="708" w:firstLineChars="236"/>
        <w:jc w:val="left"/>
        <w:rPr>
          <w:rFonts w:hint="eastAsia" w:hAnsi="宋体" w:eastAsia="仿宋_GB2312" w:cs="宋体"/>
          <w:kern w:val="0"/>
          <w:sz w:val="30"/>
          <w:szCs w:val="30"/>
        </w:rPr>
      </w:pPr>
    </w:p>
    <w:p w14:paraId="580E21A9">
      <w:pPr>
        <w:spacing w:line="540" w:lineRule="exact"/>
        <w:rPr>
          <w:rStyle w:val="18"/>
          <w:rFonts w:hint="eastAsia" w:ascii="黑体" w:hAnsi="黑体" w:eastAsia="黑体"/>
          <w:b w:val="0"/>
          <w:spacing w:val="-4"/>
          <w:sz w:val="32"/>
          <w:szCs w:val="32"/>
        </w:rPr>
      </w:pPr>
    </w:p>
    <w:p w14:paraId="312E2BA9">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534DAF03">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663FDDE7">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昌吉州未成年人保护领导小组关于加强未成年人保护工作的实施意见》的精神和最高人民检察院未成年人检察工作实际，为加强未成年人救助、保护机构等场所建设，预防未成年人违法犯罪，守护“祖国未来”健康成长。</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（1）项目名称：未成年保护工作经费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（2）项目主要内容：精准帮教涉罪未成年人，保护救助未成年人被害人。降低全州未成年人违法犯罪比率和未成年遭受侵害的比率。树立昌吉州未成年人保护品牌。</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实施主体：昌吉回族自治州人民检察院。</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本单位于2023年1月-2023年12月通过项目的实施，救助性侵害未成年被害人次超过28人次，帮教罪错未成年人64人次，符合条件的涉罪未成年人及时进行帮教。降低全州未成年人违法犯罪比率和未成年遭受侵害的比率。一是精准帮教涉罪未成年人，保护救助未成年人被害人。二是降低全州未成年人违法犯罪比率和未成年遭受侵害的比率。 三是树立昌吉州未成年人保护品牌。通过本项目的实施，加强未成年人救助、保护机构等场所建设，预防未成年人违法犯罪，守护“祖国未来”健康成长。</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宪法》、《中华人民共和国人民检察院组织法》和中共中央《关于政法领域全面深化改革的实施意见》，按照自治区党委机构编制委员会《关于印发自治区分州市、县市区人民检察院内设机构改革方案的通知》的精神，昌吉州人民检察院主要职能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深入贯彻习近平新时代中国特色社会主义思想，深入贯彻党的路线方针政策和决策部署，聚焦社会稳定和长治久安总目标，统一本地区检察机关思想和行动，坚持党对检察工作的绝对领导，坚决维护习近平总书记的核心地位，坚决维护党中央权威和集中统一领导。</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（二）依法向昌吉州人民代表大会及其常务委员会提出议案。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（三）领导本地区各级人民检察院的工作，对基层人民检察院相关业务进行指导，贯彻落实检察工作方针、总体规划，部署检察工作任务。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（四）依照法律规定对由昌吉州人民检察院直接受理的刑事案件行使侦查权，领导本地区各级人民检察院开展对依照法律规定由人民检察院直接受理的刑事案件的侦查工作。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五）对本地区重大刑事案件依法审查批准速捕、决定速捕、审查起诉，对报请追诉的案件进行审查，报请自治区人民检察院审查、决定是否追诉，领导本地区各级人民检察院开展对刑事犯罪案件的审查批准逮捕、决定逮捕、审查起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六）负责应由昌吉州人民检察院承办的刑事、民事、行政诉讼活动及刑事、民事、行政判决和裁定等生效法律文书执行活动的法律监督工作，领导本地区各级人民检察院对刑事、民事、行政诉讼活动及判决和裁定等生效法律文书执行活动的法律监督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七）负责对本地区基层人民法院已发生法律效力、确有错误的判决和裁定，依法向昌吉州中级人民法院提出抗诉。负责对昌吉州中级人民法院已发生法律效力、确有错误的判决和裁定，依法提请自治区人民检察院向自治区高级人民法院提出抗诉。</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（八）负责应由昌吉州人民检察院承办的提起公益诉讼工作，领导本地区各级人民检察院开展提起公益诉讼工作。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九）负责应由昌吉州人民检察院承办的对监狱、安置教育机构、看守所和社区矫正机构等执法活动的法律监督工作，领导本地区各级人民检察院开展对监狱、安置教育机构、看守所和社区矫正机构等执法活动的法律监督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（十）受理向昌吉州人民检察院的控告申诉，领导本地区各级人民检察院的控告申诉检察工作。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（十一）对本地区各级人民检察院在行使检察权中作出的决定进行审查，纠正错误决定。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（十二）指导本地区检察机关的检察应用和理论研究工作。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（十三）负责本地区检察机关队伍建设和思想政治工作。领导本地区各级人民检察院依法管理检察官及其他检察人员的工作，组织指导本地区检察机关教育培训工作。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（十四）协同昌吉州党委主管部门管理和考核基层人民检察院领导班子成员。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（十五）领导本地区各级人民检察院的检务督察工作。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（十六）规划和指导本地区检察机关的财务装备工作，指导本地区检察机关的检察技术信息工作。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（十七）负责其他应当由昌吉州人民检察院承办的事项。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回族自治州人民检察院，该单位纳入2023年部门决算编制范围的有15个科室，分别是：办公室、第一检察部、第二检察部、第三检察部、第四检察部、第五检察部、第六检察部、第七检察部、第八检察部、综合检察业务部、检务督察部、行政装备处、检察技术处、司法警察支队、政治部等。</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编制人数为80人，其中：行政人员编制76人、工勤4人。离退休人员68人，其中：行政退休人员68人。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本项目预算安排总额为50.00万元，资金来源为本级部门预算，其中：财政资金50.00万元，其他资金0.00万元，2023年实际收到预算资金50.00万元，预算资金到位率为100.00%。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49.99万元，预算执行率99.98%（结余资金额度0.01万元）。本项目资金主要用于未成年普法宣传费用15.00万元、青少年法制教育基地设备费用19.00万元、其他未成年人保护工作费用15.99万元。</w:t>
      </w:r>
    </w:p>
    <w:p w14:paraId="3B30E2A0">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5D72E9B1">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昌吉州未成年人保护领导小组关于加强未成年人保护工作的实施意见》的精神。计划常态化开展未成年人犯罪预防、帮教、救助的业务经费；救助性侵害未成年被害人次超过10人次，帮教罪错未成年人30人次以上；符合条件的涉罪未成年人及时进行帮教。精准帮教涉罪未成年人，保护救助未成年人被害人。降低全州未成年人违法犯罪比率和未成年遭受侵害的比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救助性侵害未成年被害人次指标，预期指标值为“大于等于10人次”；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帮教罪错未成年人指标，预期指标值为“大于等于30人次”；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对符合条件的涉罪未成年人帮教率指标，预期指标值为“大于等于90.00%”；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开展未成年人犯罪预防、帮教、救助支出成本指标，预期指标值为“小于等于30.00万元”；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常态化开展心理疏导的支出成本指标，预期指标值为“小于等于20.00万元”；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被教育、感化、挽救和救助未成年人融入社会能力指标，预期指标值为“大于等于90.00%”。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保障涉罪和被害未成年人家庭回归正常生活指标，预期指标值为“保障”；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未成年监护人对帮教、救助工作的满意度指标，预期指标值为“大于等于95.00%”。</w:t>
      </w:r>
    </w:p>
    <w:p w14:paraId="1C7C15C7">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5F5C2B0A">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6DEBFDDD">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本次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此次我单位根据《财政支出绩效评价管理暂行办法》（财预〔2020〕10号）文件要求实施评价工作，本次评价对象为未成年保护工作经费，评价核心为项目资金、项目产出、项目效益。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《昌吉州未成年人保护领导小组关于加强未成年人保护工作的实施意见》。</w:t>
      </w:r>
    </w:p>
    <w:p w14:paraId="11770252">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1DA0C128">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（二）绩效评价原则、评价指标体系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3B1EEC4E">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2C5C3ED5">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5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白强（评价小组组长）：主要负责项目策划和监督，全面负责项目绩效评价办稿的最终质量，对评估人员出具的最终报告质量进行复核，确保评估结果的客观性；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张雪梅（评价小组组员）：主要负责资料的收集，取证、数据统计分析；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毛玲玲（评价小组组员）：主要负责主要负责项目报告的制定，指标的研判，数据分析及报告撰写。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2024年3月6日-3月15日，评价工作进入实施阶段。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经调研了解，该项目主要受益群体包括未成年人及其监护人。我们根据绩效评价目标和绩效指标体系，设计满意度调查问卷进行问卷调查，其中相关受益对象共选取样本50人，共发放问卷50份，最终收回50份。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2024年3月16日-3月20日，评价小组按照绩效评价的原则和规范，对取得的资料进行审查核实，对采集的数据进行分析，按照绩效评价指标评分表逐项进行打分、分析、汇总各方评价结果。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2024年3月21日-3月30日，评价小组撰写绩效评价报告，按照新疆维吾尔自治区财政绩效管理信息系统绩效评价模块中统一格式和文本框架撰写绩效评价报告并提交审核。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69E34AB1">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4FB555EC">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三、综合评价情况及评价结论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常态化开展未成年人犯罪预防、帮教、救助的业务经费，救助性侵害未成年被害人次28人次，帮教罪错未成年人64人次，符合条件的涉罪未成年人及时进行帮教，发挥了精准帮教涉罪未成年人，保护救助未成年人被害人。降低全州未成年人违法犯罪比率和未成年遭受侵害的比率的社会效益。但在实施过程中也存在一些不足：预算执行序时进度较慢。</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19个，实现三级指标数量18个，总体完成率为94.74%。最终评分结果：总分为99.99分，绩效评级为“优”。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过程管理类指标共设置5个，满分指标4个，得分率99.99%；</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项目产出类指标共设置5个，满分指标5个，得分率100.00%；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项目效益类指标共设置3个，满分指标3个，得分率100.00%。</w:t>
      </w:r>
    </w:p>
    <w:p w14:paraId="7AAE0E9B">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02734247">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1AC25BE9">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最高检颁发的《2023年未成年人检察工作要点》中：“会同公安部等制定“一站式”询问、救助机制工作规范。积极开展检察司法救助，主动协调教育、卫健、民政、司法行政等部门提供复学就业、身体康复、经济帮扶、心理干预、法律援助等多元化综合救助。”；符合行业发展规划和政策要求；本项目立项符合《昌吉回族自治州人民检察院单位配置内设机构和人员编制规定》中职责范围中的“未成年人保护检察”，属于我单位履职所需；根据《财政资金直接支付申请书》，本项目资金性质为“公共财政预算”功能分类为“2040499其他检察支出”经济分类为“302商品和服务支出”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昌吉州未成年人保护领导小组关于加强未成年人保护工作的实施意见》文件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根据《昌吉州未成年人保护领导小组关于加强未成年人保护工作的实施意见》的精神。1、常态化开展未成年人犯罪预防、帮教、救助的业务经费；2、救助性侵害未成年被害人次超过10人次，帮教罪错未成年人30人次以上；3、符合条件的涉罪未成年人及时进行帮教。精准帮教涉罪未成年人，保护救助未成年人被害人。降低全州未成年人违法犯罪比率和未成年遭受侵害的比率。”；本项目实际工作内容为：救助性侵害未成年被害人次28人次，帮教罪错未成年人64人次，符合条件的涉罪未成年人及时进行帮教。精准帮教涉罪未成年人，保护救助未成年人被害人。降低全州未成年人违法犯罪比率和未成年遭受侵害的比率；绩效目标与实际工作内容一致，两者具有相关性;本项目按照绩效目标完成了数量指标、质量指标、时效指标、成本指标，加强未成年人救助、保护机构等场所建设，预防未成年人违法犯罪，守护“祖国未来”健康成长，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5个，三级指标8个，定量指标7个，定性指标1个，指标量化率为87.50%，量化率达70.00%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本项目预算编制通过市场询价得出，即预算编制较科学且经过论证；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未成年人保护工作经费，项目实际内容为未成年普法宣传费用、青少年法制教育基地设备费用、其他未成年人保护工作费用，预算申请与《未成年人保护工作项目实施方案》中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50.00万元，我单位在预算申请中严格按照单位标准和数量进行核算，其中：未成年普法宣传费用15.00万元、青少年法制教育基地设备费用19.00万元、其他未成年人保护工作费用15.99万元。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未成年人保护项目资金的请示》和《申请未成年人保护项目实施方案》为依据进行资金分配，预算资金分配依据充分。根据昌州财行[2023]1号文件显示，本项目实际到位资金50.00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2D4CC361">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74F02086">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项目过程管理类指标由2个二级指标和5个三级指标构成，权重分19.00分，实际得分19.00分。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50.00万元，其中：本级财政安排资金50.00万元，其他资金0.00万元，实际到位资金50.00万元，资金到位率=100%（实际到位资金/预算资金）×100.00%=（50/50）*100.00%=100%。得分=资金到位率*分值=100%*4=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本项目实际支出资金49.99万元，预算执行率=99.98%（实际支出资金/实际到位资金）×100.00%=（49.99/50）*100.00%=99.98%。得分=预算执行率*分值=99.98%*5=4.99分。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综上所述，本指标满分为5.00分，根据评分标准得4.99分，本项目资金分配合理。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人民检察院财务管理办法》《未成年人保护工作经费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人民检察院财务管理办法》《未成年人保护工作经费专项资金管理办法》，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未成年人保护工作项目工作领导小组，由党组书记祁文秀任组长，负责项目的组织工作；金小红任副组长，负责项目的实施工作；组员包括：马艺文和高程，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3B1CAF0A">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5673DDEF">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项目产出类指标由3个二级指标和5个三级指标构成，权重分30.00分，实际得分30.00分。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“救助性侵害未成年被害人次”指标，预期指标值为“大于等于10人次”，实际完成指标值为28人次，指标完成率为100.00%。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综上所述，本指标满分为6.00分，根据评分标准得6.00分。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“帮教罪错未成年人”指标，预期指标值为“大于等于30人次”，实际完成指标值为64人次，指标完成率为100.00%。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综上所述，本指标满分为6.00分，根据评分标准得6.00分。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“对符合条件的涉罪未成年人帮教率”指标，预期指标值为“大于等于90.00%”，实际完成指标值为100.00%，指标完成率为100.00%。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综上所述，本指标满分为6.00分，根据评分标准得6.00分。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“开展未成年人犯罪预防、帮教、救助支出成本”指标，预期指标值为“小于等于30.00万元”，实际完成指标值为19.75万元，指标完成率为100.00%。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综上所述，本指标满分为6.00分，根据评分标准得6.00分。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“常态化开展心理疏导的支出成本”指标，预期指标值为“小于等于20.00万元”，实际完成指标值为2.3728万元，指标完成率为100.00%。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综上所述，本指标满分为6.00分，根据评分标准得6.00分。</w:t>
      </w:r>
    </w:p>
    <w:p w14:paraId="361608B8">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06594E18">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项目效益类指标由2个二级指标和3个三级指标构成，权重分30.00分，实际得分30.00分。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“被教育、感化、挽救和救助未成年人融入社会能力”指标，预期指标值为“大于等于90%”，实际完成指标值为“100.00%”，指标完成率为100.00%。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“保障涉罪和被害未成年人家庭回归正常生活”指标，预期指标值为“保障”，实际完成指标值为“保障”，指标完成率为100.00%。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“未成年监护人对帮教、救助工作的满意度”指标，预期指标值为“大于等于95.00%”，实际完成指标值为100.00%，指标完成率为100.00%。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2B159AA1">
      <w:pPr>
        <w:spacing w:line="540" w:lineRule="exact"/>
        <w:ind w:firstLine="567"/>
        <w:rPr>
          <w:rStyle w:val="18"/>
          <w:rFonts w:hint="eastAsia" w:ascii="楷体" w:hAnsi="楷体" w:eastAsia="楷体"/>
          <w:spacing w:val="-4"/>
          <w:sz w:val="32"/>
          <w:szCs w:val="32"/>
        </w:rPr>
      </w:pPr>
    </w:p>
    <w:p w14:paraId="76D9D6E5">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1E16092D">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本项目年初预算资金总额为50.00万元，全年预算数为50.00万元，全年执行数为49.99万元，预算执行率为99.98%。</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本项目共设置三级指标数量19个，满分指标数量18个，扣分指标数量1个，经分析计算所有三级指标完成率得出，本项目总体完成率为99.99%。</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综上所述本项目预算执行进度与总体完成进度之间的偏差为0.01%。主要偏差原因是：预算不精细，结余资金100元。</w:t>
      </w:r>
    </w:p>
    <w:p w14:paraId="4E6AD219">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730ADF3F">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联动部署。昌吉州党委政法委高度重视，始终坚持政法委系统牵头抓总，检察系统具体负责的原则，州县两级组织召开调度会等10余次，对工作推进缓慢的县市、单位进行通报;州直各单位以上率下，建立州、县、乡、村四级联动机制，检察机关发挥领导小组办公室作用，制定《昌吉州关于联合开展依法打击防范性侵害未成年人犯罪专项整治行动的工作方案》和《责任分工表》，明确完成时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宣传全覆盖。”7个县（市）检察机关、教育部门、司法局、妇联推进“护蕾行动”进学校、进家庭、进社区、进乡村、进机关、进企业，已组织168个乡、村、社区广泛开展“护蕾行动”宣传。玛纳斯县“护蕾行动”领导小组制定周、月、季度和全年工作计划，县委政法委牵头，将每周升国旗时开展防性侵宣讲内容列入计划，依托“访惠聚”工作队、升国旗、走访入户、农牧民夜校等进行宣传，扩大“护蕾行动”知晓度，在全社会营造“护蕾行动”浓厚氛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1.各单位发挥合力铆劲不足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州、县（市）“护蕾行动”领导小组办公室、具体工作牵头单位、配合单位发挥作用不充分，部分成员单位配合力度低，同心圆未能实现最大化。</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2.宣传效果有待提升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法治宣传形式未能与时俱进，宣传效果未能走进孩子们心里，宣传质效存在不足。</w:t>
      </w:r>
    </w:p>
    <w:p w14:paraId="03236FBF">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0182AF9B">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1.抓好“一号检察建议”督促落实</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持续做好未成年人案件强制报告制度和教职工入职查前询制度的跟进工作，常态化开展“法治进校园”活动，所有担任法治副校长的院领导和未检干警均到所聘任学校开展“送法进校园”活动，推动法治副校长工作落地落实。</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 高度重视，加强领导</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于监护人严重损害未成年人身心健康及合法权益，或者不履行监护职责致未成年人处于危困状态等监护侵害行为，依法通过督促、支持起诉等方式开展监督，协调做好未成年人保护救助工作。同时，对受到监护侵害和监护缺失的未成年人积极提供法律援助、心理疏导、情感抚慰、经济救助、生活安置方面的服务和帮助，积极推进亲职教育常态化。</w:t>
      </w:r>
    </w:p>
    <w:p w14:paraId="0D979026">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0A81CD2E">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30A91A16">
      <w:pPr>
        <w:spacing w:line="540" w:lineRule="exact"/>
        <w:ind w:firstLine="567"/>
        <w:rPr>
          <w:rStyle w:val="18"/>
          <w:rFonts w:hint="eastAsia" w:ascii="仿宋" w:hAnsi="仿宋" w:eastAsia="仿宋"/>
          <w:b w:val="0"/>
          <w:spacing w:val="-4"/>
          <w:sz w:val="32"/>
          <w:szCs w:val="32"/>
        </w:rPr>
      </w:pPr>
    </w:p>
    <w:p w14:paraId="625A88C0">
      <w:pPr>
        <w:spacing w:line="540" w:lineRule="exact"/>
        <w:ind w:firstLine="567"/>
        <w:rPr>
          <w:rStyle w:val="18"/>
          <w:rFonts w:hint="eastAsia" w:ascii="仿宋" w:hAnsi="仿宋" w:eastAsia="仿宋"/>
          <w:b w:val="0"/>
          <w:spacing w:val="-4"/>
          <w:sz w:val="32"/>
          <w:szCs w:val="32"/>
        </w:rPr>
      </w:pPr>
    </w:p>
    <w:p w14:paraId="463D1A19">
      <w:pPr>
        <w:spacing w:line="540" w:lineRule="exact"/>
        <w:ind w:firstLine="567"/>
        <w:rPr>
          <w:rStyle w:val="18"/>
          <w:rFonts w:hint="eastAsia" w:ascii="仿宋" w:hAnsi="仿宋" w:eastAsia="仿宋"/>
          <w:b w:val="0"/>
          <w:spacing w:val="-4"/>
          <w:sz w:val="32"/>
          <w:szCs w:val="32"/>
        </w:rPr>
      </w:pPr>
    </w:p>
    <w:p w14:paraId="311EFD96">
      <w:pPr>
        <w:spacing w:line="540" w:lineRule="exact"/>
        <w:ind w:firstLine="567"/>
        <w:rPr>
          <w:rStyle w:val="18"/>
          <w:rFonts w:hint="eastAsia" w:ascii="仿宋" w:hAnsi="仿宋" w:eastAsia="仿宋"/>
          <w:b w:val="0"/>
          <w:spacing w:val="-4"/>
          <w:sz w:val="32"/>
          <w:szCs w:val="32"/>
        </w:rPr>
      </w:pPr>
    </w:p>
    <w:p w14:paraId="0CF3286E">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042120FE">
        <w:pPr>
          <w:pStyle w:val="12"/>
          <w:jc w:val="center"/>
        </w:pPr>
        <w:r>
          <w:fldChar w:fldCharType="begin"/>
        </w:r>
        <w:r>
          <w:instrText xml:space="preserve">PAGE   \* MERGEFORMAT</w:instrText>
        </w:r>
        <w:r>
          <w:fldChar w:fldCharType="separate"/>
        </w:r>
        <w:r>
          <w:rPr>
            <w:lang w:val="zh-CN"/>
          </w:rPr>
          <w:t>2</w:t>
        </w:r>
        <w:r>
          <w:fldChar w:fldCharType="end"/>
        </w:r>
      </w:p>
    </w:sdtContent>
  </w:sdt>
  <w:p w14:paraId="05FB501F">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429AB"/>
    <w:rsid w:val="00554F82"/>
    <w:rsid w:val="0056390D"/>
    <w:rsid w:val="005719B0"/>
    <w:rsid w:val="005D10D6"/>
    <w:rsid w:val="00855E3A"/>
    <w:rsid w:val="008941DE"/>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432E4"/>
    <w:rsid w:val="00FA52F3"/>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69D2AFD"/>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qFormat/>
    <w:uiPriority w:val="10"/>
    <w:rPr>
      <w:rFonts w:asciiTheme="majorHAnsi" w:hAnsiTheme="majorHAnsi" w:eastAsiaTheme="majorEastAsia"/>
      <w:b/>
      <w:bCs/>
      <w:kern w:val="28"/>
      <w:sz w:val="32"/>
      <w:szCs w:val="32"/>
    </w:rPr>
  </w:style>
  <w:style w:type="character" w:customStyle="1" w:styleId="30">
    <w:name w:val="副标题 字符"/>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uiPriority w:val="99"/>
    <w:rPr>
      <w:rFonts w:ascii="Calibri" w:hAnsi="Calibri" w:eastAsia="宋体"/>
      <w:kern w:val="2"/>
      <w:sz w:val="18"/>
      <w:szCs w:val="18"/>
    </w:rPr>
  </w:style>
  <w:style w:type="character" w:customStyle="1" w:styleId="44">
    <w:name w:val="页脚 字符"/>
    <w:basedOn w:val="17"/>
    <w:link w:val="12"/>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8788</Words>
  <Characters>9300</Characters>
  <Lines>84</Lines>
  <Paragraphs>23</Paragraphs>
  <TotalTime>3</TotalTime>
  <ScaleCrop>false</ScaleCrop>
  <LinksUpToDate>false</LinksUpToDate>
  <CharactersWithSpaces>9317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2025-05-23T11:19:11Z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