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2F641">
      <w:pPr>
        <w:spacing w:line="540" w:lineRule="exact"/>
        <w:jc w:val="left"/>
        <w:rPr>
          <w:rFonts w:ascii="仿宋" w:hAnsi="仿宋" w:eastAsia="仿宋" w:cs="宋体"/>
          <w:kern w:val="0"/>
          <w:sz w:val="32"/>
          <w:szCs w:val="32"/>
        </w:rPr>
      </w:pPr>
      <w:bookmarkStart w:id="0" w:name="_GoBack"/>
      <w:bookmarkEnd w:id="0"/>
      <w:r>
        <w:rPr>
          <w:rFonts w:hint="eastAsia" w:ascii="仿宋" w:hAnsi="仿宋" w:eastAsia="仿宋" w:cs="宋体"/>
          <w:kern w:val="0"/>
          <w:sz w:val="32"/>
          <w:szCs w:val="32"/>
        </w:rPr>
        <w:t>附件2：</w:t>
      </w:r>
    </w:p>
    <w:p w14:paraId="1BE1F806">
      <w:pPr>
        <w:spacing w:line="540" w:lineRule="exact"/>
        <w:jc w:val="center"/>
        <w:rPr>
          <w:rFonts w:ascii="华文中宋" w:hAnsi="华文中宋" w:eastAsia="华文中宋" w:cs="宋体"/>
          <w:b/>
          <w:kern w:val="0"/>
          <w:sz w:val="52"/>
          <w:szCs w:val="52"/>
        </w:rPr>
      </w:pPr>
    </w:p>
    <w:p w14:paraId="425B8A7D">
      <w:pPr>
        <w:spacing w:line="540" w:lineRule="exact"/>
        <w:jc w:val="center"/>
        <w:rPr>
          <w:rFonts w:ascii="华文中宋" w:hAnsi="华文中宋" w:eastAsia="华文中宋" w:cs="宋体"/>
          <w:b/>
          <w:kern w:val="0"/>
          <w:sz w:val="52"/>
          <w:szCs w:val="52"/>
        </w:rPr>
      </w:pPr>
    </w:p>
    <w:p w14:paraId="3B539BFC">
      <w:pPr>
        <w:spacing w:line="540" w:lineRule="exact"/>
        <w:jc w:val="center"/>
        <w:rPr>
          <w:rFonts w:ascii="华文中宋" w:hAnsi="华文中宋" w:eastAsia="华文中宋" w:cs="宋体"/>
          <w:b/>
          <w:kern w:val="0"/>
          <w:sz w:val="52"/>
          <w:szCs w:val="52"/>
        </w:rPr>
      </w:pPr>
    </w:p>
    <w:p w14:paraId="132C3E99">
      <w:pPr>
        <w:spacing w:line="540" w:lineRule="exact"/>
        <w:jc w:val="center"/>
        <w:rPr>
          <w:rFonts w:ascii="华文中宋" w:hAnsi="华文中宋" w:eastAsia="华文中宋" w:cs="宋体"/>
          <w:b/>
          <w:kern w:val="0"/>
          <w:sz w:val="52"/>
          <w:szCs w:val="52"/>
        </w:rPr>
      </w:pPr>
    </w:p>
    <w:p w14:paraId="01D123B1">
      <w:pPr>
        <w:spacing w:line="540" w:lineRule="exact"/>
        <w:jc w:val="center"/>
        <w:rPr>
          <w:rFonts w:ascii="华文中宋" w:hAnsi="华文中宋" w:eastAsia="华文中宋" w:cs="宋体"/>
          <w:b/>
          <w:kern w:val="0"/>
          <w:sz w:val="52"/>
          <w:szCs w:val="52"/>
        </w:rPr>
      </w:pPr>
    </w:p>
    <w:p w14:paraId="3F3FF8CC">
      <w:pPr>
        <w:spacing w:line="540" w:lineRule="exact"/>
        <w:jc w:val="center"/>
        <w:rPr>
          <w:rFonts w:ascii="华文中宋" w:hAnsi="华文中宋" w:eastAsia="华文中宋" w:cs="宋体"/>
          <w:b/>
          <w:kern w:val="0"/>
          <w:sz w:val="52"/>
          <w:szCs w:val="52"/>
        </w:rPr>
      </w:pPr>
    </w:p>
    <w:p w14:paraId="6BE0697A">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43EF5BDA">
      <w:pPr>
        <w:spacing w:line="540" w:lineRule="exact"/>
        <w:jc w:val="center"/>
        <w:rPr>
          <w:rFonts w:ascii="华文中宋" w:hAnsi="华文中宋" w:eastAsia="华文中宋" w:cs="宋体"/>
          <w:b/>
          <w:kern w:val="0"/>
          <w:sz w:val="52"/>
          <w:szCs w:val="52"/>
        </w:rPr>
      </w:pPr>
    </w:p>
    <w:p w14:paraId="14F55E50">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106E4FA4">
      <w:pPr>
        <w:spacing w:line="540" w:lineRule="exact"/>
        <w:jc w:val="center"/>
        <w:rPr>
          <w:rFonts w:hAnsi="宋体" w:eastAsia="仿宋_GB2312" w:cs="宋体"/>
          <w:kern w:val="0"/>
          <w:sz w:val="30"/>
          <w:szCs w:val="30"/>
        </w:rPr>
      </w:pPr>
    </w:p>
    <w:p w14:paraId="68F195AD">
      <w:pPr>
        <w:spacing w:line="540" w:lineRule="exact"/>
        <w:jc w:val="center"/>
        <w:rPr>
          <w:rFonts w:hAnsi="宋体" w:eastAsia="仿宋_GB2312" w:cs="宋体"/>
          <w:kern w:val="0"/>
          <w:sz w:val="30"/>
          <w:szCs w:val="30"/>
        </w:rPr>
      </w:pPr>
    </w:p>
    <w:p w14:paraId="67FECCC4">
      <w:pPr>
        <w:spacing w:line="540" w:lineRule="exact"/>
        <w:jc w:val="center"/>
        <w:rPr>
          <w:rFonts w:hAnsi="宋体" w:eastAsia="仿宋_GB2312" w:cs="宋体"/>
          <w:kern w:val="0"/>
          <w:sz w:val="30"/>
          <w:szCs w:val="30"/>
        </w:rPr>
      </w:pPr>
    </w:p>
    <w:p w14:paraId="710A209F">
      <w:pPr>
        <w:spacing w:line="540" w:lineRule="exact"/>
        <w:jc w:val="center"/>
        <w:rPr>
          <w:rFonts w:hAnsi="宋体" w:eastAsia="仿宋_GB2312" w:cs="宋体"/>
          <w:kern w:val="0"/>
          <w:sz w:val="30"/>
          <w:szCs w:val="30"/>
        </w:rPr>
      </w:pPr>
    </w:p>
    <w:p w14:paraId="599E9712">
      <w:pPr>
        <w:spacing w:line="540" w:lineRule="exact"/>
        <w:jc w:val="center"/>
        <w:rPr>
          <w:rFonts w:hAnsi="宋体" w:eastAsia="仿宋_GB2312" w:cs="宋体"/>
          <w:kern w:val="0"/>
          <w:sz w:val="30"/>
          <w:szCs w:val="30"/>
        </w:rPr>
      </w:pPr>
    </w:p>
    <w:p w14:paraId="228C14AC">
      <w:pPr>
        <w:spacing w:line="540" w:lineRule="exact"/>
        <w:jc w:val="center"/>
        <w:rPr>
          <w:rFonts w:hAnsi="宋体" w:eastAsia="仿宋_GB2312" w:cs="宋体"/>
          <w:kern w:val="0"/>
          <w:sz w:val="30"/>
          <w:szCs w:val="30"/>
        </w:rPr>
      </w:pPr>
    </w:p>
    <w:p w14:paraId="014CCAA6">
      <w:pPr>
        <w:spacing w:line="540" w:lineRule="exact"/>
        <w:rPr>
          <w:rFonts w:hAnsi="宋体" w:eastAsia="仿宋_GB2312" w:cs="宋体"/>
          <w:kern w:val="0"/>
          <w:sz w:val="30"/>
          <w:szCs w:val="30"/>
        </w:rPr>
      </w:pPr>
    </w:p>
    <w:p w14:paraId="3E65E013">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48BD9F11">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计量器具检定校准经费</w:t>
      </w:r>
    </w:p>
    <w:p w14:paraId="53205DB2">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昌吉回族自治州计量检定所</w:t>
      </w:r>
    </w:p>
    <w:p w14:paraId="6FF3C198">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昌吉回族自治州计量检定所</w:t>
      </w:r>
    </w:p>
    <w:p w14:paraId="2A7FAE80">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马立诚</w:t>
      </w:r>
    </w:p>
    <w:p w14:paraId="487506B1">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2024年04月03日</w:t>
      </w:r>
    </w:p>
    <w:p w14:paraId="051DED55">
      <w:pPr>
        <w:spacing w:line="700" w:lineRule="exact"/>
        <w:ind w:firstLine="708" w:firstLineChars="236"/>
        <w:jc w:val="left"/>
        <w:rPr>
          <w:rFonts w:hAnsi="宋体" w:eastAsia="仿宋_GB2312" w:cs="宋体"/>
          <w:kern w:val="0"/>
          <w:sz w:val="30"/>
          <w:szCs w:val="30"/>
        </w:rPr>
      </w:pPr>
    </w:p>
    <w:p w14:paraId="4E900271">
      <w:pPr>
        <w:spacing w:line="540" w:lineRule="exact"/>
        <w:rPr>
          <w:rStyle w:val="18"/>
          <w:rFonts w:ascii="黑体" w:hAnsi="黑体" w:eastAsia="黑体"/>
          <w:b w:val="0"/>
          <w:spacing w:val="-4"/>
          <w:sz w:val="32"/>
          <w:szCs w:val="32"/>
        </w:rPr>
      </w:pPr>
    </w:p>
    <w:p w14:paraId="750AB04B">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0FE6ABDC">
      <w:pPr>
        <w:spacing w:line="540" w:lineRule="exact"/>
        <w:ind w:firstLine="567"/>
        <w:rPr>
          <w:rStyle w:val="18"/>
          <w:rFonts w:hint="default" w:ascii="楷体" w:hAnsi="楷体" w:eastAsia="楷体"/>
          <w:spacing w:val="-4"/>
          <w:sz w:val="32"/>
          <w:szCs w:val="32"/>
          <w:lang w:val="en-US" w:eastAsia="zh-CN"/>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lang w:eastAsia="zh-CN"/>
        </w:rPr>
        <w:t>。</w:t>
      </w:r>
    </w:p>
    <w:p w14:paraId="2ABB85AA">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该项目的立项依据文件是“财税[2017]20号”《财政部 国家发展改革委关于清理规范一批行政事业性收费有关政策的通知》。我所已经停止的收费项目是在文件中规定的，“取消或停征的行政事业性收费项目中的“一、取消或停征的涉企行政事业性收费，质检部门，15.计量收费（即行政审批和强制检定收费。非强制检定收费不得列入行政事业性收费，不得强制企业接受服务开收费）”。特向昌吉州财政局申请业务补助经费，在停征收费的文件中有相关依据：“三、取消、停征或减免上述行政事业性收费后，有关部门和单位依法履行管理职能所需相关经费，由同级财政预算予以保障，不得影响依法履行职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2.主要内容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（1）项目名称：计量器具检定校准经费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（2）项目主要内容：该项目主要一是用于标准仪器送检时的检测费，二是用于标准仪器送检时托运费及送检人员差旅费，三是用于开展计量检定工作时成本性支出。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实施主体：昌吉州计量检定所。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本项目主要是支持我所开展检定、校准相关业务所产生的成本费用，如：标准仪器设备委托上级机构检测校准费；干部职工外出开展检定校准工作时产生的差旅费、住宿费等；开展检定、校准业务工作时所产生的水费、电费、专用材料费用，办公费用等。项目实施进度与全年开展计划相一致，按月结算相关费用。开展相关检定校准工作与全年计划一致，有序开展，所产生的费用按进度进行支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法对社会公用计量标准器具,部门和企业、事业单位使用的最高计量标准器具,以及用于贸易结算、安全防护、医疗卫生、环境监测方面的列入强制检定目录的工作计量器具实行强制检定依法承担计量器具的检定、校准、检测和仲裁检定承担计量标准的技术考核、技术培训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昌吉州计量检定所无下属单位，内设办公室、业务室、财务室、理化室、力学室、热电室、衡加室7个科室。</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昌吉州计量所编制数53个，实有人数46人，全部为事业编制，无离休人员，由养老保险基金发放养老金的退休人员25人。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关于下达昌吉州本级预算单位2023年部门预算的通知》昌州财行[2023]1号文件，下达2023年计量器具检定校准经费项目资金，预算安排资金总额84.62万元，其中财政资金70.00万元、其他资金14.62万元，2023年实际收到预算资金79.98万元，预算资金到位率为94.52%。</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截至2023年12月31日，本项目实际支付资金84.62万元，预算执行率100%项目资金主要用于支付计量器具检定校准费用79.98万元。</w:t>
      </w:r>
    </w:p>
    <w:p w14:paraId="5F70F1DA">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14:paraId="380FE3D8">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①做好压力类、热工类、工程力学类、理化类、电测类等涉及工业生产、老百姓安居等计量仪器仪表的检定校准，为安全生产打下牢固基础；②落实计量惠民各项工作措施，加强对集贸市场、农副产品收购，民用四表、医疗器具等涉及百姓生活的计量器具强制检定，协助“12365”解决计量纠纷和投诉，保护广大消费者和百姓的合法权益；③加强煤炭煤电煤化工专业计量检测中心和计量检定所的技术能力建设，扩展计量检定、校准项目，提高服务社会的能力。新上项目1项，并进一步完善安全防护类、环境检测类计量器具的检定工作。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“检定计量器具数量”指标，预期指标值为“大于等于60000.00台件”；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“抽检企业数量”指标，预期指标值为大于等于1500.00家”。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②质量指标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“被检计量器具合格率”指标，预期指标值为大于等于95.00%；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“检定覆盖率”指标，预期指标值为大于等于95.00%；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“计量器具检定及时率”指标，预期指标值大于等于95.00%。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“计量器具强制免征及检测工作及时率”指标，预期指标值大于等于95%。</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“设备维护保养、专用试剂、耗材、检衡车驾驶员劳务费等支出费用”指标，预期指标值为小于等于“50.26万元”；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“标准仪器设备委托检测费”预期指标值为小于等于“29.00万元”。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“为社会提供保障可靠有效的计量标准服务”指标，预期指标值为“有效保护”。</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“服务单位满意度”指标，预期指标值为大于等于“95.00%”。</w:t>
      </w:r>
    </w:p>
    <w:p w14:paraId="27C8E249">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104936DA">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64EF77A6">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通过绩效评价工作，促进我单位在开展计量检定及校准工作中如何提高资金使用方面提供了宝贵经验，并且在绩效评价的过程中，发现业务工作开展中存在的部分问题，项目资金使用过程规范的问题。通过绩效评价工作，能够有效改进我单位业务工作开展的相关流程，使业务工作开展更简便。规范单位项目资金的使用情况，对各项支出使用更加规范，保证了经费使用有效，促进了我单位业务工作开展，为全州高质量发展贡献了力量。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此次我单位根据《财政支出绩效评价管理暂行办法》（财预〔2020〕10号）文件要求实施评价工作，本次评价对象为“服务单位满意度”项目，评价核心为项目资金、项目产出、项目效益。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（5）《昌吉州计量检定所财务管理制度》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（6）《昌吉州计量检定所绩效管理制度》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（7）《昌吉州计量检定所内部控制管理制度》</w:t>
      </w:r>
    </w:p>
    <w:p w14:paraId="5A2D2CE1">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68586BAD">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3.评价方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本次评价采取定量与定性评价相结合的方式，采用比较法、公众评判法对项目实施过程以及预期绩效目标完成情况进行全面、系统的评价，总分由各项指标得分汇总形成。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比较法：通过整理本项目相关资料和数据，评价数量指标的完成情况；通过分析项目的实施情况与绩效目标实现情况，评价项目实施的效果；通过分析项目资金使用情况及产生的效果，评价预算资金分配的合理性。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公众评判法：评价组采用实地访谈、远程访谈相结合方式，对本项目的实施情况进行充分调研，了解掌握资金分配、资金管理、资金使用、制度建设、制度执行情况。采用问卷调查方式，对受益对象开展满意度调查，进行综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07815C04">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3E63BF15">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8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栾超（评价小组组长）：主要负责项目策划和监督，全面负责项目绩效评价办稿的最终质量，对评估人员出具的最终报告质量进行复核，确保评估结果的客观性；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罗惠利（评价小组组员）：主要负责资料的收集，取证、数据统计分析；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王国萍（评价小组组员）：主要负责主要负责项目报告的制定，指标的研判，数据分析及报告撰写。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2024年3月11日-3月15日，评价工作进入实施阶段。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等相关资料，完成绩效评价内容所需的印证资料整理，所有数据经核查后统计汇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经调研了解，该项目主要受益群体包括送检企业。我们根据绩效评价目标和绩效指标体系，设计满意度调查问卷进行问卷调查，其中送检企业受益对象共选取样本2人，共发放问卷2份，最终收回2份。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2024年3月18日-3月22日，评价小组按照绩效评价的原则和规范，对取得的资料进行审查核实，对采集的数据进行分析，按照绩效评价指标评分表逐项进行打分、分析、汇总各方评价结果。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2024年3月25-3月29日，评价小组撰写绩效评价报告，按照新疆维吾尔自治区财政绩效管理信息系统绩效评价模块中统一格式和文本框架撰写绩效评价报告并提交审核。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7D5AA22A">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005CF4EA">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较大程度达成年初设立的绩效目标，在实施过程中取得了良好的成效，具体表现在：通过项目的实施，完成了提升全州流通领域产品质量，提高生产企业经济效益的产出目标，发挥了为全州产商品流通领域提高质量监控的效益。但在实施过程中也存在一些不足：全年预算在实施时，进度较为缓慢，资金从年中开始支付，支付进度较慢。</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21个，实现三级指标数量20个，总体完成率为99.59%。最终评分结果：总分为99.5分，绩效评级为“优”。综合评价结论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过程管理类指标共设置5个，满分指标5个，得分率100.00%；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项目产出类指标共设置8个，满分指标7个，得分率98.33%；</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项目效益类指标共设置2个，满分指标2个，得分率100.00%。</w:t>
      </w:r>
    </w:p>
    <w:p w14:paraId="7E4F9B93">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75ADB8BF">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4303EA68">
      <w:pPr>
        <w:tabs>
          <w:tab w:val="center" w:pos="4295"/>
        </w:tabs>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昌吉州财政局颁发的《2023年度部门预算批复》中：“实施2023年度部门预算”；本项目立项符合《财税[2017]20号》中：“取消、停征或减免上述行政事业性收费后，有关部门和单位依法履行管理职能所需相关经费，由同级财政预算予以保障，不得影响依法履行职责”内容，符合行业发展规划和政策要求；本项目立项符合《昌吉州质检所单位配置内设机构和人员编制规定》中职责范围中的“开展检验检测相关业务”，属于我单位履职所需；根据《财政资金直接支付申请书》，本项目资金性质为“公共财政预算”功能分类为“其他市场监督管理事务”经济分类为“差旅费”“电费”“委托业务费”等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本项目为非基础建设类项目，属于专项资金安排项目，不涉及事前绩效评估、可行性研究以及风险评估，由我单位严格按照《昌吉州产品质量检验所财务制度》文件要求实施项目。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根据新财非税【2017】4号文件规定停止强制计量检定收费，2023年计划检定计量器具6万台件，须支出标准仪器检定费、标准仪器维护保养修理费、专用试剂等耗材费、技术机构复查认证费、专业技术人员培训等成本性支出费用。检定计量器具大于等于60000台件，抽检企业数量大于等于1500家，被检计量器具合格率大于等于95%，检定覆盖率大于等于95%；各项计量检定及相关工作开展12月20日完成，计量器具检定及时率大于等于95%；落实计量惠民各项工作措施，加强对集贸市场、农副产品收购、民用四表、医疗器具等涉及百姓生活的计量器具强制检定，协助“12365”解决计量纠纷和投诉，保护广大消费者和百姓的合法权益。保证管辖区域的计量器具合格率达到95%，完成各级政府和上级下达的工作任务。”；本项目实际工作内容为：保证管辖区域的计量器具；绩效目标与实际工作内容一致，两者具有相关性;本项目按照绩效目标完成了数量指标、质量指标、时效指标、成本指标，有效保障了单位开展检验检测工作的能力，年度绩效目标完成，预期产出效益和效果符合正常的业绩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7个，三级指标9个，定量指标7个，定性指标2个，指标量化率为77.78%，量化率达70.00%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本项目预算编制通过历年预算执行情况综合考评得出，即预算编制较科学且经过论证；</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预算申请内容为计量器具检定校准经费，项目实际内容为计量检定校准经费，预算申请与《计量器具检定校准经费项目实施方案》中涉及的项目内容匹配；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84.26万元，我单位在预算申请中严格按照单位标准和数量进行核算，其中：设备维护保养、专用试剂、耗材、检衡车驾驶员劳务费等支出费用55.26万元，标准仪器设备委托检测费。本项目预算额度测算依据充分，严格按照标准编制，预算确定资金量与实际工作任务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计量器具检定校准项目资金的请示》和《计量器具检定校准经费项目实施方案》为依据进行资金分配，预算资金分配依据充分。根据《关于拨付2023年度部门预算》文件显示，本项目实际到位资金84.26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753938C2">
      <w:pPr>
        <w:spacing w:line="540" w:lineRule="exact"/>
        <w:ind w:firstLine="567" w:firstLineChars="181"/>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22294AA3">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项目过程管理类指标由2个二级指标和5个三级指标构成，权重分19.00分，实际得分19分。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本项目预算资金为84.26万元，其中：本级财政安排资金70万元，其他资金14.26万元，实际到位资金84.26万元，资金到位率=（实际到位资金/预算资金）×100.00%=（100/100）*100.00%=100%。得分=资金到位率*分值=100%*4=4分。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本项目实际支出资金79.62万元，预算执行率=（实际支出资金/实际到位资金）×100.00%=（79.62/84.26）*100.00%=94.49%。得分=预算执行率*分值=94.49%*5=4.72分。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综上所述，本指标满分为5.00分，根据评分标准得4.72分，本项目资金分配合理。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州计量检定所单位资金管理办法》《昌吉州计量检定所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昌吉州计量检定所资金管理办法》《昌吉州计量检定所收支业务管理制度》《昌吉州计量检定所政府采购业务管理制度》《昌吉州计量检定所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综上所述，本指标满分为2.00分，根据评分标准得2分，项目制度建设健全。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昌吉州计量检定所项目工作领导小组，由党组书记马立诚任组长，负责项目的组织工作；栾超任副组长，负责项目的实施工作；组员包括：李杨和王国萍，主要负责项目监督管理、验收以及资金核拨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综上所述，本指标满分为4.00分，根据评分标准得4分，本项目所建立制度执行有效。</w:t>
      </w:r>
    </w:p>
    <w:p w14:paraId="655393A4">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1C8A3D62">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项目产出类指标由4个二级指标和8个三级指标构成，权重分30.00分，实际得分29.50分。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“检定计量器具数量”指标：预期指标值为“&gt;=60000台（件）”，实际完成指标值为“=74371台（件）”，指标完成率为100.0%。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综上所述，本指标满分为5分，根据评分标准得5分。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“抽检企业数量”指标：预期指标值为“&gt;=1500家”，实际完成指标值为“=1998家”，指标完成率为100.0%。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综上所述，本指标满分为5分，根据评分标准得5分。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“被检计量器具合格率”指标：预期指标值为“大于等于95%”，实际完成指标值为“95%”，指标完成率为100%。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综上所述，本指标满分为5分，根据评分标准得5分。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“检定覆盖率”指标：预期指标值为“大于等于95%”，实际完成指标值为“95%”，指标完成率为100%。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综上所述，本指标满分为5分，根据评分标准得5分。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“计量器具检定及时率”指标：预期指标值为“大于等于95%”，实际完成指标值为“95%”，指标完成率为100%。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综上所述，本指标满分为2.5分，根据评分标准得2.5分。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“计量器具强制免征及检测工作及时率”指标：预期指标值为“大于等于95%”，实际完成指标值为“95%”，指标完成率为100%。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综上所述，本指标满分为2.5分，根据评分标准得2.5分。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“设备维护保养、专用试剂、耗材、”指标：预期指标值为“&lt;=55.26万元”，实际完成指标值为“50.62万元”，指标完成率为90.95%。</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综上所述，本指标满分为2.5分，根据评分标准得2分。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“标准仪器设备委托检测费”指标：预期指标值为“&lt;=29万元”，实际完成指标值为“29万元”，指标完成率为100%。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综上所述，本指标满分为2.5分，根据评分标准得2.5分。</w:t>
      </w:r>
    </w:p>
    <w:p w14:paraId="28AD4F5C">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0788E39C">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项目效益类指标由2个二级指标和2个三级指标构成，权重分30.0分，实际得分30分。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1.社会效益完成情况分析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“为社会提供保障可靠有效的计量标准服务 ”指标：预期指标值为“有效保护”，实际完成指标值为“有效保护”，指标完成率为100%。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综上所述，本指标满分为15分，根据评分标准得15分。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2.经济效益完成情况分析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“服务单位满意度”指标：预期指标值为“95%”，实际完成指标值为“95%”，指标完成率为100%。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综上所述，本指标满分为15分，根据评分标准得15分。</w:t>
      </w:r>
    </w:p>
    <w:p w14:paraId="41E327AF">
      <w:pPr>
        <w:spacing w:line="540" w:lineRule="exact"/>
        <w:ind w:firstLine="567"/>
        <w:rPr>
          <w:rStyle w:val="18"/>
          <w:rFonts w:ascii="楷体" w:hAnsi="楷体" w:eastAsia="楷体"/>
          <w:spacing w:val="-4"/>
          <w:sz w:val="32"/>
          <w:szCs w:val="32"/>
        </w:rPr>
      </w:pPr>
    </w:p>
    <w:p w14:paraId="7BBFF6A7">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lang w:val="en-US" w:eastAsia="zh-CN"/>
        </w:rPr>
        <w:t>预算执行进度与绩效指标偏差</w:t>
      </w:r>
    </w:p>
    <w:p w14:paraId="1E3A8481">
      <w:pPr>
        <w:spacing w:line="540" w:lineRule="exact"/>
        <w:ind w:firstLine="567"/>
        <w:rPr>
          <w:rStyle w:val="18"/>
          <w:rFonts w:hint="default" w:ascii="黑体" w:hAnsi="黑体" w:eastAsia="黑体"/>
          <w:b w:val="0"/>
          <w:spacing w:val="-4"/>
          <w:sz w:val="32"/>
          <w:szCs w:val="32"/>
          <w:lang w:val="en-US" w:eastAsia="zh-CN"/>
        </w:rPr>
      </w:pPr>
      <w:r>
        <w:rPr>
          <w:rStyle w:val="18"/>
          <w:rFonts w:hint="eastAsia" w:ascii="楷体" w:hAnsi="楷体" w:eastAsia="楷体"/>
          <w:b w:val="0"/>
          <w:bCs w:val="0"/>
          <w:spacing w:val="-4"/>
          <w:sz w:val="32"/>
          <w:szCs w:val="32"/>
        </w:rPr>
        <w:t>本项目年初预算资金总额为84.26万元，全年预算数为84.26万元，全年执行数为79.62万元，预算执行率为94.49%。</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本项目共设置三级指标数量21个，满分指标数量20个，扣分指标数量1个，经分析计算所有三级指标完成率得出，本项目总体完成率为99.59%。</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综上所述本项目预算执行进度与总体完成进度之间的偏差为0.41%。主要偏差原因是：全年使用检验材料按照实际发生情况进行支付，导致材料费用未按照计划全部支付完毕，形成部分偏差。</w:t>
      </w:r>
    </w:p>
    <w:p w14:paraId="41996E85">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13B15BB1">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主要经验及做法：专业培训与素质提升。提高计量检定人员的专业技术水平和专业素质，以确保计量结果的准确性和可靠性。同时，加强职业道德教育，确保工作人员具有良好的职业操守。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建立完善的检定制度。制定科学的计量检定制度，对计量检定的工作环境、计量器具的使用性能、检定条件和方法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检定器具的维修和保养等方面做出详细规定，确保计量检定工作的质量2。</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原始记录的校准。在计量检定工作中，原始记录的校准非常重要，需要确保每一项细节工作都真实、准确、可靠，以保证量值传递或溯源的准确性。通过这些做法，可以有效提高计量检定工作的质量，确保测量结果的准确性和可靠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存在的问题及原因分析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计量工作也存在一些短板不足：一是设备设施老化，受资金等诸多因素影响，检定设备设施老化损坏现象严重，一定程度了制约了业务工作高质量开展。二是队伍建设滞后，与新形势要求相比，计量干部队伍还存在结构不合理，整体年龄偏大等短板不足，亟需通过加快人才引育等整体推进解决。</w:t>
      </w:r>
    </w:p>
    <w:p w14:paraId="154BB4F8">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七</w:t>
      </w:r>
      <w:r>
        <w:rPr>
          <w:rStyle w:val="18"/>
          <w:rFonts w:hint="eastAsia" w:ascii="黑体" w:hAnsi="黑体" w:eastAsia="黑体"/>
          <w:b w:val="0"/>
          <w:spacing w:val="-4"/>
          <w:sz w:val="32"/>
          <w:szCs w:val="32"/>
        </w:rPr>
        <w:t>、有关建议</w:t>
      </w:r>
    </w:p>
    <w:p w14:paraId="096DF9B6">
      <w:pPr>
        <w:spacing w:line="540" w:lineRule="exact"/>
        <w:ind w:firstLine="567"/>
        <w:rPr>
          <w:rStyle w:val="18"/>
          <w:rFonts w:ascii="楷体" w:hAnsi="楷体" w:eastAsia="楷体"/>
          <w:spacing w:val="-4"/>
          <w:sz w:val="32"/>
          <w:szCs w:val="32"/>
        </w:rPr>
      </w:pPr>
      <w:r>
        <w:rPr>
          <w:rStyle w:val="18"/>
          <w:rFonts w:hint="eastAsia" w:ascii="楷体" w:hAnsi="楷体" w:eastAsia="楷体"/>
          <w:b w:val="0"/>
          <w:bCs w:val="0"/>
          <w:spacing w:val="-4"/>
          <w:sz w:val="32"/>
          <w:szCs w:val="32"/>
        </w:rPr>
        <w:t>对于相关问题情况，建议引入自动化设备针对检定过程繁琐的问题，可以考虑引入自动化设备来替代人工操作。通过这种方式，可以减少人为因素对检定结果的影响，同时也能提高检定工作的效率。定期维护检定设备。为了解决检定设备不合格的问题，可以定期对检定设备进行维护和校准。定期的维护和校准可以确保检定设备的性能稳定准确度，从而提高检定结果的可靠性，加强人员培训。</w:t>
      </w:r>
    </w:p>
    <w:p w14:paraId="3FBD8646">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八</w:t>
      </w:r>
      <w:r>
        <w:rPr>
          <w:rStyle w:val="18"/>
          <w:rFonts w:hint="eastAsia" w:ascii="黑体" w:hAnsi="黑体" w:eastAsia="黑体"/>
          <w:b w:val="0"/>
          <w:spacing w:val="-4"/>
          <w:sz w:val="32"/>
          <w:szCs w:val="32"/>
        </w:rPr>
        <w:t>、其他需要说明的问题</w:t>
      </w:r>
    </w:p>
    <w:p w14:paraId="18CF4F1A">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无其他需要说明的问题</w:t>
      </w:r>
    </w:p>
    <w:p w14:paraId="081070A2">
      <w:pPr>
        <w:spacing w:line="540" w:lineRule="exact"/>
        <w:ind w:firstLine="567"/>
        <w:rPr>
          <w:rStyle w:val="18"/>
          <w:rFonts w:ascii="仿宋" w:hAnsi="仿宋" w:eastAsia="仿宋"/>
          <w:b w:val="0"/>
          <w:spacing w:val="-4"/>
          <w:sz w:val="32"/>
          <w:szCs w:val="32"/>
        </w:rPr>
      </w:pPr>
    </w:p>
    <w:p w14:paraId="7414C211">
      <w:pPr>
        <w:spacing w:line="540" w:lineRule="exact"/>
        <w:ind w:firstLine="567"/>
        <w:rPr>
          <w:rStyle w:val="18"/>
          <w:rFonts w:ascii="仿宋" w:hAnsi="仿宋" w:eastAsia="仿宋"/>
          <w:b w:val="0"/>
          <w:spacing w:val="-4"/>
          <w:sz w:val="32"/>
          <w:szCs w:val="32"/>
        </w:rPr>
      </w:pPr>
    </w:p>
    <w:p w14:paraId="5D03135F">
      <w:pPr>
        <w:spacing w:line="540" w:lineRule="exact"/>
        <w:ind w:firstLine="567"/>
        <w:rPr>
          <w:rStyle w:val="18"/>
          <w:rFonts w:ascii="仿宋" w:hAnsi="仿宋" w:eastAsia="仿宋"/>
          <w:b w:val="0"/>
          <w:spacing w:val="-4"/>
          <w:sz w:val="32"/>
          <w:szCs w:val="32"/>
        </w:rPr>
      </w:pPr>
    </w:p>
    <w:p w14:paraId="5B43E583">
      <w:pPr>
        <w:spacing w:line="540" w:lineRule="exact"/>
        <w:ind w:firstLine="567"/>
        <w:rPr>
          <w:rStyle w:val="18"/>
          <w:rFonts w:ascii="仿宋" w:hAnsi="仿宋" w:eastAsia="仿宋"/>
          <w:b w:val="0"/>
          <w:spacing w:val="-4"/>
          <w:sz w:val="32"/>
          <w:szCs w:val="32"/>
        </w:rPr>
      </w:pPr>
    </w:p>
    <w:p w14:paraId="1423D0A9">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217705A5">
        <w:pPr>
          <w:pStyle w:val="12"/>
          <w:jc w:val="center"/>
        </w:pPr>
        <w:r>
          <w:fldChar w:fldCharType="begin"/>
        </w:r>
        <w:r>
          <w:instrText xml:space="preserve">PAGE   \* MERGEFORMAT</w:instrText>
        </w:r>
        <w:r>
          <w:fldChar w:fldCharType="separate"/>
        </w:r>
        <w:r>
          <w:rPr>
            <w:lang w:val="zh-CN"/>
          </w:rPr>
          <w:t>2</w:t>
        </w:r>
        <w:r>
          <w:fldChar w:fldCharType="end"/>
        </w:r>
      </w:p>
    </w:sdtContent>
  </w:sdt>
  <w:p w14:paraId="488F41CC">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BB20E22"/>
    <w:rsid w:val="3CE21B3C"/>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8059</Words>
  <Characters>8572</Characters>
  <Lines>4</Lines>
  <Paragraphs>1</Paragraphs>
  <TotalTime>2</TotalTime>
  <ScaleCrop>false</ScaleCrop>
  <LinksUpToDate>false</LinksUpToDate>
  <CharactersWithSpaces>8605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2025-05-23T11:11:08Z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