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71AB03">
      <w:pPr>
        <w:spacing w:line="540" w:lineRule="exact"/>
        <w:jc w:val="left"/>
        <w:rPr>
          <w:rFonts w:ascii="仿宋" w:hAnsi="仿宋" w:eastAsia="仿宋" w:cs="宋体"/>
          <w:kern w:val="0"/>
          <w:sz w:val="32"/>
          <w:szCs w:val="32"/>
        </w:rPr>
      </w:pPr>
      <w:bookmarkStart w:id="0" w:name="_GoBack"/>
      <w:bookmarkEnd w:id="0"/>
      <w:r>
        <w:rPr>
          <w:rFonts w:hint="eastAsia" w:ascii="仿宋" w:hAnsi="仿宋" w:eastAsia="仿宋" w:cs="宋体"/>
          <w:kern w:val="0"/>
          <w:sz w:val="32"/>
          <w:szCs w:val="32"/>
        </w:rPr>
        <w:t>附件2：</w:t>
      </w:r>
    </w:p>
    <w:p w14:paraId="5D98C592">
      <w:pPr>
        <w:spacing w:line="540" w:lineRule="exact"/>
        <w:jc w:val="center"/>
        <w:rPr>
          <w:rFonts w:ascii="华文中宋" w:hAnsi="华文中宋" w:eastAsia="华文中宋" w:cs="宋体"/>
          <w:b/>
          <w:kern w:val="0"/>
          <w:sz w:val="52"/>
          <w:szCs w:val="52"/>
        </w:rPr>
      </w:pPr>
    </w:p>
    <w:p w14:paraId="21A99045">
      <w:pPr>
        <w:spacing w:line="540" w:lineRule="exact"/>
        <w:jc w:val="center"/>
        <w:rPr>
          <w:rFonts w:ascii="华文中宋" w:hAnsi="华文中宋" w:eastAsia="华文中宋" w:cs="宋体"/>
          <w:b/>
          <w:kern w:val="0"/>
          <w:sz w:val="52"/>
          <w:szCs w:val="52"/>
        </w:rPr>
      </w:pPr>
    </w:p>
    <w:p w14:paraId="08EEDC4D">
      <w:pPr>
        <w:spacing w:line="540" w:lineRule="exact"/>
        <w:jc w:val="center"/>
        <w:rPr>
          <w:rFonts w:ascii="华文中宋" w:hAnsi="华文中宋" w:eastAsia="华文中宋" w:cs="宋体"/>
          <w:b/>
          <w:kern w:val="0"/>
          <w:sz w:val="52"/>
          <w:szCs w:val="52"/>
        </w:rPr>
      </w:pPr>
    </w:p>
    <w:p w14:paraId="0DB49997">
      <w:pPr>
        <w:spacing w:line="540" w:lineRule="exact"/>
        <w:jc w:val="center"/>
        <w:rPr>
          <w:rFonts w:ascii="华文中宋" w:hAnsi="华文中宋" w:eastAsia="华文中宋" w:cs="宋体"/>
          <w:b/>
          <w:kern w:val="0"/>
          <w:sz w:val="52"/>
          <w:szCs w:val="52"/>
        </w:rPr>
      </w:pPr>
    </w:p>
    <w:p w14:paraId="4C9F5BFF">
      <w:pPr>
        <w:spacing w:line="540" w:lineRule="exact"/>
        <w:jc w:val="center"/>
        <w:rPr>
          <w:rFonts w:ascii="华文中宋" w:hAnsi="华文中宋" w:eastAsia="华文中宋" w:cs="宋体"/>
          <w:b/>
          <w:kern w:val="0"/>
          <w:sz w:val="52"/>
          <w:szCs w:val="52"/>
        </w:rPr>
      </w:pPr>
    </w:p>
    <w:p w14:paraId="63917A2C">
      <w:pPr>
        <w:spacing w:line="540" w:lineRule="exact"/>
        <w:jc w:val="center"/>
        <w:rPr>
          <w:rFonts w:ascii="华文中宋" w:hAnsi="华文中宋" w:eastAsia="华文中宋" w:cs="宋体"/>
          <w:b/>
          <w:kern w:val="0"/>
          <w:sz w:val="52"/>
          <w:szCs w:val="52"/>
        </w:rPr>
      </w:pPr>
    </w:p>
    <w:p w14:paraId="76BED75D">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462C8EA4">
      <w:pPr>
        <w:spacing w:line="540" w:lineRule="exact"/>
        <w:jc w:val="center"/>
        <w:rPr>
          <w:rFonts w:ascii="华文中宋" w:hAnsi="华文中宋" w:eastAsia="华文中宋" w:cs="宋体"/>
          <w:b/>
          <w:kern w:val="0"/>
          <w:sz w:val="52"/>
          <w:szCs w:val="52"/>
        </w:rPr>
      </w:pPr>
    </w:p>
    <w:p w14:paraId="5AE78273">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71FF0632">
      <w:pPr>
        <w:spacing w:line="540" w:lineRule="exact"/>
        <w:jc w:val="center"/>
        <w:rPr>
          <w:rFonts w:hAnsi="宋体" w:eastAsia="仿宋_GB2312" w:cs="宋体"/>
          <w:kern w:val="0"/>
          <w:sz w:val="30"/>
          <w:szCs w:val="30"/>
        </w:rPr>
      </w:pPr>
    </w:p>
    <w:p w14:paraId="54C91093">
      <w:pPr>
        <w:spacing w:line="540" w:lineRule="exact"/>
        <w:jc w:val="center"/>
        <w:rPr>
          <w:rFonts w:hAnsi="宋体" w:eastAsia="仿宋_GB2312" w:cs="宋体"/>
          <w:kern w:val="0"/>
          <w:sz w:val="30"/>
          <w:szCs w:val="30"/>
        </w:rPr>
      </w:pPr>
    </w:p>
    <w:p w14:paraId="224EE009">
      <w:pPr>
        <w:spacing w:line="540" w:lineRule="exact"/>
        <w:jc w:val="center"/>
        <w:rPr>
          <w:rFonts w:hAnsi="宋体" w:eastAsia="仿宋_GB2312" w:cs="宋体"/>
          <w:kern w:val="0"/>
          <w:sz w:val="30"/>
          <w:szCs w:val="30"/>
        </w:rPr>
      </w:pPr>
    </w:p>
    <w:p w14:paraId="118C0F98">
      <w:pPr>
        <w:spacing w:line="540" w:lineRule="exact"/>
        <w:jc w:val="center"/>
        <w:rPr>
          <w:rFonts w:hAnsi="宋体" w:eastAsia="仿宋_GB2312" w:cs="宋体"/>
          <w:kern w:val="0"/>
          <w:sz w:val="30"/>
          <w:szCs w:val="30"/>
        </w:rPr>
      </w:pPr>
    </w:p>
    <w:p w14:paraId="3FEA0BC9">
      <w:pPr>
        <w:spacing w:line="540" w:lineRule="exact"/>
        <w:jc w:val="center"/>
        <w:rPr>
          <w:rFonts w:hAnsi="宋体" w:eastAsia="仿宋_GB2312" w:cs="宋体"/>
          <w:kern w:val="0"/>
          <w:sz w:val="30"/>
          <w:szCs w:val="30"/>
        </w:rPr>
      </w:pPr>
    </w:p>
    <w:p w14:paraId="401A0AC4">
      <w:pPr>
        <w:spacing w:line="540" w:lineRule="exact"/>
        <w:jc w:val="center"/>
        <w:rPr>
          <w:rFonts w:hAnsi="宋体" w:eastAsia="仿宋_GB2312" w:cs="宋体"/>
          <w:kern w:val="0"/>
          <w:sz w:val="30"/>
          <w:szCs w:val="30"/>
        </w:rPr>
      </w:pPr>
    </w:p>
    <w:p w14:paraId="420E2D6A">
      <w:pPr>
        <w:spacing w:line="540" w:lineRule="exact"/>
        <w:rPr>
          <w:rFonts w:hAnsi="宋体" w:eastAsia="仿宋_GB2312" w:cs="宋体"/>
          <w:kern w:val="0"/>
          <w:sz w:val="30"/>
          <w:szCs w:val="30"/>
        </w:rPr>
      </w:pPr>
    </w:p>
    <w:p w14:paraId="073AFD93">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1F5BFA82">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信息化建设运行维护费</w:t>
      </w:r>
    </w:p>
    <w:p w14:paraId="7A62498C">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昌吉回族自治州干部综合考核评价信息服务中心</w:t>
      </w:r>
    </w:p>
    <w:p w14:paraId="023D8BFA">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昌吉回族自治州干部综合考核评价信息服务中心</w:t>
      </w:r>
    </w:p>
    <w:p w14:paraId="54F3B14C">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李道平</w:t>
      </w:r>
    </w:p>
    <w:p w14:paraId="171712BD">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2024年03月29日</w:t>
      </w:r>
    </w:p>
    <w:p w14:paraId="7B904F1B">
      <w:pPr>
        <w:spacing w:line="700" w:lineRule="exact"/>
        <w:ind w:firstLine="708" w:firstLineChars="236"/>
        <w:jc w:val="left"/>
        <w:rPr>
          <w:rFonts w:hAnsi="宋体" w:eastAsia="仿宋_GB2312" w:cs="宋体"/>
          <w:kern w:val="0"/>
          <w:sz w:val="30"/>
          <w:szCs w:val="30"/>
        </w:rPr>
      </w:pPr>
    </w:p>
    <w:p w14:paraId="398F6897">
      <w:pPr>
        <w:spacing w:line="540" w:lineRule="exact"/>
        <w:rPr>
          <w:rStyle w:val="18"/>
          <w:rFonts w:ascii="黑体" w:hAnsi="黑体" w:eastAsia="黑体"/>
          <w:b w:val="0"/>
          <w:spacing w:val="-4"/>
          <w:sz w:val="32"/>
          <w:szCs w:val="32"/>
        </w:rPr>
      </w:pPr>
    </w:p>
    <w:p w14:paraId="456AA1E0">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14:paraId="5B98DB7F">
      <w:pPr>
        <w:spacing w:line="540" w:lineRule="exact"/>
        <w:ind w:firstLine="567"/>
        <w:rPr>
          <w:rStyle w:val="18"/>
          <w:rFonts w:hint="default" w:ascii="楷体" w:hAnsi="楷体" w:eastAsia="楷体"/>
          <w:spacing w:val="-4"/>
          <w:sz w:val="32"/>
          <w:szCs w:val="32"/>
          <w:lang w:val="en-US" w:eastAsia="zh-CN"/>
        </w:rPr>
      </w:pPr>
      <w:r>
        <w:rPr>
          <w:rStyle w:val="18"/>
          <w:rFonts w:hint="eastAsia" w:ascii="楷体" w:hAnsi="楷体" w:eastAsia="楷体"/>
          <w:spacing w:val="-4"/>
          <w:sz w:val="32"/>
          <w:szCs w:val="32"/>
        </w:rPr>
        <w:t>（一）项目概况</w:t>
      </w:r>
      <w:r>
        <w:rPr>
          <w:rStyle w:val="18"/>
          <w:rFonts w:hint="eastAsia" w:ascii="楷体" w:hAnsi="楷体" w:eastAsia="楷体"/>
          <w:spacing w:val="-4"/>
          <w:sz w:val="32"/>
          <w:szCs w:val="32"/>
          <w:lang w:eastAsia="zh-CN"/>
        </w:rPr>
        <w:t>。</w:t>
      </w:r>
    </w:p>
    <w:p w14:paraId="7A23F443">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关于下达昌吉州本级预算单位2023年部门预算的通知》(昌州财行〔2023〕1号文件要求，《昌吉州绩效管理智能系统》项目于2021年11月30日完成项目最终验收，转入质保服务，合同中明确乙方自项目最终验收之日起，提供一年免费质保服务，即免费质保期自 2021年11月30日至2022年11月30日。《昌吉州绩效管理智能系统》在各县市、部门单位应用情况良好并且已经成为常态化使用的信息系统。考虑到术业有专攻，专业的工作还是需要靠专业的人员来做，才能保证系统更好的运行。因而，启动针对《昌吉州绩效管理智能系统》的信息化建设运行维护费项目，更好的保障《昌吉州绩效管理智能系统》的稳定运行。</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（1）项目名称：信息化建设运行维护费项目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该项目主要内容为保障信息化建设运行正常，主要开展系统平台软硬件改进完善；及时开展系统运行维护，降低系统故障发生率，确保我州绩效考核信息化建设顺利进行。该项目于2023年4月开始实施，截止2023年12月已基本完成，通过本项目的实施，确保绩效考核工作信息化建设持续推进，进一步提升了我州绩效考核信息化建设管理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为保障《昌吉州绩效管理智能系统》运维正常开展，经研究决定通过政府采购云平台采取竞价采购方式购买运维服务，最终成交价格为价低报价，服务内容包括远程技术支持、系统故障诊断、定期巡检等，在系统运维期间，完成系统功能改进完善22处，且未发生系统故障，运行维护情况验收合格，保障了《昌吉州绩效管理智能系统》的稳定运行。</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干部综合考评中心贯彻落实党中央关于干部综合（绩效）考核评价的方针政策、决策部署以及自治区、自治州党委工作要求，在履行职责过程中坚持和加强党对干部综合（绩效）考核评价工作的集中统一领导。主要职责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贯彻执行党中央《党政领导干部考核工作条例》及自治区、自治州党委关于干部综合（绩效）考核评价工作相关要求，建立完善日常考核、分类考核、近距离考核的“知事识人”体系。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在州党委组织部的指导下，研究制定自治州领导班子和领导干部综合（绩效）考核评价实施办法、年度工作方案等并组织实施。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负责县市（园区）、州直部门、事业单位、国资委监管国有企业县级领导班子和县级干部综合（绩效）考核评价的指标设定、日常监管和检查核验工作。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配合州党委组织部开展县级领导班子和领导干部的平时考核、年度考核、专项考核、任期考核。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负责县级领导班子和县级干部年度考核成绩梳理汇总，为考核定等提供数据和参考依据。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在州党委组织部的指导下，承办科级及以下公务员考核奖励事务性工作。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负责自治区年度（绩效）考核任务的统筹协调、督促落实和工作对接。</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负责全州县级领导班子和领导干部综合（绩效）考核评价信息化建设，承担“昌吉州领导班子和领导干部综合（绩效）考核评价智能管理系统”的日常管理、运行维护和改进升级工作。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负责统筹规范自治州各类考核达标事项。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指导各县市（园区）、州直部门干部综合（绩效）考核评价工作。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完成自治州党委交办的其他任务。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昌吉州干部综合考评中心2022年度，实有人数12人，其中：在职人员12人，离休人员0人，退休人员0人。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从部门决算单位构成看，昌吉州干部综合考评中心部门决算包括：昌吉回族自治州干部综合考核评价信息服务中心决算。单位无下属预算单位，内设3个科室，分别是：综合科（组织人事科）、考评一科、考评二科。</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本项目预算安排总额为15.00万元，资金来源为一般公共预算拨款，其中：财政资金15.00万元，其他资金0.00万元，2023年实际收到预算资金15.00万元，预算资金到位率为100.00%。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截至2023年12月31日，本项目实际支付资金13.00万元，预算执行率86.67%，结余资金2.00万元。本项目资金主要用于支付软件运维服务费用13.00万元。</w:t>
      </w:r>
    </w:p>
    <w:p w14:paraId="35031233">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14:paraId="0B2FA26C">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保障信息化建设运行正常，主要开展系统平台软硬件改进完善20处；系统故障率发生次数小于等于10次；系统故障修复处理时长小于等于3个工作日；系统运行维护确保及时，确保信息建设建设顺利进行。</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“系统平台软硬件改进完善数量”指标，预期指标值为“大于等于20处”；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“系统故障发生次数”指标，预期指标值为“小于等于4次”；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“系统故障修复处理时长”指标，预期指标值为“小于等于5日历日”；</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“系统运行维护响应时间”指标，预期指标值为“小于等于2小时”；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“预算成本控制率”指标，预期指标值为“小于等于86.00%”；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“提高各县市及部门工作效率”指标，预期指标值为“提高”；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“被使用单位投诉次数”指标，预期指标值为“小于等于3次”。</w:t>
      </w:r>
    </w:p>
    <w:p w14:paraId="0E8F9004">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0D12C927">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7B17B00B">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此次我单位根据《财政支出绩效评价管理暂行办法》（财预〔2020〕10号）文件要求实施评价工作，本次评价对象为信息化建设运行维护费项目，评价核心为项目资金、项目产出、项目效益。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(5)关于昌吉州“绩效管理智能系统”项目运维服务采购的实施方案；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(6)昌吉州绩效管理智能系统升级优化方案。</w:t>
      </w:r>
    </w:p>
    <w:p w14:paraId="7BE31633">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71C59165">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公众评判法。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00F08C00">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14:paraId="1296D56D">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5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陆军（评价小组组长）：主要负责项目策划和监督，全面负责项目绩效评价办稿的最终质量，对评估人员出具的最终报告质量进行复核，确保评估结果的客观性；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董冲（评价小组组员）：主要负责资料的收集，取证、数据统计分析；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王才文（评价小组组员）：主要负责项目报告的制定，指标的研判，数据分析及报告撰写。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2024年3月6日-3月16日，评价工作进入实施阶段。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2024年3月17日-3月28日，评价小组按照绩效评价的原则和规范，对取得的资料进行审查核实，对采集的数据进行分析，按照绩效评价指标评分表逐项进行打分、分析、汇总各方评价结果。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2024年3月28日-4月16日，评价小组撰写绩效评价报告，按照新疆维吾尔自治区财政绩效管理信息系统绩效评价模块中统一格式和文本框架撰写绩效评价报告并提交审核。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16004D80">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26DCBB42">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较大程度达成年初设立的绩效目标，在实施过程中取得了良好的成效，具体表现在：通过项目的实施，主要开展系统平台软硬件改进完善22处；系统故障率发生次数0次；系统故障修复处理时长0个工作日，发挥了提高各县市及部门工作效率效益。但在实施过程中也存在一些不足：预算金额与实际产生的费用有差异，节约了财政资金。</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18个，实现三级指标数量17个，总体完成率为94.44%。最终评分结果：总分为99.34分，绩效评级为“优”。综合评价结论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过程管理类指标共设置5个，满分指标4个，得分率96.52%；</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项目产出类指标共设置5个，满分指标5个，得分率100.00%；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项目效益类指标共设置2个，满分指标2个，得分率100.00%。</w:t>
      </w:r>
    </w:p>
    <w:p w14:paraId="2C3C8F11">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1FA1D2DC">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156FADD0">
      <w:pPr>
        <w:tabs>
          <w:tab w:val="center" w:pos="4295"/>
        </w:tabs>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关于改进推动高质量发展的政绩考核的通知》中：“建立运用干部考核数据管理系统，注重采用高质量发展综合绩效评价结果等数据，加强综合分析研判”内容，符合行业发展规划和政策要求；本项目立项符合《州干部综合考核评价信息服务中心职能配置、内设机构和人员编制规定》中职责范围中的“负责全州县级领导班子和领导干部综合（绩效）考核评价信息化建设，承担“昌吉州领导班子和领导干部综合（绩效）考核评价智能管理系统”的日常管理、运行维护和改进升级工作”，属于我单位履职所需；根据《财政资金直接支付申请书》，本项目资金性质为“公共财政预算”功能分类为“2013299其他组织事务支出”经济分类为“30213维修（护）费”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本项目为非基础建设类项目，属于专项资金安排项目，不涉及事前绩效评估、可行性研究以及风险评估，由我单位严格按照《关于改进推动高质量发展的政绩考核的通知》文件要求实施项目。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为保障信息化建设运行正常，主要开展系统平台软硬件改进完善20处；系统故障率发生次数小于等于10次；系统故障修复处理时长小于等于3个工作日；系统运行维护确保及时，确保信息建设建设顺利进行。”；本项目实际工作内容为：主要开展系统平台软硬件改进完善22处；系统故障率发生次数0次；系统故障修复处理时长0个工作日；系统运行维护确保及时，确保信息建设建设顺利进行。绩效目标与实际工作内容一致，两者具有相关性;本项目按照绩效目标完成了数量指标、质量指标、时效指标、成本指标，有效保障了各县市及部门工作效率的提高，年度绩效目标完成，预期产出效益和效果符合正常的业绩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6个，三级指标7个，定量指标6个，定性指标1个，指标量化率为85.71%，量化率达70.00%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本项目预算编制通过市场询价得出，即预算编制较科学且经过论证；</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预算申请内容为信息化建设运行维护，项目实际内容为信息化建设运行维护，预算申请与《信息化建设运行维护经费项目实施方案》中涉及的项目内容匹配；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15.00万元，我单位在预算申请中严格按照单位标准和数量进行核算，其中：用于支付软件运维服务费用15.00万元。本项目预算额度测算依据充分，严格按照标准编制，预算确定资金量与实际工作任务相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信息化建设运行维护费项目资金的请示》和《信息化建设运行维护费项目实施方案》为依据进行资金分配，预算资金分配依据充分。根据《部门资金下达文件》文件显示，本项目实际到位资金15.00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1418A410">
      <w:pPr>
        <w:spacing w:line="540" w:lineRule="exact"/>
        <w:ind w:firstLine="567" w:firstLineChars="181"/>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79C91EB4">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项目过程管理类指标由2个二级指标和5个三级指标构成，权重分19.00分，实际得分18.34分。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15.00万元，其中：本级财政安排资金15.00万元，其他资金0.00万元，实际到位资金15.00万元，资金到位率=100%（实际到位资金/预算资金）×100.00%=（15/15）*100.00%=100%。得分=资金到位率*分值=100%*4=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本项目实际支出资金13.00万元，预算执行率=86.67%（实际支出资金/实际到位资金）×100.00%=（13/15）*100.00%=86.67%。得分=预算执行率*分值=86.68%*5=4.34分。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综上所述，本指标满分为5.0分，根据评分标准得4.34分，本项目资金分配合理。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州干部综合考评中心单位资金管理办法》《州干部综合考评中心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州干部综合考评中心资金管理办法》《州干部综合考评中心收支业务管理制度》《州干部综合考评中心政府采购业务管理制度》《州干部综合考评中心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以及本单位资金管理办法执行，项目启动实施后，为了加快本项目的实施，成立了信息化建设运行维护费项目工作领导小组，由主要负责人陆军任组长，负责项目的组织、实施工作；组员包括：董冲、李道平、李娜，主要负责项目监督管理、验收以及资金核拨等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7184373A">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7D30D357">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项目产出类指标由4个二级指标和5个三级指标构成，权重分30.00分，实际得分30.00分。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“系统平台软硬件改进”指标：预期指标值为“大于等于20处”，实际完成指标值为“22处”，指标完成率为100.00%。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“系统故障发生次数”指标：预期指标值为“小于等于4次”，实际完成指标值为“0次”，指标完成率为100.00%。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综上所述，本指标满分为5.0分，根据评分标准得5.0分。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“系统故障修复处理时长”指标：预期指标值为“小于等于5日历日”，实际完成指标值为“0日历日”，指标完成率为100.00%。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综上所述，本指标满分为5.0分，根据评分标准得5.0分。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“系统运行维护响应时间”指标：预期指标值为“小于等于2小时”，实际完成指标值为“0小时”，指标完成率为100.00%。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综上所述，本指标满分为5.0分，根据评分标准得5.0分。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“预算成本控制率”指标：预期指标值为“小于等于86%”，实际完成指标值为“86.67%”，指标完成率为100.00%。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综上所述，本指标满分为5.0分，根据评分标准得5.0分。</w:t>
      </w:r>
    </w:p>
    <w:p w14:paraId="0B914B97">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753085F5">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项目效益类指标由2个二级指标和2个三级指标构成，权重分30.00分，实际得分30.00分。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本项目无该项指标。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“提高各县市及部门工作效率”指标：预期指标值为“提高”，实际完成指标值为“提高”，指标完成率为100.0%。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本项目无该项指标。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“被使用单位投诉次数”指标：预期指标值为“小于等于3次”，实际完成指标值为“0次”，指标完成率为100%。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综上所述，本指标满分为10.0分，根据评分标准得10.0分。</w:t>
      </w:r>
    </w:p>
    <w:p w14:paraId="0D3CF485">
      <w:pPr>
        <w:spacing w:line="540" w:lineRule="exact"/>
        <w:ind w:firstLine="567"/>
        <w:rPr>
          <w:rStyle w:val="18"/>
          <w:rFonts w:ascii="楷体" w:hAnsi="楷体" w:eastAsia="楷体"/>
          <w:spacing w:val="-4"/>
          <w:sz w:val="32"/>
          <w:szCs w:val="32"/>
        </w:rPr>
      </w:pPr>
    </w:p>
    <w:p w14:paraId="0F138CD1">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lang w:val="en-US" w:eastAsia="zh-CN"/>
        </w:rPr>
        <w:t>预算执行进度与绩效指标偏差</w:t>
      </w:r>
    </w:p>
    <w:p w14:paraId="40A4B4A4">
      <w:pPr>
        <w:spacing w:line="540" w:lineRule="exact"/>
        <w:ind w:firstLine="567"/>
        <w:rPr>
          <w:rStyle w:val="18"/>
          <w:rFonts w:hint="default" w:ascii="黑体" w:hAnsi="黑体" w:eastAsia="黑体"/>
          <w:b w:val="0"/>
          <w:spacing w:val="-4"/>
          <w:sz w:val="32"/>
          <w:szCs w:val="32"/>
          <w:lang w:val="en-US" w:eastAsia="zh-CN"/>
        </w:rPr>
      </w:pPr>
      <w:r>
        <w:rPr>
          <w:rStyle w:val="18"/>
          <w:rFonts w:hint="eastAsia" w:ascii="楷体" w:hAnsi="楷体" w:eastAsia="楷体"/>
          <w:b w:val="0"/>
          <w:bCs w:val="0"/>
          <w:spacing w:val="-4"/>
          <w:sz w:val="32"/>
          <w:szCs w:val="32"/>
        </w:rPr>
        <w:t>本项目年初预算资金总额为15.00万元，全年预算数为15.00万元，全年执行数为13.00万元，预算执行率为86.67%。</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本项目共设置三级指标数量18个，满分指标数量17个，扣分指标数量1个，经分析计算所有三级指标完成率得出，本项目总体完成率为94.44%。</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综上所述本项目预算执行进度与总体完成进度之间的偏差为7.77%。主要偏差原因是：预算金额与实际产生的费用有差异，节约了财政资金。</w:t>
      </w:r>
    </w:p>
    <w:p w14:paraId="2407D37D">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717F77A6">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聚焦重点任务，推动项目工作落地落实。为有效推进项目工作开展，提高财政资金使用效益，项目领导小组进一步强化项目意识，对照计划全面梳理重点任务，仔细谋划、紧抓落实，理顺内部分工和工作流程，明确责任和时间节点，一项一项抓好具体落实，确保了项目按时保质完成，保障了项目效益发挥。</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是坚持问题导向，加强执行监控，提高资金效益。紧抓预算执行动态监控，提高资金使用效益。坚持以问题为导向，以财政部门的绩效监控为契机，通过资料审核对资金执行进度及绩效目标实现程度开展审核，对绩效监控中发现的问题及时整改，强化资金使用过程管理，有效降低了资金偏离政策目标的风险，提高了资金使用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是强化绩效目标刚性约束，及时对项目进行跟踪问效。加强绩效目标的刚性约束，及时对项目实施进度与资金支付进度进行全程跟踪问效，发现问题及时解决，对于重大问题实行集体讨论，确保项目按计划进行，项目资金支付安排高效、合理，杜绝截留、挤占或挪用项目资金的情况发生。</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指标执行中还存在一定的偏差，主要是绩效预算认识不够充分，绩效理念有待进一步提升。从整体看部门绩效管理理念尚未牢固树立，绩效管理专业人员比较匮乏。对全面实施绩效管理认识不够，绩效水平不高，单位内部绩效管理工作力量相对薄弱，以财务人员牵头开展绩效管理为主，缺乏对绩效管理的业务能力方面的持续培训和提升。</w:t>
      </w:r>
    </w:p>
    <w:p w14:paraId="4DC76662">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七</w:t>
      </w:r>
      <w:r>
        <w:rPr>
          <w:rStyle w:val="18"/>
          <w:rFonts w:hint="eastAsia" w:ascii="黑体" w:hAnsi="黑体" w:eastAsia="黑体"/>
          <w:b w:val="0"/>
          <w:spacing w:val="-4"/>
          <w:sz w:val="32"/>
          <w:szCs w:val="32"/>
        </w:rPr>
        <w:t>、有关建议</w:t>
      </w:r>
    </w:p>
    <w:p w14:paraId="3B271F95">
      <w:pPr>
        <w:spacing w:line="540" w:lineRule="exact"/>
        <w:ind w:firstLine="567"/>
        <w:rPr>
          <w:rStyle w:val="18"/>
          <w:rFonts w:ascii="楷体" w:hAnsi="楷体" w:eastAsia="楷体"/>
          <w:spacing w:val="-4"/>
          <w:sz w:val="32"/>
          <w:szCs w:val="32"/>
        </w:rPr>
      </w:pPr>
      <w:r>
        <w:rPr>
          <w:rStyle w:val="18"/>
          <w:rFonts w:hint="eastAsia" w:ascii="楷体" w:hAnsi="楷体" w:eastAsia="楷体"/>
          <w:b w:val="0"/>
          <w:bCs w:val="0"/>
          <w:spacing w:val="-4"/>
          <w:sz w:val="32"/>
          <w:szCs w:val="32"/>
        </w:rPr>
        <w:t>进一步加强业务培训，提高相关人员工作水平。建立财政部门采取多种培训形式对各单位财务人员、业务科室人员进行集中培训，进一步树牢绩效观念，从而提高本单位工作人员的绩效管理能力和工作水平，为预算绩效管理相关工作的顺利开展提供保障。</w:t>
      </w:r>
    </w:p>
    <w:p w14:paraId="6B05C1E0">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八</w:t>
      </w:r>
      <w:r>
        <w:rPr>
          <w:rStyle w:val="18"/>
          <w:rFonts w:hint="eastAsia" w:ascii="黑体" w:hAnsi="黑体" w:eastAsia="黑体"/>
          <w:b w:val="0"/>
          <w:spacing w:val="-4"/>
          <w:sz w:val="32"/>
          <w:szCs w:val="32"/>
        </w:rPr>
        <w:t>、其他需要说明的问题</w:t>
      </w:r>
    </w:p>
    <w:p w14:paraId="12BDD663">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32496C20">
      <w:pPr>
        <w:spacing w:line="540" w:lineRule="exact"/>
        <w:ind w:firstLine="567"/>
        <w:rPr>
          <w:rStyle w:val="18"/>
          <w:rFonts w:ascii="仿宋" w:hAnsi="仿宋" w:eastAsia="仿宋"/>
          <w:b w:val="0"/>
          <w:spacing w:val="-4"/>
          <w:sz w:val="32"/>
          <w:szCs w:val="32"/>
        </w:rPr>
      </w:pPr>
    </w:p>
    <w:p w14:paraId="68B01C1D">
      <w:pPr>
        <w:spacing w:line="540" w:lineRule="exact"/>
        <w:ind w:firstLine="567"/>
        <w:rPr>
          <w:rStyle w:val="18"/>
          <w:rFonts w:ascii="仿宋" w:hAnsi="仿宋" w:eastAsia="仿宋"/>
          <w:b w:val="0"/>
          <w:spacing w:val="-4"/>
          <w:sz w:val="32"/>
          <w:szCs w:val="32"/>
        </w:rPr>
      </w:pPr>
    </w:p>
    <w:p w14:paraId="28CA0622">
      <w:pPr>
        <w:spacing w:line="540" w:lineRule="exact"/>
        <w:ind w:firstLine="567"/>
        <w:rPr>
          <w:rStyle w:val="18"/>
          <w:rFonts w:ascii="仿宋" w:hAnsi="仿宋" w:eastAsia="仿宋"/>
          <w:b w:val="0"/>
          <w:spacing w:val="-4"/>
          <w:sz w:val="32"/>
          <w:szCs w:val="32"/>
        </w:rPr>
      </w:pPr>
    </w:p>
    <w:p w14:paraId="5953D2DD">
      <w:pPr>
        <w:spacing w:line="540" w:lineRule="exact"/>
        <w:ind w:firstLine="567"/>
        <w:rPr>
          <w:rStyle w:val="18"/>
          <w:rFonts w:ascii="仿宋" w:hAnsi="仿宋" w:eastAsia="仿宋"/>
          <w:b w:val="0"/>
          <w:spacing w:val="-4"/>
          <w:sz w:val="32"/>
          <w:szCs w:val="32"/>
        </w:rPr>
      </w:pPr>
    </w:p>
    <w:p w14:paraId="10DC92CC">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4A63AAE0">
        <w:pPr>
          <w:pStyle w:val="12"/>
          <w:jc w:val="center"/>
        </w:pPr>
        <w:r>
          <w:fldChar w:fldCharType="begin"/>
        </w:r>
        <w:r>
          <w:instrText xml:space="preserve">PAGE   \* MERGEFORMAT</w:instrText>
        </w:r>
        <w:r>
          <w:fldChar w:fldCharType="separate"/>
        </w:r>
        <w:r>
          <w:rPr>
            <w:lang w:val="zh-CN"/>
          </w:rPr>
          <w:t>2</w:t>
        </w:r>
        <w:r>
          <w:fldChar w:fldCharType="end"/>
        </w:r>
      </w:p>
    </w:sdtContent>
  </w:sdt>
  <w:p w14:paraId="72C92C87">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75F5314"/>
    <w:rsid w:val="0856517C"/>
    <w:rsid w:val="0BFB189F"/>
    <w:rsid w:val="11BD75F7"/>
    <w:rsid w:val="13BE561A"/>
    <w:rsid w:val="15392994"/>
    <w:rsid w:val="18FE139B"/>
    <w:rsid w:val="3029612C"/>
    <w:rsid w:val="32A221C5"/>
    <w:rsid w:val="33F20F2A"/>
    <w:rsid w:val="34C44675"/>
    <w:rsid w:val="3B5B5607"/>
    <w:rsid w:val="3CE21B3C"/>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uiPriority w:val="10"/>
    <w:rPr>
      <w:rFonts w:asciiTheme="majorHAnsi" w:hAnsiTheme="majorHAnsi" w:eastAsiaTheme="majorEastAsia"/>
      <w:b/>
      <w:bCs/>
      <w:kern w:val="28"/>
      <w:sz w:val="32"/>
      <w:szCs w:val="32"/>
    </w:rPr>
  </w:style>
  <w:style w:type="character" w:customStyle="1" w:styleId="30">
    <w:name w:val="副标题 Char"/>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uiPriority w:val="99"/>
    <w:rPr>
      <w:rFonts w:ascii="Calibri" w:hAnsi="Calibri" w:eastAsia="宋体"/>
      <w:kern w:val="2"/>
      <w:sz w:val="18"/>
      <w:szCs w:val="18"/>
    </w:rPr>
  </w:style>
  <w:style w:type="character" w:customStyle="1" w:styleId="44">
    <w:name w:val="页脚 Char"/>
    <w:basedOn w:val="17"/>
    <w:link w:val="12"/>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7871</Words>
  <Characters>8355</Characters>
  <Lines>4</Lines>
  <Paragraphs>1</Paragraphs>
  <TotalTime>2</TotalTime>
  <ScaleCrop>false</ScaleCrop>
  <LinksUpToDate>false</LinksUpToDate>
  <CharactersWithSpaces>8373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2025-05-23T11:02:49Z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