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FFD9B">
      <w:pPr>
        <w:spacing w:line="54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74CF5944">
      <w:pPr>
        <w:spacing w:line="540" w:lineRule="exact"/>
        <w:jc w:val="center"/>
        <w:rPr>
          <w:rFonts w:ascii="华文中宋" w:hAnsi="华文中宋" w:eastAsia="华文中宋" w:cs="宋体"/>
          <w:b/>
          <w:kern w:val="0"/>
          <w:sz w:val="52"/>
          <w:szCs w:val="52"/>
        </w:rPr>
      </w:pPr>
    </w:p>
    <w:p w14:paraId="51E60F76">
      <w:pPr>
        <w:spacing w:line="540" w:lineRule="exact"/>
        <w:jc w:val="center"/>
        <w:rPr>
          <w:rFonts w:ascii="华文中宋" w:hAnsi="华文中宋" w:eastAsia="华文中宋" w:cs="宋体"/>
          <w:b/>
          <w:kern w:val="0"/>
          <w:sz w:val="52"/>
          <w:szCs w:val="52"/>
        </w:rPr>
      </w:pPr>
    </w:p>
    <w:p w14:paraId="68F37D83">
      <w:pPr>
        <w:spacing w:line="540" w:lineRule="exact"/>
        <w:jc w:val="center"/>
        <w:rPr>
          <w:rFonts w:ascii="华文中宋" w:hAnsi="华文中宋" w:eastAsia="华文中宋" w:cs="宋体"/>
          <w:b/>
          <w:kern w:val="0"/>
          <w:sz w:val="52"/>
          <w:szCs w:val="52"/>
        </w:rPr>
      </w:pPr>
    </w:p>
    <w:p w14:paraId="2BED7F63">
      <w:pPr>
        <w:spacing w:line="540" w:lineRule="exact"/>
        <w:jc w:val="center"/>
        <w:rPr>
          <w:rFonts w:ascii="华文中宋" w:hAnsi="华文中宋" w:eastAsia="华文中宋" w:cs="宋体"/>
          <w:b/>
          <w:kern w:val="0"/>
          <w:sz w:val="52"/>
          <w:szCs w:val="52"/>
        </w:rPr>
      </w:pPr>
    </w:p>
    <w:p w14:paraId="5ED06522">
      <w:pPr>
        <w:spacing w:line="540" w:lineRule="exact"/>
        <w:jc w:val="center"/>
        <w:rPr>
          <w:rFonts w:ascii="华文中宋" w:hAnsi="华文中宋" w:eastAsia="华文中宋" w:cs="宋体"/>
          <w:b/>
          <w:kern w:val="0"/>
          <w:sz w:val="52"/>
          <w:szCs w:val="52"/>
        </w:rPr>
      </w:pPr>
    </w:p>
    <w:p w14:paraId="1D019A68">
      <w:pPr>
        <w:spacing w:line="540" w:lineRule="exact"/>
        <w:jc w:val="center"/>
        <w:rPr>
          <w:rFonts w:ascii="华文中宋" w:hAnsi="华文中宋" w:eastAsia="华文中宋" w:cs="宋体"/>
          <w:b/>
          <w:kern w:val="0"/>
          <w:sz w:val="52"/>
          <w:szCs w:val="52"/>
        </w:rPr>
      </w:pPr>
    </w:p>
    <w:p w14:paraId="6AC3B0DD">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6E7F7573">
      <w:pPr>
        <w:spacing w:line="540" w:lineRule="exact"/>
        <w:jc w:val="center"/>
        <w:rPr>
          <w:rFonts w:ascii="华文中宋" w:hAnsi="华文中宋" w:eastAsia="华文中宋" w:cs="宋体"/>
          <w:b/>
          <w:kern w:val="0"/>
          <w:sz w:val="52"/>
          <w:szCs w:val="52"/>
        </w:rPr>
      </w:pPr>
    </w:p>
    <w:p w14:paraId="163AFE39">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6BEE2A91">
      <w:pPr>
        <w:spacing w:line="540" w:lineRule="exact"/>
        <w:jc w:val="center"/>
        <w:rPr>
          <w:rFonts w:hAnsi="宋体" w:eastAsia="仿宋_GB2312" w:cs="宋体"/>
          <w:kern w:val="0"/>
          <w:sz w:val="30"/>
          <w:szCs w:val="30"/>
        </w:rPr>
      </w:pPr>
    </w:p>
    <w:p w14:paraId="1FA06797">
      <w:pPr>
        <w:spacing w:line="540" w:lineRule="exact"/>
        <w:jc w:val="center"/>
        <w:rPr>
          <w:rFonts w:hAnsi="宋体" w:eastAsia="仿宋_GB2312" w:cs="宋体"/>
          <w:kern w:val="0"/>
          <w:sz w:val="30"/>
          <w:szCs w:val="30"/>
        </w:rPr>
      </w:pPr>
    </w:p>
    <w:p w14:paraId="51A00DA1">
      <w:pPr>
        <w:spacing w:line="540" w:lineRule="exact"/>
        <w:jc w:val="center"/>
        <w:rPr>
          <w:rFonts w:hAnsi="宋体" w:eastAsia="仿宋_GB2312" w:cs="宋体"/>
          <w:kern w:val="0"/>
          <w:sz w:val="30"/>
          <w:szCs w:val="30"/>
        </w:rPr>
      </w:pPr>
    </w:p>
    <w:p w14:paraId="38BC2707">
      <w:pPr>
        <w:spacing w:line="540" w:lineRule="exact"/>
        <w:jc w:val="center"/>
        <w:rPr>
          <w:rFonts w:hAnsi="宋体" w:eastAsia="仿宋_GB2312" w:cs="宋体"/>
          <w:kern w:val="0"/>
          <w:sz w:val="30"/>
          <w:szCs w:val="30"/>
        </w:rPr>
      </w:pPr>
    </w:p>
    <w:p w14:paraId="0891F11D">
      <w:pPr>
        <w:spacing w:line="540" w:lineRule="exact"/>
        <w:jc w:val="center"/>
        <w:rPr>
          <w:rFonts w:hAnsi="宋体" w:eastAsia="仿宋_GB2312" w:cs="宋体"/>
          <w:kern w:val="0"/>
          <w:sz w:val="30"/>
          <w:szCs w:val="30"/>
        </w:rPr>
      </w:pPr>
    </w:p>
    <w:p w14:paraId="184F6E00">
      <w:pPr>
        <w:spacing w:line="540" w:lineRule="exact"/>
        <w:jc w:val="center"/>
        <w:rPr>
          <w:rFonts w:hAnsi="宋体" w:eastAsia="仿宋_GB2312" w:cs="宋体"/>
          <w:kern w:val="0"/>
          <w:sz w:val="30"/>
          <w:szCs w:val="30"/>
        </w:rPr>
      </w:pPr>
    </w:p>
    <w:p w14:paraId="7DA7FE22">
      <w:pPr>
        <w:spacing w:line="540" w:lineRule="exact"/>
        <w:rPr>
          <w:rFonts w:hAnsi="宋体" w:eastAsia="仿宋_GB2312" w:cs="宋体"/>
          <w:kern w:val="0"/>
          <w:sz w:val="30"/>
          <w:szCs w:val="30"/>
        </w:rPr>
      </w:pPr>
    </w:p>
    <w:p w14:paraId="1DA07CAB">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2BF9A97A">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妇女儿童工作经费</w:t>
      </w:r>
    </w:p>
    <w:p w14:paraId="35149C4B">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昌吉回族自治州妇女联合会</w:t>
      </w:r>
    </w:p>
    <w:p w14:paraId="4C192773">
      <w:pPr>
        <w:spacing w:line="540" w:lineRule="exact"/>
        <w:ind w:firstLine="900" w:firstLineChars="250"/>
        <w:rPr>
          <w:rStyle w:val="18"/>
          <w:rFonts w:hint="eastAsia" w:ascii="楷体" w:hAnsi="楷体" w:eastAsia="楷体"/>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昌吉回族自治州妇女联合会</w:t>
      </w:r>
    </w:p>
    <w:p w14:paraId="2339F218">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张玲</w:t>
      </w:r>
    </w:p>
    <w:p w14:paraId="334F0FBD">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2024年03月19日</w:t>
      </w:r>
    </w:p>
    <w:p w14:paraId="67A18A04">
      <w:pPr>
        <w:spacing w:line="700" w:lineRule="exact"/>
        <w:ind w:firstLine="708" w:firstLineChars="236"/>
        <w:jc w:val="left"/>
        <w:rPr>
          <w:rFonts w:hAnsi="宋体" w:eastAsia="仿宋_GB2312" w:cs="宋体"/>
          <w:kern w:val="0"/>
          <w:sz w:val="30"/>
          <w:szCs w:val="30"/>
        </w:rPr>
      </w:pPr>
    </w:p>
    <w:p w14:paraId="517EDD88">
      <w:pPr>
        <w:spacing w:line="540" w:lineRule="exact"/>
        <w:rPr>
          <w:rStyle w:val="18"/>
          <w:rFonts w:ascii="黑体" w:hAnsi="黑体" w:eastAsia="黑体"/>
          <w:b w:val="0"/>
          <w:spacing w:val="-4"/>
          <w:sz w:val="32"/>
          <w:szCs w:val="32"/>
        </w:rPr>
      </w:pPr>
    </w:p>
    <w:p w14:paraId="433B4422">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3E148E16">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41C5646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关于下达昌吉州本级预算单位2022年部门预算的通知》（昌州财行[2022]1号）文件要求。依据《新疆维吾尔自治区妇女发展纲要》（2011－2021年）的第（五）条：各级人民政府将实施纲要所需经费纳入各地本级财政预算，加大经费投入，并随着经济增长同步增加。针对重点、难点问题，设计实施相应重点项目工程，安排专项经费，保证目标如期实现，动员社会力量，多渠道筹措资金，支持儿童事业发展。重点扶持贫困地区妇女儿童事业的发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单位2023年度开展妇女干部素质提升培训200人，建立巾帼创业就业示范基地10个，妇女儿童关心关爱及救助100余人，评选最美家庭50余人，制定2项妇女儿童发展纲要，开展妇女技能培训100余人，评选美丽庭院示范户2000户，开展巾帼志愿服务大赛1场，建立7个家庭教育工作示范点，靓发屋提升管理达到7次，培养妇女支付带头人40余人，建立14个基层妇女之家示范点，开展妇女技能培训班9场，开展爱在新疆主题活动2场，村、社区妇联组织挂牌602个，开展巾帼大宣讲10场，开展妇女创新创业活动1场，建设妇女维权站3个，宣传覆盖率和培训合格率均达到了98.00%，培训均按期完成。提高妇女素质，大幅提升妇女就业率，促进了自治州妇女儿童身心健康发展，提高妇女就业率达到98%以上，培训学院满意度达到90.00%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实施主体：昌吉回族自治州妇女联合会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主要内容为开展妇女干部素质提升培训，建立巾帼创业就业示范基地，妇女儿童关心关爱及救助，评选最美家庭，制定妇女儿童发展纲要，开展妇女技能培训，评选美丽庭院示范户，开展巾帼志愿服务大赛，建立家庭教育工作示范点，靓发屋提升管理，培养妇女支付带头人，建立基层妇女之家示范点，开展妇女技能培训班，开展爱在新疆主题活动，村、社区妇联组织挂牌，开展巾帼大宣讲，开展妇女创新创业活动，建设妇女维权站，提高妇女素质，提升妇女就业率，促进了自治州妇女儿童身心健康发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于2022年1月开始实施，截止2023年12月已全部完成，通过本项目的实施，普及法律维护妇女儿童权益，加强技能培训，助力妇女创业就业。维护妇女儿童合法权益，促进自治州妇女儿童事业健康发展，助力乡村振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妇女联合会(简称昌吉州妇联)是昌吉州党委领导下的全州各族各界妇女的群众团体组织，是党和政府联系妇女群众的桥梁和纽带。主要职责:坚持正确的政治方向，团结、教育、带领全州各族各界妇女以及各类妇女组织同以习近平同志为核心的党中央在思想上、政治上、行动上保持高度一致，维护祖国统一，反对民族分裂主义和非法宗教活动；紧密围绕党和政府的中心工作，团结、动员、组织妇女群众投身改革开放和社会主义精神文明、物质文明建设，积极促进经济发展和社会进步，为维护改革、发展、稳定的大局服务；宣传马克思主义妇女观和男女平等思想，教育、引导妇女群众树立正确的世界观、人生观、价值观，弘扬“自尊、自信、自立、自强”的精神，积极推动和开展对妇女的科技文化及生产劳动技能培训，全面提升妇女素质；代表各族妇女参与区、州和社会事务的民主管理和民主监督；关注并加强研究涉及妇女切身利益的热点问题，及时向自治州党委、人民政府反映社情民意，提出对策建议；参与有关妇女儿童政策和法律、法规草案的拟定；从源头上强化维护妇女儿童合法权益工作，坚持为妇女儿童服务、为基层服务，加强与社会各界的联系，协调推动全社会为妇女儿童办实事、办好事；负责指导各级妇联组织及女创联、志愿服务组织的工作，促进妇女儿童事业的健康发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妇女儿童工作经费项目的实施主体为昌吉回族自治州妇女联合会，该单位纳入2022年部门决算编制范围的有2个科室，分别是：办公室、综合科；下属昌吉州妇女儿童工作保障中心一个科级事业单位。现有在职干部16人，其中县级干部5人，科级干部8人，科级以下干部2人，工勤人员1人。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本项目预算安排总额为145.00万元，资金来源为本级部门预算，其中：财政资金145.00万元，2023年实际收到预算资金145.00万元，预算资金到位率为100.00%。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截至2023年12月31日，本项目实际支付资金141.04万元，结余资金3.96万元，预算执行率97.27%。本项目资金主要用于支付妇女儿童工作项目费用141.04万元。</w:t>
      </w:r>
    </w:p>
    <w:p w14:paraId="08FC27C3">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0CF5026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计划建立“石榴花”家庭教育指导服务中心、家庭教育指导站、石榴籽小课堂17个，举办技能培训示范培训班7个，其他各类培训6个，建立“石榴花”巾帼创业就业基地、家政培训基地19个，州党校十一期妇女干部培训班40人，开展“石榴花”巾帼大宣讲10场，“靓发屋”项目从业人员培训班40人，昌吉州妇联三八妇女节庆祝活动制作短片1个。       实现妇女事业和经济社会同步发展，各级财政加大对妇女儿童发展重点领域投入力度，重点领域投入力度重点支持偏远地区妇女发展，支持特殊困难妇女群体发展，动员社会力量，多渠道筹措资源，共同发展妇女事业。实现儿童事业和经济社会同步发展，重点支持偏远地区儿童发展，支持特殊困难儿童群体发展，动员社会力量，多渠道筹措资源，共同发展儿童事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“建立“石榴花”家庭教育指导服务中心、家庭教育指导站、石榴籽小课堂”指标，预期指标值为“等于17个”；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“举办技能培训示范培训班”指标，预期指标值为“大于等于7期”；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“其他各类培训”指标，预期指标值为“大于等于6场”；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“建立“石榴花”巾帼创业就业基地、家政培训基地”指标，预期指标值为“等于19个”；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“州党校十一期妇女干部培训班”指标，预期指标值为“等于40人”；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“开展“石榴花”巾帼大宣讲”指标，预期指标值为“等于10场”；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““靓发屋”项目从业人员培训班”指标，预期指标值为“等于40人”；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“举办家庭教育骨干培训班”指标，预期指标值为“大于等于40人”；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“昌吉州妇联三八妇女节庆祝活动制作短片”指标，预期指标值为“等于1个”；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“各项工作完成率”指标，预期指标值为“大于等于98%”；</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“培训费”指标，预期指标值为“等于86.40万元”；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“工作经费”指标，预期指标值为“等于58.60万元”；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“全面加强妇女思想政治引领”指标，预期指标值为“加强”；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“促进经济社会高质量发展”指标，预期指标值为“促进”；</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“依法维护妇女儿童合法权益”指标，预期指标值为“保障”；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“妇女对妇联工作满意度”指标，预期指标值为“大于等于90.00%”。</w:t>
      </w:r>
    </w:p>
    <w:p w14:paraId="3CA8C2D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0E62F93D">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4AA7186E">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此次我单位根据《财政支出绩效评价管理暂行办法》（财预〔2020〕10号）文件要求实施评价工作，本次评价对象为妇女儿童工作经费，评价核心为项目资金、项目产出、项目效益。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（5）《政府会计制度》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（6）《昌吉州妇联财务管理制度》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（7）《妇女儿童工作经费项目管理办法》</w:t>
      </w:r>
    </w:p>
    <w:p w14:paraId="69C84BC0">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508312E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42F7CC10">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1A40154F">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张磊（评价小组组长）：主要负责项目策划和监督，全面负责项目绩效评价办稿的最终质量，对评估人员出具的最终报告质量进行复核，确保评估结果的客观性；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刘亚（评价小组组员）：主要负责资料的收集，取证、数据统计分析；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梁媛媛（评价小组组员）：主要负责主要负责项目报告的制定，指标的研判，数据分析及报告撰写。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2024年3月1日-3月8日，评价工作进入实施阶段。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经调研了解，该项目主要受益群体包括妇女和儿童。我们根据绩效评价目标和绩效指标体系，设计满意度调查问卷进行问卷调查，其中妇女受益对象共选取样本34人，共发放问卷34份，最终收回34份。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2024年3月9日-3月15日，评价小组按照绩效评价的原则和规范，对取得的资料进行审查核实，对采集的数据进行分析，按照绩效评价指标评分表逐项进行打分、分析、汇总各方评价结果。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2024年3月16日-3月30日，评价小组撰写绩效评价报告，按照新疆维吾尔自治区财政绩效管理信息系统绩效评价模块中统一格式和文本框架撰写绩效评价报告并提交审核。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729217DD">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D6532D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加强了妇女思想政治引领，促进社会经济高质量发展，依法维护了妇女儿童合法权益。但在实施过程中也存在一些不足：在项目实施事前过程中需要整合各方面因素，加大预算管理制度建设，贯彻落实相关办法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25个，实现三级指标数量24个，总体完成率为96.00%。最终评分结果：总分为99.86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过程管理类指标共设置5个，满分指标4个，得分率99.26%；；</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项目产出类指标共设置12个，满分指标12个，得分率100.00%；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项目效益类指标共设置4个，满分指标4个，得分率100.00%。</w:t>
      </w:r>
    </w:p>
    <w:p w14:paraId="77236631">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56315D15">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0CF54131">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新疆维吾尔自治区妇女联合会颁发的《新疆维吾尔自治区妇女发展纲要》的第（五）条：各级人民政府将实施纲要所需经费纳入各地本级财政预算，加大经费投入，并随着经济增长同步增加。针对重点、难点问题，设计实施相应重点项目工程，安排专项经费，保证目标如期实现，动员社会力量，多渠道筹措资金，支持儿童事业发展。重点扶持贫困地区妇女儿童事业的发展。符合行业发展规划和政策要求；本项目立项符合《昌吉州妇联单位配置内设机构和人员编制规定》中职责范围中的“紧密围绕党和政府的中心任务开展工作，团结、动员、组织妇女群众投身改革开放和社会主义精神文明、物质文明建设、积极促进经济发展和社会进步为维护改革、发展、稳定的大局服务”，属于我单位履职所需；根据《财政资金直接支付申请书》，本项目资金性质为“公共财政预算”功能分类为“群众团体事务”经济分类为“其他群众团体事务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下达昌吉州本级预算单位2023年部门预算的通知》（昌州财行〔2023〕1号）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坚持以习近平新时代中国特色社会主义思想为指导，全面加强妇女思想政治引领，建立“石榴花”家庭教育指导服务中心、家庭教育指导站、石榴籽小课堂17个，举办技能培训示范培训班7期，其他各类培训6场，州党校十一期妇女干部培训班40人次，开展“石榴花”巾帼大宣讲10场，“靓发屋”项目从业人员培训班40人次，举办家庭教育骨干培训班40人次，昌吉州妇联三八妇女节庆祝活动制作短片1个。全面加强妇女思想政治引领，促进经济社会高质量发展，依法维护妇女儿童合法权益。”；本项目实际工作内容为：建立“石榴花”家庭教育指导服务中心、家庭教育指导站、石榴籽小课堂；“靓发屋”项目从业人员培训班40人次，举办家庭教育骨干培训班40人次，昌吉州妇联三八妇女节庆祝活动制作短片1个等共计145万元；绩效目标与实际工作内容一致，两者具有相关性;本项目按照绩效目标完成了数量指标、质量指标、时效指标、成本指标，有效保障了妇女儿童的合法权益，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5个，三级指标16个，定量指标13个，定性指标3个，指标量化率为81.25%，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本项目预算编制通过往年项目执行情况估算得出，即预算编制较科学且经过论证；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预算申请内容为妇女儿童工作经费，项目实际内容为妇女儿童工作经费，预算申请与《妇女儿童工作经费项目实施方案》中涉及的项目内容匹配；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145.00万元，我单位在预算申请中严格按照单位标准和数量进行核算，其中：培训费86.40万元、工作经费58.60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妇女儿童工作经费资金的请示》和《妇女儿童工作经费项目实施方案》为依据进行资金分配，预算资金分配依据充分。根据《关于下达昌吉州本级预算单位2023年部门预算的通知》（昌州财行〔2023〕1号）》文件显示，本项目实际到位资金145.00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66870CDD">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5AF622D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项目过程管理类指标由2个二级指标和5个三级指标构成，权重分19.00分，实际得分18.86分。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145.00万元，其中：本级财政安排资金145.00万元，其他资金0万元，实际到位资金145.00万元，资金到位率等于（实际到位资金/预算资金）×100.00%等于（145/145）*100.00%等于100.00%。得分等于资金到位率*分值等于100.00%*4.00等于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本项目实际支出资金141.04万元，预算执行率等于（实际支出资金/实际到位资金）×100.00%等于（141.04/145.00）*100.00%等于97.27%。得分等于预算执行率*分值等于XX%*5等于4.86分。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综上所述，本指标满分为5.00分，根据评分标准得4.86分，本项目资金分配合理。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妇联单位资金管理办法》《昌吉州妇联妇女儿童工作经费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妇联资金管理办法》《昌吉州妇联收支业务管理制度》《昌吉州妇联政府采购业务管理制度》《昌吉州妇联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妇女儿童工作经费项目工作领导小组，由党组副书记，主席张磊任组长，负责项目的组织工作；刘亚任副组长，负责项目的实施工作；组员包括：梁媛媛，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3FF5023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6999A17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项目产出类指标由4个二级指标和12个三级指标构成，权重分30.00分，实际得分30.00分。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“建立“石榴花”家庭教育指导服务中心、家庭教育指导站、石榴籽小课堂”指标：预期指标值为“等于17个”，实际完成指标值为“17个”，指标完成率为100.00%。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“举办技能培训示范培训班”指标：预期指标值为“大于等于7期”，实际完成指标值为“8期”，指标完成率为100.00%。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“其他各类培训”指标：预期指标值为“大于等于6场”，实际完成指标值为“6场”，指标完成率为100.00%。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“建立“石榴花”家庭教育指导服务中心、家庭教育指导站、石榴籽小课堂”指标：预期指标值为“等于19个”，实际完成指标值为“19个”， 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“州党校十一期妇女干部培训班”指标：预期指标值为“等于40人”，实际完成指标值为“40人”，指标完成率为100.00%。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“开展“石榴花”巾帼大宣讲”指标：预期指标值为“等于10场”，实际完成指标值为“10场”，指标完成率为100.00%。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“靓发屋”项目从业人员培训班”指标：预期指标值为“等于40人”，实际完成指标值为“43人”，指标完成率为100.00%。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“举办家庭教育骨干培训班”指标：预期指标值为“大于等于40人”，实际完成指标值为“40人”，指标完成率为100.0%。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“昌吉州妇联三八妇女节庆祝活动制作短片”指标：预期指标值为“等于1个”，实际完成指标值为“1个”，指标完成率为100.00%。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“各项工作完成率”指标：预期指标值为“大于等于98.00%”，实际完成指标值为“等于100.00%”，指标完成率为100.00%。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综上所述，本指标满分为2.0分，根据评分标准得2.0分。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 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“培训费”指标：预期指标值为“等于86.40万元”，实际完成指标值为“等于86.40万元”，指标完成率为100.00%。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“工作经费”指标：预期指标值为“等于58.60万元”，实际完成指标值为“等于58.60万元”，指标完成率为100.00%。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p>
    <w:p w14:paraId="2C1EDA0E">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2EA6DA11">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项目效益类指标由2个二级指标和4个三级指标构成，权重分30.00分，实际得分30.00分。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“全面加强妇女思想政治引领”指标：预期指标值为“加强”，实际完成指标值为“基本达成目标”，指标完成率为100.00%。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综上所述，本指标满分为7.00分，根据评分标准得7.00分。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“促进经济社会高质量发展”指标：预期指标值为“促进”，实际完成指标值为“基本达成目标”，指标完成率为100.00%。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综上所述，本指标满分为7.00分，根据评分标准得7.00分。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“依法维护妇女儿童合法权益”指标：预期指标值为“保障”，实际完成指标值为“基本达成目标”，指标完成率为100.00%。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“妇女对妇联工作满意度”指标：预期指标值为“大于等于90.00%”，实际完成指标值为“等于100.00%”，指标完成率为100.00%。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6E7F5005">
      <w:pPr>
        <w:spacing w:line="540" w:lineRule="exact"/>
        <w:ind w:firstLine="567"/>
        <w:rPr>
          <w:rStyle w:val="18"/>
          <w:rFonts w:ascii="楷体" w:hAnsi="楷体" w:eastAsia="楷体"/>
          <w:spacing w:val="-4"/>
          <w:sz w:val="32"/>
          <w:szCs w:val="32"/>
        </w:rPr>
      </w:pPr>
    </w:p>
    <w:p w14:paraId="787B0ECF">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3DD60210">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本项目年初预算资金总额为145.00万元，全年预算数为145.00万元，全年执行数为141.04万元，预算执行率为97.27%。</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本项目共设置三级指标数量27个，满分指标数量26个，扣分指标数量1个，经分析计算所有三级指标完成率得出，本项目总体完成率为99.90%。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综上所述本项目预算执行进度与总体完成进度之间的偏差为2.63%。偏差原因：绩效目标年初成本指标设置不严谨，导致举办各类培训活动等，未达到目标值3.96万元。</w:t>
      </w:r>
    </w:p>
    <w:p w14:paraId="20AE595A">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0F1D50D4">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了更好的完成绩效目标任务，州妇联成立了《妇女儿童工作经费绩效目标领导小组》对目标任务的执行和完成率十分的重视，在目标任务进行中严格监控管理，确保重大项目的事前，事中，事后监督管理，将资金同项目实施质量挂钩，提高资金使用的合理性和科学性，提升资金的使用效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1.资金支付及时率有待完善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单位对全面实施绩效管理认识不够，绩效水平不高，单位内部绩效管理工作力量薄弱，多数以财务人员牵头开展绩效管理，业务科室对于资金及时支付不够重视，资金支付时所需要的凭证不能及时索取。</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2.绩效档案归档工作有待提高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spacing w:val="-4"/>
          <w:sz w:val="32"/>
          <w:szCs w:val="32"/>
        </w:rPr>
        <w:cr/>
      </w:r>
    </w:p>
    <w:p w14:paraId="4EB05917">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1E623F0F">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七、有关建议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1.加强培训，提高相关人员工作水平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采取多种培训形式对单位财务人员、业务科室人员进行集中培训，及时索取资金支付凭证附件，如发票、会议纪要等。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2.扎实推进档案规范化建设，提升档案管理水平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 高度重视项目绩效工作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项目绩效领导小组对绩效评价工作进行指导、监督、检查，确保项目绩效评价反映项目完成真实情况。严格执行项目绩效评价工作要求，切实提高项目绩效报告的客观性和公正性</w:t>
      </w:r>
    </w:p>
    <w:p w14:paraId="4267E495">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08B2935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25894CB2">
      <w:pPr>
        <w:spacing w:line="540" w:lineRule="exact"/>
        <w:ind w:firstLine="567"/>
        <w:rPr>
          <w:rStyle w:val="18"/>
          <w:rFonts w:ascii="仿宋" w:hAnsi="仿宋" w:eastAsia="仿宋"/>
          <w:b w:val="0"/>
          <w:spacing w:val="-4"/>
          <w:sz w:val="32"/>
          <w:szCs w:val="32"/>
        </w:rPr>
      </w:pPr>
    </w:p>
    <w:p w14:paraId="7C6113AE">
      <w:pPr>
        <w:spacing w:line="540" w:lineRule="exact"/>
        <w:ind w:firstLine="567"/>
        <w:rPr>
          <w:rStyle w:val="18"/>
          <w:rFonts w:ascii="仿宋" w:hAnsi="仿宋" w:eastAsia="仿宋"/>
          <w:b w:val="0"/>
          <w:spacing w:val="-4"/>
          <w:sz w:val="32"/>
          <w:szCs w:val="32"/>
        </w:rPr>
      </w:pPr>
    </w:p>
    <w:p w14:paraId="56D4878B">
      <w:pPr>
        <w:spacing w:line="540" w:lineRule="exact"/>
        <w:ind w:firstLine="567"/>
        <w:rPr>
          <w:rStyle w:val="18"/>
          <w:rFonts w:ascii="仿宋" w:hAnsi="仿宋" w:eastAsia="仿宋"/>
          <w:b w:val="0"/>
          <w:spacing w:val="-4"/>
          <w:sz w:val="32"/>
          <w:szCs w:val="32"/>
        </w:rPr>
      </w:pPr>
    </w:p>
    <w:p w14:paraId="71C8E5A6">
      <w:pPr>
        <w:spacing w:line="540" w:lineRule="exact"/>
        <w:ind w:firstLine="567"/>
        <w:rPr>
          <w:rStyle w:val="18"/>
          <w:rFonts w:ascii="仿宋" w:hAnsi="仿宋" w:eastAsia="仿宋"/>
          <w:b w:val="0"/>
          <w:spacing w:val="-4"/>
          <w:sz w:val="32"/>
          <w:szCs w:val="32"/>
        </w:rPr>
      </w:pPr>
    </w:p>
    <w:p w14:paraId="33A6A6B5">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5BFADF74">
        <w:pPr>
          <w:pStyle w:val="12"/>
          <w:jc w:val="center"/>
        </w:pPr>
        <w:r>
          <w:fldChar w:fldCharType="begin"/>
        </w:r>
        <w:r>
          <w:instrText xml:space="preserve">PAGE   \* MERGEFORMAT</w:instrText>
        </w:r>
        <w:r>
          <w:fldChar w:fldCharType="separate"/>
        </w:r>
        <w:r>
          <w:rPr>
            <w:lang w:val="zh-CN"/>
          </w:rPr>
          <w:t>2</w:t>
        </w:r>
        <w:r>
          <w:fldChar w:fldCharType="end"/>
        </w:r>
      </w:p>
    </w:sdtContent>
  </w:sdt>
  <w:p w14:paraId="7BF5F8FE">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MDljNzdkYWI0YjIwODI5ZDI5ODRiMGU4ZTgzNzY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19F825EF"/>
    <w:rsid w:val="3029612C"/>
    <w:rsid w:val="32A221C5"/>
    <w:rsid w:val="33F20F2A"/>
    <w:rsid w:val="34C44675"/>
    <w:rsid w:val="3B5B5607"/>
    <w:rsid w:val="3CE21B3C"/>
    <w:rsid w:val="3FAF42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11266</Words>
  <Characters>12103</Characters>
  <Lines>4</Lines>
  <Paragraphs>1</Paragraphs>
  <TotalTime>2</TotalTime>
  <ScaleCrop>false</ScaleCrop>
  <LinksUpToDate>false</LinksUpToDate>
  <CharactersWithSpaces>12132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2025-05-23T11:00:06Z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