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4EC2F6">
      <w:pPr>
        <w:spacing w:line="540" w:lineRule="exact"/>
        <w:jc w:val="left"/>
        <w:rPr>
          <w:rFonts w:ascii="仿宋" w:hAnsi="仿宋" w:eastAsia="仿宋" w:cs="宋体"/>
          <w:kern w:val="0"/>
          <w:sz w:val="32"/>
          <w:szCs w:val="32"/>
        </w:rPr>
      </w:pPr>
      <w:r>
        <w:rPr>
          <w:rFonts w:hint="eastAsia" w:ascii="仿宋" w:hAnsi="仿宋" w:eastAsia="仿宋" w:cs="宋体"/>
          <w:kern w:val="0"/>
          <w:sz w:val="32"/>
          <w:szCs w:val="32"/>
        </w:rPr>
        <w:t>附件2：</w:t>
      </w:r>
    </w:p>
    <w:p w14:paraId="7C0D2020">
      <w:pPr>
        <w:spacing w:line="540" w:lineRule="exact"/>
        <w:jc w:val="center"/>
        <w:rPr>
          <w:rFonts w:ascii="华文中宋" w:hAnsi="华文中宋" w:eastAsia="华文中宋" w:cs="宋体"/>
          <w:b/>
          <w:kern w:val="0"/>
          <w:sz w:val="52"/>
          <w:szCs w:val="52"/>
        </w:rPr>
      </w:pPr>
    </w:p>
    <w:p w14:paraId="00FD5842">
      <w:pPr>
        <w:spacing w:line="540" w:lineRule="exact"/>
        <w:jc w:val="center"/>
        <w:rPr>
          <w:rFonts w:ascii="华文中宋" w:hAnsi="华文中宋" w:eastAsia="华文中宋" w:cs="宋体"/>
          <w:b/>
          <w:kern w:val="0"/>
          <w:sz w:val="52"/>
          <w:szCs w:val="52"/>
        </w:rPr>
      </w:pPr>
    </w:p>
    <w:p w14:paraId="5604A562">
      <w:pPr>
        <w:spacing w:line="540" w:lineRule="exact"/>
        <w:jc w:val="center"/>
        <w:rPr>
          <w:rFonts w:ascii="华文中宋" w:hAnsi="华文中宋" w:eastAsia="华文中宋" w:cs="宋体"/>
          <w:b/>
          <w:kern w:val="0"/>
          <w:sz w:val="52"/>
          <w:szCs w:val="52"/>
        </w:rPr>
      </w:pPr>
    </w:p>
    <w:p w14:paraId="15ACB536">
      <w:pPr>
        <w:spacing w:line="540" w:lineRule="exact"/>
        <w:jc w:val="center"/>
        <w:rPr>
          <w:rFonts w:ascii="华文中宋" w:hAnsi="华文中宋" w:eastAsia="华文中宋" w:cs="宋体"/>
          <w:b/>
          <w:kern w:val="0"/>
          <w:sz w:val="52"/>
          <w:szCs w:val="52"/>
        </w:rPr>
      </w:pPr>
    </w:p>
    <w:p w14:paraId="4D5429C1">
      <w:pPr>
        <w:spacing w:line="540" w:lineRule="exact"/>
        <w:jc w:val="center"/>
        <w:rPr>
          <w:rFonts w:ascii="华文中宋" w:hAnsi="华文中宋" w:eastAsia="华文中宋" w:cs="宋体"/>
          <w:b/>
          <w:kern w:val="0"/>
          <w:sz w:val="52"/>
          <w:szCs w:val="52"/>
        </w:rPr>
      </w:pPr>
    </w:p>
    <w:p w14:paraId="625E9D19">
      <w:pPr>
        <w:spacing w:line="540" w:lineRule="exact"/>
        <w:jc w:val="center"/>
        <w:rPr>
          <w:rFonts w:ascii="华文中宋" w:hAnsi="华文中宋" w:eastAsia="华文中宋" w:cs="宋体"/>
          <w:b/>
          <w:kern w:val="0"/>
          <w:sz w:val="52"/>
          <w:szCs w:val="52"/>
        </w:rPr>
      </w:pPr>
    </w:p>
    <w:p w14:paraId="5BAC8FA9">
      <w:pPr>
        <w:spacing w:line="540" w:lineRule="exact"/>
        <w:jc w:val="center"/>
        <w:rPr>
          <w:rFonts w:ascii="方正小标宋_GBK" w:hAnsi="华文中宋" w:eastAsia="方正小标宋_GBK" w:cs="宋体"/>
          <w:b/>
          <w:kern w:val="0"/>
          <w:sz w:val="48"/>
          <w:szCs w:val="48"/>
        </w:rPr>
      </w:pPr>
      <w:r>
        <w:rPr>
          <w:rFonts w:hint="eastAsia" w:ascii="方正小标宋_GBK" w:hAnsi="华文中宋" w:eastAsia="方正小标宋_GBK" w:cs="宋体"/>
          <w:b/>
          <w:kern w:val="0"/>
          <w:sz w:val="48"/>
          <w:szCs w:val="48"/>
        </w:rPr>
        <w:t>项目支出绩效自评报告</w:t>
      </w:r>
    </w:p>
    <w:p w14:paraId="27C9E4DB">
      <w:pPr>
        <w:spacing w:line="540" w:lineRule="exact"/>
        <w:jc w:val="center"/>
        <w:rPr>
          <w:rFonts w:ascii="华文中宋" w:hAnsi="华文中宋" w:eastAsia="华文中宋" w:cs="宋体"/>
          <w:b/>
          <w:kern w:val="0"/>
          <w:sz w:val="52"/>
          <w:szCs w:val="52"/>
        </w:rPr>
      </w:pPr>
    </w:p>
    <w:p w14:paraId="1624CCBD">
      <w:pPr>
        <w:spacing w:line="540" w:lineRule="exact"/>
        <w:jc w:val="center"/>
        <w:rPr>
          <w:rFonts w:hAnsi="宋体" w:eastAsia="仿宋_GB2312" w:cs="宋体"/>
          <w:kern w:val="0"/>
          <w:sz w:val="36"/>
          <w:szCs w:val="36"/>
        </w:rPr>
      </w:pPr>
      <w:r>
        <w:rPr>
          <w:rFonts w:hint="eastAsia" w:hAnsi="宋体" w:eastAsia="仿宋_GB2312" w:cs="宋体"/>
          <w:kern w:val="0"/>
          <w:sz w:val="36"/>
          <w:szCs w:val="36"/>
        </w:rPr>
        <w:t xml:space="preserve">（   </w:t>
      </w:r>
      <w:r>
        <w:rPr>
          <w:rStyle w:val="18"/>
          <w:rFonts w:hint="eastAsia" w:ascii="楷体" w:hAnsi="楷体" w:eastAsia="楷体"/>
          <w:spacing w:val="-4"/>
          <w:sz w:val="32"/>
          <w:szCs w:val="32"/>
        </w:rPr>
        <w:t>2023</w:t>
      </w:r>
      <w:r>
        <w:rPr>
          <w:rFonts w:hint="eastAsia" w:hAnsi="宋体" w:eastAsia="仿宋_GB2312" w:cs="宋体"/>
          <w:kern w:val="0"/>
          <w:sz w:val="36"/>
          <w:szCs w:val="36"/>
        </w:rPr>
        <w:t xml:space="preserve">  年度）</w:t>
      </w:r>
    </w:p>
    <w:p w14:paraId="4AC5CD66">
      <w:pPr>
        <w:spacing w:line="540" w:lineRule="exact"/>
        <w:jc w:val="center"/>
        <w:rPr>
          <w:rFonts w:hAnsi="宋体" w:eastAsia="仿宋_GB2312" w:cs="宋体"/>
          <w:kern w:val="0"/>
          <w:sz w:val="30"/>
          <w:szCs w:val="30"/>
        </w:rPr>
      </w:pPr>
    </w:p>
    <w:p w14:paraId="4FF6A249">
      <w:pPr>
        <w:spacing w:line="540" w:lineRule="exact"/>
        <w:jc w:val="center"/>
        <w:rPr>
          <w:rFonts w:hAnsi="宋体" w:eastAsia="仿宋_GB2312" w:cs="宋体"/>
          <w:kern w:val="0"/>
          <w:sz w:val="30"/>
          <w:szCs w:val="30"/>
        </w:rPr>
      </w:pPr>
    </w:p>
    <w:p w14:paraId="66E4E7A0">
      <w:pPr>
        <w:spacing w:line="540" w:lineRule="exact"/>
        <w:jc w:val="center"/>
        <w:rPr>
          <w:rFonts w:hAnsi="宋体" w:eastAsia="仿宋_GB2312" w:cs="宋体"/>
          <w:kern w:val="0"/>
          <w:sz w:val="30"/>
          <w:szCs w:val="30"/>
        </w:rPr>
      </w:pPr>
    </w:p>
    <w:p w14:paraId="27B732BA">
      <w:pPr>
        <w:spacing w:line="540" w:lineRule="exact"/>
        <w:jc w:val="center"/>
        <w:rPr>
          <w:rFonts w:hAnsi="宋体" w:eastAsia="仿宋_GB2312" w:cs="宋体"/>
          <w:kern w:val="0"/>
          <w:sz w:val="30"/>
          <w:szCs w:val="30"/>
        </w:rPr>
      </w:pPr>
    </w:p>
    <w:p w14:paraId="0035B3A3">
      <w:pPr>
        <w:spacing w:line="540" w:lineRule="exact"/>
        <w:jc w:val="center"/>
        <w:rPr>
          <w:rFonts w:hAnsi="宋体" w:eastAsia="仿宋_GB2312" w:cs="宋体"/>
          <w:kern w:val="0"/>
          <w:sz w:val="30"/>
          <w:szCs w:val="30"/>
        </w:rPr>
      </w:pPr>
    </w:p>
    <w:p w14:paraId="05BCE0F0">
      <w:pPr>
        <w:spacing w:line="540" w:lineRule="exact"/>
        <w:jc w:val="center"/>
        <w:rPr>
          <w:rFonts w:hAnsi="宋体" w:eastAsia="仿宋_GB2312" w:cs="宋体"/>
          <w:kern w:val="0"/>
          <w:sz w:val="30"/>
          <w:szCs w:val="30"/>
        </w:rPr>
      </w:pPr>
    </w:p>
    <w:p w14:paraId="02D1E35B">
      <w:pPr>
        <w:spacing w:line="540" w:lineRule="exact"/>
        <w:rPr>
          <w:rFonts w:hAnsi="宋体" w:eastAsia="仿宋_GB2312" w:cs="宋体"/>
          <w:kern w:val="0"/>
          <w:sz w:val="30"/>
          <w:szCs w:val="30"/>
        </w:rPr>
      </w:pPr>
    </w:p>
    <w:p w14:paraId="5C12F92F">
      <w:pPr>
        <w:spacing w:line="700" w:lineRule="exact"/>
        <w:jc w:val="left"/>
        <w:rPr>
          <w:rFonts w:hAnsi="宋体" w:eastAsia="仿宋_GB2312" w:cs="宋体"/>
          <w:kern w:val="0"/>
          <w:sz w:val="36"/>
          <w:szCs w:val="36"/>
        </w:rPr>
      </w:pPr>
      <w:r>
        <w:rPr>
          <w:rFonts w:hint="eastAsia" w:hAnsi="宋体" w:eastAsia="仿宋_GB2312" w:cs="宋体"/>
          <w:kern w:val="0"/>
          <w:sz w:val="36"/>
          <w:szCs w:val="36"/>
        </w:rPr>
        <w:t xml:space="preserve">     </w:t>
      </w:r>
    </w:p>
    <w:p w14:paraId="7F21E6B4">
      <w:pPr>
        <w:spacing w:line="700" w:lineRule="exact"/>
        <w:ind w:firstLine="900" w:firstLineChars="250"/>
        <w:jc w:val="left"/>
        <w:rPr>
          <w:rFonts w:hAnsi="宋体" w:eastAsia="仿宋_GB2312" w:cs="宋体"/>
          <w:kern w:val="0"/>
          <w:sz w:val="36"/>
          <w:szCs w:val="36"/>
        </w:rPr>
      </w:pPr>
      <w:r>
        <w:rPr>
          <w:rFonts w:hint="eastAsia" w:hAnsi="宋体" w:eastAsia="仿宋_GB2312" w:cs="宋体"/>
          <w:kern w:val="0"/>
          <w:sz w:val="36"/>
          <w:szCs w:val="36"/>
        </w:rPr>
        <w:t>项目名称：</w:t>
      </w:r>
      <w:r>
        <w:rPr>
          <w:rStyle w:val="18"/>
          <w:rFonts w:hint="eastAsia" w:ascii="楷体" w:hAnsi="楷体" w:eastAsia="楷体"/>
          <w:spacing w:val="-4"/>
          <w:sz w:val="32"/>
          <w:szCs w:val="32"/>
        </w:rPr>
        <w:t>州法学会业务经费</w:t>
      </w:r>
    </w:p>
    <w:p w14:paraId="0E7909AA">
      <w:pPr>
        <w:spacing w:line="540" w:lineRule="exact"/>
        <w:ind w:firstLine="567"/>
        <w:rPr>
          <w:rFonts w:ascii="楷体" w:hAnsi="楷体" w:eastAsia="楷体"/>
          <w:b/>
          <w:bCs/>
          <w:spacing w:val="-4"/>
          <w:sz w:val="32"/>
          <w:szCs w:val="32"/>
        </w:rPr>
      </w:pPr>
      <w:r>
        <w:rPr>
          <w:rFonts w:hint="eastAsia" w:hAnsi="宋体" w:eastAsia="仿宋_GB2312" w:cs="宋体"/>
          <w:kern w:val="0"/>
          <w:sz w:val="36"/>
          <w:szCs w:val="36"/>
        </w:rPr>
        <w:t xml:space="preserve">  实施单位（公章）：</w:t>
      </w:r>
      <w:r>
        <w:rPr>
          <w:rStyle w:val="18"/>
          <w:rFonts w:hint="eastAsia" w:ascii="楷体" w:hAnsi="楷体" w:eastAsia="楷体"/>
          <w:spacing w:val="-4"/>
          <w:sz w:val="28"/>
          <w:szCs w:val="28"/>
        </w:rPr>
        <w:t>昌吉回族自治州法学会</w:t>
      </w:r>
    </w:p>
    <w:p w14:paraId="6D3182B7">
      <w:pPr>
        <w:spacing w:line="540" w:lineRule="exact"/>
        <w:ind w:firstLine="900" w:firstLineChars="250"/>
        <w:rPr>
          <w:rFonts w:ascii="楷体" w:hAnsi="楷体" w:eastAsia="楷体"/>
          <w:b/>
          <w:bCs/>
          <w:spacing w:val="-4"/>
          <w:sz w:val="28"/>
          <w:szCs w:val="28"/>
        </w:rPr>
      </w:pPr>
      <w:r>
        <w:rPr>
          <w:rFonts w:hint="eastAsia" w:hAnsi="宋体" w:eastAsia="仿宋_GB2312" w:cs="宋体"/>
          <w:kern w:val="0"/>
          <w:sz w:val="36"/>
          <w:szCs w:val="36"/>
        </w:rPr>
        <w:t>主管部门（公章）：</w:t>
      </w:r>
      <w:r>
        <w:rPr>
          <w:rStyle w:val="18"/>
          <w:rFonts w:hint="eastAsia" w:ascii="楷体" w:hAnsi="楷体" w:eastAsia="楷体"/>
          <w:spacing w:val="-4"/>
          <w:sz w:val="28"/>
          <w:szCs w:val="28"/>
        </w:rPr>
        <w:t>昌吉回族自治州法学会</w:t>
      </w:r>
    </w:p>
    <w:p w14:paraId="0CC9236B">
      <w:pPr>
        <w:spacing w:line="540" w:lineRule="exact"/>
        <w:ind w:firstLine="900" w:firstLineChars="250"/>
        <w:rPr>
          <w:rFonts w:ascii="楷体" w:hAnsi="楷体" w:eastAsia="楷体"/>
          <w:b/>
          <w:bCs/>
          <w:spacing w:val="-4"/>
          <w:sz w:val="32"/>
          <w:szCs w:val="32"/>
        </w:rPr>
      </w:pPr>
      <w:r>
        <w:rPr>
          <w:rFonts w:hint="eastAsia" w:hAnsi="宋体" w:eastAsia="仿宋_GB2312" w:cs="宋体"/>
          <w:kern w:val="0"/>
          <w:sz w:val="36"/>
          <w:szCs w:val="36"/>
        </w:rPr>
        <w:t>项目负责人（签章）：</w:t>
      </w:r>
      <w:r>
        <w:rPr>
          <w:rStyle w:val="18"/>
          <w:rFonts w:hint="eastAsia" w:ascii="楷体" w:hAnsi="楷体" w:eastAsia="楷体"/>
          <w:spacing w:val="-4"/>
          <w:sz w:val="32"/>
          <w:szCs w:val="32"/>
        </w:rPr>
        <w:t>张宁</w:t>
      </w:r>
    </w:p>
    <w:p w14:paraId="2805A2FE">
      <w:pPr>
        <w:spacing w:line="540" w:lineRule="exact"/>
        <w:ind w:left="273" w:firstLine="567"/>
        <w:rPr>
          <w:rStyle w:val="18"/>
          <w:rFonts w:ascii="楷体" w:hAnsi="楷体" w:eastAsia="楷体"/>
          <w:spacing w:val="-4"/>
          <w:sz w:val="32"/>
          <w:szCs w:val="32"/>
        </w:rPr>
      </w:pPr>
      <w:r>
        <w:rPr>
          <w:rFonts w:hint="eastAsia" w:hAnsi="宋体" w:eastAsia="仿宋_GB2312" w:cs="宋体"/>
          <w:kern w:val="0"/>
          <w:sz w:val="36"/>
          <w:szCs w:val="36"/>
        </w:rPr>
        <w:t>填报时间：</w:t>
      </w:r>
      <w:r>
        <w:rPr>
          <w:rStyle w:val="18"/>
          <w:rFonts w:hint="eastAsia" w:ascii="楷体" w:hAnsi="楷体" w:eastAsia="楷体"/>
          <w:spacing w:val="-4"/>
          <w:sz w:val="32"/>
          <w:szCs w:val="32"/>
        </w:rPr>
        <w:t>2024年04月07日</w:t>
      </w:r>
    </w:p>
    <w:p w14:paraId="513AFB96">
      <w:pPr>
        <w:spacing w:line="700" w:lineRule="exact"/>
        <w:ind w:firstLine="708" w:firstLineChars="236"/>
        <w:jc w:val="left"/>
        <w:rPr>
          <w:rFonts w:hAnsi="宋体" w:eastAsia="仿宋_GB2312" w:cs="宋体"/>
          <w:kern w:val="0"/>
          <w:sz w:val="30"/>
          <w:szCs w:val="30"/>
        </w:rPr>
      </w:pPr>
    </w:p>
    <w:p w14:paraId="2C9B3365">
      <w:pPr>
        <w:spacing w:line="540" w:lineRule="exact"/>
        <w:rPr>
          <w:rStyle w:val="18"/>
          <w:rFonts w:ascii="黑体" w:hAnsi="黑体" w:eastAsia="黑体"/>
          <w:b w:val="0"/>
          <w:spacing w:val="-4"/>
          <w:sz w:val="32"/>
          <w:szCs w:val="32"/>
        </w:rPr>
      </w:pPr>
    </w:p>
    <w:p w14:paraId="6FF97E29">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一、基本情况</w:t>
      </w:r>
    </w:p>
    <w:p w14:paraId="58346D7F">
      <w:pPr>
        <w:spacing w:line="540" w:lineRule="exact"/>
        <w:ind w:firstLine="567"/>
        <w:rPr>
          <w:rStyle w:val="18"/>
          <w:rFonts w:hint="default" w:ascii="楷体" w:hAnsi="楷体" w:eastAsia="楷体"/>
          <w:spacing w:val="-4"/>
          <w:sz w:val="32"/>
          <w:szCs w:val="32"/>
          <w:lang w:val="en-US" w:eastAsia="zh-CN"/>
        </w:rPr>
      </w:pPr>
      <w:r>
        <w:rPr>
          <w:rStyle w:val="18"/>
          <w:rFonts w:hint="eastAsia" w:ascii="楷体" w:hAnsi="楷体" w:eastAsia="楷体"/>
          <w:spacing w:val="-4"/>
          <w:sz w:val="32"/>
          <w:szCs w:val="32"/>
        </w:rPr>
        <w:t>（一）项目概况</w:t>
      </w:r>
      <w:r>
        <w:rPr>
          <w:rStyle w:val="18"/>
          <w:rFonts w:hint="eastAsia" w:ascii="楷体" w:hAnsi="楷体" w:eastAsia="楷体"/>
          <w:spacing w:val="-4"/>
          <w:sz w:val="32"/>
          <w:szCs w:val="32"/>
          <w:lang w:eastAsia="zh-CN"/>
        </w:rPr>
        <w:t>。</w:t>
      </w:r>
    </w:p>
    <w:p w14:paraId="773AAB37">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1.项目背景</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2023年，昌吉州法学会以党的二十大精神为指引，全面贯彻习近平新时代中国特色社会主义思想，深入贯彻落实习近平法治思想和总体国家安全观，贯彻落实习近平总书记对法学会工作的系列重要指示精神，贯彻落实中共中央办公厅印发《关于进一步加强法学会建设的意见》，深刻领悟“两个确立”的决定性意义，增强“四个意识”、坚定“四个自信”、做到“两个维护”，不断提高政治判断力、政治领悟力、政治执行力，切实做好加强政治引领、繁荣法学研究、服务法治实践、拓展对外交流、培养法治人才、加强自身建设等工作，根据昌州财行〔2023〕1号文件要求，有效发挥桥梁纽带作用和全面深化依法治州“智囊团”“思想库”“人才库”作用，为建设中国式现代化新疆实践典范地州贡献法治力量。</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2.主要内容</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（1）项目名称：州法学会业务经费</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主要内容：昌吉州法学会紧紧围绕坚持和完善中国特色社会主义法治体系，大力弘扬社会主义法治精神，着力推进社会主义法治文化建设和法治乡村建设，积极组织引领广大法学法律工作者和学术委员会专家，利用学“双百”报告会、青年普法志愿者法治文化基层行等多种形式，及时向县市法学会负责人、法学理论骨干和广大法学法律工作者传达中央精神和自治区、自治州党委工作要求，促进了广大法学法律工作者政治意识不断强化、政治立场更加坚定、政治觉悟不断提高，贯彻落实党中央决策部署和自治区、自治州党委工作要求更加自觉坚定。</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3.实施情况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实施主体：昌吉回族自治州法学会</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实施时间：本项目实施周期为：2023年1月-2023年12月。</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情况：本项目自2023年1月1日开始实施截止到2023年12月31日完成。年初通过委务会并提交昌吉州财政局将此项目经费纳入预算，并得到财政文件批复（昌州财经【2023】1号），年初制定本项目工作计划为：举办昌吉州青年普法志愿者法治文化基层行活动、组织开展全州法学会会员培训班、推进县市首席法律咨询专家制度试点、建设基层法学会试点工作站。截止12月31日已完成全部年初制定的目标。项目年初通过本项目的实施，将本年度财政预算投入至全州法学研讨、法治宣传和法律服务等职责中，属政府采购范围内的均按照政府采购规定办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4.项目实施主体</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（1）主要职能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负责自治州法学会的日常工作，做好召开会员代表大会、理事会、常务理事会、会长办公会议的会务工作；参与指导法学会各学科研究会的换届选举工作；制定并组织实施法学会年度工作计划，组织、推动各种形式的法学研究和学术交流活动；协调法学会各专业研究会开展活动；组织会员参与自治州立法总体规划的研究和单行条例及各类规范性文件的起草、修改、咨询、论证工作；组织法学工作者、法律工作者开展调查研究，加强信息交流和传播。制定并组织实施对外法学交流计划，组织开展同国内省市区间的法学学术交流与合作。组织评选自治州优秀法学人才和优秀法学成果活动。负责会员的发展、管理、联系和服务工作；指导、协调团体会员工作；反映会员和法学界、法律界的意见与要求，维护会员的合法权益。组织会员向社会提供法律服务，开展法制宣传和法律培训，主办法制、法学刊物，编辑法学资料及完成上级交办的其他工作任务。</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（2）机构设置情况：昌吉回族自治州法学会无下属预算单位，下设1个处室，分别是：综合管理科。</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昌吉回族自治州法学会编制数3，实有人数1人，其中：在职1人。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 资金投入和使用情况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（1）项目资金安排落实、总投入情况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本项目预算安排资金总额20.00万元，资金来源为：本级财政拨款，其中：财政资金20.00万元，其他资金：0.00万元，2023年实际收到预算资金20.00万元，预算资金到位率为100.00％。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（2）项目资金实际使用情况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截至2023年12月31日，本项目实际支付资金17.43万元，预算执行率87.15%。项目资金主要用于支付宣传经费11.87万元、业务经费5.56万元，因工作计划方案变化，故有结余资金2.57万。</w:t>
      </w:r>
    </w:p>
    <w:p w14:paraId="66219285">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（二）项目绩效目标</w:t>
      </w:r>
    </w:p>
    <w:p w14:paraId="682BF8D0">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1.总体目标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2023年，昌吉州法学会紧紧围绕法学核心重点工作，组织开展法治宣传和理论研讨，充分发挥法学法律工作者“智库”“智囊团”作用、全面推进县市法学会建设、创新法治宣传和法律服务方式、改进会员工作，履行好思想政治引领、法学研究、法治宣传和法律服务等各项职责，为加快推进法治昌吉建设、为建设更高水平的平安昌吉作出贡献。举办昌吉州青年普法志愿者法治文化基层行活动１次，组织开展全州法学会会员培训班１期，建设基层法学会试点工作站１个，推进县市首席法律咨询专家制度试点１个，提高法学研究成果在基层实践运用的效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2.阶段性目标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中华人民共和国预算法》、《中共中央国务院关于全面实施预算绩效管理的意见》（中发〔2018〕34号）、《关于印发&lt;项目支出绩效评价管理办法&gt;的通知》（财预〔2020〕10号）等文件要求，结合本项目实际，对绩效目标进行逐层分解、细化后的具体绩效指标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（1）项目产出目标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①数量指标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“举办昌吉州青年普法志愿者法治文化基层行活动”指标，预期指标值为“1次”。</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“组织开展全州法学会会员培训班”指标，预期指标值为“1期”。</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“建设基层法学会试点工作站”指标，预期指标值为“1个”。</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“推进县市首席法律咨询专家制度试点”指标，预期指标值为“1个”。</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“对全州各县市指导调研检查覆盖率”指标，预期指标值为“等于100.00％”。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③时效指标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“宣传经费”，该指标预期指标值为小于等于14.00万元；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“业务经费”，该指标预期指标值为小于等于6.00万元。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③生态环境指标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（3）项目效益目标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“法学研究成果在基层实践运用的效果”，该指标预期指标值为“提高”。</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（4）项目满意度指标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p>
    <w:p w14:paraId="536129B4">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二、绩效评价工作开展情况</w:t>
      </w:r>
    </w:p>
    <w:p w14:paraId="3BA4D20C">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（一）绩效评价目的、对象和范围</w:t>
      </w:r>
    </w:p>
    <w:p w14:paraId="1C5D2382">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1.绩效评价的目的</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遵循财政部《关于印发&lt;项目支出绩效评价管理办法&gt;的通知》（财预〔2020〕10号）以及自治区财政厅《自治区财政支出绩效评价管理暂行办法》（新财预〔2018〕189号）等文件规定，旨在评价财政项目实施前期、过程及效果，评价财政预算资金使用的效率及效益。通过绩效评价，全面了解该项目预算编制合理性、资金使用合规性、项目管理规范性、绩效目标实现情况以及服务对象的满意度等，及时总结经验和教训，为下年度部门项目支出预算安排、完善政策和改进管理提供可行性参考建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2.绩效评价的对象</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此次我单位根据《财政支出绩效评价管理暂行办法》（财预【2020】10号）文件要求实施评价工作，本次评价对象为州法学会业务经费项目，评价核心为项目资金、项目产生、项目效益。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3.绩效评价范围</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主要围绕项目资金使用情况和财务管理状况；资产配置、使用、处置及其收益管理情况；项目管理相关制度及措施是否被认真执行；绩效目标的实现程度（包括是否达到预定产出和效益）等方面进行综合绩效评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4.绩效评价依据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w:t>
      </w:r>
      <w:r>
        <w:rPr>
          <w:rStyle w:val="18"/>
          <w:rFonts w:hint="eastAsia" w:ascii="楷体" w:hAnsi="楷体" w:eastAsia="楷体"/>
          <w:b w:val="0"/>
          <w:bCs w:val="0"/>
          <w:spacing w:val="-4"/>
          <w:sz w:val="32"/>
          <w:szCs w:val="32"/>
        </w:rPr>
        <w:tab/>
        <w:t>《中华人民共和国预算法》；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w:t>
      </w:r>
      <w:r>
        <w:rPr>
          <w:rStyle w:val="18"/>
          <w:rFonts w:hint="eastAsia" w:ascii="楷体" w:hAnsi="楷体" w:eastAsia="楷体"/>
          <w:b w:val="0"/>
          <w:bCs w:val="0"/>
          <w:spacing w:val="-4"/>
          <w:sz w:val="32"/>
          <w:szCs w:val="32"/>
        </w:rPr>
        <w:tab/>
        <w:t>《中共中央国务院关于全面实施预算绩效管理的意见》（中发〔2018〕34号）；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w:t>
      </w:r>
      <w:r>
        <w:rPr>
          <w:rStyle w:val="18"/>
          <w:rFonts w:hint="eastAsia" w:ascii="楷体" w:hAnsi="楷体" w:eastAsia="楷体"/>
          <w:b w:val="0"/>
          <w:bCs w:val="0"/>
          <w:spacing w:val="-4"/>
          <w:sz w:val="32"/>
          <w:szCs w:val="32"/>
        </w:rPr>
        <w:tab/>
        <w:t>《项目支出绩效评价管理办法》（财预〔2020〕10号）；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w:t>
      </w:r>
      <w:r>
        <w:rPr>
          <w:rStyle w:val="18"/>
          <w:rFonts w:hint="eastAsia" w:ascii="楷体" w:hAnsi="楷体" w:eastAsia="楷体"/>
          <w:b w:val="0"/>
          <w:bCs w:val="0"/>
          <w:spacing w:val="-4"/>
          <w:sz w:val="32"/>
          <w:szCs w:val="32"/>
        </w:rPr>
        <w:tab/>
        <w:t>《自治区财政支出绩效评价管理暂行办法》（新财预〔2018〕189号）；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项目其他相关资料。</w:t>
      </w:r>
    </w:p>
    <w:p w14:paraId="3139F2C8">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（二）绩效评价原则、评价指标体系、评价方法、评价标准</w:t>
      </w:r>
    </w:p>
    <w:p w14:paraId="22A095E8">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1.绩效评价原则</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依据《中华人民共和国预算法》、《关于印发&lt;项目支出绩效评价管理办法&gt;的通知》（财预〔2020〕10号）等法规和政策文件要求，本次绩效评价秉承科学规范、公正公开、分级分类、绩效相关等原则，按照从投入、过程到产出效果和影响的绩效逻辑路径，结合州法学会业务经费项目实际开展情况，运用定量和定性分析相结合的方法，总结经验做法，反思项目实施和管理中的问题，以切实提升财政资金管理的科学化、规范化和精细化水平。</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根据以上原则，绩效评价遵循如下具体要求：</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（1）在数据采集时，采取客观数据主管部门审查、社会中介组织复查与问卷调查相结合的形式，以保证各项指标的真实性。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（2）保证评价结果的真实性、公正性，提高评价报告的公信力。</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（3）绩效评价报告简明扼要，除对绩效评价的过程、结果描述外，还总结经验、指出问题，并就共性问题提出可操作性改进建议。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2.绩效评价指标体系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通过实施资料研读及前期调研，结合项目的实际开展情况，按照《项目支出绩效评价管理办法》（财预〔2020〕10号）文件要求，全面反映项目决策、项目和资金管理、产出和效益，优先选取最具代表性、最能直接反映产出和效益的核心指标，精简实用，绩效评价小组结合项目的实际情况，综合考虑相关性、重要性、可衡量性、可操作性和可实现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按照逻辑分析法设计本次绩效评价指标体系，绩效评价指标体系，绩效评价指标的权重设计突出结果导向，设置指标体系结构如下：设置一级指标共4个，包括：决策指标（21.0%）、过程指标（19.0%）、产出指标（30.0%）、效益指标（30.0%）四类指标；二级和三级指标根据各项指标在评价体系中的重要程度确定，考虑项目实施管理对项目绩效的影响等因素赋予相应的权重分值。绩效评价小组围绕项目总体绩效目标，将梳理后的年度绩效目标细化分解为个性化产出和效益指标，与共性指标共同构成该项目绩效评价指标体系详见“附件1：项目支出绩效评价绩效评价体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3.评价方法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正确的评价方法是评价工作顺利开展的保障，在结合实际经验的情况下，绩效评价小组根据该项目资金的性质和特点，选用比较法、公众评判法以及文献法对项目进行评价，旨在通过综合分析影响绩效目标实现、实施效果的内外部因素，从而评价本项目绩效。三级指标分析环节：总体采用比较法、同时辅以文献法以及公众评判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4.评价标准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绩效评价标准通常包括计划标准、行业标准、历史标准等。本次绩效评价采用计划标准，以预先制定的目标、计划、预算、定额等作为评价标准，对比分析项目产出、效益的完成情况。对于定性指标，通过问卷调查及访谈方式，采集相关数据，运用等级描述法，设置分级标准，体现该指标认可</w:t>
      </w:r>
      <w:bookmarkStart w:id="0" w:name="_GoBack"/>
      <w:bookmarkEnd w:id="0"/>
      <w:r>
        <w:rPr>
          <w:rStyle w:val="18"/>
          <w:rFonts w:hint="eastAsia" w:ascii="楷体" w:hAnsi="楷体" w:eastAsia="楷体"/>
          <w:b w:val="0"/>
          <w:bCs w:val="0"/>
          <w:spacing w:val="-4"/>
          <w:sz w:val="32"/>
          <w:szCs w:val="32"/>
        </w:rPr>
        <w:t>程度的差异。对于定量指标，通过公式等方式予以量化，可以准确衡量，并设定目标值的考核指标。</w:t>
      </w:r>
    </w:p>
    <w:p w14:paraId="619F0A81">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（三）绩效评价工作过程</w:t>
      </w:r>
    </w:p>
    <w:p w14:paraId="5D151483">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1.前期准备。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于2024年3月1日，确定绩效评价工作小组，正式开始前期准备工作，通过对评价对象前期调研，确定了评价的目的、方法以及评价的原则，根据项目的内容和特征制定的评价指标体系及评价标准。绩效评价工作小组人员名单及分工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索敏（评价小组组长）：主要负责项目策划和监督，全面负责项目绩效评价办稿的最终质量，对评估人员出具的最终报告质量进行复核，确保评估结果的客观性。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张宁（评价小组副组员）：主要负责资料的收集，取证、数据统计分析；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单容、尹建峰（评价小组组员）：主要负责项目报告的制定，指标的研判，数据分析及报告撰写。</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2024年3月2日-3月10日，评价工作进入实施阶段。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在数据采集方面，评价小组项目负责人、财务人员进行访谈沟通，全面了解项目实施的目的、预算安排、实施内容、组织管理、实施结果等方面的内容；全面收集项目决策过程、资金使用管理、制度建设与执行情况、质量管理、项目建设及验收等相关资料，完成绩效评价内容所需的印证资料整理，所有数据经核查后统计汇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3.分析评价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2024年3月11日-3月20日，评价小组按照绩效评价的原则和规范，对取得的资料进行审查核实，对采集的数据进行分析，按照绩效评价指标评分表逐项进行打分、分析、汇总各方评价结果。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4.撰写与提交评价报告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2024年3月21日-2024年3月31日，评价小组撰写绩效评价报告，按照新疆维吾尔自治区财政绩效管理信息系统绩效评价模块中统一格式和文本框架撰写绩效评价报告并提交审核。</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5.问题整改</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审核通过后，由评价小组将报告推送至项目实施人员，由项目实施人员根据报告评价结论、存在的问题以及改进建议落实问题整改，并形成整改报告，由评价小组负责监督和核查落实情况，确保绩效评价落到实处。</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6.档案整理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建立和落实档案管理制度，将项目相关资料存档，包括但不限于：评价项目基本情况和相关文件、评价实施方案、项目支付资料等相关档案。</w:t>
      </w:r>
    </w:p>
    <w:p w14:paraId="7726C05D">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三、综合评价情况及评价结论</w:t>
      </w:r>
    </w:p>
    <w:p w14:paraId="7722AAFA">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（一）综合评价情况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评价，本项目较大程度达成年初设立的绩效目标，在实施过程中取得了良好的成效，具体表现在：通过项目的实施，为加快推进法治昌吉建设、为建设更高水平的平安昌吉作出新贡献举办昌吉州青年普法志愿者法治文化基层行活动；组织开展全州法学会会员培训班；建设基层法学会试点工作站；推进县市首席法律咨询专家制度试点工作。提高法学研究成果在基层实践运用的效果，项目的实施跟着年初计划目标完成。发挥了该项目的效益，但在实施过程中也存在一些不足：预算绩效申报时，编制的绩效目标不具体的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（二）评价结论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绩效评价通过绩效评价小组论证的评价指标体系及评分标准，采用因素分析法和比较法对本项目绩效进行客观评价，本项目共设置三级指标数量19个，实现三级指标数量16个，总体完成率为84.21%。最终评分结果：总分为98.70分。绩效评级为“优”。综合评价结论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项目决策类指标共设置6个，满分指标6个，得分率100.00％；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过程管理类指标共设置5个，满分指标4个，得分率96.84%；</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项目产出类指标共设置7个，满分指标5个，得分率97.67％；</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项目效益类指标共设置1个，满分指标1个，得分率100.00%</w:t>
      </w:r>
    </w:p>
    <w:p w14:paraId="0AA39282">
      <w:pPr>
        <w:spacing w:line="540" w:lineRule="exact"/>
        <w:ind w:firstLine="640"/>
        <w:rPr>
          <w:rStyle w:val="18"/>
          <w:rFonts w:ascii="黑体" w:hAnsi="黑体" w:eastAsia="黑体"/>
        </w:rPr>
      </w:pPr>
      <w:r>
        <w:rPr>
          <w:rStyle w:val="18"/>
          <w:rFonts w:hint="eastAsia" w:ascii="黑体" w:hAnsi="黑体" w:eastAsia="黑体"/>
          <w:b w:val="0"/>
          <w:spacing w:val="-4"/>
          <w:sz w:val="32"/>
          <w:szCs w:val="32"/>
        </w:rPr>
        <w:t>四、绩效评价指标分析</w:t>
      </w:r>
      <w:r>
        <w:rPr>
          <w:rStyle w:val="18"/>
          <w:rFonts w:hint="eastAsia" w:ascii="黑体" w:hAnsi="黑体" w:eastAsia="黑体"/>
        </w:rPr>
        <w:t xml:space="preserve"> </w:t>
      </w:r>
    </w:p>
    <w:p w14:paraId="4C9B2F8E">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（一）</w:t>
      </w:r>
      <w:r>
        <w:rPr>
          <w:rStyle w:val="18"/>
          <w:rFonts w:hint="eastAsia" w:ascii="楷体" w:hAnsi="楷体" w:eastAsia="楷体"/>
          <w:spacing w:val="-4"/>
          <w:sz w:val="32"/>
          <w:szCs w:val="32"/>
        </w:rPr>
        <w:t>项目决策情况</w:t>
      </w:r>
    </w:p>
    <w:p w14:paraId="7AD7B86F">
      <w:pPr>
        <w:tabs>
          <w:tab w:val="center" w:pos="4295"/>
        </w:tabs>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项目决策类指标由3个二级指标和6个三级指标构成，权重分21.00分，实际得分21.00分。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（1）立项依据充分性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本项目通过年初本委委务会审议通过后上报财政，此项目的实施用于保障干部良好的办公环境及机关的正常运转，符合行业发展规划和政策要求；</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立项符合《昌吉州法学会配置内设机构和人员编制规定》中“制定并组织实施法学会年度工作计划，组织、推动各种形式的法学研究和学术交流活动；协调法学会各专业研究会开展活动”等职责范围，属于我单位履职所需；</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财政资金直接支付申请书》，本项目资金性质为“一般公共预算”；功能分类为“2013602”；经济分类为：“30299其他商品和服务支出、30202印刷费、30211差旅费、30201办公费……”；属于公共财政支持范围，符合中央、地方事权支出责任划分原则；</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经检查我单位财政应用平台指标，本项目不存在重复。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综上所述，本指标满分为5.00分，根据评分标准得5.00分，本项目立项依据充分。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（2）立项程序规范性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本项目为非基础建设类项目，不涉及发改立项批复流程，由我单位自行编制项目实施方案和项目预算申请计划，经过与委务会研究最终预算方案。经查看，该项目申请设立过程产生的相关文件，符合相关要求。</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属于专项资金安排项目，不涉及事前绩效评估、可行性研究以及风险评估，由我单位严格按照《关于下达昌吉州本级预算单位2023年部门预算的通知》昌州财行【2023】1号文件要求实施项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综上所述，本指标满分为3.00分，根据评分标准得3.00分，本项目立项依据规范。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2.绩效目标情况分析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（1）绩效目标合理性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已设置年度绩效目标，具体内容为“为加快推进法治昌吉建设、为建设更高水平的平安昌吉作出新贡献举办昌吉州青年普法志愿者法治文化基层行活动次；组织开展全州法学会会员培训班；建设基层法学会试点工作站；推进县市首席法律咨询专家制度试点工作。提高法学研究成果在基层实践运用的效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工作内容为：加快了推进法治昌吉建设、为建设更高水平的平安昌吉作出了贡献举办了昌吉州青年普法志愿者法治文化基层行活动；组织开展了全州法学会会员培训班；建设了基层法学会试点工作站；推进了县市首席法律咨询专家制度试点工作。提高了法学研究成果在基层实践运用的效果。绩效目标与实际工作内容一致；两者具有相关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本项目按照绩效目标完成了数量指标、质量指标、时效指标、成本指标，有效的保障了群众对法律业务咨询的需求，年度绩效目标已完成，预期产出效益和效果符合正常的业绩水平。</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综上所述，本指标满分为4.00分，根据评分标准得4.00分，本项目绩效目标设置合理。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（2）绩效指标明确性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检查我单位年初设置的《项目支出绩效目标表》，得出如下结论：本项目已将项目绩效目标细化分为绩效指标体系，共设置了一级指标3个，二级指标3个，三级指标8个，定量指标7个，定性指标1个，指标量化率87.5%，量化率达70%以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综上所述，本指标满分为3.00分，根据评分标准得3.00分，本项目绩效目标设置合理。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3.资金投入情况分析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（1）预算编制科学性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本项目预算编制通过往年支出情况预测得出，即预算编制较科学且经过论证；</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申请内容为：举办昌吉州青年普法志愿者法治文化基层行活动1次，实际完成1次；组织开展全州法学会会员培训班1期，实际完成1期；建设基层法学会试点工作站1个，实际完成1个；推进县市首席法律咨询专家制度试点工作1个，实际完成1个；100.00％完成对全州县市指导调研检查，实际100.00％完成。预算申请与《州法学会业务经费项目实施方案》中涉及的项目内容匹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申请资金20.00万元，我单位在预算申请中严格按照单位标准和数量进行核算，其中：宣传经费14.00万、业务经费6.00万。本项目预算额度测算依据充分，严格按照标准编制，预算确定资金量与实际工作相匹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综上所述，本指标满分为4.00分，根据评分标准得4.00分，本项目预算编制科学。</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（2）资金分配合理性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分配资金以《关于申请州法学会项目资金的请示》和《昌州财行【2023】1号》为依据文件显示，本项目实际到位资金20万元，实际分配资金与我单位提交申请的资金额度一致，资金非配额度合理，与我单位实际需求相适应。</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综上所述，本指标满分为2.00分，根据评分标准得2.00分，本项目资金分配合理。</w:t>
      </w:r>
      <w:r>
        <w:rPr>
          <w:rStyle w:val="18"/>
          <w:rFonts w:hint="eastAsia" w:ascii="楷体" w:hAnsi="楷体" w:eastAsia="楷体"/>
          <w:b w:val="0"/>
          <w:bCs w:val="0"/>
          <w:spacing w:val="-4"/>
          <w:sz w:val="32"/>
          <w:szCs w:val="32"/>
        </w:rPr>
        <w:tab/>
      </w:r>
    </w:p>
    <w:p w14:paraId="6FF03937">
      <w:pPr>
        <w:spacing w:line="540" w:lineRule="exact"/>
        <w:ind w:firstLine="567" w:firstLineChars="181"/>
        <w:rPr>
          <w:rStyle w:val="18"/>
          <w:rFonts w:ascii="楷体" w:hAnsi="楷体" w:eastAsia="楷体"/>
          <w:spacing w:val="-4"/>
          <w:sz w:val="32"/>
          <w:szCs w:val="32"/>
        </w:rPr>
      </w:pPr>
      <w:r>
        <w:rPr>
          <w:rFonts w:hint="eastAsia" w:ascii="楷体" w:hAnsi="楷体" w:eastAsia="楷体"/>
          <w:b/>
          <w:spacing w:val="-4"/>
          <w:sz w:val="32"/>
          <w:szCs w:val="32"/>
        </w:rPr>
        <w:t>（二）</w:t>
      </w:r>
      <w:r>
        <w:rPr>
          <w:rStyle w:val="18"/>
          <w:rFonts w:hint="eastAsia" w:ascii="楷体" w:hAnsi="楷体" w:eastAsia="楷体"/>
          <w:spacing w:val="-4"/>
          <w:sz w:val="32"/>
          <w:szCs w:val="32"/>
        </w:rPr>
        <w:t>项目过程情况</w:t>
      </w:r>
    </w:p>
    <w:p w14:paraId="222D1CC5">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项目过程类指标由2个二级指标和 5个三级指标构成，权重分值为 19.00分，本项目实际得分18.40分。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1.资金管理情况分析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（1）资金到位率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资金20.00万元，其中：本级财政安排资金20.00万元，实际到位资金20.00万元，资金到位率=（实际到位资金/预算资金）*100.00%=（20.00/20.00）*100.00%=100.00％。得分=资金到位率*分值=100.00％*3.00=100.00％*3.00=3.00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综上所述，本指标满分为3.00分，根据评分标准得3.00分，本项目资金分配合理。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（2）预算执行率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本项目实际支出资金17.43万元，预算执行率=（实际支出资金/实际到位资金）*100.00％=（17.43/20.00）*100.00%=87.15%。得分=预算执行率*分值=87.15%*5.00=4.40分。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综上所述，本指标满分为5.00分，根据评分标准得4.40分，本项目资金分配合理。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（3）资金使用合规性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通过检查本项目签订的合同、资金的申请文件、发票等财物付款凭证，得出本项目资金支出符合国家财经法规、《政府会计制度》以及《州法学会资金管理办法》《州法学会专项资金管理办法》，资金的拨付有完整的审批程序和手续，资金实际使用方向与预算批复用途一致，不存在截留、挤占、挪用、虚列支出的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综上所述，本指标满分为5.00分，根据评分标准得5.00分，资金支出符合我单位财务管理制度规定。</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（1）管理制度健全性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已制定《州法学会资金管理办法》《州法学会收支业务管理制度》《州法学会政府采购业务管理制度》《州法学会合同管理制度》，上述已建立的制度均符合行政事业单位内控管理要求，财务和业务管理制度合法、合规、完整，本项目执行符合上述制度规定。</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综上所述，本指标满分为2.00分，根据评分标准得2.00分，资金支出符合我单位财务管理制度规定。</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（2）制度执行有效性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对比分析本项目实际执行过程资料和已建立的项目管理制度和财务管理制度，得出本项目严格按照本单位已建立制度执行。项目资金支出严格按照自治区、地区、市以及本单位资金管理办法执行，项目启动实施后，为了加快本项目的实施，成立了昌吉州法学会机关运行经费项目工作领导小组，由索敏同志任组长，负责项目的组织工作；张宁任副组长，负责项目的实施工作，组员由单容、尹建峰担任，主要负责项目监督管理、验收以及资金核拨等工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综上所述，本指标满分为4.00分，根据评分标准得4.00分，本项目建立制度执行有效。</w:t>
      </w:r>
    </w:p>
    <w:p w14:paraId="4FB250C9">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（三）</w:t>
      </w:r>
      <w:r>
        <w:rPr>
          <w:rStyle w:val="18"/>
          <w:rFonts w:hint="eastAsia" w:ascii="楷体" w:hAnsi="楷体" w:eastAsia="楷体"/>
          <w:spacing w:val="-4"/>
          <w:sz w:val="32"/>
          <w:szCs w:val="32"/>
        </w:rPr>
        <w:t>项目产出情况</w:t>
      </w:r>
    </w:p>
    <w:p w14:paraId="2D023522">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项目产出类指标由3个二级指标和6个三级指标构成，权重分为30.00分，本项目实际得分29.30分。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1.数量指标完成情况分析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“举办昌吉州青年普法志愿者法治文化基层行活动”指标，预期指标值为“1次”，实际完成指标值为“1次”，指标完成率100.00％。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“组织开展全州法学会会员培训班”指标，预期指标值为1期”，实际完成指标值为“1期”，指标完成率100.00％。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“建设基层法学会试点工作站”指标，预期指标值为“大于等于1个”，实际完成指标值为“1个”，指标完成率100.00％。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“推进县市首席法律咨询专家制度试点工作”指标，预期指标值为“大于等于1个”，实际完成指标值为“1个”，指标完成率100.00％。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2.质量指标完成情况分析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“对全州县市指导调研检查覆盖率”指标，预期指标值为“100.00％”，实际完成指标值为“100.00％”，指标完成率100.00％。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3.时效指标完成情况分析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4.成本指标完成情况分析 </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“宣传经费”指标，预期指标值为“小于等于14.00万”，实际完成指标值为“11.87万元”，指标完成率84.79%，偏差率15.21%，因年中工作计划有变。</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综上所述，本指标满分为3.00分，根据评分标准得2.50分。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“业务经费”指标，预期指标值为“小于等于6.00万”，实际完成指标值为“5.56万元”，指标完成率92.67%。偏差率7.33%，因年中工作计划有变。</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综上所述，本指标满分为3.00分，根据评分标准得2.80分。</w:t>
      </w:r>
    </w:p>
    <w:p w14:paraId="228F2C4A">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（四）</w:t>
      </w:r>
      <w:r>
        <w:rPr>
          <w:rStyle w:val="18"/>
          <w:rFonts w:hint="eastAsia" w:ascii="楷体" w:hAnsi="楷体" w:eastAsia="楷体"/>
          <w:spacing w:val="-4"/>
          <w:sz w:val="32"/>
          <w:szCs w:val="32"/>
        </w:rPr>
        <w:t>项目效益情况</w:t>
      </w:r>
    </w:p>
    <w:p w14:paraId="5EEDBC93">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 xml:space="preserve">项目效益类指标由1个二级指标和1个三级指标构成，权重分为30.00分，本项目实际得分30.00分。 </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1.经济效益完成情况分析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本项目无该项指标。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2.社会效益指标完成情况分析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“法学研究成果在基层实践运用的效果”指标，预期指标值为“提高”，实际完成指标值为“基本达成目标”，指标完成率100.00％。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综上所述，本指标满分为30.00分，根据评分标准得30.00分。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3.生态效益指标完成情况分析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本项目无该项指标。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4.满意度指标完成情况分析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本项目无该项指标。</w:t>
      </w:r>
    </w:p>
    <w:p w14:paraId="5D95DAB6">
      <w:pPr>
        <w:spacing w:line="540" w:lineRule="exact"/>
        <w:ind w:firstLine="567"/>
        <w:rPr>
          <w:rStyle w:val="18"/>
          <w:rFonts w:ascii="楷体" w:hAnsi="楷体" w:eastAsia="楷体"/>
          <w:spacing w:val="-4"/>
          <w:sz w:val="32"/>
          <w:szCs w:val="32"/>
        </w:rPr>
      </w:pPr>
    </w:p>
    <w:p w14:paraId="79645D24">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lang w:val="en-US" w:eastAsia="zh-CN"/>
        </w:rPr>
        <w:t>预算执行进度与绩效指标偏差</w:t>
      </w:r>
    </w:p>
    <w:p w14:paraId="48783B0A">
      <w:pPr>
        <w:spacing w:line="540" w:lineRule="exact"/>
        <w:ind w:firstLine="567"/>
        <w:rPr>
          <w:rStyle w:val="18"/>
          <w:rFonts w:hint="default" w:ascii="黑体" w:hAnsi="黑体" w:eastAsia="黑体"/>
          <w:b w:val="0"/>
          <w:spacing w:val="-4"/>
          <w:sz w:val="32"/>
          <w:szCs w:val="32"/>
          <w:lang w:val="en-US" w:eastAsia="zh-CN"/>
        </w:rPr>
      </w:pPr>
      <w:r>
        <w:rPr>
          <w:rStyle w:val="18"/>
          <w:rFonts w:hint="eastAsia" w:ascii="楷体" w:hAnsi="楷体" w:eastAsia="楷体"/>
          <w:b w:val="0"/>
          <w:bCs w:val="0"/>
          <w:spacing w:val="-4"/>
          <w:sz w:val="32"/>
          <w:szCs w:val="32"/>
        </w:rPr>
        <w:t>昌吉州法学会机关运行经费项目预算金额20.00万元，实际到位20.00万元，实际支出17.43万元，预算执行率为87.15%。</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本项目共设置三级指标数量19个，满分指标数量16个，扣分指标数量3个，经分析计算所有三级指标完成率得出，本项目总体完成率84.21%</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综上所述本项目预算执行进度与总体完成进度之间的偏差为2.94%，主要偏差原因是：年中工作计划方向有变。</w:t>
      </w:r>
    </w:p>
    <w:p w14:paraId="460C25C5">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主要经验及做法、存在的问题及原因分析</w:t>
      </w:r>
    </w:p>
    <w:p w14:paraId="5B197864">
      <w:pPr>
        <w:spacing w:line="540" w:lineRule="exact"/>
        <w:ind w:firstLine="567"/>
        <w:rPr>
          <w:rFonts w:ascii="仿宋_GB2312" w:eastAsia="仿宋_GB2312"/>
          <w:spacing w:val="-4"/>
          <w:sz w:val="32"/>
          <w:szCs w:val="32"/>
        </w:rPr>
      </w:pPr>
      <w:r>
        <w:rPr>
          <w:rStyle w:val="18"/>
          <w:rFonts w:hint="eastAsia" w:ascii="楷体" w:hAnsi="楷体" w:eastAsia="楷体"/>
          <w:b w:val="0"/>
          <w:bCs w:val="0"/>
          <w:spacing w:val="-4"/>
          <w:sz w:val="32"/>
          <w:szCs w:val="32"/>
        </w:rPr>
        <w:t>（一）主要经验及做法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通过项目绩效目标的设置情况、资金使用情况、项目实施管理情况、项目绩效表现情况自我评价等，充分了解资金使用是否达到了预期的目标、资金管理是否规范有序、资金使用是否有效，检验资金支出效率和效果，分析存在问题及原因，及时总结经验，改进管理措施，不断增强和落实绩效管理责任，完善工作机制，有效提高资金管理水平和使用效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（二）存在问题及原因分析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本次绩效评价情况，存在预算绩效申报时，编制的绩效目标不具体，绩效目标未完全细化分解为具体工作任务，部分绩效指标不清晰、可衡量性差。预算编制时对单位情况考虑不全面，缺乏灵活性、预见性。预算执行率、宣传经费、业务经费指标未完成。原因：年中工作计划方向变化。</w:t>
      </w:r>
    </w:p>
    <w:p w14:paraId="4B646728">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lang w:val="en-US" w:eastAsia="zh-CN"/>
        </w:rPr>
        <w:t>七</w:t>
      </w:r>
      <w:r>
        <w:rPr>
          <w:rStyle w:val="18"/>
          <w:rFonts w:hint="eastAsia" w:ascii="黑体" w:hAnsi="黑体" w:eastAsia="黑体"/>
          <w:b w:val="0"/>
          <w:spacing w:val="-4"/>
          <w:sz w:val="32"/>
          <w:szCs w:val="32"/>
        </w:rPr>
        <w:t>、有关建议</w:t>
      </w:r>
    </w:p>
    <w:p w14:paraId="4742CF91">
      <w:pPr>
        <w:spacing w:line="540" w:lineRule="exact"/>
        <w:ind w:firstLine="567"/>
        <w:rPr>
          <w:rStyle w:val="18"/>
          <w:rFonts w:ascii="楷体" w:hAnsi="楷体" w:eastAsia="楷体"/>
          <w:spacing w:val="-4"/>
          <w:sz w:val="32"/>
          <w:szCs w:val="32"/>
        </w:rPr>
      </w:pPr>
      <w:r>
        <w:rPr>
          <w:rStyle w:val="18"/>
          <w:rFonts w:hint="eastAsia" w:ascii="楷体" w:hAnsi="楷体" w:eastAsia="楷体"/>
          <w:b w:val="0"/>
          <w:bCs w:val="0"/>
          <w:spacing w:val="-4"/>
          <w:sz w:val="32"/>
          <w:szCs w:val="32"/>
        </w:rPr>
        <w:t>针对上述问题，在今后的预算绩效申报时，我单位将加强相关业务培训，将项目全年工作任务细化分解为具体的工作目标，并尽量采取定量的方式制定清晰、可衡量的绩效指标，确保项目绩效有效完成。</w:t>
      </w:r>
    </w:p>
    <w:p w14:paraId="79E590FD">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lang w:val="en-US" w:eastAsia="zh-CN"/>
        </w:rPr>
        <w:t>八</w:t>
      </w:r>
      <w:r>
        <w:rPr>
          <w:rStyle w:val="18"/>
          <w:rFonts w:hint="eastAsia" w:ascii="黑体" w:hAnsi="黑体" w:eastAsia="黑体"/>
          <w:b w:val="0"/>
          <w:spacing w:val="-4"/>
          <w:sz w:val="32"/>
          <w:szCs w:val="32"/>
        </w:rPr>
        <w:t>、其他需要说明的问题</w:t>
      </w:r>
    </w:p>
    <w:p w14:paraId="60D627F7">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（一）本项目部分间接产生的效果无法准确在短期内衡量，因此很难认定项目产生的全部效果。通过指标来放映绩效，指标的科学性和全面性需要不断地完善和研究。</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（二）评价结果作为安排政府预算、完善政策和改进管理的重要依据。原则上，对评价等级为优、良的，根据情况予以支持；对评价等级为中、差的，要完善政策、改进管理，根据情况核减预算。</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（三）评价结果分别编入政府决算和部门预算，报送本级人民代表大会常务委员会，并依法予以公开。</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（四）我单位对上述项目支出绩效评价报告内反映内容的真实性、完整性负责，并接受上级部门及社会公众监督。</w:t>
      </w:r>
    </w:p>
    <w:p w14:paraId="75243D9A">
      <w:pPr>
        <w:spacing w:line="540" w:lineRule="exact"/>
        <w:ind w:firstLine="567"/>
        <w:rPr>
          <w:rStyle w:val="18"/>
          <w:rFonts w:ascii="仿宋" w:hAnsi="仿宋" w:eastAsia="仿宋"/>
          <w:b w:val="0"/>
          <w:spacing w:val="-4"/>
          <w:sz w:val="32"/>
          <w:szCs w:val="32"/>
        </w:rPr>
      </w:pPr>
    </w:p>
    <w:p w14:paraId="25B1D503">
      <w:pPr>
        <w:spacing w:line="540" w:lineRule="exact"/>
        <w:ind w:firstLine="567"/>
        <w:rPr>
          <w:rStyle w:val="18"/>
          <w:rFonts w:ascii="仿宋" w:hAnsi="仿宋" w:eastAsia="仿宋"/>
          <w:b w:val="0"/>
          <w:spacing w:val="-4"/>
          <w:sz w:val="32"/>
          <w:szCs w:val="32"/>
        </w:rPr>
      </w:pPr>
    </w:p>
    <w:p w14:paraId="00C39007">
      <w:pPr>
        <w:spacing w:line="540" w:lineRule="exact"/>
        <w:ind w:firstLine="567"/>
        <w:rPr>
          <w:rStyle w:val="18"/>
          <w:rFonts w:ascii="仿宋" w:hAnsi="仿宋" w:eastAsia="仿宋"/>
          <w:b w:val="0"/>
          <w:spacing w:val="-4"/>
          <w:sz w:val="32"/>
          <w:szCs w:val="32"/>
        </w:rPr>
      </w:pPr>
    </w:p>
    <w:p w14:paraId="4065A3AA">
      <w:pPr>
        <w:spacing w:line="540" w:lineRule="exact"/>
        <w:ind w:firstLine="567"/>
        <w:rPr>
          <w:rStyle w:val="18"/>
          <w:rFonts w:ascii="仿宋" w:hAnsi="仿宋" w:eastAsia="仿宋"/>
          <w:b w:val="0"/>
          <w:spacing w:val="-4"/>
          <w:sz w:val="32"/>
          <w:szCs w:val="32"/>
        </w:rPr>
      </w:pPr>
    </w:p>
    <w:p w14:paraId="58B30B7B">
      <w:pPr>
        <w:spacing w:line="540" w:lineRule="exact"/>
        <w:ind w:firstLine="567"/>
        <w:rPr>
          <w:rStyle w:val="18"/>
          <w:rFonts w:ascii="仿宋" w:hAnsi="仿宋" w:eastAsia="仿宋"/>
          <w:b w:val="0"/>
          <w:spacing w:val="-4"/>
          <w:sz w:val="32"/>
          <w:szCs w:val="32"/>
        </w:rPr>
      </w:pPr>
    </w:p>
    <w:sectPr>
      <w:footerReference r:id="rId3" w:type="default"/>
      <w:pgSz w:w="11906" w:h="16838"/>
      <w:pgMar w:top="1440" w:right="1558"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14:paraId="299C642F">
        <w:pPr>
          <w:pStyle w:val="12"/>
          <w:jc w:val="center"/>
        </w:pPr>
        <w:r>
          <w:fldChar w:fldCharType="begin"/>
        </w:r>
        <w:r>
          <w:instrText xml:space="preserve">PAGE   \* MERGEFORMAT</w:instrText>
        </w:r>
        <w:r>
          <w:fldChar w:fldCharType="separate"/>
        </w:r>
        <w:r>
          <w:rPr>
            <w:lang w:val="zh-CN"/>
          </w:rPr>
          <w:t>2</w:t>
        </w:r>
        <w:r>
          <w:fldChar w:fldCharType="end"/>
        </w:r>
      </w:p>
    </w:sdtContent>
  </w:sdt>
  <w:p w14:paraId="2419A210">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EA218F"/>
    <w:multiLevelType w:val="singleLevel"/>
    <w:tmpl w:val="3FEA218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Y2RlZTc4MzFlYzYzZjZmMTg4MDMwODUwYTE2N2UifQ=="/>
  </w:docVars>
  <w:rsids>
    <w:rsidRoot w:val="00CA6457"/>
    <w:rsid w:val="00056465"/>
    <w:rsid w:val="00102DFF"/>
    <w:rsid w:val="0012073C"/>
    <w:rsid w:val="00121AE4"/>
    <w:rsid w:val="00146AAD"/>
    <w:rsid w:val="00151FA7"/>
    <w:rsid w:val="001B3A40"/>
    <w:rsid w:val="00291BC0"/>
    <w:rsid w:val="00311DBE"/>
    <w:rsid w:val="004366A8"/>
    <w:rsid w:val="00502BA7"/>
    <w:rsid w:val="005162F1"/>
    <w:rsid w:val="00535153"/>
    <w:rsid w:val="00554F82"/>
    <w:rsid w:val="0056390D"/>
    <w:rsid w:val="005719B0"/>
    <w:rsid w:val="005D10D6"/>
    <w:rsid w:val="00855E3A"/>
    <w:rsid w:val="0091457F"/>
    <w:rsid w:val="00922CB9"/>
    <w:rsid w:val="009A0637"/>
    <w:rsid w:val="009E5CD9"/>
    <w:rsid w:val="00A26421"/>
    <w:rsid w:val="00A34588"/>
    <w:rsid w:val="00A4293B"/>
    <w:rsid w:val="00A67D50"/>
    <w:rsid w:val="00A8691A"/>
    <w:rsid w:val="00AC1946"/>
    <w:rsid w:val="00B40063"/>
    <w:rsid w:val="00B41F61"/>
    <w:rsid w:val="00BA46E6"/>
    <w:rsid w:val="00C56C72"/>
    <w:rsid w:val="00CA6457"/>
    <w:rsid w:val="00CE2FD9"/>
    <w:rsid w:val="00D17F2E"/>
    <w:rsid w:val="00D30354"/>
    <w:rsid w:val="00DF42A0"/>
    <w:rsid w:val="00E30E91"/>
    <w:rsid w:val="00E769FE"/>
    <w:rsid w:val="00EA2CBE"/>
    <w:rsid w:val="00F32FEE"/>
    <w:rsid w:val="00FB10BB"/>
    <w:rsid w:val="0856517C"/>
    <w:rsid w:val="0BFB189F"/>
    <w:rsid w:val="11BD75F7"/>
    <w:rsid w:val="13BE561A"/>
    <w:rsid w:val="15392994"/>
    <w:rsid w:val="18FE139B"/>
    <w:rsid w:val="3029612C"/>
    <w:rsid w:val="32A221C5"/>
    <w:rsid w:val="33F20F2A"/>
    <w:rsid w:val="34C44675"/>
    <w:rsid w:val="3B5B5607"/>
    <w:rsid w:val="3CE21B3C"/>
    <w:rsid w:val="4D2606A1"/>
    <w:rsid w:val="51830480"/>
    <w:rsid w:val="53A616BE"/>
    <w:rsid w:val="54662BFB"/>
    <w:rsid w:val="62051CA5"/>
    <w:rsid w:val="6C3A69EF"/>
    <w:rsid w:val="7BDF2CF1"/>
    <w:rsid w:val="7DB12889"/>
    <w:rsid w:val="7DD528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qFormat/>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11">
    <w:name w:val="Balloon Text"/>
    <w:basedOn w:val="1"/>
    <w:link w:val="45"/>
    <w:semiHidden/>
    <w:unhideWhenUsed/>
    <w:uiPriority w:val="99"/>
    <w:rPr>
      <w:sz w:val="18"/>
      <w:szCs w:val="18"/>
    </w:rPr>
  </w:style>
  <w:style w:type="paragraph" w:styleId="12">
    <w:name w:val="footer"/>
    <w:basedOn w:val="1"/>
    <w:link w:val="44"/>
    <w:unhideWhenUsed/>
    <w:uiPriority w:val="99"/>
    <w:pPr>
      <w:tabs>
        <w:tab w:val="center" w:pos="4153"/>
        <w:tab w:val="right" w:pos="8306"/>
      </w:tabs>
      <w:snapToGrid w:val="0"/>
      <w:jc w:val="left"/>
    </w:pPr>
    <w:rPr>
      <w:rFonts w:ascii="Calibri" w:hAnsi="Calibri"/>
      <w:sz w:val="18"/>
      <w:szCs w:val="18"/>
    </w:rPr>
  </w:style>
  <w:style w:type="paragraph" w:styleId="13">
    <w:name w:val="header"/>
    <w:basedOn w:val="1"/>
    <w:link w:val="43"/>
    <w:autoRedefine/>
    <w:unhideWhenUsed/>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Char"/>
    <w:basedOn w:val="17"/>
    <w:link w:val="2"/>
    <w:qFormat/>
    <w:uiPriority w:val="9"/>
    <w:rPr>
      <w:rFonts w:asciiTheme="majorHAnsi" w:hAnsiTheme="majorHAnsi" w:eastAsiaTheme="majorEastAsia"/>
      <w:b/>
      <w:bCs/>
      <w:kern w:val="32"/>
      <w:sz w:val="32"/>
      <w:szCs w:val="32"/>
    </w:rPr>
  </w:style>
  <w:style w:type="character" w:customStyle="1" w:styleId="21">
    <w:name w:val="标题 2 Char"/>
    <w:basedOn w:val="17"/>
    <w:link w:val="3"/>
    <w:semiHidden/>
    <w:qFormat/>
    <w:uiPriority w:val="9"/>
    <w:rPr>
      <w:rFonts w:asciiTheme="majorHAnsi" w:hAnsiTheme="majorHAnsi" w:eastAsiaTheme="majorEastAsia"/>
      <w:b/>
      <w:bCs/>
      <w:i/>
      <w:iCs/>
      <w:sz w:val="28"/>
      <w:szCs w:val="28"/>
    </w:rPr>
  </w:style>
  <w:style w:type="character" w:customStyle="1" w:styleId="22">
    <w:name w:val="标题 3 Char"/>
    <w:basedOn w:val="17"/>
    <w:link w:val="4"/>
    <w:semiHidden/>
    <w:qFormat/>
    <w:uiPriority w:val="9"/>
    <w:rPr>
      <w:rFonts w:asciiTheme="majorHAnsi" w:hAnsiTheme="majorHAnsi" w:eastAsiaTheme="majorEastAsia"/>
      <w:b/>
      <w:bCs/>
      <w:sz w:val="26"/>
      <w:szCs w:val="26"/>
    </w:rPr>
  </w:style>
  <w:style w:type="character" w:customStyle="1" w:styleId="23">
    <w:name w:val="标题 4 Char"/>
    <w:basedOn w:val="17"/>
    <w:link w:val="5"/>
    <w:semiHidden/>
    <w:qFormat/>
    <w:uiPriority w:val="9"/>
    <w:rPr>
      <w:b/>
      <w:bCs/>
      <w:sz w:val="28"/>
      <w:szCs w:val="28"/>
    </w:rPr>
  </w:style>
  <w:style w:type="character" w:customStyle="1" w:styleId="24">
    <w:name w:val="标题 5 Char"/>
    <w:basedOn w:val="17"/>
    <w:link w:val="6"/>
    <w:semiHidden/>
    <w:qFormat/>
    <w:uiPriority w:val="9"/>
    <w:rPr>
      <w:b/>
      <w:bCs/>
      <w:i/>
      <w:iCs/>
      <w:sz w:val="26"/>
      <w:szCs w:val="26"/>
    </w:rPr>
  </w:style>
  <w:style w:type="character" w:customStyle="1" w:styleId="25">
    <w:name w:val="标题 6 Char"/>
    <w:basedOn w:val="17"/>
    <w:link w:val="7"/>
    <w:semiHidden/>
    <w:qFormat/>
    <w:uiPriority w:val="9"/>
    <w:rPr>
      <w:b/>
      <w:bCs/>
    </w:rPr>
  </w:style>
  <w:style w:type="character" w:customStyle="1" w:styleId="26">
    <w:name w:val="标题 7 Char"/>
    <w:basedOn w:val="17"/>
    <w:link w:val="8"/>
    <w:semiHidden/>
    <w:qFormat/>
    <w:uiPriority w:val="9"/>
    <w:rPr>
      <w:sz w:val="24"/>
      <w:szCs w:val="24"/>
    </w:rPr>
  </w:style>
  <w:style w:type="character" w:customStyle="1" w:styleId="27">
    <w:name w:val="标题 8 Char"/>
    <w:basedOn w:val="17"/>
    <w:link w:val="9"/>
    <w:semiHidden/>
    <w:qFormat/>
    <w:uiPriority w:val="9"/>
    <w:rPr>
      <w:i/>
      <w:iCs/>
      <w:sz w:val="24"/>
      <w:szCs w:val="24"/>
    </w:rPr>
  </w:style>
  <w:style w:type="character" w:customStyle="1" w:styleId="28">
    <w:name w:val="标题 9 Char"/>
    <w:basedOn w:val="17"/>
    <w:link w:val="10"/>
    <w:semiHidden/>
    <w:qFormat/>
    <w:uiPriority w:val="9"/>
    <w:rPr>
      <w:rFonts w:asciiTheme="majorHAnsi" w:hAnsiTheme="majorHAnsi" w:eastAsiaTheme="majorEastAsia"/>
    </w:rPr>
  </w:style>
  <w:style w:type="character" w:customStyle="1" w:styleId="29">
    <w:name w:val="标题 Char"/>
    <w:basedOn w:val="17"/>
    <w:link w:val="15"/>
    <w:uiPriority w:val="10"/>
    <w:rPr>
      <w:rFonts w:asciiTheme="majorHAnsi" w:hAnsiTheme="majorHAnsi" w:eastAsiaTheme="majorEastAsia"/>
      <w:b/>
      <w:bCs/>
      <w:kern w:val="28"/>
      <w:sz w:val="32"/>
      <w:szCs w:val="32"/>
    </w:rPr>
  </w:style>
  <w:style w:type="character" w:customStyle="1" w:styleId="30">
    <w:name w:val="副标题 Char"/>
    <w:basedOn w:val="17"/>
    <w:link w:val="14"/>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Char"/>
    <w:basedOn w:val="17"/>
    <w:link w:val="33"/>
    <w:qFormat/>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Char"/>
    <w:basedOn w:val="17"/>
    <w:link w:val="35"/>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Char"/>
    <w:basedOn w:val="17"/>
    <w:link w:val="13"/>
    <w:uiPriority w:val="99"/>
    <w:rPr>
      <w:rFonts w:ascii="Calibri" w:hAnsi="Calibri" w:eastAsia="宋体"/>
      <w:kern w:val="2"/>
      <w:sz w:val="18"/>
      <w:szCs w:val="18"/>
    </w:rPr>
  </w:style>
  <w:style w:type="character" w:customStyle="1" w:styleId="44">
    <w:name w:val="页脚 Char"/>
    <w:basedOn w:val="17"/>
    <w:link w:val="12"/>
    <w:uiPriority w:val="99"/>
    <w:rPr>
      <w:rFonts w:ascii="Calibri" w:hAnsi="Calibri" w:eastAsia="宋体"/>
      <w:kern w:val="2"/>
      <w:sz w:val="18"/>
      <w:szCs w:val="18"/>
    </w:rPr>
  </w:style>
  <w:style w:type="character" w:customStyle="1" w:styleId="45">
    <w:name w:val="批注框文本 Char"/>
    <w:basedOn w:val="17"/>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7961</Words>
  <Characters>8464</Characters>
  <Lines>4</Lines>
  <Paragraphs>1</Paragraphs>
  <TotalTime>2</TotalTime>
  <ScaleCrop>false</ScaleCrop>
  <LinksUpToDate>false</LinksUpToDate>
  <CharactersWithSpaces>8485</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恺（预算处）</dc:creator>
  <cp:lastModifiedBy>巴霍巴利</cp:lastModifiedBy>
  <cp:lastPrinted>2018-12-31T10:56:00Z</cp:lastPrinted>
  <dcterms:modified xsi:type="dcterms:W3CDTF">2025-05-19T11:35:05Z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C734C92AAAF24344A0E4232D8EB3359B</vt:lpwstr>
  </property>
</Properties>
</file>