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BC4B3">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62FC6823">
      <w:pPr>
        <w:spacing w:line="540" w:lineRule="exact"/>
        <w:jc w:val="center"/>
        <w:rPr>
          <w:rFonts w:ascii="华文中宋" w:hAnsi="华文中宋" w:eastAsia="华文中宋" w:cs="宋体"/>
          <w:b/>
          <w:kern w:val="0"/>
          <w:sz w:val="52"/>
          <w:szCs w:val="52"/>
        </w:rPr>
      </w:pPr>
    </w:p>
    <w:p w14:paraId="6B14CEF9">
      <w:pPr>
        <w:spacing w:line="540" w:lineRule="exact"/>
        <w:jc w:val="center"/>
        <w:rPr>
          <w:rFonts w:ascii="华文中宋" w:hAnsi="华文中宋" w:eastAsia="华文中宋" w:cs="宋体"/>
          <w:b/>
          <w:kern w:val="0"/>
          <w:sz w:val="52"/>
          <w:szCs w:val="52"/>
        </w:rPr>
      </w:pPr>
    </w:p>
    <w:p w14:paraId="78447ED6">
      <w:pPr>
        <w:spacing w:line="540" w:lineRule="exact"/>
        <w:jc w:val="center"/>
        <w:rPr>
          <w:rFonts w:ascii="华文中宋" w:hAnsi="华文中宋" w:eastAsia="华文中宋" w:cs="宋体"/>
          <w:b/>
          <w:kern w:val="0"/>
          <w:sz w:val="52"/>
          <w:szCs w:val="52"/>
        </w:rPr>
      </w:pPr>
    </w:p>
    <w:p w14:paraId="1093D491">
      <w:pPr>
        <w:spacing w:line="540" w:lineRule="exact"/>
        <w:jc w:val="center"/>
        <w:rPr>
          <w:rFonts w:ascii="华文中宋" w:hAnsi="华文中宋" w:eastAsia="华文中宋" w:cs="宋体"/>
          <w:b/>
          <w:kern w:val="0"/>
          <w:sz w:val="52"/>
          <w:szCs w:val="52"/>
        </w:rPr>
      </w:pPr>
    </w:p>
    <w:p w14:paraId="6E8BA28E">
      <w:pPr>
        <w:spacing w:line="540" w:lineRule="exact"/>
        <w:jc w:val="center"/>
        <w:rPr>
          <w:rFonts w:ascii="华文中宋" w:hAnsi="华文中宋" w:eastAsia="华文中宋" w:cs="宋体"/>
          <w:b/>
          <w:kern w:val="0"/>
          <w:sz w:val="52"/>
          <w:szCs w:val="52"/>
        </w:rPr>
      </w:pPr>
    </w:p>
    <w:p w14:paraId="5FDD6AA7">
      <w:pPr>
        <w:spacing w:line="540" w:lineRule="exact"/>
        <w:jc w:val="center"/>
        <w:rPr>
          <w:rFonts w:ascii="华文中宋" w:hAnsi="华文中宋" w:eastAsia="华文中宋" w:cs="宋体"/>
          <w:b/>
          <w:kern w:val="0"/>
          <w:sz w:val="52"/>
          <w:szCs w:val="52"/>
        </w:rPr>
      </w:pPr>
    </w:p>
    <w:p w14:paraId="65FA37CD">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0BC9497">
      <w:pPr>
        <w:spacing w:line="540" w:lineRule="exact"/>
        <w:jc w:val="center"/>
        <w:rPr>
          <w:rFonts w:ascii="华文中宋" w:hAnsi="华文中宋" w:eastAsia="华文中宋" w:cs="宋体"/>
          <w:b/>
          <w:kern w:val="0"/>
          <w:sz w:val="52"/>
          <w:szCs w:val="52"/>
        </w:rPr>
      </w:pPr>
    </w:p>
    <w:p w14:paraId="38B9F11B">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98F0806">
      <w:pPr>
        <w:spacing w:line="540" w:lineRule="exact"/>
        <w:jc w:val="center"/>
        <w:rPr>
          <w:rFonts w:hAnsi="宋体" w:eastAsia="仿宋_GB2312" w:cs="宋体"/>
          <w:kern w:val="0"/>
          <w:sz w:val="30"/>
          <w:szCs w:val="30"/>
        </w:rPr>
      </w:pPr>
    </w:p>
    <w:p w14:paraId="4D4A4A40">
      <w:pPr>
        <w:spacing w:line="540" w:lineRule="exact"/>
        <w:jc w:val="center"/>
        <w:rPr>
          <w:rFonts w:hAnsi="宋体" w:eastAsia="仿宋_GB2312" w:cs="宋体"/>
          <w:kern w:val="0"/>
          <w:sz w:val="30"/>
          <w:szCs w:val="30"/>
        </w:rPr>
      </w:pPr>
    </w:p>
    <w:p w14:paraId="3A3821A5">
      <w:pPr>
        <w:spacing w:line="540" w:lineRule="exact"/>
        <w:jc w:val="center"/>
        <w:rPr>
          <w:rFonts w:hAnsi="宋体" w:eastAsia="仿宋_GB2312" w:cs="宋体"/>
          <w:kern w:val="0"/>
          <w:sz w:val="30"/>
          <w:szCs w:val="30"/>
        </w:rPr>
      </w:pPr>
    </w:p>
    <w:p w14:paraId="069066B7">
      <w:pPr>
        <w:spacing w:line="540" w:lineRule="exact"/>
        <w:jc w:val="center"/>
        <w:rPr>
          <w:rFonts w:hAnsi="宋体" w:eastAsia="仿宋_GB2312" w:cs="宋体"/>
          <w:kern w:val="0"/>
          <w:sz w:val="30"/>
          <w:szCs w:val="30"/>
        </w:rPr>
      </w:pPr>
    </w:p>
    <w:p w14:paraId="5A0E1948">
      <w:pPr>
        <w:spacing w:line="540" w:lineRule="exact"/>
        <w:jc w:val="center"/>
        <w:rPr>
          <w:rFonts w:hAnsi="宋体" w:eastAsia="仿宋_GB2312" w:cs="宋体"/>
          <w:kern w:val="0"/>
          <w:sz w:val="30"/>
          <w:szCs w:val="30"/>
        </w:rPr>
      </w:pPr>
    </w:p>
    <w:p w14:paraId="19A848A9">
      <w:pPr>
        <w:spacing w:line="540" w:lineRule="exact"/>
        <w:jc w:val="center"/>
        <w:rPr>
          <w:rFonts w:hAnsi="宋体" w:eastAsia="仿宋_GB2312" w:cs="宋体"/>
          <w:kern w:val="0"/>
          <w:sz w:val="30"/>
          <w:szCs w:val="30"/>
        </w:rPr>
      </w:pPr>
    </w:p>
    <w:p w14:paraId="392348DB">
      <w:pPr>
        <w:spacing w:line="540" w:lineRule="exact"/>
        <w:rPr>
          <w:rFonts w:hAnsi="宋体" w:eastAsia="仿宋_GB2312" w:cs="宋体"/>
          <w:kern w:val="0"/>
          <w:sz w:val="30"/>
          <w:szCs w:val="30"/>
        </w:rPr>
      </w:pPr>
    </w:p>
    <w:p w14:paraId="07EE9144">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665A55A4">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援疆工作经费项目</w:t>
      </w:r>
    </w:p>
    <w:p w14:paraId="6AD535E4">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昌吉回族自治州对口援疆工作领导小组办公室</w:t>
      </w:r>
    </w:p>
    <w:p w14:paraId="1B55BB2E">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昌吉回族自治州对口援疆工作领导小组办公室</w:t>
      </w:r>
    </w:p>
    <w:p w14:paraId="1D785ADB">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韩健</w:t>
      </w:r>
    </w:p>
    <w:p w14:paraId="7AF8AD39">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2024年04月02日</w:t>
      </w:r>
    </w:p>
    <w:p w14:paraId="0217EB23">
      <w:pPr>
        <w:spacing w:line="700" w:lineRule="exact"/>
        <w:ind w:firstLine="708" w:firstLineChars="236"/>
        <w:jc w:val="left"/>
        <w:rPr>
          <w:rFonts w:hAnsi="宋体" w:eastAsia="仿宋_GB2312" w:cs="宋体"/>
          <w:kern w:val="0"/>
          <w:sz w:val="30"/>
          <w:szCs w:val="30"/>
        </w:rPr>
      </w:pPr>
    </w:p>
    <w:p w14:paraId="1A9015EF">
      <w:pPr>
        <w:spacing w:line="540" w:lineRule="exact"/>
        <w:rPr>
          <w:rStyle w:val="18"/>
          <w:rFonts w:ascii="黑体" w:hAnsi="黑体" w:eastAsia="黑体"/>
          <w:b w:val="0"/>
          <w:spacing w:val="-4"/>
          <w:sz w:val="32"/>
          <w:szCs w:val="32"/>
        </w:rPr>
      </w:pPr>
    </w:p>
    <w:p w14:paraId="64655C8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EAA88CE">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001A0C2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口援疆是国家战略，是实现新疆社会稳定与长治久安总目标的重要举措。按照中央安排部署，1999年福建省先行启动对口援疆工作。2010年，第一次全国对口支援新疆工作会议召开，新一轮援疆工作全面开展。福建省继续对口支援我州玛纳斯县（三明市、莆田市）、呼图壁县（龙岩市、宁德市）、昌吉市（泉州市）、吉木萨尔县（厦门市）、奇台县（福州市）和木垒哈萨克自治县（漳州市、南平市），新增山西省对口支援我州阜康市和兵团第六师五家渠市。昌吉州成立了以州党委书记为组长，州长和福建、山西两省前方指挥部指挥长等为副组长的援疆工作领导小组，明确职责分工、保证机构设置、人员配置及时到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（1）项目名称：援疆工作经费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搞好对口支援省市的产业对接，指导各县市援疆办做好产业援疆工作;负责援助资金投资的各类建设项目的审批协调服务及跟踪落实，负责指导州直各项目及各县市项目的组织实施，督促检查项目的进展情况。负责与福建、山西两省援疆前方指挥部、援疆省市援疆办及各县市援疆办的联络工作；服务援疆省市各级领导考察、接待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实施主体：昌吉州对口援疆工作领导小组办公室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 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积极协调福建、山西两省援疆前指，指导县市充分发挥受援地主体作用，持续深入推进以就业为导向的产业援疆、教育援疆、干部人才交流合作、各民族交往交流交融、文化润疆等各领域项目，抓好项目审批、建设等全过程管理，不定期开展指导调研，保障了援疆各项工作顺利开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概述项目实施主体的主要职能和机构设置情况。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根据《关于成立自治州对口援疆工作领导小组办公室的通知》（昌州党机编发〔2012〕34号），成立昌吉回族自治州对口援疆工作领导小组办公室，主要负责自治州对口援疆领导小组的日常事务，负责援疆事项的组织协调工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项目主管单位：昌吉州对口援疆工作领导小组办公室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下设3个科室，分别是：综合业务科、援疆项目科、产业援疆科。编制人数为8人，其中：事业编制8人。实有在职人数8人，其中：事业在职7人、工勤1人。离退休人员0人。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 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本项目预算安排资金总额100万元，资金来源为州财政资金，2023年实际收到预算资金100万元，预算资金到位率为100%。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81.82万元，预算执行率81.82%。本项目资金主要用于支付办公耗材、援疆项目资料印刷支出等办公经费30万元，邀请专家评审、验收援疆项目等劳务费用50万元，援疆项目工作检查、调研经费1.82万元。结余资金额度为18.18万元。</w:t>
      </w:r>
    </w:p>
    <w:p w14:paraId="15474014">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32AD439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援疆办工作经费项目绩效总体目标为：负责搞好对口支援省市的产业对接，指导各县市援疆办做好产业援疆工作;牵头负责援助资金投资的各类建设项目的审批协调服务及跟踪落实，负责指导州直各项目及各县市项目的组织实施，督促检查项目的进展情况。负责与福建、山西两省援疆前方指挥部、援疆省市援疆办及各县市援疆办的联络工作。负责服务援疆省市各级领导考察、接待等工作。2023年工作计划：争取福建援疆项目106个，山西援疆项目13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“争取2023年福建对口支援昌吉州计划实施项目（个）”指标，预期指标值为106个；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“争取2023年山西对口支援昌吉州计划实施项目（个）”指标，预期指标值为13个；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“争取援疆项目资金全部到位率（%）”指标，预期指标值为100%；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“提高援疆项目申报成功率（%）”指标，预期指标值为100%；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“争取援疆项目资金按时到位率（%）”指标，预期指标值为100%；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“争取项目完成及时率（%）”指标，预期指标值为100%；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“办公耗材、援疆项目资料印刷支出等办公经费”指标，预期指标值为小于等于30万元；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“援疆项目工作检查、调研经费”指标，预期指标值为小于等于20万元；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“邀请专家评审、验收援疆项目等劳务费用”指标，预期指标值为小于等于50万元；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本单位不涉及此项指标。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“深化援受双方交流，促进闽晋昌三地交流互鉴，加深中华民族共同体意识”指标，预期指标值为持续；</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“持续改善群众生产生活条件、文化、教育和医疗卫生等方面”指标，预期指标值为长期；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本单位不涉及此项指标。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④可持续影响指标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本单位不涉及此项指标。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（4）相关满意度目标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“机关干部满意度（%）”指标，预期指标值为大于等于90%。</w:t>
      </w:r>
    </w:p>
    <w:p w14:paraId="2E35515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14B3949F">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104D84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援疆项目工作经费”的相关性、预期继续的可实现性、预期绩效的可持续性、财政资金投入的可行性风险等方面进行客观、公正的评估，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w:t>
      </w:r>
    </w:p>
    <w:p w14:paraId="47DB72B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5702F44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4B79A016">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6DE5B6F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4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赵治钧，昌吉州发改委党组书记，援疆办主任（评价小组组长）：主要负责项目策划和监督，全面负责项目绩效评价办稿的最终质量，对评估人员出具的最终报告质量进行复核，确保评估结果的客观性；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李文，昌吉州发改委党组成员、副主任（评价组副组长）：主要负责资料的收集，取证、数据统计分析；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韩健，州援疆办项目科科长（评价组成员）：主要负责主要负责项目报告的制定，指标的研判，数据分析及报告撰写。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2024年3月4日—3月20日，评价工作进入实施阶段。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评价组通过实地调研、查阅资料等方式，采用综合分析法对项目的决策、管理、绩效进行的综合评价分析。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2024年3月20日—3月31日，评价小组按照绩效评价的原则和规范，对取得的资料进行审查核实，对采集的数据进行分析，按照绩效评价指标评分表逐项进行打分、分析、汇总各方评价结果。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2024年4月15日—4月26日，评价小组撰写绩效评价报告，按照新疆维吾尔自治区财政绩效管理信息系统绩效评价模块中统一格式和文本框架撰写绩效评价报告并提交审核。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4952B4D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60FEEF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智力援疆、产业促就业、教育医疗、文化润疆、交往交流交融全面规范、有力有序推进，援疆工作顺利实施。但在实施过程中也存在一些不足：援疆带动就业有待提升，在如何统筹各方力量，形成工作合力，推动产业援疆工作高水平发展，推动援疆省市有比较优势的大企业、大集团来昌投资，带动当地群众就业，实现增收等方面还需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（二）综合评价结论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23个，实现三级指标数量21个，总体完成率为95.26%。最终评分结果：总分为95.72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过程管理类指标共设置5个，满分指标4个，得分率87.89%；</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项目产出类指标共设置9个，满分指标8个，得分率93.33%；</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1B0CE37B">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415B9F5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3126532D">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关于下达昌吉州本级预算单位2023年部门预算的通知》（昌州财建［2023］1号）：“负责搞好对口支援省市的产业对接，指导各县市援疆办做好产业援疆工作;牵头负责援助资金投资的各类建设项目的审批协调服务及跟踪落实，负责指导州直各项目及各县市项目的组织实施，督促检查项目的进展情况。负责与福建、山西两省援疆前方指挥部、援疆省市州援疆办及各县市州援疆办的联络工作。负责服务援疆省市各级领导考察、接待等工作”，符合行业发展规划和政策要求，本项目立项符合《关于成立自治州对口援疆工作领导小组办公室的通知》（昌州党机编发〔2012〕34号）中：“援疆工作领导小组办公室主要负责自治州对口援疆领导小组的日常事务，负责援疆事项的组织协调工作”，属于我单位履职所需；根据《财政资金直接支付申请书》，本项目资金性质为“公共财政预算”功能分类为“2010450事业运行”经济分类为“50201办公经费”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经常性项目，不涉及事前绩效评估、可行性研究以及风险评估，由我单位严格按照《关于下达昌吉州本级预算单位2023年部门预算的通知》（昌州财建［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深入学习贯彻党的二十大精神和习近平总书记视察新疆重要讲话重要指示精神，完整准确贯彻新时代党的治疆方略，认真落实第三次中央新疆工作座谈会和第八次全国对口支援新疆工作会议精神，坚持全面援疆、精准援疆、长期援疆，持续保障和改善民生、务实推进产业发展促进就业、扎实做好文化教育支援、着力促进各民族交往交流交融，满足人民群众期待。积极争取福建、山西援疆资金和项目（福建106个、山西13个），资金到位率实现100%，持续保障和改善民生，促进援受双方民族</w:t>
      </w:r>
      <w:r>
        <w:rPr>
          <w:rStyle w:val="18"/>
          <w:rFonts w:hint="eastAsia" w:ascii="楷体" w:hAnsi="楷体" w:eastAsia="楷体"/>
          <w:b w:val="0"/>
          <w:bCs w:val="0"/>
          <w:spacing w:val="-4"/>
          <w:sz w:val="32"/>
          <w:szCs w:val="32"/>
          <w:lang w:eastAsia="zh-CN"/>
        </w:rPr>
        <w:t>交往交流交融</w:t>
      </w:r>
      <w:r>
        <w:rPr>
          <w:rStyle w:val="18"/>
          <w:rFonts w:hint="eastAsia" w:ascii="楷体" w:hAnsi="楷体" w:eastAsia="楷体"/>
          <w:b w:val="0"/>
          <w:bCs w:val="0"/>
          <w:spacing w:val="-4"/>
          <w:sz w:val="32"/>
          <w:szCs w:val="32"/>
        </w:rPr>
        <w:t>；本项目实际工作内容为：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深入学习贯彻党的二十大精神和习近平总书记视察新疆重要讲话重要指示精神，完整准确贯彻新时代党的治疆方略，认真落实第三次中央新疆工作座谈会和第八次全国对口支援新疆工作会议精神，坚持全面援疆、精准援疆、长期援疆，持续保障和改善民生、务实推进产业发展促进就业、扎实做好文化教育支援、着力促进各民族交往交流交融，满足人民群众期待。2023年积极争取福建、山西援疆项目119个（福</w:t>
      </w:r>
      <w:bookmarkStart w:id="0" w:name="_GoBack"/>
      <w:bookmarkEnd w:id="0"/>
      <w:r>
        <w:rPr>
          <w:rStyle w:val="18"/>
          <w:rFonts w:hint="eastAsia" w:ascii="楷体" w:hAnsi="楷体" w:eastAsia="楷体"/>
          <w:b w:val="0"/>
          <w:bCs w:val="0"/>
          <w:spacing w:val="-4"/>
          <w:sz w:val="32"/>
          <w:szCs w:val="32"/>
        </w:rPr>
        <w:t>建106个、山西13个），开复工率100%，争取援疆资金5.72亿元（福建省4.61亿元，山西省1.11亿元），资金到位率实现100%。深度发掘援受双方产业协作空间和潜力，累计实现招商引资项目落地28个，已落地资金66.7亿元。深入实施教育援疆工程，累计支援实施幼儿园、中小学校和中高职业院校等教育项目9个，改善了受援地办学条件，更好地满足了社会对各类教育的需求。不断提升“三交”活动项目覆盖面，累计开展“手拉手”、融情夏令营活动27场次，参与人数达1200人次。积极推进两地结对共建，助推援疆省市13所三甲医院与昌吉州13所县级以上医院结对共建，有关单位与受援地25个乡镇（街道）、村（社区）建立结对帮扶关系；绩效目标与实际工作内容一致，两者具有相关性;本项目按照绩效目标完成了数量指标、质量指标、时效指标、成本指标，有效保障了援疆各项工作顺利开展，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12个，定量指标10个，定性指标2个，指标量化率为83.33%，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依据《关于下达昌吉州本级预算单位2023年部门预算的通知》（昌州财建［2023］1号）文件编制，结合往年同类型项目情况，按照当年度任务进行分项测算，预算通过人大会议，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预算申请内容为援疆工作相关的各项工作支出，项目实际内容为援疆工作相关的各项工作支出，预算申请内容相匹配；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本项目预算申请资金100万元，我单位在预算申请中严格按照分项成本进行核算，其中：办公耗材、援疆项目资料印刷支出等办公经费</w:t>
      </w:r>
      <w:r>
        <w:rPr>
          <w:rStyle w:val="18"/>
          <w:rFonts w:hint="eastAsia" w:ascii="楷体" w:hAnsi="楷体" w:eastAsia="楷体"/>
          <w:b w:val="0"/>
          <w:bCs w:val="0"/>
          <w:spacing w:val="-4"/>
          <w:sz w:val="32"/>
          <w:szCs w:val="32"/>
        </w:rPr>
        <w:tab/>
        <w:t>30万元、援疆项目工作检查、调研经费20万元、邀请专家评审、验收援疆项目等劳务费用50万元。本项目预算额度测算依据充分，严格按照标准编制，预算确定资金量与实际工作任务相匹配；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根据单位实际情况进行资金分配，办公耗材、援疆项目资料印刷支出等办公经费30万元，援疆项目工作检查、调研经费20万元，邀请专家评审、验收援疆项目等劳务费用50万元，预算资金分配依据充分。根据昌州财建［2023］1号文件显示，本项目实际到位资金100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5F960E80">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B2B21B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项目过程管理类指标由2个二级指标和5个三级指标构成，权重分19.00分，实际得分16.7分。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本项目预算资金为100万元，其中：本级财政安排资金100万元，实际到位资金100万元，资金到位率=（实际到位资金/预算资金）×100.00%=（100/100）×100.00%=100%。得分=100%×3=100%×3=3分。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本项目实际支出资金81.82万元，预算执行率=（实际支出资金/实际到位资金）×100.00%=（81.82/100）×100.00%=81.82%。得分=（实际完成率-60%）/（1-60%）×权重分=2.7分。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综上所述，本指标满分为5.00分，根据评分标准得2.7分，由于2023年度我单位援疆项目工作检查减少、调研减少，援疆项目差旅费、办公费减少，造成工作经费未使用完。</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主管单位州发改委的《资金管理办法》《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遵照执行主管单位州发改委的《昌吉州发改委党组议事规则》《昌吉发改委主任办公会制度》《昌吉州发改委重大工作报告制度》《规范非固定资产投资类援疆项目资金管理的通知》《资金管理办法》《收支业务管理制度》《政府采购业务管理制度》《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遵照执行的项目管理制度和财务管理制度，得出本项目严格按照本单位已有制度并遵照执行。项目资金支出严格按照自治区、地区、市以及本单位资金管理办法执行，项目启动实施后，为了加快本项目的实施，成立了援疆工作小组，由李磊任组长，负责项目的组织工作；王磊任副组长，主要负责项目监督管理、验收以及资金核拨等工作；组员焦彦丽负责项目的实施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2B10C9F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563723A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项目产出类指标由4个二级指标和9个三级指标构成，权重分30.0分，实际得分28分。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“争取2023年福建对口支援昌吉州计划实施项目（个）”指标：预期指标值为“106个”，实际完成指标值为“106个”，指标完成率为100.0%。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“争取2023年山西对口支援昌吉州计划实施固投类项目”指标：预期指标值为“13个”，实际完成指标值为“13个”，指标完成率为100.0%。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“争取援疆项目资金全部到位率”指标，预期指标值为“100%”，实际完成指标值为“100%”，指标完成率为100%。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“提高援疆项目申报成功率”指标，预期指标值为“100%”，实际完成指标值为“100%”，指标完成率为100%。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“争取援疆项目资金按时到位率”指标，预期指标值为“100%”，实际完成指标值为“100%”，指标完成率为100%。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综上所述，本指标满分为4分，根据评分标准得4分。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“争取项目完成及时率”指标，预期指标值为“100%”，实际完成指标值为“100%”，指标完成率为100%。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综上所述，本指标满分为3分，根据评分标准得3分。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“办公耗材、援疆项目资料印刷支出等办公经费”指标，预期指标值为“小于等于30万元”；实际完成指标值为“30万元”，指标完成率为100%。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综上所述，本指标满分为3分，根据评分标准得3分。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援疆项目工作检查、调研经费”指标，预期指标值为“小于等于20万元”；实际完成指标值为“1.82万元”，指标完成率为9.10%，偏差率为90.90%，偏差原因主要为：2023年度我单位援疆项目工作检查减少、调研减少，援疆项目差旅费、办公费减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综上所述，本指标满分为2分，根据评分标准得0分。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“邀请专家评审、验收援疆项目等劳务费用”指标，预期指标值为“小于等于50万元”；实际完成指标值为“50万元”，指标完成率为100%。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综上所述，本指标满分为2分，根据评分标准得2分。</w:t>
      </w:r>
    </w:p>
    <w:p w14:paraId="3FDAB5D0">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5FB6560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“深化援受双方交流，促进闽晋昌三地交流互鉴，加深中华民族共同体意识”指标，预期指标值为“持续”，实际完成值为“持续”，指标完成率为100%。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“持续改善群众生产生活条件、文化、教育和医疗卫生等方面”指标，预期指标值为“长期”，实际完成值为“长期”，指标完成率为100%。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“机关干部满意度（%）”指标，预期指标值为“大于等于90%”，实际完成指标为“90%”，指标完成率为100%。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3E763FF0">
      <w:pPr>
        <w:spacing w:line="540" w:lineRule="exact"/>
        <w:ind w:firstLine="567"/>
        <w:rPr>
          <w:rStyle w:val="18"/>
          <w:rFonts w:ascii="楷体" w:hAnsi="楷体" w:eastAsia="楷体"/>
          <w:spacing w:val="-4"/>
          <w:sz w:val="32"/>
          <w:szCs w:val="32"/>
        </w:rPr>
      </w:pPr>
    </w:p>
    <w:p w14:paraId="6F693280">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78494352">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本项目年初预算资金总额为100万元，全年预算数为81.82万元，全年执行数为81.82万元，预算执行率为81.82%。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本项目共设置三级指标数量23个，满分指标数量21个，扣分指标数量2个，经分析计算所有三级指标完成率得出，本项目总体完成率为95.26 %。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13.44%。主要偏差原因是：2023年度我单位援疆项目工作检查减少、调研减少，援疆项目差旅费、办公费减少，造成工作经费未使用完，预算执行率与总体完成率之间存在偏差。</w:t>
      </w:r>
    </w:p>
    <w:p w14:paraId="083C5917">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132217F7">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对口援疆工作领导小组办公室建立健全了预算管理规章制度，各部门严格按预算编制的原则和要求做好当年预算编制工作，在预算绩效管理工作中，做到合理安排各项资金，重点保障基本支出，按轻重缓急顺序原则，优先安排了昌吉州对口援疆工作领导小组办公室事业发展中关系民生与稳定的项目，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1.援疆带动就业有待提升。在如何统筹各方力量，形成工作合力，推动产业援疆工作高水平发展，推动援疆省市有比较优势的大企业、大集团来昌投资，带动当地群众就业，实现增收等方面还需进一步提升。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2.内控制度不完善，随着资金管理改革的进一步推进，我单位内部机构进行了相应的优化，建立健全了财务管理制度，固定资产管理制度，差旅费报销制度等，但仍需进一步强化财务约束监督体制。</w:t>
      </w:r>
    </w:p>
    <w:p w14:paraId="39C7FAC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1EC12A1C">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1.发挥援疆干部人脉资源，为招商引资搭好桥、铺好路，精准出击抓高端、补短板、强协同，在招商引资时注重产业上下游延伸和配套产业的引进，促进全产业链发展，使企业能够引得进、落得下、发展好。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2.进一步完善单位内控制度，建立完善的财务管理制度，加强财务监督体制，使绩效管理得到进一步优化。</w:t>
      </w:r>
    </w:p>
    <w:p w14:paraId="5079922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22C63F1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5063CA24">
      <w:pPr>
        <w:spacing w:line="540" w:lineRule="exact"/>
        <w:ind w:firstLine="567"/>
        <w:rPr>
          <w:rStyle w:val="18"/>
          <w:rFonts w:ascii="仿宋" w:hAnsi="仿宋" w:eastAsia="仿宋"/>
          <w:b w:val="0"/>
          <w:spacing w:val="-4"/>
          <w:sz w:val="32"/>
          <w:szCs w:val="32"/>
        </w:rPr>
      </w:pPr>
    </w:p>
    <w:p w14:paraId="54CDDD67">
      <w:pPr>
        <w:spacing w:line="540" w:lineRule="exact"/>
        <w:ind w:firstLine="567"/>
        <w:rPr>
          <w:rStyle w:val="18"/>
          <w:rFonts w:ascii="仿宋" w:hAnsi="仿宋" w:eastAsia="仿宋"/>
          <w:b w:val="0"/>
          <w:spacing w:val="-4"/>
          <w:sz w:val="32"/>
          <w:szCs w:val="32"/>
        </w:rPr>
      </w:pPr>
    </w:p>
    <w:p w14:paraId="39DC94A6">
      <w:pPr>
        <w:spacing w:line="540" w:lineRule="exact"/>
        <w:ind w:firstLine="567"/>
        <w:rPr>
          <w:rStyle w:val="18"/>
          <w:rFonts w:ascii="仿宋" w:hAnsi="仿宋" w:eastAsia="仿宋"/>
          <w:b w:val="0"/>
          <w:spacing w:val="-4"/>
          <w:sz w:val="32"/>
          <w:szCs w:val="32"/>
        </w:rPr>
      </w:pPr>
    </w:p>
    <w:p w14:paraId="7653C37B">
      <w:pPr>
        <w:spacing w:line="540" w:lineRule="exact"/>
        <w:ind w:firstLine="567"/>
        <w:rPr>
          <w:rStyle w:val="18"/>
          <w:rFonts w:ascii="仿宋" w:hAnsi="仿宋" w:eastAsia="仿宋"/>
          <w:b w:val="0"/>
          <w:spacing w:val="-4"/>
          <w:sz w:val="32"/>
          <w:szCs w:val="32"/>
        </w:rPr>
      </w:pPr>
    </w:p>
    <w:p w14:paraId="2BB4967A">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AFB27E0">
        <w:pPr>
          <w:pStyle w:val="12"/>
          <w:jc w:val="center"/>
        </w:pPr>
        <w:r>
          <w:fldChar w:fldCharType="begin"/>
        </w:r>
        <w:r>
          <w:instrText xml:space="preserve">PAGE   \* MERGEFORMAT</w:instrText>
        </w:r>
        <w:r>
          <w:fldChar w:fldCharType="separate"/>
        </w:r>
        <w:r>
          <w:rPr>
            <w:lang w:val="zh-CN"/>
          </w:rPr>
          <w:t>2</w:t>
        </w:r>
        <w:r>
          <w:fldChar w:fldCharType="end"/>
        </w:r>
      </w:p>
    </w:sdtContent>
  </w:sdt>
  <w:p w14:paraId="16669EFE">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A6A6E61"/>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9619</Words>
  <Characters>10200</Characters>
  <Lines>4</Lines>
  <Paragraphs>1</Paragraphs>
  <TotalTime>2</TotalTime>
  <ScaleCrop>false</ScaleCrop>
  <LinksUpToDate>false</LinksUpToDate>
  <CharactersWithSpaces>10223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2025-05-19T11:31:40Z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