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7C9C6">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bookmarkStart w:id="18" w:name="_GoBack"/>
      <w:bookmarkEnd w:id="18"/>
    </w:p>
    <w:p w14:paraId="4EB0FDBB">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5B3A9E58">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7781E9F1">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17F3E259">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76778699">
      <w:pPr>
        <w:pageBreakBefore w:val="0"/>
        <w:kinsoku/>
        <w:wordWrap/>
        <w:topLinePunct w:val="0"/>
        <w:autoSpaceDE/>
        <w:autoSpaceDN/>
        <w:bidi w:val="0"/>
        <w:spacing w:line="560" w:lineRule="exact"/>
        <w:jc w:val="center"/>
        <w:textAlignment w:val="auto"/>
        <w:rPr>
          <w:rFonts w:ascii="方正小标宋简体" w:hAnsi="黑体" w:eastAsia="方正小标宋简体" w:cs="黑体"/>
          <w:bCs/>
          <w:sz w:val="48"/>
          <w:szCs w:val="48"/>
        </w:rPr>
      </w:pPr>
      <w:r>
        <w:rPr>
          <w:rFonts w:hint="eastAsia" w:ascii="方正小标宋简体" w:hAnsi="黑体" w:eastAsia="方正小标宋简体" w:cs="黑体"/>
          <w:bCs/>
          <w:sz w:val="48"/>
          <w:szCs w:val="48"/>
        </w:rPr>
        <w:t>项目支出绩效评价报告</w:t>
      </w:r>
    </w:p>
    <w:p w14:paraId="6F7FA526">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083A087F">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651F6690">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60508736">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19B82B00">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5E9380D9">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218A33C7">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47D79DA3">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22319DFD">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05EB849F">
      <w:pPr>
        <w:pageBreakBefore w:val="0"/>
        <w:kinsoku/>
        <w:wordWrap/>
        <w:topLinePunct w:val="0"/>
        <w:autoSpaceDE/>
        <w:autoSpaceDN/>
        <w:bidi w:val="0"/>
        <w:spacing w:line="560" w:lineRule="exact"/>
        <w:ind w:firstLine="960" w:firstLineChars="200"/>
        <w:jc w:val="center"/>
        <w:textAlignment w:val="auto"/>
        <w:rPr>
          <w:rFonts w:ascii="方正小标宋简体" w:hAnsi="黑体" w:eastAsia="方正小标宋简体" w:cs="黑体"/>
          <w:bCs/>
          <w:sz w:val="48"/>
          <w:szCs w:val="48"/>
        </w:rPr>
      </w:pPr>
    </w:p>
    <w:p w14:paraId="11725DAF">
      <w:pPr>
        <w:pageBreakBefore w:val="0"/>
        <w:kinsoku/>
        <w:wordWrap/>
        <w:topLinePunct w:val="0"/>
        <w:autoSpaceDE/>
        <w:autoSpaceDN/>
        <w:bidi w:val="0"/>
        <w:spacing w:line="560" w:lineRule="exact"/>
        <w:ind w:firstLine="600" w:firstLineChars="200"/>
        <w:jc w:val="left"/>
        <w:textAlignment w:val="auto"/>
        <w:rPr>
          <w:rFonts w:ascii="黑体" w:hAnsi="黑体" w:eastAsia="黑体" w:cs="宋体"/>
          <w:sz w:val="30"/>
          <w:szCs w:val="30"/>
        </w:rPr>
      </w:pPr>
      <w:r>
        <w:rPr>
          <w:rFonts w:ascii="黑体" w:hAnsi="黑体" w:eastAsia="黑体" w:cs="宋体"/>
          <w:sz w:val="30"/>
          <w:szCs w:val="30"/>
        </w:rPr>
        <w:t>项目名称：</w:t>
      </w:r>
      <w:r>
        <w:rPr>
          <w:rFonts w:hint="eastAsia" w:ascii="黑体" w:hAnsi="黑体" w:eastAsia="黑体" w:cs="宋体"/>
          <w:sz w:val="30"/>
          <w:szCs w:val="30"/>
        </w:rPr>
        <w:t>昌吉州生态环境保护综合行政执法装备采购项目</w:t>
      </w:r>
    </w:p>
    <w:p w14:paraId="021BF742">
      <w:pPr>
        <w:pageBreakBefore w:val="0"/>
        <w:kinsoku/>
        <w:wordWrap/>
        <w:topLinePunct w:val="0"/>
        <w:autoSpaceDE/>
        <w:autoSpaceDN/>
        <w:bidi w:val="0"/>
        <w:spacing w:line="560" w:lineRule="exact"/>
        <w:ind w:firstLine="600" w:firstLineChars="200"/>
        <w:jc w:val="left"/>
        <w:textAlignment w:val="auto"/>
        <w:rPr>
          <w:rFonts w:hint="eastAsia" w:ascii="黑体" w:hAnsi="黑体" w:eastAsia="黑体" w:cs="仿宋_GB2312"/>
          <w:sz w:val="30"/>
          <w:szCs w:val="30"/>
          <w:lang w:val="en-US" w:eastAsia="zh-CN"/>
        </w:rPr>
      </w:pPr>
      <w:r>
        <w:rPr>
          <w:rFonts w:ascii="黑体" w:hAnsi="黑体" w:eastAsia="黑体" w:cs="宋体"/>
          <w:sz w:val="30"/>
          <w:szCs w:val="30"/>
        </w:rPr>
        <w:t>项目单位：</w:t>
      </w:r>
      <w:r>
        <w:rPr>
          <w:rFonts w:hint="eastAsia" w:ascii="黑体" w:hAnsi="黑体" w:eastAsia="黑体" w:cs="宋体"/>
          <w:sz w:val="30"/>
          <w:szCs w:val="30"/>
        </w:rPr>
        <w:t>昌吉州生态环境保护综合行政执法</w:t>
      </w:r>
      <w:r>
        <w:rPr>
          <w:rFonts w:hint="eastAsia" w:ascii="黑体" w:hAnsi="黑体" w:eastAsia="黑体" w:cs="宋体"/>
          <w:sz w:val="30"/>
          <w:szCs w:val="30"/>
          <w:lang w:eastAsia="zh-CN"/>
        </w:rPr>
        <w:t>支队</w:t>
      </w:r>
    </w:p>
    <w:p w14:paraId="4AA83BF2">
      <w:pPr>
        <w:pageBreakBefore w:val="0"/>
        <w:kinsoku/>
        <w:wordWrap/>
        <w:topLinePunct w:val="0"/>
        <w:autoSpaceDE/>
        <w:autoSpaceDN/>
        <w:bidi w:val="0"/>
        <w:spacing w:line="560" w:lineRule="exact"/>
        <w:ind w:firstLine="600" w:firstLineChars="200"/>
        <w:jc w:val="left"/>
        <w:textAlignment w:val="auto"/>
        <w:rPr>
          <w:rFonts w:hint="eastAsia" w:ascii="黑体" w:hAnsi="黑体" w:eastAsia="黑体" w:cs="宋体"/>
          <w:sz w:val="30"/>
          <w:szCs w:val="30"/>
          <w:lang w:eastAsia="zh-CN"/>
        </w:rPr>
      </w:pPr>
      <w:r>
        <w:rPr>
          <w:rFonts w:ascii="黑体" w:hAnsi="黑体" w:eastAsia="黑体" w:cs="宋体"/>
          <w:sz w:val="30"/>
          <w:szCs w:val="30"/>
        </w:rPr>
        <w:t>主管部门</w:t>
      </w:r>
      <w:r>
        <w:rPr>
          <w:rFonts w:hint="eastAsia" w:ascii="黑体" w:hAnsi="黑体" w:eastAsia="黑体" w:cs="宋体"/>
          <w:sz w:val="30"/>
          <w:szCs w:val="30"/>
        </w:rPr>
        <w:t>：</w:t>
      </w:r>
      <w:r>
        <w:rPr>
          <w:rFonts w:hint="eastAsia" w:ascii="黑体" w:hAnsi="黑体" w:eastAsia="黑体" w:cs="宋体"/>
          <w:sz w:val="30"/>
          <w:szCs w:val="30"/>
          <w:lang w:eastAsia="zh-CN"/>
        </w:rPr>
        <w:t>昌吉回族自治州生态环境局</w:t>
      </w:r>
    </w:p>
    <w:p w14:paraId="468B5596">
      <w:pPr>
        <w:pageBreakBefore w:val="0"/>
        <w:kinsoku/>
        <w:wordWrap/>
        <w:topLinePunct w:val="0"/>
        <w:autoSpaceDE/>
        <w:autoSpaceDN/>
        <w:bidi w:val="0"/>
        <w:spacing w:line="560" w:lineRule="exact"/>
        <w:ind w:firstLine="600" w:firstLineChars="200"/>
        <w:jc w:val="left"/>
        <w:textAlignment w:val="auto"/>
        <w:rPr>
          <w:rFonts w:hint="eastAsia" w:ascii="黑体" w:hAnsi="黑体" w:eastAsia="黑体" w:cs="仿宋_GB2312"/>
          <w:sz w:val="30"/>
          <w:szCs w:val="30"/>
          <w:lang w:eastAsia="zh-CN"/>
        </w:rPr>
      </w:pPr>
      <w:r>
        <w:rPr>
          <w:rFonts w:hint="eastAsia" w:ascii="黑体" w:hAnsi="黑体" w:eastAsia="黑体" w:cs="宋体"/>
          <w:sz w:val="30"/>
          <w:szCs w:val="30"/>
        </w:rPr>
        <w:t>项目负责人</w:t>
      </w:r>
      <w:r>
        <w:rPr>
          <w:rFonts w:ascii="黑体" w:hAnsi="黑体" w:eastAsia="黑体" w:cs="宋体"/>
          <w:sz w:val="30"/>
          <w:szCs w:val="30"/>
        </w:rPr>
        <w:t>：</w:t>
      </w:r>
      <w:r>
        <w:rPr>
          <w:rFonts w:hint="eastAsia" w:ascii="黑体" w:hAnsi="黑体" w:eastAsia="黑体" w:cs="宋体"/>
          <w:sz w:val="30"/>
          <w:szCs w:val="30"/>
          <w:lang w:eastAsia="zh-CN"/>
        </w:rPr>
        <w:t>杨元春</w:t>
      </w:r>
    </w:p>
    <w:p w14:paraId="18AE95ED">
      <w:pPr>
        <w:pageBreakBefore w:val="0"/>
        <w:kinsoku/>
        <w:wordWrap/>
        <w:topLinePunct w:val="0"/>
        <w:autoSpaceDE/>
        <w:autoSpaceDN/>
        <w:bidi w:val="0"/>
        <w:spacing w:line="560" w:lineRule="exact"/>
        <w:ind w:firstLine="600" w:firstLineChars="200"/>
        <w:jc w:val="left"/>
        <w:textAlignment w:val="auto"/>
        <w:rPr>
          <w:rFonts w:hint="eastAsia" w:ascii="黑体" w:hAnsi="黑体" w:eastAsia="黑体" w:cs="宋体"/>
          <w:sz w:val="30"/>
          <w:szCs w:val="30"/>
          <w:lang w:val="en-US" w:eastAsia="zh-CN"/>
        </w:rPr>
      </w:pPr>
      <w:r>
        <w:rPr>
          <w:rFonts w:hint="eastAsia" w:ascii="黑体" w:hAnsi="黑体" w:eastAsia="黑体" w:cs="宋体"/>
          <w:sz w:val="30"/>
          <w:szCs w:val="30"/>
        </w:rPr>
        <w:t>填报时间：</w:t>
      </w:r>
      <w:r>
        <w:rPr>
          <w:rFonts w:hint="eastAsia" w:ascii="黑体" w:hAnsi="黑体" w:eastAsia="黑体" w:cs="宋体"/>
          <w:sz w:val="30"/>
          <w:szCs w:val="30"/>
          <w:lang w:val="en-US" w:eastAsia="zh-CN"/>
        </w:rPr>
        <w:t>2023年4月14日</w:t>
      </w:r>
    </w:p>
    <w:p w14:paraId="2A98D2E5">
      <w:pPr>
        <w:pageBreakBefore w:val="0"/>
        <w:kinsoku/>
        <w:wordWrap/>
        <w:topLinePunct w:val="0"/>
        <w:autoSpaceDE/>
        <w:autoSpaceDN/>
        <w:bidi w:val="0"/>
        <w:spacing w:line="560" w:lineRule="exact"/>
        <w:jc w:val="left"/>
        <w:textAlignment w:val="auto"/>
        <w:rPr>
          <w:rFonts w:hint="eastAsia" w:ascii="黑体" w:hAnsi="黑体" w:eastAsia="黑体" w:cs="宋体"/>
          <w:sz w:val="30"/>
          <w:szCs w:val="30"/>
          <w:lang w:val="en-US" w:eastAsia="zh-CN"/>
        </w:rPr>
      </w:pPr>
    </w:p>
    <w:p w14:paraId="477B02E6">
      <w:pPr>
        <w:pageBreakBefore w:val="0"/>
        <w:kinsoku/>
        <w:wordWrap/>
        <w:topLinePunct w:val="0"/>
        <w:autoSpaceDE/>
        <w:autoSpaceDN/>
        <w:bidi w:val="0"/>
        <w:spacing w:line="560" w:lineRule="exact"/>
        <w:jc w:val="left"/>
        <w:textAlignment w:val="auto"/>
        <w:rPr>
          <w:rFonts w:hint="default" w:ascii="黑体" w:hAnsi="黑体" w:eastAsia="黑体" w:cs="宋体"/>
          <w:sz w:val="30"/>
          <w:szCs w:val="30"/>
          <w:lang w:val="en-US" w:eastAsia="zh-CN"/>
        </w:rPr>
      </w:pPr>
    </w:p>
    <w:p w14:paraId="54C83450">
      <w:pPr>
        <w:pageBreakBefore w:val="0"/>
        <w:kinsoku/>
        <w:wordWrap/>
        <w:topLinePunct w:val="0"/>
        <w:autoSpaceDE/>
        <w:autoSpaceDN/>
        <w:bidi w:val="0"/>
        <w:spacing w:line="560" w:lineRule="exact"/>
        <w:textAlignment w:val="auto"/>
        <w:rPr>
          <w:rFonts w:ascii="黑体" w:hAnsi="黑体" w:eastAsia="黑体" w:cs="仿宋_GB2312"/>
          <w:sz w:val="30"/>
          <w:szCs w:val="30"/>
        </w:rPr>
      </w:pPr>
    </w:p>
    <w:p w14:paraId="3AD668EF">
      <w:pPr>
        <w:pageBreakBefore w:val="0"/>
        <w:kinsoku/>
        <w:wordWrap/>
        <w:topLinePunct w:val="0"/>
        <w:autoSpaceDE/>
        <w:autoSpaceDN/>
        <w:bidi w:val="0"/>
        <w:spacing w:after="100" w:afterAutospacing="1" w:line="560" w:lineRule="exact"/>
        <w:ind w:firstLine="880" w:firstLineChars="200"/>
        <w:jc w:val="center"/>
        <w:textAlignment w:val="auto"/>
        <w:rPr>
          <w:rFonts w:ascii="方正小标宋_GBK" w:hAnsi="黑体" w:eastAsia="方正小标宋_GBK" w:cs="黑体"/>
          <w:bCs/>
          <w:sz w:val="44"/>
          <w:szCs w:val="44"/>
        </w:rPr>
      </w:pPr>
      <w:r>
        <w:rPr>
          <w:rFonts w:hint="eastAsia" w:ascii="方正小标宋_GBK" w:hAnsi="黑体" w:eastAsia="方正小标宋_GBK" w:cs="黑体"/>
          <w:bCs/>
          <w:sz w:val="44"/>
          <w:szCs w:val="44"/>
        </w:rPr>
        <w:t>项目支出绩效评价报告</w:t>
      </w:r>
    </w:p>
    <w:p w14:paraId="1DD7A086">
      <w:pPr>
        <w:keepNext/>
        <w:keepLines/>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一、基本情况</w:t>
      </w:r>
    </w:p>
    <w:p w14:paraId="165AC745">
      <w:pPr>
        <w:keepNext/>
        <w:keepLines/>
        <w:pageBreakBefore w:val="0"/>
        <w:kinsoku/>
        <w:wordWrap/>
        <w:topLinePunct w:val="0"/>
        <w:autoSpaceDE/>
        <w:autoSpaceDN/>
        <w:bidi w:val="0"/>
        <w:spacing w:line="560" w:lineRule="exact"/>
        <w:ind w:firstLine="643" w:firstLineChars="200"/>
        <w:textAlignment w:val="auto"/>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（一）项目概况</w:t>
      </w:r>
    </w:p>
    <w:p w14:paraId="66BD0FBE">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项目背景</w:t>
      </w:r>
    </w:p>
    <w:p w14:paraId="15AA6F6B">
      <w:pPr>
        <w:pageBreakBefore w:val="0"/>
        <w:kinsoku/>
        <w:wordWrap/>
        <w:topLinePunct w:val="0"/>
        <w:autoSpaceDE/>
        <w:autoSpaceDN/>
        <w:bidi w:val="0"/>
        <w:spacing w:line="560" w:lineRule="exact"/>
        <w:ind w:firstLine="640" w:firstLineChars="200"/>
        <w:textAlignment w:val="auto"/>
        <w:rPr>
          <w:rFonts w:ascii="宋体" w:hAnsi="宋体" w:eastAsia="宋体" w:cs="宋体"/>
          <w:sz w:val="28"/>
          <w:szCs w:val="28"/>
        </w:rPr>
      </w:pPr>
      <w:r>
        <w:rPr>
          <w:rFonts w:hint="eastAsia" w:ascii="Times New Roman" w:hAnsi="Times New Roman" w:eastAsia="仿宋_GB2312" w:cs="Times New Roman"/>
          <w:sz w:val="32"/>
          <w:szCs w:val="32"/>
        </w:rPr>
        <w:t>根</w:t>
      </w:r>
      <w:r>
        <w:rPr>
          <w:rFonts w:hint="eastAsia" w:ascii="Times New Roman" w:hAnsi="Times New Roman" w:eastAsia="仿宋_GB2312" w:cs="Times New Roman"/>
          <w:sz w:val="32"/>
          <w:szCs w:val="32"/>
          <w:highlight w:val="none"/>
        </w:rPr>
        <w:t>据（</w:t>
      </w:r>
      <w:r>
        <w:rPr>
          <w:rFonts w:hint="eastAsia" w:ascii="仿宋_GB2312" w:hAnsi="仿宋_GB2312" w:eastAsia="仿宋_GB2312" w:cs="仿宋_GB2312"/>
          <w:sz w:val="32"/>
          <w:szCs w:val="32"/>
          <w:highlight w:val="none"/>
          <w:lang w:val="en-US" w:eastAsia="zh-CN"/>
        </w:rPr>
        <w:t>《昌吉州党委财经委员会2022年第二次会议纪要》（昌州党财（2022）2号）</w:t>
      </w:r>
      <w:r>
        <w:rPr>
          <w:rFonts w:hint="eastAsia" w:ascii="Times New Roman" w:hAnsi="Times New Roman" w:eastAsia="仿宋_GB2312" w:cs="Times New Roman"/>
          <w:sz w:val="32"/>
          <w:szCs w:val="32"/>
          <w:highlight w:val="none"/>
        </w:rPr>
        <w:t>）文</w:t>
      </w:r>
      <w:r>
        <w:rPr>
          <w:rFonts w:hint="eastAsia" w:ascii="Times New Roman" w:hAnsi="Times New Roman" w:eastAsia="仿宋_GB2312" w:cs="Times New Roman"/>
          <w:sz w:val="32"/>
          <w:szCs w:val="32"/>
        </w:rPr>
        <w:t>件要求，</w:t>
      </w:r>
      <w:r>
        <w:rPr>
          <w:rFonts w:hint="eastAsia" w:ascii="仿宋_GB2312" w:hAnsi="仿宋_GB2312" w:eastAsia="仿宋_GB2312" w:cs="仿宋_GB2312"/>
          <w:sz w:val="32"/>
          <w:szCs w:val="32"/>
        </w:rPr>
        <w:t>为贯彻落实</w:t>
      </w:r>
      <w:r>
        <w:rPr>
          <w:rFonts w:hint="eastAsia" w:ascii="仿宋_GB2312" w:hAnsi="仿宋_GB2312" w:eastAsia="仿宋_GB2312" w:cs="仿宋_GB2312"/>
          <w:sz w:val="32"/>
          <w:szCs w:val="32"/>
          <w:lang w:val="en-US" w:eastAsia="zh-CN"/>
        </w:rPr>
        <w:t>自治区生态环境厅《关于印发&lt;自治区生态环境保护综合行政执法装备标准化建设工作方案&gt;和&lt;自治区生态环境保护综合行政执法装备标准化建设配备标准（2020版）&gt;的通知》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新</w:t>
      </w:r>
      <w:r>
        <w:rPr>
          <w:rFonts w:hint="eastAsia" w:ascii="仿宋_GB2312" w:hAnsi="仿宋_GB2312" w:eastAsia="仿宋_GB2312" w:cs="仿宋_GB2312"/>
          <w:sz w:val="32"/>
          <w:szCs w:val="32"/>
        </w:rPr>
        <w:t>环执法</w:t>
      </w:r>
      <w:r>
        <w:rPr>
          <w:rFonts w:hint="eastAsia" w:ascii="仿宋_GB2312" w:hAnsi="仿宋_GB2312" w:eastAsia="仿宋_GB2312" w:cs="仿宋_GB2312"/>
          <w:sz w:val="32"/>
          <w:szCs w:val="32"/>
          <w:lang w:val="en-US" w:eastAsia="zh-CN"/>
        </w:rPr>
        <w:t>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文件精神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努力建设规范化、标准化、专业化的生态环境保护人才队伍，进一步</w:t>
      </w:r>
      <w:r>
        <w:rPr>
          <w:rFonts w:hint="eastAsia" w:ascii="仿宋_GB2312" w:hAnsi="仿宋_GB2312" w:eastAsia="仿宋_GB2312" w:cs="仿宋_GB2312"/>
          <w:sz w:val="32"/>
          <w:szCs w:val="32"/>
        </w:rPr>
        <w:t>提升执法监管能力</w:t>
      </w:r>
      <w:r>
        <w:rPr>
          <w:rFonts w:hint="eastAsia" w:ascii="仿宋_GB2312" w:hAnsi="宋体" w:eastAsia="仿宋_GB2312" w:cs="宋体"/>
          <w:sz w:val="32"/>
          <w:szCs w:val="32"/>
        </w:rPr>
        <w:t>。</w:t>
      </w:r>
    </w:p>
    <w:p w14:paraId="7DD7468C">
      <w:pPr>
        <w:pageBreakBefore w:val="0"/>
        <w:kinsoku/>
        <w:wordWrap/>
        <w:topLinePunct w:val="0"/>
        <w:autoSpaceDE/>
        <w:autoSpaceDN/>
        <w:bidi w:val="0"/>
        <w:spacing w:line="560" w:lineRule="exact"/>
        <w:ind w:firstLine="643" w:firstLineChars="200"/>
        <w:textAlignment w:val="auto"/>
        <w:rPr>
          <w:rFonts w:ascii="仿宋_GB2312" w:hAnsi="仿宋_GB2312" w:eastAsia="仿宋_GB2312" w:cs="Times New Roman"/>
          <w:b/>
          <w:bCs/>
          <w:kern w:val="0"/>
          <w:sz w:val="32"/>
          <w:szCs w:val="32"/>
        </w:rPr>
      </w:pPr>
      <w:r>
        <w:rPr>
          <w:rFonts w:hint="eastAsia" w:ascii="仿宋_GB2312" w:hAnsi="仿宋_GB2312" w:eastAsia="仿宋_GB2312" w:cs="Times New Roman"/>
          <w:b/>
          <w:bCs/>
          <w:kern w:val="0"/>
          <w:sz w:val="32"/>
          <w:szCs w:val="32"/>
        </w:rPr>
        <w:t>2.</w:t>
      </w:r>
      <w:r>
        <w:rPr>
          <w:rFonts w:hint="eastAsia" w:ascii="仿宋_GB2312" w:hAnsi="仿宋_GB2312" w:eastAsia="仿宋_GB2312" w:cs="Times New Roman"/>
          <w:b/>
          <w:bCs/>
          <w:kern w:val="0"/>
          <w:sz w:val="32"/>
          <w:szCs w:val="32"/>
          <w:lang w:eastAsia="zh-Hans"/>
        </w:rPr>
        <w:t>项目</w:t>
      </w:r>
      <w:r>
        <w:rPr>
          <w:rFonts w:hint="eastAsia" w:ascii="仿宋_GB2312" w:hAnsi="仿宋_GB2312" w:eastAsia="仿宋_GB2312" w:cs="Times New Roman"/>
          <w:b/>
          <w:bCs/>
          <w:kern w:val="0"/>
          <w:sz w:val="32"/>
          <w:szCs w:val="32"/>
        </w:rPr>
        <w:t>主要内容及实施情况</w:t>
      </w:r>
    </w:p>
    <w:p w14:paraId="222FC3B0">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rPr>
        <w:t>本项目主要</w:t>
      </w:r>
      <w:r>
        <w:rPr>
          <w:rFonts w:hint="eastAsia" w:ascii="Times New Roman" w:hAnsi="Times New Roman" w:eastAsia="仿宋_GB2312" w:cs="Times New Roman"/>
          <w:sz w:val="32"/>
          <w:szCs w:val="32"/>
          <w:lang w:eastAsia="zh-Hans"/>
        </w:rPr>
        <w:t>内容为</w:t>
      </w:r>
      <w:r>
        <w:rPr>
          <w:rFonts w:hint="eastAsia" w:ascii="Times New Roman" w:hAnsi="Times New Roman" w:eastAsia="仿宋_GB2312" w:cs="Times New Roman"/>
          <w:sz w:val="32"/>
          <w:szCs w:val="32"/>
          <w:highlight w:val="none"/>
          <w:lang w:eastAsia="zh-CN"/>
        </w:rPr>
        <w:t>采购执法装备</w:t>
      </w:r>
      <w:r>
        <w:rPr>
          <w:rFonts w:hint="eastAsia" w:ascii="Times New Roman" w:hAnsi="Times New Roman" w:eastAsia="仿宋_GB2312" w:cs="Times New Roman"/>
          <w:sz w:val="32"/>
          <w:szCs w:val="32"/>
          <w:highlight w:val="none"/>
          <w:lang w:val="en-US" w:eastAsia="zh-CN"/>
        </w:rPr>
        <w:t>55件/台，其中：个人防护包34个，辐射防护设备2个，含常见土壤重金属快检试剂包3个，便携打印机8台，便携式氢火焰离子化检测仪（PID+FID）1台，恶臭监测仪1台，热成像夜视仪1台，便携式卫星电话1部，车载样品保存设备2台，车载电源转换器2个</w:t>
      </w:r>
      <w:r>
        <w:rPr>
          <w:rFonts w:hint="eastAsia" w:ascii="Times New Roman" w:hAnsi="Times New Roman" w:eastAsia="仿宋_GB2312" w:cs="Times New Roman"/>
          <w:sz w:val="32"/>
          <w:szCs w:val="32"/>
          <w:highlight w:val="none"/>
        </w:rPr>
        <w:t>。</w:t>
      </w:r>
    </w:p>
    <w:p w14:paraId="65C5BD25">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highlight w:val="none"/>
        </w:rPr>
        <w:t>项目的实施提高了</w:t>
      </w:r>
      <w:r>
        <w:rPr>
          <w:rFonts w:hint="eastAsia" w:ascii="Times New Roman" w:hAnsi="Times New Roman" w:eastAsia="仿宋_GB2312" w:cs="Times New Roman"/>
          <w:sz w:val="32"/>
          <w:szCs w:val="32"/>
          <w:highlight w:val="none"/>
          <w:lang w:eastAsia="zh-CN"/>
        </w:rPr>
        <w:t>生态环境保护综合行政执法</w:t>
      </w:r>
      <w:r>
        <w:rPr>
          <w:rFonts w:hint="eastAsia" w:ascii="Times New Roman" w:hAnsi="Times New Roman" w:eastAsia="仿宋_GB2312" w:cs="Times New Roman"/>
          <w:sz w:val="32"/>
          <w:szCs w:val="32"/>
          <w:highlight w:val="none"/>
        </w:rPr>
        <w:t>水平，提升了</w:t>
      </w:r>
      <w:r>
        <w:rPr>
          <w:rFonts w:hint="eastAsia" w:ascii="Times New Roman" w:hAnsi="Times New Roman" w:eastAsia="仿宋_GB2312" w:cs="Times New Roman"/>
          <w:sz w:val="32"/>
          <w:szCs w:val="32"/>
          <w:highlight w:val="none"/>
          <w:lang w:eastAsia="zh-CN"/>
        </w:rPr>
        <w:t>查处环境违法行为</w:t>
      </w:r>
      <w:r>
        <w:rPr>
          <w:rFonts w:hint="eastAsia" w:ascii="Times New Roman" w:hAnsi="Times New Roman" w:eastAsia="仿宋_GB2312" w:cs="Times New Roman"/>
          <w:sz w:val="32"/>
          <w:szCs w:val="32"/>
          <w:highlight w:val="none"/>
        </w:rPr>
        <w:t>能力，</w:t>
      </w:r>
      <w:r>
        <w:rPr>
          <w:rFonts w:hint="eastAsia" w:ascii="Times New Roman" w:hAnsi="Times New Roman" w:eastAsia="仿宋_GB2312" w:cs="Times New Roman"/>
          <w:sz w:val="32"/>
          <w:szCs w:val="32"/>
          <w:highlight w:val="none"/>
          <w:lang w:eastAsia="zh-CN"/>
        </w:rPr>
        <w:t>保护了执法人员的个人安全</w:t>
      </w:r>
      <w:r>
        <w:rPr>
          <w:rFonts w:hint="eastAsia" w:ascii="Times New Roman" w:hAnsi="Times New Roman" w:eastAsia="仿宋_GB2312" w:cs="Times New Roman"/>
          <w:sz w:val="32"/>
          <w:szCs w:val="32"/>
          <w:highlight w:val="none"/>
        </w:rPr>
        <w:t>。我</w:t>
      </w:r>
      <w:r>
        <w:rPr>
          <w:rFonts w:hint="eastAsia" w:ascii="Times New Roman" w:hAnsi="Times New Roman" w:eastAsia="仿宋_GB2312" w:cs="Times New Roman"/>
          <w:sz w:val="32"/>
          <w:szCs w:val="32"/>
          <w:highlight w:val="none"/>
          <w:lang w:eastAsia="zh-CN"/>
        </w:rPr>
        <w:t>单位</w:t>
      </w:r>
      <w:r>
        <w:rPr>
          <w:rFonts w:hint="eastAsia" w:ascii="Times New Roman" w:hAnsi="Times New Roman" w:eastAsia="仿宋_GB2312" w:cs="Times New Roman"/>
          <w:sz w:val="32"/>
          <w:szCs w:val="32"/>
          <w:highlight w:val="none"/>
        </w:rPr>
        <w:t>在执法装备采购项目中</w:t>
      </w:r>
      <w:r>
        <w:rPr>
          <w:rFonts w:hint="eastAsia" w:ascii="仿宋_GB2312" w:hAnsi="仿宋_GB2312" w:eastAsia="仿宋_GB2312" w:cs="仿宋_GB2312"/>
          <w:sz w:val="32"/>
          <w:szCs w:val="32"/>
        </w:rPr>
        <w:t>提升执法监管能力</w:t>
      </w:r>
      <w:r>
        <w:rPr>
          <w:rFonts w:hint="eastAsia" w:ascii="仿宋_GB2312" w:hAnsi="仿宋_GB2312" w:eastAsia="仿宋_GB2312" w:cs="仿宋_GB2312"/>
          <w:sz w:val="32"/>
          <w:szCs w:val="32"/>
          <w:lang w:eastAsia="zh-CN"/>
        </w:rPr>
        <w:t>，促进了</w:t>
      </w:r>
      <w:r>
        <w:rPr>
          <w:rFonts w:hint="eastAsia" w:ascii="仿宋_GB2312" w:hAnsi="仿宋_GB2312" w:eastAsia="仿宋_GB2312" w:cs="仿宋_GB2312"/>
          <w:sz w:val="32"/>
          <w:szCs w:val="32"/>
          <w:lang w:val="en-US" w:eastAsia="zh-CN"/>
        </w:rPr>
        <w:t>生态环境保护人才队伍规范化、标准化建设。</w:t>
      </w:r>
    </w:p>
    <w:p w14:paraId="28FD24A1">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项目实施主体</w:t>
      </w:r>
    </w:p>
    <w:p w14:paraId="503A07DF">
      <w:pPr>
        <w:pageBreakBefore w:val="0"/>
        <w:widowControl/>
        <w:kinsoku/>
        <w:wordWrap/>
        <w:topLinePunct w:val="0"/>
        <w:autoSpaceDE/>
        <w:autoSpaceDN/>
        <w:bidi w:val="0"/>
        <w:spacing w:line="560" w:lineRule="exact"/>
        <w:ind w:firstLine="640" w:firstLineChars="200"/>
        <w:jc w:val="left"/>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Hans"/>
        </w:rPr>
        <w:t>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Hans"/>
        </w:rPr>
        <w:t>年昌吉州生态环境保护综合行政执法装备采购项目的实施主体为昌吉州生态环境保护综合行政执法</w:t>
      </w:r>
      <w:r>
        <w:rPr>
          <w:rFonts w:hint="eastAsia" w:ascii="仿宋_GB2312" w:hAnsi="仿宋_GB2312" w:eastAsia="仿宋_GB2312" w:cs="仿宋_GB2312"/>
          <w:sz w:val="32"/>
          <w:szCs w:val="32"/>
          <w:highlight w:val="none"/>
          <w:lang w:eastAsia="zh-CN"/>
        </w:rPr>
        <w:t>支队</w:t>
      </w:r>
      <w:r>
        <w:rPr>
          <w:rFonts w:hint="eastAsia" w:ascii="仿宋_GB2312" w:hAnsi="仿宋_GB2312" w:eastAsia="仿宋_GB2312" w:cs="仿宋_GB2312"/>
          <w:sz w:val="32"/>
          <w:szCs w:val="32"/>
          <w:highlight w:val="none"/>
          <w:lang w:eastAsia="zh-Hans"/>
        </w:rPr>
        <w:t>，</w:t>
      </w:r>
      <w:r>
        <w:rPr>
          <w:rFonts w:hint="eastAsia" w:ascii="仿宋_GB2312" w:hAnsi="仿宋_GB2312" w:eastAsia="仿宋_GB2312" w:cs="仿宋_GB2312"/>
          <w:sz w:val="32"/>
          <w:szCs w:val="32"/>
          <w:highlight w:val="none"/>
        </w:rPr>
        <w:t>该单位纳入202</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年部门决算编制范围。</w:t>
      </w:r>
    </w:p>
    <w:p w14:paraId="6F0ADD3E">
      <w:pPr>
        <w:pageBreakBefore w:val="0"/>
        <w:kinsoku/>
        <w:wordWrap/>
        <w:topLinePunct w:val="0"/>
        <w:autoSpaceDE/>
        <w:autoSpaceDN/>
        <w:bidi w:val="0"/>
        <w:spacing w:line="560" w:lineRule="exact"/>
        <w:ind w:firstLine="640" w:firstLineChars="200"/>
        <w:textAlignment w:val="auto"/>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编制数为</w:t>
      </w:r>
      <w:r>
        <w:rPr>
          <w:rFonts w:hint="eastAsia" w:ascii="仿宋_GB2312" w:hAnsi="仿宋_GB2312" w:eastAsia="仿宋_GB2312" w:cs="仿宋_GB2312"/>
          <w:sz w:val="32"/>
          <w:szCs w:val="32"/>
          <w:highlight w:val="none"/>
          <w:lang w:val="en-US" w:eastAsia="zh-CN"/>
        </w:rPr>
        <w:t>34</w:t>
      </w:r>
      <w:r>
        <w:rPr>
          <w:rFonts w:hint="eastAsia" w:ascii="仿宋_GB2312" w:hAnsi="仿宋_GB2312" w:eastAsia="仿宋_GB2312" w:cs="仿宋_GB2312"/>
          <w:sz w:val="32"/>
          <w:szCs w:val="32"/>
          <w:highlight w:val="none"/>
          <w:lang w:eastAsia="zh-CN"/>
        </w:rPr>
        <w:t>名</w:t>
      </w:r>
      <w:r>
        <w:rPr>
          <w:rFonts w:hint="eastAsia" w:ascii="仿宋_GB2312" w:hAnsi="仿宋_GB2312" w:eastAsia="仿宋_GB2312" w:cs="仿宋_GB2312"/>
          <w:sz w:val="32"/>
          <w:szCs w:val="32"/>
          <w:highlight w:val="none"/>
        </w:rPr>
        <w:t>，其中：</w:t>
      </w:r>
      <w:r>
        <w:rPr>
          <w:rFonts w:hint="eastAsia" w:ascii="仿宋_GB2312" w:hAnsi="仿宋_GB2312" w:eastAsia="仿宋_GB2312" w:cs="仿宋_GB2312"/>
          <w:sz w:val="32"/>
          <w:szCs w:val="32"/>
          <w:highlight w:val="none"/>
          <w:lang w:eastAsia="zh-CN"/>
        </w:rPr>
        <w:t>参公</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人、工勤2人、事业编制</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人。实有在职人数</w:t>
      </w:r>
      <w:r>
        <w:rPr>
          <w:rFonts w:hint="eastAsia" w:ascii="仿宋_GB2312" w:hAnsi="仿宋_GB2312" w:eastAsia="仿宋_GB2312" w:cs="仿宋_GB2312"/>
          <w:sz w:val="32"/>
          <w:szCs w:val="32"/>
          <w:highlight w:val="none"/>
          <w:lang w:val="en-US" w:eastAsia="zh-CN"/>
        </w:rPr>
        <w:t>33</w:t>
      </w:r>
      <w:r>
        <w:rPr>
          <w:rFonts w:hint="eastAsia" w:ascii="仿宋_GB2312" w:hAnsi="仿宋_GB2312" w:eastAsia="仿宋_GB2312" w:cs="仿宋_GB2312"/>
          <w:sz w:val="32"/>
          <w:szCs w:val="32"/>
          <w:highlight w:val="none"/>
        </w:rPr>
        <w:t>人，其中：参公</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人、工勤</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人、事业在职</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人。</w:t>
      </w:r>
    </w:p>
    <w:p w14:paraId="646372C0">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w:t>
      </w:r>
      <w:r>
        <w:rPr>
          <w:rFonts w:ascii="Times New Roman" w:hAnsi="Times New Roman" w:eastAsia="仿宋_GB2312" w:cs="仿宋_GB2312"/>
          <w:b/>
          <w:bCs/>
          <w:sz w:val="32"/>
          <w:szCs w:val="32"/>
        </w:rPr>
        <w:t xml:space="preserve"> </w:t>
      </w:r>
      <w:r>
        <w:rPr>
          <w:rFonts w:hint="eastAsia" w:ascii="Times New Roman" w:hAnsi="Times New Roman" w:eastAsia="仿宋_GB2312" w:cs="仿宋_GB2312"/>
          <w:b/>
          <w:bCs/>
          <w:sz w:val="32"/>
          <w:szCs w:val="32"/>
        </w:rPr>
        <w:t>资金投入和使用情况</w:t>
      </w:r>
    </w:p>
    <w:p w14:paraId="61C1F7B5">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）项目资金安排落实、总投入情况</w:t>
      </w:r>
    </w:p>
    <w:p w14:paraId="2D7D6148">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lang w:val="en-US" w:eastAsia="zh-CN"/>
        </w:rPr>
        <w:t>《昌吉州党委财经委员会2022年第二次会议纪要》（昌州党财（2022）2号）</w:t>
      </w:r>
      <w:r>
        <w:rPr>
          <w:rFonts w:hint="eastAsia" w:ascii="仿宋_GB2312" w:hAnsi="仿宋_GB2312" w:eastAsia="仿宋_GB2312" w:cs="仿宋_GB2312"/>
          <w:sz w:val="32"/>
          <w:szCs w:val="32"/>
          <w:lang w:eastAsia="zh-Hans"/>
        </w:rPr>
        <w:t>文件，</w:t>
      </w:r>
      <w:r>
        <w:rPr>
          <w:rFonts w:hint="eastAsia" w:ascii="仿宋_GB2312" w:hAnsi="仿宋_GB2312" w:eastAsia="仿宋_GB2312" w:cs="仿宋_GB2312"/>
          <w:sz w:val="32"/>
          <w:szCs w:val="32"/>
        </w:rPr>
        <w:t>下达2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highlight w:val="none"/>
          <w:lang w:eastAsia="zh-Hans"/>
        </w:rPr>
        <w:t>昌吉州生态环境保护综合行政执法装备采购</w:t>
      </w:r>
      <w:r>
        <w:rPr>
          <w:rFonts w:hint="eastAsia" w:ascii="仿宋_GB2312" w:hAnsi="仿宋_GB2312" w:eastAsia="仿宋_GB2312" w:cs="仿宋_GB2312"/>
          <w:sz w:val="32"/>
          <w:szCs w:val="32"/>
        </w:rPr>
        <w:t>项目资金，预算安排资金总额</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万元，其中财政资金</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万元、其他资金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年实际收到预算资金</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万元，预算资金到位率为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5F09C3A7">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）项目资金实际使用情况</w:t>
      </w:r>
    </w:p>
    <w:p w14:paraId="19711FCD">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rPr>
        <w:t>截至2</w:t>
      </w:r>
      <w:r>
        <w:rPr>
          <w:rFonts w:hint="eastAsia" w:ascii="仿宋_GB2312" w:hAnsi="仿宋_GB2312" w:eastAsia="仿宋_GB2312" w:cs="仿宋_GB2312"/>
          <w:sz w:val="32"/>
          <w:szCs w:val="32"/>
          <w:lang w:eastAsia="zh-Hans"/>
        </w:rPr>
        <w:t>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Hans"/>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lang w:eastAsia="zh-Hans"/>
        </w:rPr>
        <w:t>月31日，本项目实际支付资金</w:t>
      </w:r>
      <w:r>
        <w:rPr>
          <w:rFonts w:hint="eastAsia" w:ascii="仿宋_GB2312" w:hAnsi="仿宋_GB2312" w:eastAsia="仿宋_GB2312" w:cs="仿宋_GB2312"/>
          <w:sz w:val="32"/>
          <w:szCs w:val="32"/>
          <w:lang w:val="en-US" w:eastAsia="zh-CN"/>
        </w:rPr>
        <w:t>47.83</w:t>
      </w:r>
      <w:r>
        <w:rPr>
          <w:rFonts w:hint="eastAsia" w:ascii="仿宋_GB2312" w:hAnsi="仿宋_GB2312" w:eastAsia="仿宋_GB2312" w:cs="仿宋_GB2312"/>
          <w:sz w:val="32"/>
          <w:szCs w:val="32"/>
          <w:lang w:eastAsia="zh-Hans"/>
        </w:rPr>
        <w:t>万元，预算执行率</w:t>
      </w:r>
      <w:r>
        <w:rPr>
          <w:rFonts w:hint="eastAsia" w:ascii="仿宋_GB2312" w:hAnsi="仿宋_GB2312" w:eastAsia="仿宋_GB2312" w:cs="仿宋_GB2312"/>
          <w:sz w:val="32"/>
          <w:szCs w:val="32"/>
          <w:lang w:val="en-US" w:eastAsia="zh-CN"/>
        </w:rPr>
        <w:t>92</w:t>
      </w:r>
      <w:r>
        <w:rPr>
          <w:rFonts w:hint="eastAsia" w:ascii="仿宋_GB2312" w:hAnsi="仿宋_GB2312" w:eastAsia="仿宋_GB2312" w:cs="仿宋_GB2312"/>
          <w:sz w:val="32"/>
          <w:szCs w:val="32"/>
          <w:lang w:eastAsia="zh-Hans"/>
        </w:rPr>
        <w:t>%。项目资金用于支付</w:t>
      </w:r>
      <w:r>
        <w:rPr>
          <w:rFonts w:hint="eastAsia" w:ascii="仿宋_GB2312" w:hAnsi="仿宋_GB2312" w:eastAsia="仿宋_GB2312" w:cs="仿宋_GB2312"/>
          <w:sz w:val="32"/>
          <w:szCs w:val="32"/>
          <w:highlight w:val="none"/>
          <w:lang w:eastAsia="zh-Hans"/>
        </w:rPr>
        <w:t>吉州生态环境保护综合行政执法装备采购</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Hans"/>
        </w:rPr>
        <w:t>项目费用</w:t>
      </w:r>
      <w:r>
        <w:rPr>
          <w:rFonts w:hint="eastAsia" w:ascii="仿宋_GB2312" w:hAnsi="仿宋_GB2312" w:eastAsia="仿宋_GB2312" w:cs="仿宋_GB2312"/>
          <w:sz w:val="32"/>
          <w:szCs w:val="32"/>
          <w:lang w:val="en-US" w:eastAsia="zh-CN"/>
        </w:rPr>
        <w:t>47.83</w:t>
      </w:r>
      <w:r>
        <w:rPr>
          <w:rFonts w:hint="eastAsia" w:ascii="仿宋_GB2312" w:hAnsi="仿宋_GB2312" w:eastAsia="仿宋_GB2312" w:cs="仿宋_GB2312"/>
          <w:sz w:val="32"/>
          <w:szCs w:val="32"/>
          <w:lang w:eastAsia="zh-Hans"/>
        </w:rPr>
        <w:t>万元。</w:t>
      </w:r>
    </w:p>
    <w:p w14:paraId="4494E052">
      <w:pPr>
        <w:keepNext/>
        <w:keepLines/>
        <w:pageBreakBefore w:val="0"/>
        <w:numPr>
          <w:ilvl w:val="0"/>
          <w:numId w:val="1"/>
        </w:numPr>
        <w:kinsoku/>
        <w:wordWrap/>
        <w:topLinePunct w:val="0"/>
        <w:autoSpaceDE/>
        <w:autoSpaceDN/>
        <w:bidi w:val="0"/>
        <w:spacing w:line="560" w:lineRule="exact"/>
        <w:ind w:left="-13" w:leftChars="0" w:firstLine="643" w:firstLineChars="0"/>
        <w:textAlignment w:val="auto"/>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项目绩效目标</w:t>
      </w:r>
    </w:p>
    <w:p w14:paraId="6131B8EC">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总体目标（根据实际设定总体目标填列）</w:t>
      </w:r>
    </w:p>
    <w:p w14:paraId="1490ED86">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highlight w:val="none"/>
          <w:lang w:eastAsia="zh-CN"/>
        </w:rPr>
        <w:t>通过</w:t>
      </w:r>
      <w:r>
        <w:rPr>
          <w:rFonts w:hint="eastAsia" w:ascii="Times New Roman" w:hAnsi="Times New Roman" w:eastAsia="仿宋_GB2312" w:cs="Times New Roman"/>
          <w:sz w:val="32"/>
          <w:szCs w:val="32"/>
          <w:highlight w:val="none"/>
        </w:rPr>
        <w:t>项目的实施提高</w:t>
      </w:r>
      <w:r>
        <w:rPr>
          <w:rFonts w:hint="eastAsia" w:ascii="Times New Roman" w:hAnsi="Times New Roman" w:eastAsia="仿宋_GB2312" w:cs="Times New Roman"/>
          <w:sz w:val="32"/>
          <w:szCs w:val="32"/>
          <w:highlight w:val="none"/>
          <w:lang w:eastAsia="zh-CN"/>
        </w:rPr>
        <w:t>生态环境保护综合行政执法</w:t>
      </w:r>
      <w:r>
        <w:rPr>
          <w:rFonts w:hint="eastAsia" w:ascii="Times New Roman" w:hAnsi="Times New Roman" w:eastAsia="仿宋_GB2312" w:cs="Times New Roman"/>
          <w:sz w:val="32"/>
          <w:szCs w:val="32"/>
          <w:highlight w:val="none"/>
        </w:rPr>
        <w:t>水平，提升</w:t>
      </w:r>
      <w:r>
        <w:rPr>
          <w:rFonts w:hint="eastAsia" w:ascii="Times New Roman" w:hAnsi="Times New Roman" w:eastAsia="仿宋_GB2312" w:cs="Times New Roman"/>
          <w:sz w:val="32"/>
          <w:szCs w:val="32"/>
          <w:highlight w:val="none"/>
          <w:lang w:eastAsia="zh-CN"/>
        </w:rPr>
        <w:t>查处环境违法行为</w:t>
      </w:r>
      <w:r>
        <w:rPr>
          <w:rFonts w:hint="eastAsia" w:ascii="Times New Roman" w:hAnsi="Times New Roman" w:eastAsia="仿宋_GB2312" w:cs="Times New Roman"/>
          <w:sz w:val="32"/>
          <w:szCs w:val="32"/>
          <w:highlight w:val="none"/>
        </w:rPr>
        <w:t>能力，</w:t>
      </w:r>
      <w:r>
        <w:rPr>
          <w:rFonts w:hint="eastAsia" w:ascii="Times New Roman" w:hAnsi="Times New Roman" w:eastAsia="仿宋_GB2312" w:cs="Times New Roman"/>
          <w:sz w:val="32"/>
          <w:szCs w:val="32"/>
          <w:highlight w:val="none"/>
          <w:lang w:eastAsia="zh-CN"/>
        </w:rPr>
        <w:t>保障执法人员的个人人身安全，</w:t>
      </w:r>
      <w:r>
        <w:rPr>
          <w:rFonts w:hint="eastAsia" w:ascii="仿宋_GB2312" w:hAnsi="仿宋_GB2312" w:eastAsia="仿宋_GB2312" w:cs="仿宋_GB2312"/>
          <w:sz w:val="32"/>
          <w:szCs w:val="32"/>
          <w:lang w:eastAsia="zh-CN"/>
        </w:rPr>
        <w:t>促进昌吉州</w:t>
      </w:r>
      <w:r>
        <w:rPr>
          <w:rFonts w:hint="eastAsia" w:ascii="仿宋_GB2312" w:hAnsi="仿宋_GB2312" w:eastAsia="仿宋_GB2312" w:cs="仿宋_GB2312"/>
          <w:sz w:val="32"/>
          <w:szCs w:val="32"/>
          <w:lang w:val="en-US" w:eastAsia="zh-CN"/>
        </w:rPr>
        <w:t>生态环境保护人才队伍标准化、规范化建设。</w:t>
      </w:r>
    </w:p>
    <w:p w14:paraId="26DD3DBC">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阶段性目标</w:t>
      </w:r>
    </w:p>
    <w:p w14:paraId="20F9B1C4">
      <w:pPr>
        <w:pageBreakBefore w:val="0"/>
        <w:kinsoku/>
        <w:wordWrap/>
        <w:topLinePunct w:val="0"/>
        <w:autoSpaceDE/>
        <w:autoSpaceDN/>
        <w:bidi w:val="0"/>
        <w:spacing w:line="560" w:lineRule="exact"/>
        <w:ind w:firstLine="640" w:firstLineChars="200"/>
        <w:textAlignment w:val="auto"/>
        <w:rPr>
          <w:rFonts w:ascii="仿宋_GB2312" w:hAnsi="Arial" w:eastAsia="仿宋_GB2312" w:cs="宋体"/>
          <w:bCs/>
          <w:sz w:val="32"/>
          <w:szCs w:val="32"/>
        </w:rPr>
      </w:pPr>
      <w:r>
        <w:rPr>
          <w:rFonts w:hint="eastAsia" w:ascii="仿宋_GB2312" w:hAnsi="Arial" w:eastAsia="仿宋_GB2312" w:cs="宋体"/>
          <w:bCs/>
          <w:sz w:val="32"/>
          <w:szCs w:val="32"/>
        </w:rPr>
        <w:t>根据《中华人民共和国预算法》、《中共中央国务院关于全面实施预算绩效管理的意见》（中发〔2018〕34号）、《关于印发&lt;项目支出绩效评价管理办法&gt;的通知》（财预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Times New Roman" w:eastAsia="仿宋_GB2312" w:cs="Times New Roman"/>
          <w:sz w:val="32"/>
          <w:szCs w:val="32"/>
        </w:rPr>
        <w:t>等文件要求，</w:t>
      </w:r>
      <w:r>
        <w:rPr>
          <w:rFonts w:hint="eastAsia" w:ascii="仿宋_GB2312" w:hAnsi="Arial" w:eastAsia="仿宋_GB2312" w:cs="宋体"/>
          <w:bCs/>
          <w:sz w:val="32"/>
          <w:szCs w:val="32"/>
        </w:rPr>
        <w:t>结合本项目实际，对绩效目标进行逐层分解、细化后的具体绩效指标如下：</w:t>
      </w:r>
    </w:p>
    <w:p w14:paraId="10BF6EFE">
      <w:pPr>
        <w:pageBreakBefore w:val="0"/>
        <w:numPr>
          <w:ilvl w:val="0"/>
          <w:numId w:val="2"/>
        </w:numPr>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项目产出目标</w:t>
      </w:r>
    </w:p>
    <w:p w14:paraId="1C17DCC2">
      <w:pPr>
        <w:pStyle w:val="7"/>
        <w:pageBreakBefore w:val="0"/>
        <w:numPr>
          <w:ilvl w:val="0"/>
          <w:numId w:val="3"/>
        </w:numPr>
        <w:kinsoku/>
        <w:wordWrap/>
        <w:topLinePunct w:val="0"/>
        <w:autoSpaceDE/>
        <w:autoSpaceDN/>
        <w:bidi w:val="0"/>
        <w:spacing w:line="560" w:lineRule="exact"/>
        <w:ind w:firstLineChars="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数量指标</w:t>
      </w:r>
    </w:p>
    <w:p w14:paraId="11D2B5B0">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标配执法设备数量</w:t>
      </w:r>
      <w:r>
        <w:rPr>
          <w:rFonts w:hint="eastAsia" w:ascii="Times New Roman" w:hAnsi="Times New Roman" w:eastAsia="仿宋_GB2312" w:cs="Times New Roman"/>
          <w:sz w:val="32"/>
          <w:szCs w:val="32"/>
        </w:rPr>
        <w:t>”指标，预期指标值为“</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47</w:t>
      </w:r>
      <w:r>
        <w:rPr>
          <w:rFonts w:hint="eastAsia" w:ascii="Times New Roman" w:hAnsi="Times New Roman" w:eastAsia="仿宋_GB2312" w:cs="Times New Roman"/>
          <w:sz w:val="32"/>
          <w:szCs w:val="32"/>
          <w:lang w:eastAsia="zh-CN"/>
        </w:rPr>
        <w:t>台</w:t>
      </w:r>
      <w:r>
        <w:rPr>
          <w:rFonts w:hint="eastAsia" w:ascii="Times New Roman" w:hAnsi="Times New Roman" w:eastAsia="仿宋_GB2312" w:cs="Times New Roman"/>
          <w:sz w:val="32"/>
          <w:szCs w:val="32"/>
        </w:rPr>
        <w:t>”；</w:t>
      </w:r>
    </w:p>
    <w:p w14:paraId="53233F49">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选配执法设备数量</w:t>
      </w:r>
      <w:r>
        <w:rPr>
          <w:rFonts w:hint="eastAsia" w:ascii="Times New Roman" w:hAnsi="Times New Roman" w:eastAsia="仿宋_GB2312" w:cs="Times New Roman"/>
          <w:sz w:val="32"/>
          <w:szCs w:val="32"/>
        </w:rPr>
        <w:t>”指标，预期指标值为“</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台</w:t>
      </w:r>
      <w:r>
        <w:rPr>
          <w:rFonts w:hint="eastAsia" w:ascii="Times New Roman" w:hAnsi="Times New Roman" w:eastAsia="仿宋_GB2312" w:cs="Times New Roman"/>
          <w:sz w:val="32"/>
          <w:szCs w:val="32"/>
        </w:rPr>
        <w:t>”；</w:t>
      </w:r>
    </w:p>
    <w:p w14:paraId="55B70E87">
      <w:pPr>
        <w:pStyle w:val="7"/>
        <w:pageBreakBefore w:val="0"/>
        <w:numPr>
          <w:ilvl w:val="0"/>
          <w:numId w:val="3"/>
        </w:numPr>
        <w:kinsoku/>
        <w:wordWrap/>
        <w:topLinePunct w:val="0"/>
        <w:autoSpaceDE/>
        <w:autoSpaceDN/>
        <w:bidi w:val="0"/>
        <w:spacing w:line="560" w:lineRule="exact"/>
        <w:ind w:firstLineChars="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质量指标</w:t>
      </w:r>
    </w:p>
    <w:p w14:paraId="6D8A427D">
      <w:pPr>
        <w:pageBreakBefore w:val="0"/>
        <w:kinsoku/>
        <w:wordWrap/>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设备验收合格率</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p>
    <w:p w14:paraId="4F0E06D4">
      <w:pPr>
        <w:pageBreakBefore w:val="0"/>
        <w:kinsoku/>
        <w:wordWrap/>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执法设备使用率</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90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p>
    <w:p w14:paraId="4AE71EB3">
      <w:pPr>
        <w:pStyle w:val="7"/>
        <w:pageBreakBefore w:val="0"/>
        <w:numPr>
          <w:ilvl w:val="0"/>
          <w:numId w:val="3"/>
        </w:numPr>
        <w:kinsoku/>
        <w:wordWrap/>
        <w:topLinePunct w:val="0"/>
        <w:autoSpaceDE/>
        <w:autoSpaceDN/>
        <w:bidi w:val="0"/>
        <w:spacing w:line="560" w:lineRule="exact"/>
        <w:ind w:firstLineChars="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时效指标</w:t>
      </w:r>
    </w:p>
    <w:p w14:paraId="3FCE67D2">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资金支付及时率</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90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p>
    <w:p w14:paraId="408D4062">
      <w:pPr>
        <w:pStyle w:val="7"/>
        <w:pageBreakBefore w:val="0"/>
        <w:numPr>
          <w:ilvl w:val="0"/>
          <w:numId w:val="3"/>
        </w:numPr>
        <w:kinsoku/>
        <w:wordWrap/>
        <w:topLinePunct w:val="0"/>
        <w:autoSpaceDE/>
        <w:autoSpaceDN/>
        <w:bidi w:val="0"/>
        <w:spacing w:line="560" w:lineRule="exact"/>
        <w:ind w:firstLineChars="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成本指标</w:t>
      </w:r>
    </w:p>
    <w:p w14:paraId="34F5115D">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预算成本控制率</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w:t>
      </w:r>
    </w:p>
    <w:p w14:paraId="2DFB14AD">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）项目效益目标</w:t>
      </w:r>
    </w:p>
    <w:p w14:paraId="309B4F95">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①社会效益指标</w:t>
      </w:r>
    </w:p>
    <w:p w14:paraId="31BDDD31">
      <w:pPr>
        <w:pageBreakBefore w:val="0"/>
        <w:kinsoku/>
        <w:wordWrap/>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社会环境监管能力</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“提升”</w:t>
      </w:r>
      <w:r>
        <w:rPr>
          <w:rFonts w:hint="eastAsia" w:ascii="Times New Roman" w:hAnsi="Times New Roman" w:eastAsia="仿宋_GB2312" w:cs="Times New Roman"/>
          <w:sz w:val="32"/>
          <w:szCs w:val="32"/>
        </w:rPr>
        <w:t>；</w:t>
      </w:r>
    </w:p>
    <w:p w14:paraId="2B4D0552">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②生态效益指标</w:t>
      </w:r>
    </w:p>
    <w:p w14:paraId="2C920D29">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提升生态环境执法装备标准化</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“提升”</w:t>
      </w:r>
      <w:r>
        <w:rPr>
          <w:rFonts w:hint="eastAsia" w:ascii="Times New Roman" w:hAnsi="Times New Roman" w:eastAsia="仿宋_GB2312" w:cs="Times New Roman"/>
          <w:sz w:val="32"/>
          <w:szCs w:val="32"/>
        </w:rPr>
        <w:t>；</w:t>
      </w:r>
    </w:p>
    <w:p w14:paraId="160F8839">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w:t>
      </w:r>
    </w:p>
    <w:p w14:paraId="23EE0541">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满意度指标</w:t>
      </w:r>
    </w:p>
    <w:p w14:paraId="7B4CEE6A">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使用人满意率</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rPr>
        <w:t>；</w:t>
      </w:r>
    </w:p>
    <w:p w14:paraId="421F7116">
      <w:pPr>
        <w:keepNext/>
        <w:keepLines/>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二、绩效评价工作开展情况</w:t>
      </w:r>
    </w:p>
    <w:p w14:paraId="7765E5A4">
      <w:pPr>
        <w:keepNext/>
        <w:keepLines/>
        <w:pageBreakBefore w:val="0"/>
        <w:numPr>
          <w:ilvl w:val="0"/>
          <w:numId w:val="4"/>
        </w:numPr>
        <w:kinsoku/>
        <w:wordWrap/>
        <w:topLinePunct w:val="0"/>
        <w:autoSpaceDE/>
        <w:autoSpaceDN/>
        <w:bidi w:val="0"/>
        <w:spacing w:line="560" w:lineRule="exact"/>
        <w:ind w:left="-13" w:leftChars="0" w:firstLine="643" w:firstLineChars="0"/>
        <w:textAlignment w:val="auto"/>
        <w:outlineLvl w:val="1"/>
        <w:rPr>
          <w:rFonts w:ascii="楷体_GB2312" w:hAnsi="Arial" w:eastAsia="楷体_GB2312" w:cs="Times New Roman"/>
          <w:b/>
          <w:sz w:val="32"/>
          <w:szCs w:val="32"/>
        </w:rPr>
      </w:pPr>
      <w:bookmarkStart w:id="0" w:name="_Toc22922"/>
      <w:bookmarkStart w:id="1" w:name="_Toc5258"/>
      <w:bookmarkStart w:id="2" w:name="_Toc26632"/>
      <w:bookmarkStart w:id="3" w:name="_Toc480473081"/>
      <w:bookmarkStart w:id="4" w:name="_Toc21664"/>
      <w:bookmarkStart w:id="5" w:name="_Toc5462343"/>
      <w:bookmarkStart w:id="6" w:name="_Toc22169_WPSOffice_Level2"/>
      <w:bookmarkStart w:id="7" w:name="_Toc12868"/>
      <w:r>
        <w:rPr>
          <w:rFonts w:hint="eastAsia" w:ascii="楷体_GB2312" w:hAnsi="Arial" w:eastAsia="楷体_GB2312" w:cs="Times New Roman"/>
          <w:b/>
          <w:sz w:val="32"/>
          <w:szCs w:val="32"/>
        </w:rPr>
        <w:t>绩效评价的目的</w:t>
      </w:r>
      <w:bookmarkEnd w:id="0"/>
      <w:bookmarkEnd w:id="1"/>
      <w:bookmarkEnd w:id="2"/>
      <w:bookmarkEnd w:id="3"/>
      <w:bookmarkEnd w:id="4"/>
      <w:bookmarkEnd w:id="5"/>
      <w:bookmarkEnd w:id="6"/>
      <w:bookmarkEnd w:id="7"/>
      <w:r>
        <w:rPr>
          <w:rFonts w:hint="eastAsia" w:ascii="楷体_GB2312" w:hAnsi="Arial" w:eastAsia="楷体_GB2312" w:cs="Times New Roman"/>
          <w:b/>
          <w:sz w:val="32"/>
          <w:szCs w:val="32"/>
        </w:rPr>
        <w:t>、对象和范围</w:t>
      </w:r>
    </w:p>
    <w:p w14:paraId="1A9085E7">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楷体" w:eastAsia="仿宋_GB2312" w:cs="楷体"/>
          <w:b/>
          <w:bCs/>
          <w:sz w:val="32"/>
          <w:szCs w:val="32"/>
        </w:rPr>
        <w:t>绩效评价的目的</w:t>
      </w:r>
    </w:p>
    <w:p w14:paraId="2357E80B">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rPr>
      </w:pPr>
      <w:r>
        <w:rPr>
          <w:rFonts w:hint="eastAsia" w:ascii="仿宋_GB2312" w:hAnsi="仿宋_GB2312" w:eastAsia="仿宋_GB2312" w:cs="仿宋_GB2312"/>
          <w:sz w:val="32"/>
          <w:szCs w:val="32"/>
        </w:rPr>
        <w:t>本次</w:t>
      </w:r>
      <w:r>
        <w:rPr>
          <w:rFonts w:hint="eastAsia" w:ascii="Times New Roman" w:hAnsi="Times New Roman" w:eastAsia="仿宋_GB2312" w:cs="Times New Roman"/>
          <w:sz w:val="32"/>
          <w:szCs w:val="32"/>
        </w:rPr>
        <w:t>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p>
    <w:p w14:paraId="01AC787B">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rPr>
        <w:t>绩效评价的对象和范围</w:t>
      </w:r>
    </w:p>
    <w:p w14:paraId="0CD45871">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rPr>
      </w:pPr>
      <w:r>
        <w:rPr>
          <w:rFonts w:hint="eastAsia" w:ascii="仿宋_GB2312" w:hAnsi="仿宋_GB2312" w:eastAsia="仿宋_GB2312" w:cs="仿宋_GB2312"/>
          <w:sz w:val="32"/>
          <w:szCs w:val="32"/>
        </w:rPr>
        <w:t>本次绩效评价遵循财政部</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仿宋_GB2312" w:hAnsi="仿宋_GB2312" w:eastAsia="仿宋_GB2312" w:cs="仿宋_GB2312"/>
          <w:sz w:val="32"/>
          <w:szCs w:val="32"/>
          <w:lang w:eastAsia="zh-Hans"/>
        </w:rPr>
        <w:t>以及</w:t>
      </w:r>
      <w:r>
        <w:rPr>
          <w:rFonts w:hint="eastAsia" w:ascii="仿宋_GB2312" w:hAnsi="仿宋_GB2312" w:eastAsia="仿宋_GB2312" w:cs="仿宋_GB2312"/>
          <w:sz w:val="32"/>
          <w:szCs w:val="32"/>
        </w:rPr>
        <w:t>自治区财政厅《自治区财政支出绩效评价管理暂行办法》（新财预〔2018〕189号）等文件规定，</w:t>
      </w:r>
      <w:r>
        <w:rPr>
          <w:rFonts w:hint="eastAsia" w:ascii="仿宋_GB2312" w:hAnsi="Times New Roman" w:eastAsia="仿宋_GB2312" w:cs="Times New Roman"/>
          <w:sz w:val="32"/>
          <w:szCs w:val="32"/>
        </w:rPr>
        <w:t>对202</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年度我单位实施的</w:t>
      </w:r>
      <w:r>
        <w:rPr>
          <w:rFonts w:hint="eastAsia" w:ascii="仿宋_GB2312" w:hAnsi="仿宋_GB2312" w:eastAsia="仿宋_GB2312" w:cs="仿宋_GB2312"/>
          <w:sz w:val="32"/>
          <w:szCs w:val="32"/>
          <w:highlight w:val="none"/>
          <w:lang w:eastAsia="zh-Hans"/>
        </w:rPr>
        <w:t>昌吉州生态环境保护综合行政执法装备采购</w:t>
      </w:r>
      <w:r>
        <w:rPr>
          <w:rFonts w:hint="eastAsia" w:ascii="仿宋_GB2312" w:hAnsi="仿宋_GB2312" w:eastAsia="仿宋_GB2312" w:cs="仿宋_GB2312"/>
          <w:sz w:val="32"/>
          <w:szCs w:val="32"/>
          <w:highlight w:val="none"/>
        </w:rPr>
        <w:t>项目</w:t>
      </w:r>
      <w:r>
        <w:rPr>
          <w:rFonts w:hint="eastAsia" w:ascii="仿宋_GB2312" w:hAnsi="Times New Roman" w:eastAsia="仿宋_GB2312" w:cs="Times New Roman"/>
          <w:sz w:val="32"/>
          <w:szCs w:val="32"/>
        </w:rPr>
        <w:t>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14:paraId="2F46F162">
      <w:pPr>
        <w:keepNext/>
        <w:keepLines/>
        <w:pageBreakBefore w:val="0"/>
        <w:numPr>
          <w:ilvl w:val="0"/>
          <w:numId w:val="4"/>
        </w:numPr>
        <w:kinsoku/>
        <w:wordWrap/>
        <w:topLinePunct w:val="0"/>
        <w:autoSpaceDE/>
        <w:autoSpaceDN/>
        <w:bidi w:val="0"/>
        <w:spacing w:line="560" w:lineRule="exact"/>
        <w:ind w:left="-13" w:leftChars="0" w:firstLine="643" w:firstLineChars="0"/>
        <w:textAlignment w:val="auto"/>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评价工作简述</w:t>
      </w:r>
    </w:p>
    <w:p w14:paraId="504AAC2D">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绩效评价原则</w:t>
      </w:r>
    </w:p>
    <w:p w14:paraId="7F3EF7E6">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rPr>
        <w:t>依据</w:t>
      </w:r>
      <w:r>
        <w:rPr>
          <w:rFonts w:hint="eastAsia" w:ascii="Times New Roman" w:hAnsi="Arial" w:eastAsia="仿宋_GB2312" w:cs="宋体"/>
          <w:bCs/>
          <w:sz w:val="32"/>
          <w:szCs w:val="32"/>
        </w:rPr>
        <w:t>《中华人民共和国预算法》、</w:t>
      </w:r>
      <w:r>
        <w:rPr>
          <w:rFonts w:hint="eastAsia" w:ascii="仿宋_GB2312" w:hAnsi="Arial" w:eastAsia="仿宋_GB2312" w:cs="宋体"/>
          <w:bCs/>
          <w:sz w:val="32"/>
          <w:szCs w:val="32"/>
        </w:rPr>
        <w:t>《关于印发&lt;项目支出绩效评价管理办法&gt;的通知》（财预</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2020</w:t>
      </w:r>
      <w:r>
        <w:rPr>
          <w:rFonts w:hint="eastAsia" w:ascii="仿宋_GB2312" w:hAnsi="微软雅黑" w:eastAsia="仿宋_GB2312" w:cs="微软雅黑"/>
          <w:bCs/>
          <w:sz w:val="32"/>
          <w:szCs w:val="32"/>
        </w:rPr>
        <w:t>〕</w:t>
      </w:r>
      <w:r>
        <w:rPr>
          <w:rFonts w:hint="eastAsia" w:ascii="仿宋_GB2312" w:hAnsi="Arial" w:eastAsia="仿宋_GB2312" w:cs="宋体"/>
          <w:bCs/>
          <w:sz w:val="32"/>
          <w:szCs w:val="32"/>
        </w:rPr>
        <w:t>10号）</w:t>
      </w:r>
      <w:r>
        <w:rPr>
          <w:rFonts w:hint="eastAsia" w:ascii="Times New Roman" w:hAnsi="Times New Roman" w:eastAsia="仿宋_GB2312" w:cs="Times New Roman"/>
          <w:sz w:val="32"/>
          <w:szCs w:val="32"/>
        </w:rPr>
        <w:t>等法规和政策文件要求，本次绩效评价秉承科学规范、公正公开、分级分类、绩效相关等原则，按照从投入、过程到产出效果和影响的绩效</w:t>
      </w:r>
      <w:r>
        <w:rPr>
          <w:rFonts w:hint="eastAsia" w:ascii="Times New Roman" w:hAnsi="Times New Roman" w:eastAsia="仿宋_GB2312" w:cs="Times New Roman"/>
          <w:sz w:val="32"/>
          <w:szCs w:val="32"/>
          <w:highlight w:val="none"/>
        </w:rPr>
        <w:t>逻辑路径，结合</w:t>
      </w:r>
      <w:r>
        <w:rPr>
          <w:rFonts w:hint="eastAsia" w:ascii="仿宋_GB2312" w:hAnsi="仿宋_GB2312" w:eastAsia="仿宋_GB2312" w:cs="仿宋_GB2312"/>
          <w:sz w:val="32"/>
          <w:szCs w:val="32"/>
          <w:highlight w:val="none"/>
          <w:lang w:eastAsia="zh-Hans"/>
        </w:rPr>
        <w:t>昌吉州生态环境保护综合行政执法装备采购</w:t>
      </w:r>
      <w:r>
        <w:rPr>
          <w:rFonts w:hint="eastAsia" w:ascii="仿宋_GB2312" w:hAnsi="仿宋_GB2312" w:eastAsia="仿宋_GB2312" w:cs="仿宋_GB2312"/>
          <w:sz w:val="32"/>
          <w:szCs w:val="32"/>
          <w:highlight w:val="none"/>
        </w:rPr>
        <w:t>项目</w:t>
      </w:r>
      <w:r>
        <w:rPr>
          <w:rFonts w:hint="eastAsia" w:ascii="Times New Roman" w:hAnsi="Times New Roman" w:eastAsia="仿宋_GB2312" w:cs="Times New Roman"/>
          <w:sz w:val="32"/>
          <w:szCs w:val="32"/>
          <w:highlight w:val="none"/>
        </w:rPr>
        <w:t>实际开展情况，运用定量和定性分析相结合的方法，总结经验做法，反思项目实施和管理中的问题，以切实提升财政资金管理的科学化、规范化和精细化水平。</w:t>
      </w:r>
    </w:p>
    <w:p w14:paraId="4E7E5A75">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根据以上原则，绩效评价遵循如下具体要求：</w:t>
      </w:r>
    </w:p>
    <w:p w14:paraId="7663A2C7">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rPr>
        <w:t>）在数据采集时，采取客观数据主管部门审查、社会中介组织复查与问卷调查相结合的形式，以保证各项指标的真实性。</w:t>
      </w:r>
    </w:p>
    <w:p w14:paraId="368621C2">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（2）保证评价结果的真实性、公正性，提高评价报告的公信力。</w:t>
      </w:r>
    </w:p>
    <w:p w14:paraId="4AE53494">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rPr>
        <w:t>）绩效评价报告简明扼要，除对绩效评价的过程、结果描述外，还总结经验、指出问题，并就共性问题提出可操作性改进建议。</w:t>
      </w:r>
    </w:p>
    <w:p w14:paraId="7312795B">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highlight w:val="none"/>
        </w:rPr>
      </w:pPr>
      <w:bookmarkStart w:id="8" w:name="_Toc419984722"/>
      <w:bookmarkStart w:id="9" w:name="_Toc428278230"/>
      <w:bookmarkStart w:id="10" w:name="_Toc1913"/>
      <w:bookmarkStart w:id="11" w:name="_Toc26131"/>
      <w:r>
        <w:rPr>
          <w:rFonts w:ascii="Times New Roman" w:hAnsi="Times New Roman" w:eastAsia="仿宋_GB2312" w:cs="Times New Roman"/>
          <w:b/>
          <w:bCs/>
          <w:sz w:val="32"/>
          <w:szCs w:val="32"/>
          <w:highlight w:val="none"/>
        </w:rPr>
        <w:t>2.</w:t>
      </w:r>
      <w:r>
        <w:rPr>
          <w:rFonts w:hint="eastAsia" w:ascii="Times New Roman" w:hAnsi="Times New Roman" w:eastAsia="仿宋_GB2312" w:cs="Times New Roman"/>
          <w:b/>
          <w:bCs/>
          <w:sz w:val="32"/>
          <w:szCs w:val="32"/>
          <w:highlight w:val="none"/>
        </w:rPr>
        <w:t>绩效评价指标体系及绩效评价</w:t>
      </w:r>
      <w:bookmarkEnd w:id="8"/>
      <w:bookmarkEnd w:id="9"/>
      <w:bookmarkEnd w:id="10"/>
      <w:bookmarkEnd w:id="11"/>
      <w:r>
        <w:rPr>
          <w:rFonts w:hint="eastAsia" w:ascii="Times New Roman" w:hAnsi="Times New Roman" w:eastAsia="仿宋_GB2312" w:cs="Times New Roman"/>
          <w:b/>
          <w:bCs/>
          <w:sz w:val="32"/>
          <w:szCs w:val="32"/>
          <w:highlight w:val="none"/>
        </w:rPr>
        <w:t>标准</w:t>
      </w:r>
    </w:p>
    <w:p w14:paraId="75341429">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绩效评价指标体系根据财政部</w:t>
      </w:r>
      <w:r>
        <w:rPr>
          <w:rFonts w:hint="eastAsia" w:ascii="仿宋_GB2312" w:hAnsi="Arial" w:eastAsia="仿宋_GB2312" w:cs="宋体"/>
          <w:bCs/>
          <w:sz w:val="32"/>
          <w:szCs w:val="32"/>
          <w:highlight w:val="none"/>
        </w:rPr>
        <w:t>《关于印发&lt;项目支出绩效评价管理办法&gt;的通知》（财预</w:t>
      </w:r>
      <w:r>
        <w:rPr>
          <w:rFonts w:hint="eastAsia" w:ascii="仿宋_GB2312" w:hAnsi="微软雅黑" w:eastAsia="仿宋_GB2312" w:cs="微软雅黑"/>
          <w:bCs/>
          <w:sz w:val="32"/>
          <w:szCs w:val="32"/>
          <w:highlight w:val="none"/>
        </w:rPr>
        <w:t>〔</w:t>
      </w:r>
      <w:r>
        <w:rPr>
          <w:rFonts w:hint="eastAsia" w:ascii="仿宋_GB2312" w:hAnsi="Arial" w:eastAsia="仿宋_GB2312" w:cs="宋体"/>
          <w:bCs/>
          <w:sz w:val="32"/>
          <w:szCs w:val="32"/>
          <w:highlight w:val="none"/>
        </w:rPr>
        <w:t>2020</w:t>
      </w:r>
      <w:r>
        <w:rPr>
          <w:rFonts w:hint="eastAsia" w:ascii="仿宋_GB2312" w:hAnsi="微软雅黑" w:eastAsia="仿宋_GB2312" w:cs="微软雅黑"/>
          <w:bCs/>
          <w:sz w:val="32"/>
          <w:szCs w:val="32"/>
          <w:highlight w:val="none"/>
        </w:rPr>
        <w:t>〕</w:t>
      </w:r>
      <w:r>
        <w:rPr>
          <w:rFonts w:hint="eastAsia" w:ascii="仿宋_GB2312" w:hAnsi="Arial" w:eastAsia="仿宋_GB2312" w:cs="宋体"/>
          <w:bCs/>
          <w:sz w:val="32"/>
          <w:szCs w:val="32"/>
          <w:highlight w:val="none"/>
        </w:rPr>
        <w:t>10号）、</w:t>
      </w:r>
      <w:r>
        <w:rPr>
          <w:rFonts w:hint="eastAsia" w:ascii="仿宋_GB2312" w:hAnsi="仿宋_GB2312" w:eastAsia="仿宋_GB2312" w:cs="仿宋_GB2312"/>
          <w:sz w:val="32"/>
          <w:szCs w:val="32"/>
          <w:highlight w:val="none"/>
        </w:rPr>
        <w:t>自治区财政厅《自治区财政支出绩效评价管理暂行办法》（新财预〔2018〕189号）</w:t>
      </w:r>
      <w:r>
        <w:rPr>
          <w:rFonts w:hint="eastAsia" w:ascii="仿宋_GB2312" w:hAnsi="Times New Roman" w:eastAsia="仿宋_GB2312" w:cs="Times New Roman"/>
          <w:sz w:val="32"/>
          <w:szCs w:val="32"/>
          <w:highlight w:val="none"/>
        </w:rPr>
        <w:t>等文件要求，结合本项目特点，在与专家组充分协商的基础上，评价工作组细化了该项目的绩效评价指标体系（详见附表1）：</w:t>
      </w:r>
    </w:p>
    <w:p w14:paraId="4E4B9498">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一级指标为：产出、效益</w:t>
      </w:r>
      <w:r>
        <w:rPr>
          <w:rFonts w:hint="eastAsia" w:ascii="仿宋_GB2312" w:hAnsi="Times New Roman" w:eastAsia="仿宋_GB2312" w:cs="Times New Roman"/>
          <w:sz w:val="32"/>
          <w:szCs w:val="32"/>
          <w:highlight w:val="none"/>
          <w:lang w:eastAsia="zh-CN"/>
        </w:rPr>
        <w:t>、满意度</w:t>
      </w:r>
      <w:r>
        <w:rPr>
          <w:rFonts w:hint="eastAsia" w:ascii="仿宋_GB2312" w:hAnsi="Times New Roman" w:eastAsia="仿宋_GB2312" w:cs="Times New Roman"/>
          <w:sz w:val="32"/>
          <w:szCs w:val="32"/>
          <w:highlight w:val="none"/>
        </w:rPr>
        <w:t>。</w:t>
      </w:r>
    </w:p>
    <w:p w14:paraId="36E72758">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二级指标为：</w:t>
      </w:r>
      <w:r>
        <w:rPr>
          <w:rFonts w:hint="eastAsia" w:ascii="仿宋_GB2312" w:hAnsi="Times New Roman" w:eastAsia="仿宋_GB2312" w:cs="Times New Roman"/>
          <w:sz w:val="32"/>
          <w:szCs w:val="32"/>
          <w:highlight w:val="none"/>
          <w:lang w:eastAsia="zh-CN"/>
        </w:rPr>
        <w:t>数量指标</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eastAsia="zh-CN"/>
        </w:rPr>
        <w:t>质量指标</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eastAsia="zh-CN"/>
        </w:rPr>
        <w:t>实效指标</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eastAsia="zh-CN"/>
        </w:rPr>
        <w:t>成本指标</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eastAsia="zh-CN"/>
        </w:rPr>
        <w:t>社会效益指标、生态效益指标、满意度指标</w:t>
      </w:r>
      <w:r>
        <w:rPr>
          <w:rFonts w:hint="eastAsia" w:ascii="仿宋_GB2312" w:hAnsi="Times New Roman" w:eastAsia="仿宋_GB2312" w:cs="Times New Roman"/>
          <w:sz w:val="32"/>
          <w:szCs w:val="32"/>
          <w:highlight w:val="none"/>
        </w:rPr>
        <w:t>。</w:t>
      </w:r>
    </w:p>
    <w:p w14:paraId="0065B8B2">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三级指标为：</w:t>
      </w:r>
      <w:r>
        <w:rPr>
          <w:rFonts w:hint="eastAsia" w:ascii="仿宋_GB2312" w:hAnsi="Times New Roman" w:eastAsia="仿宋_GB2312" w:cs="Times New Roman"/>
          <w:sz w:val="32"/>
          <w:szCs w:val="32"/>
          <w:highlight w:val="none"/>
          <w:lang w:eastAsia="zh-CN"/>
        </w:rPr>
        <w:t>标配执法设备数量、选配执法设备数量、设备验收合格率、执法设备使用率、资金支付及时率、预算成本空置率、社会环境监管能力、提升生态环境执法装备标准化、使用人满意率</w:t>
      </w:r>
      <w:r>
        <w:rPr>
          <w:rFonts w:hint="eastAsia" w:ascii="仿宋_GB2312" w:hAnsi="Times New Roman" w:eastAsia="仿宋_GB2312" w:cs="Times New Roman"/>
          <w:sz w:val="32"/>
          <w:szCs w:val="32"/>
          <w:highlight w:val="none"/>
        </w:rPr>
        <w:t>。</w:t>
      </w:r>
    </w:p>
    <w:p w14:paraId="50BCD515">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highlight w:val="none"/>
        </w:rPr>
      </w:pPr>
      <w:r>
        <w:rPr>
          <w:rFonts w:ascii="Times New Roman" w:hAnsi="Times New Roman" w:eastAsia="仿宋_GB2312" w:cs="Times New Roman"/>
          <w:b/>
          <w:bCs/>
          <w:sz w:val="32"/>
          <w:szCs w:val="32"/>
          <w:highlight w:val="none"/>
        </w:rPr>
        <w:t>3.</w:t>
      </w:r>
      <w:r>
        <w:rPr>
          <w:rFonts w:hint="eastAsia" w:ascii="Times New Roman" w:hAnsi="Times New Roman" w:eastAsia="仿宋_GB2312" w:cs="Times New Roman"/>
          <w:b/>
          <w:bCs/>
          <w:sz w:val="32"/>
          <w:szCs w:val="32"/>
          <w:highlight w:val="none"/>
        </w:rPr>
        <w:t>评价方法</w:t>
      </w:r>
    </w:p>
    <w:p w14:paraId="52D82A81">
      <w:pPr>
        <w:pageBreakBefore w:val="0"/>
        <w:tabs>
          <w:tab w:val="left" w:pos="1559"/>
        </w:tabs>
        <w:kinsoku/>
        <w:wordWrap/>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本次评价采取定量与定性评价相结合的方式，采用比较法、公众评判法对</w:t>
      </w:r>
      <w:r>
        <w:rPr>
          <w:rFonts w:hint="eastAsia" w:ascii="Times New Roman" w:hAnsi="Times New Roman" w:eastAsia="仿宋_GB2312" w:cs="Times New Roman"/>
          <w:sz w:val="32"/>
          <w:szCs w:val="32"/>
          <w:highlight w:val="none"/>
        </w:rPr>
        <w:t>项目实施过程以及预期绩效目标完成情况进行全面、系统的评价，</w:t>
      </w:r>
      <w:r>
        <w:rPr>
          <w:rFonts w:hint="eastAsia" w:ascii="仿宋_GB2312" w:hAnsi="仿宋_GB2312" w:eastAsia="仿宋_GB2312" w:cs="仿宋_GB2312"/>
          <w:bCs/>
          <w:sz w:val="32"/>
          <w:szCs w:val="32"/>
          <w:highlight w:val="none"/>
        </w:rPr>
        <w:t>总分由各项指标得分汇总形成。</w:t>
      </w:r>
    </w:p>
    <w:p w14:paraId="3EFED57C">
      <w:pPr>
        <w:pageBreakBefore w:val="0"/>
        <w:tabs>
          <w:tab w:val="left" w:pos="1559"/>
        </w:tabs>
        <w:kinsoku/>
        <w:wordWrap/>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 xml:space="preserve">比较法：通过整理本项目相关资料和数据，评价数量指标的完成情况；通过分析项目的实施情况与绩效目标实现情况，评价项目实施的效果；通过分析项目资金使用情况及产生的效果，评价预算资金分配的合理性。 </w:t>
      </w:r>
    </w:p>
    <w:p w14:paraId="1D20C464">
      <w:pPr>
        <w:pageBreakBefore w:val="0"/>
        <w:tabs>
          <w:tab w:val="left" w:pos="1559"/>
        </w:tabs>
        <w:kinsoku/>
        <w:wordWrap/>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公众评判法：评价组采用实地访谈、远程访谈相结合方式，对本项目的实施情况进行充分调研，了解掌握资金分配、资金管理、资金使用、制度建设、制度执行情况。采用问卷调查方式，对受益对象开展满意度调查，进行综合评价。</w:t>
      </w:r>
    </w:p>
    <w:p w14:paraId="5B4BF185">
      <w:pPr>
        <w:keepNext/>
        <w:keepLines/>
        <w:pageBreakBefore w:val="0"/>
        <w:kinsoku/>
        <w:wordWrap/>
        <w:topLinePunct w:val="0"/>
        <w:autoSpaceDE/>
        <w:autoSpaceDN/>
        <w:bidi w:val="0"/>
        <w:spacing w:before="260" w:after="260" w:line="560" w:lineRule="exact"/>
        <w:ind w:firstLine="643" w:firstLineChars="200"/>
        <w:textAlignment w:val="auto"/>
        <w:outlineLvl w:val="2"/>
        <w:rPr>
          <w:rFonts w:ascii="Times New Roman" w:hAnsi="Times New Roman" w:eastAsia="仿宋_GB2312" w:cs="Times New Roman"/>
          <w:b/>
          <w:bCs/>
          <w:sz w:val="32"/>
          <w:szCs w:val="32"/>
          <w:highlight w:val="none"/>
        </w:rPr>
      </w:pPr>
      <w:r>
        <w:rPr>
          <w:rFonts w:ascii="Times New Roman" w:hAnsi="Times New Roman" w:eastAsia="仿宋_GB2312" w:cs="Times New Roman"/>
          <w:b/>
          <w:bCs/>
          <w:sz w:val="32"/>
          <w:szCs w:val="32"/>
          <w:highlight w:val="none"/>
        </w:rPr>
        <w:t>4.</w:t>
      </w:r>
      <w:r>
        <w:rPr>
          <w:rFonts w:hint="eastAsia" w:ascii="Times New Roman" w:hAnsi="Times New Roman" w:eastAsia="仿宋_GB2312" w:cs="Times New Roman"/>
          <w:b/>
          <w:bCs/>
          <w:sz w:val="32"/>
          <w:szCs w:val="32"/>
          <w:highlight w:val="none"/>
        </w:rPr>
        <w:t>评价标准</w:t>
      </w:r>
    </w:p>
    <w:p w14:paraId="1FC6C767">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仿宋_GB2312" w:hAnsi="仿宋_GB2312" w:eastAsia="仿宋_GB2312" w:cs="仿宋_GB2312"/>
          <w:bCs/>
          <w:sz w:val="32"/>
          <w:szCs w:val="32"/>
          <w:highlight w:val="none"/>
        </w:rPr>
        <w:t>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w:t>
      </w:r>
    </w:p>
    <w:p w14:paraId="57D23E8B">
      <w:pPr>
        <w:keepNext/>
        <w:keepLines/>
        <w:pageBreakBefore w:val="0"/>
        <w:kinsoku/>
        <w:wordWrap/>
        <w:topLinePunct w:val="0"/>
        <w:autoSpaceDE/>
        <w:autoSpaceDN/>
        <w:bidi w:val="0"/>
        <w:spacing w:line="560" w:lineRule="exact"/>
        <w:ind w:left="420"/>
        <w:textAlignment w:val="auto"/>
        <w:outlineLvl w:val="1"/>
        <w:rPr>
          <w:rFonts w:ascii="Arial" w:hAnsi="Arial" w:eastAsia="楷体" w:cs="Times New Roman"/>
          <w:b/>
          <w:sz w:val="32"/>
          <w:szCs w:val="32"/>
          <w:highlight w:val="none"/>
        </w:rPr>
      </w:pPr>
      <w:r>
        <w:rPr>
          <w:rFonts w:hint="eastAsia" w:ascii="Arial" w:hAnsi="Arial" w:eastAsia="楷体" w:cs="Times New Roman"/>
          <w:b/>
          <w:sz w:val="32"/>
          <w:szCs w:val="32"/>
          <w:highlight w:val="none"/>
        </w:rPr>
        <w:t>（三）绩效评价工作过程</w:t>
      </w:r>
    </w:p>
    <w:p w14:paraId="0FAF5D29">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第一阶段：前期准备。</w:t>
      </w:r>
    </w:p>
    <w:p w14:paraId="36CF5A62">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 w:eastAsia="仿宋_GB2312" w:cs="仿宋"/>
          <w:sz w:val="32"/>
          <w:szCs w:val="32"/>
          <w:highlight w:val="none"/>
          <w:lang w:bidi="ar"/>
        </w:rPr>
        <w:t>我单位绩效评价人员</w:t>
      </w:r>
      <w:r>
        <w:rPr>
          <w:rFonts w:hint="eastAsia" w:ascii="仿宋_GB2312" w:hAnsi="仿宋" w:eastAsia="仿宋_GB2312" w:cs="仿宋"/>
          <w:spacing w:val="-4"/>
          <w:sz w:val="32"/>
          <w:szCs w:val="32"/>
          <w:highlight w:val="none"/>
        </w:rPr>
        <w:t>根据《项目支出绩效评价管理办法》（财预</w:t>
      </w:r>
      <w:r>
        <w:rPr>
          <w:rFonts w:hint="eastAsia" w:ascii="仿宋_GB2312" w:hAnsi="仿宋" w:eastAsia="仿宋_GB2312" w:cs="仿宋"/>
          <w:sz w:val="32"/>
          <w:szCs w:val="32"/>
          <w:highlight w:val="none"/>
        </w:rPr>
        <w:t>〔2020〕</w:t>
      </w:r>
      <w:r>
        <w:rPr>
          <w:rFonts w:hint="eastAsia" w:ascii="仿宋_GB2312" w:hAnsi="仿宋" w:eastAsia="仿宋_GB2312" w:cs="仿宋"/>
          <w:spacing w:val="-4"/>
          <w:sz w:val="32"/>
          <w:szCs w:val="32"/>
          <w:highlight w:val="none"/>
        </w:rPr>
        <w:t>10号）文件精神</w:t>
      </w:r>
      <w:r>
        <w:rPr>
          <w:rFonts w:hint="eastAsia" w:ascii="仿宋_GB2312" w:hAnsi="仿宋_GB2312" w:eastAsia="仿宋_GB2312" w:cs="仿宋_GB2312"/>
          <w:sz w:val="32"/>
          <w:szCs w:val="32"/>
          <w:highlight w:val="none"/>
        </w:rPr>
        <w:t>认真学习相关要求与规定，成立绩效评价工作组，作为绩效评价工作具体实施机构。成员构成如下：</w:t>
      </w:r>
    </w:p>
    <w:p w14:paraId="0FF2F45A">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 w:eastAsia="仿宋_GB2312" w:cs="仿宋"/>
          <w:sz w:val="32"/>
          <w:szCs w:val="32"/>
          <w:highlight w:val="none"/>
          <w:lang w:eastAsia="zh-CN" w:bidi="ar"/>
        </w:rPr>
        <w:t>贾光华</w:t>
      </w:r>
      <w:r>
        <w:rPr>
          <w:rFonts w:hint="eastAsia" w:ascii="仿宋_GB2312" w:hAnsi="仿宋" w:eastAsia="仿宋_GB2312" w:cs="仿宋"/>
          <w:sz w:val="32"/>
          <w:szCs w:val="32"/>
          <w:highlight w:val="none"/>
          <w:lang w:bidi="ar"/>
        </w:rPr>
        <w:t>（</w:t>
      </w:r>
      <w:r>
        <w:rPr>
          <w:rFonts w:hint="eastAsia" w:ascii="仿宋_GB2312" w:hAnsi="仿宋_GB2312" w:eastAsia="仿宋_GB2312" w:cs="仿宋_GB2312"/>
          <w:sz w:val="32"/>
          <w:szCs w:val="32"/>
          <w:highlight w:val="none"/>
          <w:lang w:eastAsia="zh-CN"/>
        </w:rPr>
        <w:t>昌吉州生态环境保护综合行政执法支队</w:t>
      </w:r>
      <w:r>
        <w:rPr>
          <w:rFonts w:hint="eastAsia" w:ascii="仿宋_GB2312" w:hAnsi="仿宋_GB2312" w:eastAsia="仿宋_GB2312" w:cs="仿宋_GB2312"/>
          <w:sz w:val="32"/>
          <w:szCs w:val="32"/>
          <w:highlight w:val="none"/>
        </w:rPr>
        <w:t>党</w:t>
      </w:r>
      <w:r>
        <w:rPr>
          <w:rFonts w:hint="eastAsia" w:ascii="仿宋_GB2312" w:hAnsi="仿宋_GB2312" w:eastAsia="仿宋_GB2312" w:cs="仿宋_GB2312"/>
          <w:sz w:val="32"/>
          <w:szCs w:val="32"/>
          <w:highlight w:val="none"/>
          <w:lang w:eastAsia="zh-CN"/>
        </w:rPr>
        <w:t>支部</w:t>
      </w:r>
      <w:r>
        <w:rPr>
          <w:rFonts w:hint="eastAsia" w:ascii="仿宋_GB2312" w:hAnsi="仿宋_GB2312" w:eastAsia="仿宋_GB2312" w:cs="仿宋_GB2312"/>
          <w:sz w:val="32"/>
          <w:szCs w:val="32"/>
          <w:highlight w:val="none"/>
        </w:rPr>
        <w:t>书记）任评价组组长，绩效评价工作职责为检查项目绩效指标完成情况、审定项目支出绩效评价结果及项目支出绩效评价报告。</w:t>
      </w:r>
    </w:p>
    <w:p w14:paraId="5DD36272">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张欢</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昌吉州生态环境保护综合行政执法支队办公室主任</w:t>
      </w:r>
      <w:r>
        <w:rPr>
          <w:rFonts w:hint="eastAsia" w:ascii="仿宋_GB2312" w:hAnsi="仿宋_GB2312" w:eastAsia="仿宋_GB2312" w:cs="仿宋_GB2312"/>
          <w:sz w:val="32"/>
          <w:szCs w:val="32"/>
          <w:highlight w:val="none"/>
        </w:rPr>
        <w:t>）任评价组副组长，绩效评价工作职责为组织和协调项目工作人员采取实地调查、资料检查等方式，核实项目绩效指标完成情况；组织受益对象对项目工作进行评价等。</w:t>
      </w:r>
    </w:p>
    <w:p w14:paraId="47F90C17">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周海龙</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昌吉州生态环境保护综合行政执法支队办公室</w:t>
      </w:r>
      <w:r>
        <w:rPr>
          <w:rFonts w:hint="eastAsia" w:ascii="仿宋_GB2312" w:hAnsi="仿宋_GB2312" w:eastAsia="仿宋_GB2312" w:cs="仿宋_GB2312"/>
          <w:sz w:val="32"/>
          <w:szCs w:val="32"/>
          <w:highlight w:val="none"/>
        </w:rPr>
        <w:t>干部）任评价组成员，绩效评价工作职责为做好项目支出绩效评价工作的沟通协调工作，对项目实施情况进行实地调查，编写项目支出绩效评价报告。</w:t>
      </w:r>
    </w:p>
    <w:p w14:paraId="15ABA81E">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第二阶段：组织实施。</w:t>
      </w:r>
    </w:p>
    <w:p w14:paraId="5346370B">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评价组通过实地</w:t>
      </w:r>
      <w:r>
        <w:rPr>
          <w:rFonts w:hint="eastAsia" w:ascii="仿宋_GB2312" w:hAnsi="仿宋_GB2312" w:eastAsia="仿宋_GB2312" w:cs="仿宋_GB2312"/>
          <w:sz w:val="32"/>
          <w:szCs w:val="32"/>
          <w:highlight w:val="none"/>
          <w:lang w:eastAsia="zh-CN"/>
        </w:rPr>
        <w:t>查看</w:t>
      </w:r>
      <w:r>
        <w:rPr>
          <w:rFonts w:hint="eastAsia" w:ascii="仿宋_GB2312" w:hAnsi="仿宋_GB2312" w:eastAsia="仿宋_GB2312" w:cs="仿宋_GB2312"/>
          <w:sz w:val="32"/>
          <w:szCs w:val="32"/>
          <w:highlight w:val="none"/>
        </w:rPr>
        <w:t>、查阅资料等方式，采用综合分析法对项目的决策、管理、绩效进行的综合评价分析。</w:t>
      </w:r>
    </w:p>
    <w:p w14:paraId="1AF3AE95">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第三阶段：分析评价。</w:t>
      </w:r>
    </w:p>
    <w:p w14:paraId="15C0E7D5">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首先按照指标体系进行定量、定性分析。其次开展量化打分、综合评价工作，形成初步评价结论。最后归纳整体项目情况与存在问题，撰写部门绩效评价报告。</w:t>
      </w:r>
    </w:p>
    <w:p w14:paraId="1812E348">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bookmarkStart w:id="12" w:name="_Toc2618"/>
      <w:r>
        <w:rPr>
          <w:rFonts w:hint="eastAsia" w:ascii="仿宋_GB2312" w:hAnsi="仿宋_GB2312" w:eastAsia="仿宋_GB2312" w:cs="仿宋_GB2312"/>
          <w:sz w:val="32"/>
          <w:szCs w:val="32"/>
          <w:highlight w:val="none"/>
        </w:rPr>
        <w:t>第四阶段：撰写与提交评价报告</w:t>
      </w:r>
      <w:bookmarkEnd w:id="12"/>
    </w:p>
    <w:p w14:paraId="29673C74">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项目撰写绩效评价报告，按照财政局大平台绩效系统中统一格式和文本框架撰写绩效评价报告。</w:t>
      </w:r>
    </w:p>
    <w:p w14:paraId="5C4D69B7">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bookmarkStart w:id="13" w:name="_Toc5055"/>
      <w:r>
        <w:rPr>
          <w:rFonts w:hint="eastAsia" w:ascii="仿宋_GB2312" w:hAnsi="仿宋_GB2312" w:eastAsia="仿宋_GB2312" w:cs="仿宋_GB2312"/>
          <w:sz w:val="32"/>
          <w:szCs w:val="32"/>
          <w:highlight w:val="none"/>
        </w:rPr>
        <w:t>第五阶段：归集档案</w:t>
      </w:r>
      <w:bookmarkEnd w:id="13"/>
    </w:p>
    <w:p w14:paraId="6C3B4B63">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建立和落实档案管理制度，将项目相关资料存档，包括但不限于：评价项目基本情况和相关文件、评价实施方案、项目支付资料等相关档案。</w:t>
      </w:r>
    </w:p>
    <w:p w14:paraId="35CE0164">
      <w:pPr>
        <w:keepNext/>
        <w:keepLines/>
        <w:pageBreakBefore w:val="0"/>
        <w:numPr>
          <w:ilvl w:val="0"/>
          <w:numId w:val="5"/>
        </w:numPr>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highlight w:val="none"/>
        </w:rPr>
      </w:pPr>
      <w:r>
        <w:rPr>
          <w:rFonts w:hint="eastAsia" w:ascii="Times New Roman" w:hAnsi="Times New Roman" w:eastAsia="黑体" w:cs="Times New Roman"/>
          <w:kern w:val="44"/>
          <w:sz w:val="32"/>
          <w:szCs w:val="32"/>
          <w:highlight w:val="none"/>
        </w:rPr>
        <w:t>综合评价情况及评价结论</w:t>
      </w:r>
    </w:p>
    <w:p w14:paraId="3663A5F4">
      <w:pPr>
        <w:keepNext/>
        <w:keepLines/>
        <w:pageBreakBefore w:val="0"/>
        <w:kinsoku/>
        <w:wordWrap/>
        <w:topLinePunct w:val="0"/>
        <w:autoSpaceDE/>
        <w:autoSpaceDN/>
        <w:bidi w:val="0"/>
        <w:spacing w:before="120" w:after="60" w:line="560" w:lineRule="exact"/>
        <w:ind w:left="560"/>
        <w:textAlignment w:val="auto"/>
        <w:outlineLvl w:val="1"/>
        <w:rPr>
          <w:rFonts w:ascii="仿宋_GB2312" w:hAnsi="仿宋_GB2312" w:eastAsia="楷体" w:cs="仿宋_GB2312"/>
          <w:b/>
          <w:sz w:val="32"/>
          <w:szCs w:val="24"/>
          <w:highlight w:val="none"/>
        </w:rPr>
      </w:pPr>
      <w:bookmarkStart w:id="14" w:name="_Toc68364665"/>
      <w:r>
        <w:rPr>
          <w:rFonts w:hint="eastAsia" w:ascii="仿宋_GB2312" w:hAnsi="仿宋_GB2312" w:eastAsia="楷体" w:cs="仿宋_GB2312"/>
          <w:b/>
          <w:sz w:val="32"/>
          <w:szCs w:val="24"/>
          <w:highlight w:val="none"/>
        </w:rPr>
        <w:t>（一）综合评价情况</w:t>
      </w:r>
      <w:bookmarkEnd w:id="14"/>
    </w:p>
    <w:p w14:paraId="24971B49">
      <w:pPr>
        <w:pageBreakBefore w:val="0"/>
        <w:kinsoku/>
        <w:wordWrap/>
        <w:topLinePunct w:val="0"/>
        <w:autoSpaceDE/>
        <w:autoSpaceDN/>
        <w:bidi w:val="0"/>
        <w:spacing w:line="560" w:lineRule="exact"/>
        <w:ind w:firstLine="640" w:firstLineChars="200"/>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通过</w:t>
      </w:r>
      <w:r>
        <w:rPr>
          <w:rFonts w:hint="eastAsia" w:ascii="仿宋_GB2312" w:hAnsi="仿宋_GB2312" w:eastAsia="仿宋_GB2312" w:cs="仿宋_GB2312"/>
          <w:sz w:val="32"/>
          <w:szCs w:val="32"/>
          <w:highlight w:val="none"/>
          <w:lang w:eastAsia="zh-Hans"/>
        </w:rPr>
        <w:t>昌吉州生态环境保护综合行政执法装备采购</w:t>
      </w:r>
      <w:r>
        <w:rPr>
          <w:rFonts w:hint="eastAsia" w:ascii="仿宋_GB2312" w:hAnsi="仿宋_GB2312" w:eastAsia="仿宋_GB2312" w:cs="仿宋_GB2312"/>
          <w:sz w:val="32"/>
          <w:szCs w:val="32"/>
          <w:highlight w:val="none"/>
        </w:rPr>
        <w:t>项目</w:t>
      </w:r>
      <w:r>
        <w:rPr>
          <w:rFonts w:hint="eastAsia" w:ascii="Times New Roman" w:hAnsi="Times New Roman" w:eastAsia="仿宋_GB2312" w:cs="Times New Roman"/>
          <w:sz w:val="32"/>
          <w:szCs w:val="32"/>
          <w:highlight w:val="none"/>
        </w:rPr>
        <w:t>的实施，解决了</w:t>
      </w:r>
      <w:r>
        <w:rPr>
          <w:rFonts w:hint="eastAsia" w:ascii="Times New Roman" w:hAnsi="Times New Roman" w:eastAsia="仿宋_GB2312" w:cs="Times New Roman"/>
          <w:sz w:val="32"/>
          <w:szCs w:val="32"/>
          <w:highlight w:val="none"/>
          <w:lang w:eastAsia="zh-CN"/>
        </w:rPr>
        <w:t>生态环境执法设备紧缺的现状</w:t>
      </w:r>
      <w:r>
        <w:rPr>
          <w:rFonts w:hint="eastAsia" w:ascii="Times New Roman" w:hAnsi="Times New Roman" w:eastAsia="仿宋_GB2312" w:cs="Times New Roman"/>
          <w:sz w:val="32"/>
          <w:szCs w:val="32"/>
          <w:highlight w:val="none"/>
        </w:rPr>
        <w:t>，提高了</w:t>
      </w:r>
      <w:r>
        <w:rPr>
          <w:rFonts w:hint="eastAsia" w:ascii="Times New Roman" w:hAnsi="Times New Roman" w:eastAsia="仿宋_GB2312" w:cs="Times New Roman"/>
          <w:sz w:val="32"/>
          <w:szCs w:val="32"/>
          <w:highlight w:val="none"/>
          <w:lang w:eastAsia="zh-CN"/>
        </w:rPr>
        <w:t>环境保护综合执法</w:t>
      </w:r>
      <w:r>
        <w:rPr>
          <w:rFonts w:hint="eastAsia" w:ascii="Times New Roman" w:hAnsi="Times New Roman" w:eastAsia="仿宋_GB2312" w:cs="Times New Roman"/>
          <w:sz w:val="32"/>
          <w:szCs w:val="32"/>
          <w:highlight w:val="none"/>
        </w:rPr>
        <w:t>水平，提升了</w:t>
      </w:r>
      <w:r>
        <w:rPr>
          <w:rFonts w:hint="eastAsia" w:ascii="Times New Roman" w:hAnsi="Times New Roman" w:eastAsia="仿宋_GB2312" w:cs="Times New Roman"/>
          <w:sz w:val="32"/>
          <w:szCs w:val="32"/>
          <w:highlight w:val="none"/>
          <w:lang w:eastAsia="zh-CN"/>
        </w:rPr>
        <w:t>环境违法行为查处的</w:t>
      </w:r>
      <w:r>
        <w:rPr>
          <w:rFonts w:hint="eastAsia" w:ascii="Times New Roman" w:hAnsi="Times New Roman" w:eastAsia="仿宋_GB2312" w:cs="Times New Roman"/>
          <w:sz w:val="32"/>
          <w:szCs w:val="32"/>
          <w:highlight w:val="none"/>
        </w:rPr>
        <w:t>能力，该项目预算执行率达</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，项目预期绩效目标及各项具体指标均已全部达成。</w:t>
      </w:r>
    </w:p>
    <w:p w14:paraId="6DCA7DAE">
      <w:pPr>
        <w:keepNext/>
        <w:keepLines/>
        <w:pageBreakBefore w:val="0"/>
        <w:kinsoku/>
        <w:wordWrap/>
        <w:topLinePunct w:val="0"/>
        <w:autoSpaceDE/>
        <w:autoSpaceDN/>
        <w:bidi w:val="0"/>
        <w:spacing w:before="120" w:after="60" w:line="560" w:lineRule="exact"/>
        <w:ind w:left="560"/>
        <w:textAlignment w:val="auto"/>
        <w:outlineLvl w:val="1"/>
        <w:rPr>
          <w:rFonts w:ascii="仿宋_GB2312" w:hAnsi="仿宋_GB2312" w:eastAsia="楷体" w:cs="仿宋_GB2312"/>
          <w:b/>
          <w:sz w:val="32"/>
          <w:szCs w:val="24"/>
          <w:highlight w:val="none"/>
        </w:rPr>
      </w:pPr>
      <w:r>
        <w:rPr>
          <w:rFonts w:hint="eastAsia" w:ascii="仿宋_GB2312" w:hAnsi="仿宋_GB2312" w:eastAsia="楷体" w:cs="仿宋_GB2312"/>
          <w:b/>
          <w:sz w:val="32"/>
          <w:szCs w:val="24"/>
          <w:highlight w:val="none"/>
        </w:rPr>
        <w:t>（二）综合评价结论</w:t>
      </w:r>
    </w:p>
    <w:p w14:paraId="7A5A6D0E">
      <w:pPr>
        <w:spacing w:line="600" w:lineRule="exact"/>
        <w:ind w:firstLine="640" w:firstLineChars="200"/>
        <w:rPr>
          <w:rFonts w:ascii="Times New Roman" w:hAnsi="Times New Roman" w:eastAsia="仿宋_GB2312" w:cs="Times New Roman"/>
          <w:sz w:val="32"/>
          <w:szCs w:val="32"/>
          <w:highlight w:val="none"/>
        </w:rPr>
      </w:pPr>
      <w:r>
        <w:rPr>
          <w:rFonts w:hint="eastAsia" w:ascii="仿宋_GB2312" w:hAnsi="仿宋_GB2312" w:eastAsia="仿宋_GB2312" w:cs="仿宋_GB2312"/>
          <w:bCs/>
          <w:sz w:val="32"/>
          <w:szCs w:val="32"/>
          <w:highlight w:val="none"/>
        </w:rPr>
        <w:t>本次评价采取定量与定性评价相结合的方式，</w:t>
      </w:r>
      <w:r>
        <w:rPr>
          <w:rFonts w:hint="eastAsia" w:ascii="Times New Roman" w:hAnsi="Times New Roman" w:eastAsia="仿宋_GB2312" w:cs="Times New Roman"/>
          <w:sz w:val="32"/>
          <w:szCs w:val="32"/>
          <w:highlight w:val="none"/>
        </w:rPr>
        <w:t>对</w:t>
      </w:r>
      <w:r>
        <w:rPr>
          <w:rFonts w:hint="eastAsia" w:ascii="仿宋_GB2312" w:hAnsi="仿宋_GB2312" w:eastAsia="仿宋_GB2312" w:cs="仿宋_GB2312"/>
          <w:sz w:val="32"/>
          <w:szCs w:val="32"/>
          <w:highlight w:val="none"/>
          <w:lang w:eastAsia="zh-Hans"/>
        </w:rPr>
        <w:t>昌吉州生态环境保护综合行政执法装备采购</w:t>
      </w:r>
      <w:r>
        <w:rPr>
          <w:rFonts w:hint="eastAsia" w:ascii="仿宋_GB2312" w:hAnsi="仿宋_GB2312" w:eastAsia="仿宋_GB2312" w:cs="仿宋_GB2312"/>
          <w:sz w:val="32"/>
          <w:szCs w:val="32"/>
          <w:highlight w:val="none"/>
        </w:rPr>
        <w:t>项目</w:t>
      </w:r>
      <w:r>
        <w:rPr>
          <w:rFonts w:hint="eastAsia" w:ascii="Times New Roman" w:hAnsi="Times New Roman" w:eastAsia="仿宋_GB2312" w:cs="Times New Roman"/>
          <w:sz w:val="32"/>
          <w:szCs w:val="32"/>
          <w:highlight w:val="none"/>
        </w:rPr>
        <w:t>的绩效目标和各项具体绩效指标实现情况进行了客观评价，最终评分为</w:t>
      </w:r>
      <w:r>
        <w:rPr>
          <w:rFonts w:hint="eastAsia" w:ascii="Times New Roman" w:hAnsi="Times New Roman" w:eastAsia="仿宋_GB2312" w:cs="Times New Roman"/>
          <w:sz w:val="32"/>
          <w:szCs w:val="32"/>
          <w:highlight w:val="none"/>
          <w:lang w:val="en-US" w:eastAsia="zh-CN"/>
        </w:rPr>
        <w:t>99</w:t>
      </w:r>
      <w:r>
        <w:rPr>
          <w:rFonts w:hint="eastAsia" w:ascii="Times New Roman" w:hAnsi="Times New Roman" w:eastAsia="仿宋_GB2312" w:cs="Times New Roman"/>
          <w:sz w:val="32"/>
          <w:szCs w:val="32"/>
          <w:highlight w:val="none"/>
        </w:rPr>
        <w:t>分。绩效评级为“优秀”，具体得分情况为：具体得分情况为：项目决策</w:t>
      </w:r>
      <w:r>
        <w:rPr>
          <w:rFonts w:hint="eastAsia" w:ascii="Times New Roman" w:hAnsi="Times New Roman" w:eastAsia="仿宋_GB2312" w:cs="Times New Roman"/>
          <w:sz w:val="32"/>
          <w:szCs w:val="32"/>
          <w:highlight w:val="none"/>
          <w:lang w:val="en-US" w:eastAsia="zh-CN"/>
        </w:rPr>
        <w:t>20</w:t>
      </w:r>
      <w:r>
        <w:rPr>
          <w:rFonts w:hint="eastAsia" w:ascii="Times New Roman" w:hAnsi="Times New Roman" w:eastAsia="仿宋_GB2312" w:cs="Times New Roman"/>
          <w:sz w:val="32"/>
          <w:szCs w:val="32"/>
          <w:highlight w:val="none"/>
        </w:rPr>
        <w:t>分、项目过程</w:t>
      </w:r>
      <w:r>
        <w:rPr>
          <w:rFonts w:hint="eastAsia" w:ascii="Times New Roman" w:hAnsi="Times New Roman" w:eastAsia="仿宋_GB2312" w:cs="Times New Roman"/>
          <w:sz w:val="32"/>
          <w:szCs w:val="32"/>
          <w:highlight w:val="none"/>
          <w:lang w:val="en-US" w:eastAsia="zh-CN"/>
        </w:rPr>
        <w:t>19</w:t>
      </w:r>
      <w:r>
        <w:rPr>
          <w:rFonts w:hint="eastAsia" w:ascii="Times New Roman" w:hAnsi="Times New Roman" w:eastAsia="仿宋_GB2312" w:cs="Times New Roman"/>
          <w:sz w:val="32"/>
          <w:szCs w:val="32"/>
          <w:highlight w:val="none"/>
        </w:rPr>
        <w:t>分、项目产出</w:t>
      </w:r>
      <w:r>
        <w:rPr>
          <w:rFonts w:hint="eastAsia" w:ascii="Times New Roman" w:hAnsi="Times New Roman" w:eastAsia="仿宋_GB2312" w:cs="Times New Roman"/>
          <w:sz w:val="32"/>
          <w:szCs w:val="32"/>
          <w:highlight w:val="none"/>
          <w:lang w:val="en-US" w:eastAsia="zh-CN"/>
        </w:rPr>
        <w:t>30</w:t>
      </w:r>
      <w:r>
        <w:rPr>
          <w:rFonts w:hint="eastAsia" w:ascii="Times New Roman" w:hAnsi="Times New Roman" w:eastAsia="仿宋_GB2312" w:cs="Times New Roman"/>
          <w:sz w:val="32"/>
          <w:szCs w:val="32"/>
          <w:highlight w:val="none"/>
        </w:rPr>
        <w:t>分、项目效益</w:t>
      </w:r>
      <w:r>
        <w:rPr>
          <w:rFonts w:hint="eastAsia" w:ascii="Times New Roman" w:hAnsi="Times New Roman" w:eastAsia="仿宋_GB2312" w:cs="Times New Roman"/>
          <w:sz w:val="32"/>
          <w:szCs w:val="32"/>
          <w:highlight w:val="none"/>
          <w:lang w:val="en-US" w:eastAsia="zh-CN"/>
        </w:rPr>
        <w:t>30</w:t>
      </w:r>
      <w:r>
        <w:rPr>
          <w:rFonts w:hint="eastAsia" w:ascii="Times New Roman" w:hAnsi="Times New Roman" w:eastAsia="仿宋_GB2312" w:cs="Times New Roman"/>
          <w:sz w:val="32"/>
          <w:szCs w:val="32"/>
          <w:highlight w:val="none"/>
        </w:rPr>
        <w:t>分。</w:t>
      </w:r>
    </w:p>
    <w:p w14:paraId="4CE1FD4C">
      <w:pPr>
        <w:keepNext/>
        <w:keepLines/>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highlight w:val="none"/>
        </w:rPr>
      </w:pPr>
      <w:r>
        <w:rPr>
          <w:rFonts w:hint="eastAsia" w:ascii="Times New Roman" w:hAnsi="Times New Roman" w:eastAsia="黑体" w:cs="Times New Roman"/>
          <w:kern w:val="44"/>
          <w:sz w:val="32"/>
          <w:szCs w:val="32"/>
          <w:highlight w:val="none"/>
        </w:rPr>
        <w:t>四、绩效评价指标分析</w:t>
      </w:r>
    </w:p>
    <w:p w14:paraId="1FA4BF90">
      <w:pPr>
        <w:keepNext/>
        <w:keepLines/>
        <w:spacing w:line="600" w:lineRule="exact"/>
        <w:ind w:firstLine="643" w:firstLineChars="200"/>
        <w:outlineLvl w:val="1"/>
        <w:rPr>
          <w:rFonts w:hint="eastAsia" w:ascii="仿宋_GB2312" w:hAnsi="仿宋_GB2312" w:eastAsia="仿宋_GB2312" w:cs="仿宋_GB2312"/>
          <w:sz w:val="32"/>
          <w:szCs w:val="32"/>
        </w:rPr>
      </w:pPr>
      <w:r>
        <w:rPr>
          <w:rFonts w:hint="eastAsia" w:ascii="楷体_GB2312" w:hAnsi="Arial" w:eastAsia="楷体_GB2312" w:cs="Times New Roman"/>
          <w:b/>
          <w:sz w:val="32"/>
          <w:szCs w:val="32"/>
          <w:highlight w:val="none"/>
        </w:rPr>
        <w:t>（一）项目决策情况</w:t>
      </w:r>
    </w:p>
    <w:p w14:paraId="6EE261BC">
      <w:pPr>
        <w:overflowPunct w:val="0"/>
        <w:spacing w:line="60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rPr>
        <w:t>项目决策类指标</w:t>
      </w:r>
      <w:r>
        <w:rPr>
          <w:rFonts w:hint="eastAsia" w:ascii="仿宋_GB2312" w:hAnsi="仿宋_GB2312" w:eastAsia="仿宋_GB2312" w:cs="仿宋_GB2312"/>
          <w:sz w:val="32"/>
          <w:szCs w:val="32"/>
          <w:lang w:eastAsia="zh-Hans"/>
        </w:rPr>
        <w:t>从</w:t>
      </w:r>
      <w:r>
        <w:rPr>
          <w:rFonts w:hint="eastAsia" w:ascii="仿宋_GB2312" w:hAnsi="仿宋_GB2312" w:eastAsia="仿宋_GB2312" w:cs="仿宋_GB2312"/>
          <w:sz w:val="32"/>
          <w:szCs w:val="32"/>
        </w:rPr>
        <w:t>项目立项、绩效目标和资金投入</w:t>
      </w:r>
      <w:r>
        <w:rPr>
          <w:rFonts w:hint="eastAsia" w:ascii="仿宋_GB2312" w:hAnsi="仿宋_GB2312" w:eastAsia="仿宋_GB2312" w:cs="仿宋_GB2312"/>
          <w:sz w:val="32"/>
          <w:szCs w:val="32"/>
          <w:lang w:eastAsia="zh-Hans"/>
        </w:rPr>
        <w:t>三个</w:t>
      </w:r>
      <w:r>
        <w:rPr>
          <w:rFonts w:hint="eastAsia" w:ascii="仿宋_GB2312" w:hAnsi="仿宋_GB2312" w:eastAsia="仿宋_GB2312" w:cs="仿宋_GB2312"/>
          <w:sz w:val="32"/>
          <w:szCs w:val="32"/>
        </w:rPr>
        <w:t>方面</w:t>
      </w:r>
      <w:r>
        <w:rPr>
          <w:rFonts w:hint="eastAsia" w:ascii="仿宋_GB2312" w:hAnsi="仿宋_GB2312" w:eastAsia="仿宋_GB2312" w:cs="仿宋_GB2312"/>
          <w:sz w:val="32"/>
          <w:szCs w:val="32"/>
          <w:lang w:eastAsia="zh-Hans"/>
        </w:rPr>
        <w:t>评价项目前期准备工作</w:t>
      </w:r>
      <w:r>
        <w:rPr>
          <w:rFonts w:hint="eastAsia" w:ascii="仿宋_GB2312" w:hAnsi="仿宋_GB2312" w:eastAsia="仿宋_GB2312" w:cs="仿宋_GB2312"/>
          <w:sz w:val="32"/>
          <w:szCs w:val="32"/>
        </w:rPr>
        <w:t>，权重</w:t>
      </w:r>
      <w:r>
        <w:rPr>
          <w:rFonts w:hint="eastAsia" w:ascii="仿宋_GB2312" w:hAnsi="仿宋_GB2312" w:eastAsia="仿宋_GB2312" w:cs="仿宋_GB2312"/>
          <w:sz w:val="32"/>
          <w:szCs w:val="32"/>
          <w:lang w:eastAsia="zh-Hans"/>
        </w:rPr>
        <w:t>分值</w:t>
      </w:r>
      <w:r>
        <w:rPr>
          <w:rFonts w:hint="eastAsia" w:ascii="仿宋_GB2312" w:hAnsi="仿宋_GB2312" w:eastAsia="仿宋_GB2312" w:cs="仿宋_GB2312"/>
          <w:sz w:val="32"/>
          <w:szCs w:val="32"/>
        </w:rPr>
        <w:t>为 20 分，</w:t>
      </w:r>
      <w:r>
        <w:rPr>
          <w:rFonts w:hint="eastAsia" w:ascii="仿宋_GB2312" w:hAnsi="仿宋_GB2312" w:eastAsia="仿宋_GB2312" w:cs="仿宋_GB2312"/>
          <w:sz w:val="32"/>
          <w:szCs w:val="32"/>
          <w:lang w:eastAsia="zh-Hans"/>
        </w:rPr>
        <w:t>本项目</w:t>
      </w:r>
      <w:r>
        <w:rPr>
          <w:rFonts w:hint="eastAsia" w:ascii="仿宋_GB2312" w:hAnsi="仿宋_GB2312" w:eastAsia="仿宋_GB2312" w:cs="仿宋_GB2312"/>
          <w:sz w:val="32"/>
          <w:szCs w:val="32"/>
        </w:rPr>
        <w:t>实际得分20分，得分率为100%。</w:t>
      </w:r>
      <w:r>
        <w:rPr>
          <w:rFonts w:hint="eastAsia" w:ascii="仿宋_GB2312" w:hAnsi="仿宋_GB2312" w:eastAsia="仿宋_GB2312" w:cs="仿宋_GB2312"/>
          <w:sz w:val="32"/>
          <w:szCs w:val="32"/>
          <w:lang w:eastAsia="zh-Hans"/>
        </w:rPr>
        <w:t>具体各项指标得分如下：</w:t>
      </w:r>
    </w:p>
    <w:p w14:paraId="2533B20E">
      <w:pPr>
        <w:numPr>
          <w:ilvl w:val="0"/>
          <w:numId w:val="6"/>
        </w:numPr>
        <w:spacing w:line="560" w:lineRule="exact"/>
        <w:ind w:firstLine="736" w:firstLineChars="221"/>
        <w:rPr>
          <w:rFonts w:ascii="仿宋_GB2312" w:hAnsi="Times New Roman" w:eastAsia="仿宋_GB2312" w:cs="仿宋_GB2312"/>
          <w:spacing w:val="6"/>
          <w:sz w:val="32"/>
          <w:szCs w:val="32"/>
        </w:rPr>
      </w:pPr>
      <w:r>
        <w:rPr>
          <w:rFonts w:hint="eastAsia" w:ascii="仿宋_GB2312" w:hAnsi="Times New Roman" w:eastAsia="仿宋_GB2312" w:cs="仿宋_GB2312"/>
          <w:b/>
          <w:bCs/>
          <w:spacing w:val="6"/>
          <w:sz w:val="32"/>
          <w:szCs w:val="32"/>
        </w:rPr>
        <w:t>1.立项依据充分性：</w:t>
      </w:r>
      <w:r>
        <w:rPr>
          <w:rFonts w:hint="eastAsia" w:ascii="仿宋_GB2312" w:hAnsi="仿宋_GB2312" w:eastAsia="仿宋_GB2312" w:cs="仿宋_GB2312"/>
          <w:sz w:val="32"/>
          <w:szCs w:val="32"/>
          <w:lang w:eastAsia="zh-Hans"/>
        </w:rPr>
        <w:t>项目立项符合国家法律法规、自治区和地区行业发展规划和政策要求，属于本部门履职所需。</w:t>
      </w:r>
      <w:r>
        <w:rPr>
          <w:rFonts w:hint="eastAsia" w:ascii="仿宋_GB2312" w:hAnsi="Times New Roman" w:eastAsia="仿宋_GB2312" w:cs="仿宋_GB2312"/>
          <w:spacing w:val="6"/>
          <w:sz w:val="32"/>
          <w:szCs w:val="32"/>
        </w:rPr>
        <w:t>根据评分标准，该指标3分，得3分。</w:t>
      </w:r>
    </w:p>
    <w:p w14:paraId="325F7C88">
      <w:pPr>
        <w:spacing w:line="600" w:lineRule="exact"/>
        <w:ind w:firstLine="736" w:firstLineChars="221"/>
        <w:rPr>
          <w:rFonts w:ascii="仿宋_GB2312" w:hAnsi="Times New Roman" w:eastAsia="仿宋_GB2312" w:cs="仿宋_GB2312"/>
          <w:spacing w:val="6"/>
          <w:sz w:val="32"/>
          <w:szCs w:val="32"/>
        </w:rPr>
      </w:pPr>
      <w:r>
        <w:rPr>
          <w:rFonts w:hint="eastAsia" w:ascii="仿宋_GB2312" w:hAnsi="Times New Roman" w:eastAsia="仿宋_GB2312" w:cs="仿宋_GB2312"/>
          <w:b/>
          <w:bCs/>
          <w:spacing w:val="6"/>
          <w:sz w:val="32"/>
          <w:szCs w:val="32"/>
        </w:rPr>
        <w:t>2.立项程序规范性：</w:t>
      </w:r>
      <w:r>
        <w:rPr>
          <w:rFonts w:hint="eastAsia" w:ascii="仿宋_GB2312" w:hAnsi="Times New Roman" w:eastAsia="仿宋_GB2312" w:cs="仿宋_GB2312"/>
          <w:spacing w:val="6"/>
          <w:sz w:val="32"/>
          <w:szCs w:val="32"/>
        </w:rPr>
        <w:t>根据评分标准，该指标2分，得2分。</w:t>
      </w:r>
    </w:p>
    <w:p w14:paraId="7D056922">
      <w:pPr>
        <w:spacing w:line="60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rPr>
        <w:t>3.绩效目标合理性</w:t>
      </w:r>
      <w:r>
        <w:rPr>
          <w:rFonts w:hint="eastAsia" w:ascii="仿宋_GB2312" w:hAnsi="Times New Roman" w:eastAsia="仿宋_GB2312" w:cs="仿宋_GB2312"/>
          <w:sz w:val="32"/>
          <w:szCs w:val="32"/>
        </w:rPr>
        <w:t>：</w:t>
      </w:r>
      <w:r>
        <w:rPr>
          <w:rFonts w:hint="eastAsia" w:ascii="仿宋_GB2312" w:hAnsi="仿宋_GB2312" w:eastAsia="仿宋_GB2312" w:cs="仿宋_GB2312"/>
          <w:sz w:val="32"/>
          <w:szCs w:val="32"/>
          <w:lang w:eastAsia="zh-Hans"/>
        </w:rPr>
        <w:t>本项目制定了项目支出绩效目标，明确了项目总体思路及总目标、并对项目任务进行了详细分解，对目标进行了细化。根据评分标准，该指标3分，得3分。</w:t>
      </w:r>
    </w:p>
    <w:p w14:paraId="407CDBFD">
      <w:pPr>
        <w:spacing w:line="60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rPr>
        <w:t>4.绩效指标明确性：</w:t>
      </w:r>
      <w:r>
        <w:rPr>
          <w:rFonts w:hint="eastAsia" w:ascii="仿宋_GB2312" w:hAnsi="仿宋_GB2312" w:eastAsia="仿宋_GB2312" w:cs="仿宋_GB2312"/>
          <w:sz w:val="32"/>
          <w:szCs w:val="32"/>
          <w:lang w:eastAsia="zh-Hans"/>
        </w:rPr>
        <w:t>本项目已将项目绩效目标细化分解为具体的绩效指标，并通过清晰、可衡量的指标值予以体现，与项目目标任务数或计划数相对应。根据评分标准，该指标2分，得2分。</w:t>
      </w:r>
    </w:p>
    <w:p w14:paraId="3FB1EE90">
      <w:pPr>
        <w:spacing w:line="60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rPr>
        <w:t>5.预算编制科学性：</w:t>
      </w:r>
      <w:r>
        <w:rPr>
          <w:rFonts w:hint="eastAsia" w:ascii="仿宋_GB2312" w:hAnsi="仿宋_GB2312" w:eastAsia="仿宋_GB2312" w:cs="仿宋_GB2312"/>
          <w:sz w:val="32"/>
          <w:szCs w:val="32"/>
          <w:lang w:eastAsia="zh-Hans"/>
        </w:rPr>
        <w:t>根据评分标准，该指标5分，得5分。</w:t>
      </w:r>
    </w:p>
    <w:p w14:paraId="2E2E8813">
      <w:pPr>
        <w:spacing w:line="60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rPr>
        <w:t>6.资金分配合理性：</w:t>
      </w:r>
      <w:r>
        <w:rPr>
          <w:rFonts w:hint="eastAsia" w:ascii="仿宋_GB2312" w:hAnsi="仿宋_GB2312" w:eastAsia="仿宋_GB2312" w:cs="仿宋_GB2312"/>
          <w:sz w:val="32"/>
          <w:szCs w:val="32"/>
          <w:lang w:eastAsia="zh-Hans"/>
        </w:rPr>
        <w:t>本项目资金分配依据充分，资金分配额度合理，与项目地方实际相适应。根据评分标准，该指标5分，得5分。</w:t>
      </w:r>
    </w:p>
    <w:p w14:paraId="3027E000">
      <w:pPr>
        <w:keepNext/>
        <w:keepLines/>
        <w:spacing w:line="600" w:lineRule="exact"/>
        <w:ind w:firstLine="643" w:firstLineChars="200"/>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（二）项目过程情况</w:t>
      </w:r>
    </w:p>
    <w:p w14:paraId="362E57A4">
      <w:pPr>
        <w:overflowPunct w:val="0"/>
        <w:spacing w:line="600" w:lineRule="exact"/>
        <w:ind w:firstLine="640"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sz w:val="32"/>
          <w:szCs w:val="32"/>
        </w:rPr>
        <w:t>项目过程类指标包括资金管理和组织实施两方面的内容，由 5个三级指标构成，权重</w:t>
      </w:r>
      <w:r>
        <w:rPr>
          <w:rFonts w:hint="eastAsia" w:ascii="仿宋_GB2312" w:hAnsi="Times New Roman" w:eastAsia="仿宋_GB2312" w:cs="仿宋_GB2312"/>
          <w:sz w:val="32"/>
          <w:szCs w:val="32"/>
          <w:lang w:eastAsia="zh-Hans"/>
        </w:rPr>
        <w:t>分值</w:t>
      </w:r>
      <w:r>
        <w:rPr>
          <w:rFonts w:hint="eastAsia" w:ascii="仿宋_GB2312" w:hAnsi="Times New Roman" w:eastAsia="仿宋_GB2312" w:cs="仿宋_GB2312"/>
          <w:sz w:val="32"/>
          <w:szCs w:val="32"/>
        </w:rPr>
        <w:t>为 20 分，</w:t>
      </w:r>
      <w:r>
        <w:rPr>
          <w:rFonts w:hint="eastAsia" w:ascii="仿宋_GB2312" w:hAnsi="Times New Roman" w:eastAsia="仿宋_GB2312" w:cs="仿宋_GB2312"/>
          <w:sz w:val="32"/>
          <w:szCs w:val="32"/>
          <w:lang w:eastAsia="zh-Hans"/>
        </w:rPr>
        <w:t>本项目</w:t>
      </w:r>
      <w:r>
        <w:rPr>
          <w:rFonts w:hint="eastAsia" w:ascii="仿宋_GB2312" w:hAnsi="Times New Roman" w:eastAsia="仿宋_GB2312" w:cs="仿宋_GB2312"/>
          <w:sz w:val="32"/>
          <w:szCs w:val="32"/>
        </w:rPr>
        <w:t>实际得分</w:t>
      </w:r>
      <w:r>
        <w:rPr>
          <w:rFonts w:hint="eastAsia" w:ascii="仿宋_GB2312" w:hAnsi="Times New Roman" w:eastAsia="仿宋_GB2312" w:cs="仿宋_GB2312"/>
          <w:sz w:val="32"/>
          <w:szCs w:val="32"/>
          <w:lang w:val="en-US" w:eastAsia="zh-CN"/>
        </w:rPr>
        <w:t>19</w:t>
      </w:r>
      <w:r>
        <w:rPr>
          <w:rFonts w:hint="eastAsia" w:ascii="仿宋_GB2312" w:hAnsi="Times New Roman" w:eastAsia="仿宋_GB2312" w:cs="仿宋_GB2312"/>
          <w:sz w:val="32"/>
          <w:szCs w:val="32"/>
        </w:rPr>
        <w:t>分，得分率为100.0%。</w:t>
      </w:r>
      <w:r>
        <w:rPr>
          <w:rFonts w:hint="eastAsia" w:ascii="仿宋_GB2312" w:hAnsi="Times New Roman" w:eastAsia="仿宋_GB2312" w:cs="仿宋_GB2312"/>
          <w:sz w:val="32"/>
          <w:szCs w:val="32"/>
          <w:lang w:eastAsia="zh-Hans"/>
        </w:rPr>
        <w:t>具体各项指标得分如下：</w:t>
      </w:r>
    </w:p>
    <w:p w14:paraId="2D8AB103">
      <w:pPr>
        <w:spacing w:line="600" w:lineRule="exact"/>
        <w:ind w:firstLine="643" w:firstLineChars="200"/>
        <w:rPr>
          <w:rFonts w:ascii="仿宋_GB2312" w:hAnsi="Times New Roman" w:eastAsia="仿宋_GB2312" w:cs="仿宋_GB2312"/>
          <w:sz w:val="32"/>
          <w:szCs w:val="32"/>
        </w:rPr>
      </w:pPr>
      <w:r>
        <w:rPr>
          <w:rFonts w:hint="eastAsia" w:ascii="仿宋_GB2312" w:hAnsi="Times New Roman" w:eastAsia="仿宋_GB2312" w:cs="仿宋_GB2312"/>
          <w:b/>
          <w:bCs/>
          <w:sz w:val="32"/>
          <w:szCs w:val="32"/>
        </w:rPr>
        <w:t>1.资金到位率：</w:t>
      </w:r>
      <w:r>
        <w:rPr>
          <w:rFonts w:hint="eastAsia" w:ascii="仿宋_GB2312" w:hAnsi="Times New Roman" w:eastAsia="仿宋_GB2312" w:cs="仿宋_GB2312"/>
          <w:sz w:val="32"/>
          <w:szCs w:val="32"/>
        </w:rPr>
        <w:t xml:space="preserve">该项目所需财政资金能够足额拨付到位，根据评分标准，该指标5分，得5分。   </w:t>
      </w:r>
    </w:p>
    <w:p w14:paraId="31E1FF40">
      <w:pPr>
        <w:spacing w:line="56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highlight w:val="none"/>
        </w:rPr>
        <w:t>2.预算执行率：</w:t>
      </w:r>
      <w:r>
        <w:rPr>
          <w:rFonts w:hint="eastAsia" w:ascii="仿宋_GB2312" w:hAnsi="Times New Roman" w:eastAsia="仿宋_GB2312" w:cs="仿宋_GB2312"/>
          <w:b/>
          <w:bCs/>
          <w:sz w:val="32"/>
          <w:szCs w:val="32"/>
          <w:highlight w:val="none"/>
          <w:lang w:eastAsia="zh-Hans"/>
        </w:rPr>
        <w:t>本项目</w:t>
      </w:r>
      <w:r>
        <w:rPr>
          <w:rFonts w:hint="eastAsia" w:ascii="仿宋_GB2312" w:hAnsi="仿宋_GB2312" w:eastAsia="仿宋_GB2312" w:cs="仿宋_GB2312"/>
          <w:sz w:val="32"/>
          <w:szCs w:val="32"/>
          <w:highlight w:val="none"/>
          <w:lang w:eastAsia="zh-Hans"/>
        </w:rPr>
        <w:t>预算较为详细，预算资金</w:t>
      </w:r>
      <w:r>
        <w:rPr>
          <w:rFonts w:hint="eastAsia" w:ascii="仿宋_GB2312" w:hAnsi="仿宋_GB2312" w:eastAsia="仿宋_GB2312" w:cs="仿宋_GB2312"/>
          <w:sz w:val="32"/>
          <w:szCs w:val="32"/>
          <w:highlight w:val="none"/>
          <w:lang w:val="en-US" w:eastAsia="zh-CN"/>
        </w:rPr>
        <w:t>52</w:t>
      </w:r>
      <w:r>
        <w:rPr>
          <w:rFonts w:hint="eastAsia" w:ascii="仿宋_GB2312" w:hAnsi="仿宋_GB2312" w:eastAsia="仿宋_GB2312" w:cs="仿宋_GB2312"/>
          <w:sz w:val="32"/>
          <w:szCs w:val="32"/>
          <w:highlight w:val="none"/>
          <w:lang w:eastAsia="zh-Hans"/>
        </w:rPr>
        <w:t>万元，实际执行</w:t>
      </w:r>
      <w:r>
        <w:rPr>
          <w:rFonts w:hint="eastAsia" w:ascii="仿宋_GB2312" w:hAnsi="仿宋_GB2312" w:eastAsia="仿宋_GB2312" w:cs="仿宋_GB2312"/>
          <w:sz w:val="32"/>
          <w:szCs w:val="32"/>
          <w:highlight w:val="none"/>
          <w:lang w:val="en-US" w:eastAsia="zh-CN"/>
        </w:rPr>
        <w:t>47.83</w:t>
      </w:r>
      <w:r>
        <w:rPr>
          <w:rFonts w:hint="eastAsia" w:ascii="仿宋_GB2312" w:hAnsi="仿宋_GB2312" w:eastAsia="仿宋_GB2312" w:cs="仿宋_GB2312"/>
          <w:sz w:val="32"/>
          <w:szCs w:val="32"/>
          <w:highlight w:val="none"/>
          <w:lang w:eastAsia="zh-Hans"/>
        </w:rPr>
        <w:t>万元，预算执行率为</w:t>
      </w:r>
      <w:r>
        <w:rPr>
          <w:rFonts w:hint="eastAsia" w:ascii="仿宋_GB2312" w:hAnsi="仿宋_GB2312" w:eastAsia="仿宋_GB2312" w:cs="仿宋_GB2312"/>
          <w:sz w:val="32"/>
          <w:szCs w:val="32"/>
          <w:highlight w:val="none"/>
          <w:lang w:val="en-US" w:eastAsia="zh-CN"/>
        </w:rPr>
        <w:t>91.98</w:t>
      </w:r>
      <w:r>
        <w:rPr>
          <w:rFonts w:hint="eastAsia" w:ascii="仿宋_GB2312" w:hAnsi="仿宋_GB2312" w:eastAsia="仿宋_GB2312" w:cs="仿宋_GB2312"/>
          <w:sz w:val="32"/>
          <w:szCs w:val="32"/>
          <w:highlight w:val="none"/>
          <w:lang w:eastAsia="zh-Hans"/>
        </w:rPr>
        <w:t>%，项目</w:t>
      </w:r>
      <w:r>
        <w:rPr>
          <w:rFonts w:hint="eastAsia" w:ascii="仿宋_GB2312" w:hAnsi="仿宋_GB2312" w:eastAsia="仿宋_GB2312" w:cs="仿宋_GB2312"/>
          <w:sz w:val="32"/>
          <w:szCs w:val="32"/>
          <w:lang w:eastAsia="zh-Hans"/>
        </w:rPr>
        <w:t>资金支出总体能够按照预算执行，根据评分标准，该指标5分，得</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Hans"/>
        </w:rPr>
        <w:t>分。</w:t>
      </w:r>
    </w:p>
    <w:p w14:paraId="78795D1F">
      <w:pPr>
        <w:spacing w:line="56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rPr>
        <w:t>3.资金使用合规性：</w:t>
      </w:r>
      <w:r>
        <w:rPr>
          <w:rFonts w:hint="eastAsia" w:ascii="仿宋_GB2312" w:hAnsi="仿宋_GB2312" w:eastAsia="仿宋_GB2312" w:cs="仿宋_GB2312"/>
          <w:sz w:val="32"/>
          <w:szCs w:val="32"/>
          <w:lang w:eastAsia="zh-Hans"/>
        </w:rPr>
        <w:t>项目任务下达后，我单位</w:t>
      </w:r>
      <w:r>
        <w:rPr>
          <w:rFonts w:hint="eastAsia" w:ascii="仿宋_GB2312" w:hAnsi="仿宋_GB2312" w:eastAsia="仿宋_GB2312" w:cs="仿宋_GB2312"/>
          <w:sz w:val="32"/>
          <w:szCs w:val="32"/>
          <w:lang w:val="en-US" w:eastAsia="zh-CN"/>
        </w:rPr>
        <w:t>按照主管局现有</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highlight w:val="none"/>
          <w:lang w:val="en-US" w:eastAsia="zh-CN"/>
        </w:rPr>
        <w:t>昌吉州生态环境局财务管理制度</w:t>
      </w:r>
      <w:r>
        <w:rPr>
          <w:rFonts w:hint="eastAsia" w:ascii="仿宋_GB2312" w:hAnsi="仿宋_GB2312" w:eastAsia="仿宋_GB2312" w:cs="仿宋_GB2312"/>
          <w:sz w:val="32"/>
          <w:szCs w:val="32"/>
          <w:lang w:eastAsia="zh-Hans"/>
        </w:rPr>
        <w:t>》制度和管理规定对经费使用进行规范管理，财务制度健全、执行严格，根据评分标准，该指标5分，得5分。</w:t>
      </w:r>
    </w:p>
    <w:p w14:paraId="68F5CFB0">
      <w:pPr>
        <w:spacing w:line="560" w:lineRule="exact"/>
        <w:ind w:firstLine="643" w:firstLineChars="200"/>
        <w:rPr>
          <w:rFonts w:ascii="仿宋_GB2312" w:hAnsi="仿宋_GB2312" w:eastAsia="仿宋_GB2312" w:cs="仿宋_GB2312"/>
          <w:sz w:val="32"/>
          <w:szCs w:val="32"/>
          <w:lang w:eastAsia="zh-Hans"/>
        </w:rPr>
      </w:pPr>
      <w:r>
        <w:rPr>
          <w:rFonts w:hint="eastAsia" w:ascii="仿宋_GB2312" w:hAnsi="Times New Roman" w:eastAsia="仿宋_GB2312" w:cs="仿宋_GB2312"/>
          <w:b/>
          <w:bCs/>
          <w:sz w:val="32"/>
          <w:szCs w:val="32"/>
          <w:highlight w:val="none"/>
        </w:rPr>
        <w:t>4.管理制度健全性：</w:t>
      </w:r>
      <w:r>
        <w:rPr>
          <w:rFonts w:hint="eastAsia" w:ascii="仿宋_GB2312" w:hAnsi="仿宋_GB2312" w:eastAsia="仿宋_GB2312" w:cs="仿宋_GB2312"/>
          <w:sz w:val="32"/>
          <w:szCs w:val="32"/>
          <w:highlight w:val="none"/>
          <w:lang w:eastAsia="zh-Hans"/>
        </w:rPr>
        <w:t>我单位制定了《</w:t>
      </w:r>
      <w:r>
        <w:rPr>
          <w:rFonts w:hint="eastAsia" w:ascii="仿宋_GB2312" w:hAnsi="仿宋_GB2312" w:eastAsia="仿宋_GB2312" w:cs="仿宋_GB2312"/>
          <w:sz w:val="32"/>
          <w:szCs w:val="32"/>
          <w:highlight w:val="none"/>
          <w:lang w:val="en-US" w:eastAsia="zh-CN"/>
        </w:rPr>
        <w:t>昌吉州节能减排监督管理局内部控制管理制度</w:t>
      </w:r>
      <w:r>
        <w:rPr>
          <w:rFonts w:hint="eastAsia" w:ascii="仿宋_GB2312" w:hAnsi="仿宋_GB2312" w:eastAsia="仿宋_GB2312" w:cs="仿宋_GB2312"/>
          <w:sz w:val="32"/>
          <w:szCs w:val="32"/>
          <w:highlight w:val="none"/>
          <w:lang w:eastAsia="zh-Hans"/>
        </w:rPr>
        <w:t>》等相关项目管理办法，同时对财政专项资金进行严格管理，基本做到了专款专用，根据评分标准，该指标2分，得2</w:t>
      </w:r>
      <w:r>
        <w:rPr>
          <w:rFonts w:hint="eastAsia" w:ascii="仿宋_GB2312" w:hAnsi="仿宋_GB2312" w:eastAsia="仿宋_GB2312" w:cs="仿宋_GB2312"/>
          <w:sz w:val="32"/>
          <w:szCs w:val="32"/>
          <w:lang w:eastAsia="zh-Hans"/>
        </w:rPr>
        <w:t>分。</w:t>
      </w:r>
    </w:p>
    <w:p w14:paraId="0BC9D29D">
      <w:pPr>
        <w:spacing w:line="600" w:lineRule="exact"/>
        <w:ind w:firstLine="643" w:firstLineChars="200"/>
        <w:rPr>
          <w:rFonts w:hint="eastAsia" w:ascii="楷体_GB2312" w:hAnsi="Arial" w:eastAsia="楷体_GB2312" w:cs="Times New Roman"/>
          <w:b/>
          <w:sz w:val="32"/>
          <w:szCs w:val="32"/>
          <w:highlight w:val="none"/>
        </w:rPr>
      </w:pPr>
      <w:r>
        <w:rPr>
          <w:rFonts w:hint="eastAsia" w:ascii="仿宋_GB2312" w:hAnsi="Times New Roman" w:eastAsia="仿宋_GB2312" w:cs="仿宋_GB2312"/>
          <w:b/>
          <w:bCs/>
          <w:sz w:val="32"/>
          <w:szCs w:val="32"/>
        </w:rPr>
        <w:t>5.制度执行有效性</w:t>
      </w:r>
      <w:r>
        <w:rPr>
          <w:rFonts w:hint="eastAsia" w:ascii="仿宋_GB2312" w:hAnsi="Times New Roman" w:eastAsia="仿宋_GB2312" w:cs="仿宋_GB2312"/>
          <w:sz w:val="32"/>
          <w:szCs w:val="32"/>
        </w:rPr>
        <w:t>：</w:t>
      </w:r>
      <w:r>
        <w:rPr>
          <w:rFonts w:hint="eastAsia" w:ascii="仿宋_GB2312" w:hAnsi="仿宋_GB2312" w:eastAsia="仿宋_GB2312" w:cs="仿宋_GB2312"/>
          <w:sz w:val="32"/>
          <w:szCs w:val="32"/>
          <w:lang w:eastAsia="zh-Hans"/>
        </w:rPr>
        <w:t>由部门提出经费预算支出可行性方案，经政府分管领导沟通后，报党委会议研究执行，财务对资金的使用合法合规性进行监督，年底对资金使用效果进行自评，根据评分标准，该</w:t>
      </w:r>
      <w:r>
        <w:rPr>
          <w:rFonts w:hint="eastAsia" w:ascii="仿宋_GB2312" w:hAnsi="仿宋_GB2312" w:eastAsia="仿宋_GB2312" w:cs="仿宋_GB2312"/>
          <w:sz w:val="32"/>
          <w:szCs w:val="32"/>
          <w:highlight w:val="none"/>
          <w:lang w:eastAsia="zh-Hans"/>
        </w:rPr>
        <w:t>指标3分，得3分</w:t>
      </w:r>
      <w:r>
        <w:rPr>
          <w:rFonts w:hint="eastAsia" w:ascii="仿宋_GB2312" w:hAnsi="仿宋_GB2312" w:eastAsia="仿宋_GB2312" w:cs="仿宋_GB2312"/>
          <w:sz w:val="32"/>
          <w:szCs w:val="32"/>
          <w:lang w:eastAsia="zh-Hans"/>
        </w:rPr>
        <w:t>。</w:t>
      </w:r>
    </w:p>
    <w:p w14:paraId="567747D0">
      <w:pPr>
        <w:keepNext/>
        <w:keepLines/>
        <w:pageBreakBefore w:val="0"/>
        <w:kinsoku/>
        <w:wordWrap/>
        <w:topLinePunct w:val="0"/>
        <w:autoSpaceDE/>
        <w:autoSpaceDN/>
        <w:bidi w:val="0"/>
        <w:spacing w:line="560" w:lineRule="exact"/>
        <w:ind w:firstLine="643" w:firstLineChars="200"/>
        <w:textAlignment w:val="auto"/>
        <w:outlineLvl w:val="1"/>
        <w:rPr>
          <w:rFonts w:ascii="楷体_GB2312" w:hAnsi="Arial" w:eastAsia="楷体_GB2312" w:cs="Times New Roman"/>
          <w:b/>
          <w:sz w:val="32"/>
          <w:szCs w:val="32"/>
        </w:rPr>
      </w:pPr>
      <w:r>
        <w:rPr>
          <w:rFonts w:hint="eastAsia" w:ascii="楷体_GB2312" w:hAnsi="Arial" w:eastAsia="楷体_GB2312" w:cs="Times New Roman"/>
          <w:b/>
          <w:sz w:val="32"/>
          <w:szCs w:val="32"/>
          <w:highlight w:val="none"/>
        </w:rPr>
        <w:t>（一）</w:t>
      </w:r>
      <w:r>
        <w:rPr>
          <w:rFonts w:hint="eastAsia" w:ascii="楷体_GB2312" w:hAnsi="Arial" w:eastAsia="楷体_GB2312" w:cs="Times New Roman"/>
          <w:b/>
          <w:sz w:val="32"/>
          <w:szCs w:val="32"/>
        </w:rPr>
        <w:t>项目产出情况</w:t>
      </w:r>
    </w:p>
    <w:p w14:paraId="5F03083E">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项目产出类指标包括产出数量、产出质量、产出时效、产出成本共四方面的内容，由</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Hans"/>
        </w:rPr>
        <w:t>个三级指标构成，权重分</w:t>
      </w:r>
      <w:r>
        <w:rPr>
          <w:rFonts w:hint="eastAsia" w:ascii="仿宋_GB2312" w:hAnsi="仿宋_GB2312" w:eastAsia="仿宋_GB2312" w:cs="仿宋_GB2312"/>
          <w:sz w:val="32"/>
          <w:szCs w:val="32"/>
          <w:lang w:val="en-US" w:eastAsia="zh-CN"/>
        </w:rPr>
        <w:t>30分</w:t>
      </w:r>
      <w:r>
        <w:rPr>
          <w:rFonts w:hint="eastAsia" w:ascii="仿宋_GB2312" w:hAnsi="仿宋_GB2312" w:eastAsia="仿宋_GB2312" w:cs="仿宋_GB2312"/>
          <w:sz w:val="32"/>
          <w:szCs w:val="32"/>
          <w:lang w:eastAsia="zh-Hans"/>
        </w:rPr>
        <w:t>，本项目实际得</w:t>
      </w:r>
      <w:r>
        <w:rPr>
          <w:rFonts w:hint="eastAsia" w:ascii="仿宋_GB2312" w:hAnsi="仿宋_GB2312" w:eastAsia="仿宋_GB2312" w:cs="仿宋_GB2312"/>
          <w:sz w:val="32"/>
          <w:szCs w:val="32"/>
          <w:highlight w:val="none"/>
          <w:lang w:eastAsia="zh-Hans"/>
        </w:rPr>
        <w:t>分</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Hans"/>
        </w:rPr>
        <w:t>分</w:t>
      </w:r>
      <w:r>
        <w:rPr>
          <w:rFonts w:hint="eastAsia" w:ascii="仿宋_GB2312" w:hAnsi="仿宋_GB2312" w:eastAsia="仿宋_GB2312" w:cs="仿宋_GB2312"/>
          <w:sz w:val="32"/>
          <w:szCs w:val="32"/>
          <w:lang w:eastAsia="zh-Hans"/>
        </w:rPr>
        <w:t>，得分率为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eastAsia="zh-Hans"/>
        </w:rPr>
        <w:t>%。具体各项指标得分如下：</w:t>
      </w:r>
    </w:p>
    <w:p w14:paraId="4D6D115D">
      <w:pPr>
        <w:pageBreakBefore w:val="0"/>
        <w:kinsoku/>
        <w:wordWrap/>
        <w:topLinePunct w:val="0"/>
        <w:autoSpaceDE/>
        <w:autoSpaceDN/>
        <w:bidi w:val="0"/>
        <w:spacing w:line="560" w:lineRule="exact"/>
        <w:ind w:firstLine="723"/>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产出数量</w:t>
      </w:r>
    </w:p>
    <w:p w14:paraId="430FB598">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标配执法设备数量</w:t>
      </w:r>
      <w:r>
        <w:rPr>
          <w:rFonts w:hint="eastAsia" w:ascii="Times New Roman" w:hAnsi="Times New Roman" w:eastAsia="仿宋_GB2312" w:cs="Times New Roman"/>
          <w:sz w:val="32"/>
          <w:szCs w:val="32"/>
        </w:rPr>
        <w:t>”指标，预期指标值为“</w:t>
      </w:r>
      <w:r>
        <w:rPr>
          <w:rFonts w:hint="eastAsia" w:ascii="宋体" w:hAnsi="宋体" w:eastAsia="宋体" w:cs="宋体"/>
          <w:sz w:val="32"/>
          <w:szCs w:val="32"/>
          <w:highlight w:val="none"/>
        </w:rPr>
        <w:t>≧</w:t>
      </w:r>
      <w:r>
        <w:rPr>
          <w:rFonts w:hint="eastAsia" w:ascii="Times New Roman" w:hAnsi="Times New Roman" w:eastAsia="仿宋_GB2312" w:cs="Times New Roman"/>
          <w:sz w:val="32"/>
          <w:szCs w:val="32"/>
          <w:lang w:val="en-US" w:eastAsia="zh-CN"/>
        </w:rPr>
        <w:t>47</w:t>
      </w:r>
      <w:r>
        <w:rPr>
          <w:rFonts w:hint="eastAsia" w:ascii="Times New Roman" w:hAnsi="Times New Roman" w:eastAsia="仿宋_GB2312" w:cs="Times New Roman"/>
          <w:sz w:val="32"/>
          <w:szCs w:val="32"/>
          <w:lang w:eastAsia="zh-CN"/>
        </w:rPr>
        <w:t>台</w:t>
      </w:r>
      <w:r>
        <w:rPr>
          <w:rFonts w:hint="eastAsia" w:ascii="Times New Roman" w:hAnsi="Times New Roman" w:eastAsia="仿宋_GB2312" w:cs="Times New Roman"/>
          <w:sz w:val="32"/>
          <w:szCs w:val="32"/>
        </w:rPr>
        <w:t>”</w:t>
      </w:r>
      <w:r>
        <w:rPr>
          <w:rFonts w:hint="eastAsia"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highlight w:val="none"/>
          <w:lang w:eastAsia="zh-CN"/>
        </w:rPr>
        <w:t>合同</w:t>
      </w:r>
      <w:r>
        <w:rPr>
          <w:rFonts w:hint="eastAsia" w:ascii="仿宋_GB2312" w:hAnsi="仿宋_GB2312" w:eastAsia="仿宋_GB2312" w:cs="仿宋_GB2312"/>
          <w:sz w:val="32"/>
          <w:szCs w:val="32"/>
          <w:highlight w:val="none"/>
          <w:lang w:eastAsia="zh-Hans"/>
        </w:rPr>
        <w:t>可</w:t>
      </w:r>
      <w:r>
        <w:rPr>
          <w:rFonts w:hint="eastAsia" w:ascii="仿宋_GB2312" w:hAnsi="仿宋_GB2312" w:eastAsia="仿宋_GB2312" w:cs="仿宋_GB2312"/>
          <w:sz w:val="32"/>
          <w:szCs w:val="32"/>
          <w:lang w:eastAsia="zh-Hans"/>
        </w:rPr>
        <w:t>知，</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eastAsia="zh-Hans"/>
        </w:rPr>
        <w:t>完成</w:t>
      </w:r>
      <w:r>
        <w:rPr>
          <w:rFonts w:hint="eastAsia" w:ascii="仿宋_GB2312" w:hAnsi="仿宋_GB2312" w:eastAsia="仿宋_GB2312" w:cs="仿宋_GB2312"/>
          <w:sz w:val="32"/>
          <w:szCs w:val="32"/>
          <w:lang w:val="en-US" w:eastAsia="zh-CN"/>
        </w:rPr>
        <w:t>47台</w:t>
      </w:r>
      <w:r>
        <w:rPr>
          <w:rFonts w:hint="eastAsia" w:ascii="仿宋_GB2312" w:hAnsi="仿宋_GB2312" w:eastAsia="仿宋_GB2312" w:cs="仿宋_GB2312"/>
          <w:sz w:val="32"/>
          <w:szCs w:val="32"/>
        </w:rPr>
        <w:t>，与预期目标一致，根据评分标准，该指标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3681C22A">
      <w:pPr>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选配执法设备数量</w:t>
      </w:r>
      <w:r>
        <w:rPr>
          <w:rFonts w:hint="eastAsia" w:ascii="Times New Roman" w:hAnsi="Times New Roman" w:eastAsia="仿宋_GB2312" w:cs="Times New Roman"/>
          <w:sz w:val="32"/>
          <w:szCs w:val="32"/>
        </w:rPr>
        <w:t>”指标，预期指标值为“</w:t>
      </w:r>
      <w:r>
        <w:rPr>
          <w:rFonts w:hint="eastAsia" w:ascii="宋体" w:hAnsi="宋体" w:eastAsia="宋体" w:cs="宋体"/>
          <w:sz w:val="32"/>
          <w:szCs w:val="32"/>
          <w:highlight w:val="none"/>
        </w:rPr>
        <w:t>≧</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台</w:t>
      </w:r>
      <w:r>
        <w:rPr>
          <w:rFonts w:hint="eastAsia" w:ascii="Times New Roman" w:hAnsi="Times New Roman" w:eastAsia="仿宋_GB2312" w:cs="Times New Roman"/>
          <w:sz w:val="32"/>
          <w:szCs w:val="32"/>
        </w:rPr>
        <w:t>”</w:t>
      </w:r>
      <w:r>
        <w:rPr>
          <w:rFonts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lang w:eastAsia="zh-CN"/>
        </w:rPr>
        <w:t>合同</w:t>
      </w:r>
      <w:r>
        <w:rPr>
          <w:rFonts w:ascii="仿宋_GB2312" w:hAnsi="仿宋_GB2312" w:eastAsia="仿宋_GB2312" w:cs="仿宋_GB2312"/>
          <w:sz w:val="32"/>
          <w:szCs w:val="32"/>
          <w:lang w:eastAsia="zh-Hans"/>
        </w:rPr>
        <w:t>可知，实际完成</w:t>
      </w:r>
      <w:r>
        <w:rPr>
          <w:rFonts w:hint="eastAsia" w:ascii="仿宋_GB2312" w:hAnsi="仿宋_GB2312" w:eastAsia="仿宋_GB2312" w:cs="仿宋_GB2312"/>
          <w:sz w:val="32"/>
          <w:szCs w:val="32"/>
          <w:lang w:val="en-US" w:eastAsia="zh-CN"/>
        </w:rPr>
        <w:t>8台</w:t>
      </w:r>
      <w:r>
        <w:rPr>
          <w:rFonts w:ascii="仿宋_GB2312" w:hAnsi="仿宋_GB2312" w:eastAsia="仿宋_GB2312" w:cs="仿宋_GB2312"/>
          <w:sz w:val="32"/>
          <w:szCs w:val="32"/>
          <w:lang w:eastAsia="zh-Hans"/>
        </w:rPr>
        <w:t>，与预期目标一致，</w:t>
      </w:r>
      <w:r>
        <w:rPr>
          <w:rFonts w:hint="eastAsia" w:ascii="仿宋_GB2312" w:hAnsi="仿宋_GB2312" w:eastAsia="仿宋_GB2312" w:cs="仿宋_GB2312"/>
          <w:sz w:val="32"/>
          <w:szCs w:val="32"/>
        </w:rPr>
        <w:t>根据评分标准，该指标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5B1C185E">
      <w:pPr>
        <w:pageBreakBefore w:val="0"/>
        <w:kinsoku/>
        <w:wordWrap/>
        <w:topLinePunct w:val="0"/>
        <w:autoSpaceDE/>
        <w:autoSpaceDN/>
        <w:bidi w:val="0"/>
        <w:spacing w:line="560" w:lineRule="exact"/>
        <w:ind w:firstLine="643" w:firstLineChars="200"/>
        <w:textAlignment w:val="auto"/>
        <w:rPr>
          <w:rFonts w:ascii="仿宋_GB2312" w:hAnsi="Times New Roman" w:eastAsia="仿宋_GB2312" w:cs="Times New Roman"/>
          <w:b/>
          <w:bCs/>
          <w:sz w:val="32"/>
          <w:szCs w:val="24"/>
        </w:rPr>
      </w:pPr>
      <w:r>
        <w:rPr>
          <w:rFonts w:hint="eastAsia" w:ascii="仿宋_GB2312" w:hAnsi="Times New Roman" w:eastAsia="仿宋_GB2312" w:cs="Times New Roman"/>
          <w:b/>
          <w:bCs/>
          <w:sz w:val="32"/>
          <w:szCs w:val="24"/>
        </w:rPr>
        <w:t>2.产出质量</w:t>
      </w:r>
    </w:p>
    <w:p w14:paraId="5AE4D001">
      <w:pPr>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设备验收合格率</w:t>
      </w:r>
      <w:r>
        <w:rPr>
          <w:rFonts w:hint="eastAsia" w:ascii="Times New Roman" w:hAnsi="Times New Roman" w:eastAsia="仿宋_GB2312" w:cs="Times New Roman"/>
          <w:sz w:val="32"/>
          <w:szCs w:val="32"/>
        </w:rPr>
        <w:t>”指标，预期指标值为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w:t>
      </w:r>
      <w:r>
        <w:rPr>
          <w:rFonts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lang w:eastAsia="zh-CN"/>
        </w:rPr>
        <w:t>验收单</w:t>
      </w:r>
      <w:r>
        <w:rPr>
          <w:rFonts w:ascii="仿宋_GB2312" w:hAnsi="仿宋_GB2312" w:eastAsia="仿宋_GB2312" w:cs="仿宋_GB2312"/>
          <w:sz w:val="32"/>
          <w:szCs w:val="32"/>
          <w:lang w:eastAsia="zh-Hans"/>
        </w:rPr>
        <w:t>可知，实际完成</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lang w:eastAsia="zh-Hans"/>
        </w:rPr>
        <w:t>，与预期目标一致，</w:t>
      </w:r>
      <w:r>
        <w:rPr>
          <w:rFonts w:hint="eastAsia" w:ascii="仿宋_GB2312" w:hAnsi="仿宋_GB2312" w:eastAsia="仿宋_GB2312" w:cs="仿宋_GB2312"/>
          <w:sz w:val="32"/>
          <w:szCs w:val="32"/>
        </w:rPr>
        <w:t>根据评分标准，该指标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24F0018B">
      <w:pPr>
        <w:pageBreakBefore w:val="0"/>
        <w:kinsoku/>
        <w:wordWrap/>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执法设备使用率</w:t>
      </w:r>
      <w:r>
        <w:rPr>
          <w:rFonts w:hint="eastAsia" w:ascii="Times New Roman" w:hAnsi="Times New Roman" w:eastAsia="仿宋_GB2312" w:cs="Times New Roman"/>
          <w:sz w:val="32"/>
          <w:szCs w:val="32"/>
          <w:highlight w:val="none"/>
        </w:rPr>
        <w:t>”指标，预期指标值为</w:t>
      </w:r>
      <w:r>
        <w:rPr>
          <w:rFonts w:hint="eastAsia" w:ascii="宋体" w:hAnsi="宋体" w:eastAsia="宋体" w:cs="宋体"/>
          <w:sz w:val="32"/>
          <w:szCs w:val="32"/>
          <w:highlight w:val="none"/>
        </w:rPr>
        <w:t>≧</w:t>
      </w:r>
      <w:r>
        <w:rPr>
          <w:rFonts w:hint="eastAsia" w:ascii="Times New Roman" w:hAnsi="Times New Roman" w:eastAsia="仿宋_GB2312" w:cs="Times New Roman"/>
          <w:sz w:val="32"/>
          <w:szCs w:val="32"/>
          <w:highlight w:val="none"/>
          <w:lang w:val="en-US" w:eastAsia="zh-CN"/>
        </w:rPr>
        <w:t>90%</w:t>
      </w:r>
      <w:r>
        <w:rPr>
          <w:rFonts w:hint="eastAsia" w:ascii="Times New Roman" w:hAnsi="Times New Roman" w:eastAsia="仿宋_GB2312" w:cs="Times New Roman"/>
          <w:sz w:val="32"/>
          <w:szCs w:val="32"/>
          <w:highlight w:val="none"/>
        </w:rPr>
        <w:t>；</w:t>
      </w:r>
      <w:r>
        <w:rPr>
          <w:rFonts w:ascii="仿宋_GB2312" w:hAnsi="仿宋_GB2312" w:eastAsia="仿宋_GB2312" w:cs="仿宋_GB2312"/>
          <w:sz w:val="32"/>
          <w:szCs w:val="32"/>
          <w:highlight w:val="none"/>
          <w:lang w:eastAsia="zh-Hans"/>
        </w:rPr>
        <w:t>根据</w:t>
      </w:r>
      <w:r>
        <w:rPr>
          <w:rFonts w:hint="eastAsia" w:ascii="仿宋_GB2312" w:hAnsi="仿宋_GB2312" w:eastAsia="仿宋_GB2312" w:cs="仿宋_GB2312"/>
          <w:sz w:val="32"/>
          <w:szCs w:val="32"/>
          <w:highlight w:val="none"/>
          <w:lang w:eastAsia="zh-CN"/>
        </w:rPr>
        <w:t>设备借用登记表</w:t>
      </w:r>
      <w:r>
        <w:rPr>
          <w:rFonts w:ascii="仿宋_GB2312" w:hAnsi="仿宋_GB2312" w:eastAsia="仿宋_GB2312" w:cs="仿宋_GB2312"/>
          <w:sz w:val="32"/>
          <w:szCs w:val="32"/>
          <w:highlight w:val="none"/>
          <w:lang w:eastAsia="zh-Hans"/>
        </w:rPr>
        <w:t>可知，实际完成</w:t>
      </w:r>
      <w:r>
        <w:rPr>
          <w:rFonts w:hint="eastAsia" w:ascii="仿宋_GB2312" w:hAnsi="仿宋_GB2312" w:eastAsia="仿宋_GB2312" w:cs="仿宋_GB2312"/>
          <w:sz w:val="32"/>
          <w:szCs w:val="32"/>
          <w:highlight w:val="none"/>
          <w:lang w:val="en-US" w:eastAsia="zh-CN"/>
        </w:rPr>
        <w:t>90%</w:t>
      </w:r>
      <w:r>
        <w:rPr>
          <w:rFonts w:ascii="仿宋_GB2312" w:hAnsi="仿宋_GB2312" w:eastAsia="仿宋_GB2312" w:cs="仿宋_GB2312"/>
          <w:sz w:val="32"/>
          <w:szCs w:val="32"/>
          <w:highlight w:val="none"/>
          <w:lang w:eastAsia="zh-Hans"/>
        </w:rPr>
        <w:t>，与预期目标一致，</w:t>
      </w:r>
      <w:r>
        <w:rPr>
          <w:rFonts w:hint="eastAsia" w:ascii="仿宋_GB2312" w:hAnsi="仿宋_GB2312" w:eastAsia="仿宋_GB2312" w:cs="仿宋_GB2312"/>
          <w:sz w:val="32"/>
          <w:szCs w:val="32"/>
          <w:highlight w:val="none"/>
        </w:rPr>
        <w:t>根据评分标准，该</w:t>
      </w:r>
      <w:r>
        <w:rPr>
          <w:rFonts w:hint="eastAsia" w:ascii="仿宋_GB2312" w:hAnsi="仿宋_GB2312" w:eastAsia="仿宋_GB2312" w:cs="仿宋_GB2312"/>
          <w:sz w:val="32"/>
          <w:szCs w:val="32"/>
        </w:rPr>
        <w:t>指标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56385DF9">
      <w:pPr>
        <w:pageBreakBefore w:val="0"/>
        <w:kinsoku/>
        <w:wordWrap/>
        <w:topLinePunct w:val="0"/>
        <w:autoSpaceDE/>
        <w:autoSpaceDN/>
        <w:bidi w:val="0"/>
        <w:spacing w:line="560" w:lineRule="exact"/>
        <w:ind w:left="643"/>
        <w:textAlignment w:val="auto"/>
        <w:rPr>
          <w:rFonts w:ascii="仿宋_GB2312" w:hAnsi="Times New Roman" w:eastAsia="仿宋_GB2312" w:cs="仿宋_GB2312"/>
          <w:b/>
          <w:bCs/>
          <w:sz w:val="32"/>
          <w:szCs w:val="32"/>
        </w:rPr>
      </w:pPr>
      <w:r>
        <w:rPr>
          <w:rFonts w:hint="eastAsia" w:ascii="仿宋_GB2312" w:hAnsi="Times New Roman" w:eastAsia="仿宋_GB2312" w:cs="仿宋_GB2312"/>
          <w:b/>
          <w:bCs/>
          <w:sz w:val="32"/>
          <w:szCs w:val="32"/>
        </w:rPr>
        <w:t>3.产出时效</w:t>
      </w:r>
    </w:p>
    <w:p w14:paraId="1D3817B3">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资金支付及时率</w:t>
      </w:r>
      <w:r>
        <w:rPr>
          <w:rFonts w:hint="eastAsia" w:ascii="Times New Roman" w:hAnsi="Times New Roman" w:eastAsia="仿宋_GB2312" w:cs="Times New Roman"/>
          <w:sz w:val="32"/>
          <w:szCs w:val="32"/>
        </w:rPr>
        <w:t>”指标，预期指标值为</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90%</w:t>
      </w:r>
      <w:r>
        <w:rPr>
          <w:rFonts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lang w:eastAsia="zh-CN"/>
        </w:rPr>
        <w:t>凭证</w:t>
      </w:r>
      <w:r>
        <w:rPr>
          <w:rFonts w:ascii="仿宋_GB2312" w:hAnsi="仿宋_GB2312" w:eastAsia="仿宋_GB2312" w:cs="仿宋_GB2312"/>
          <w:sz w:val="32"/>
          <w:szCs w:val="32"/>
          <w:lang w:eastAsia="zh-Hans"/>
        </w:rPr>
        <w:t>可知，实际完成</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lang w:eastAsia="zh-Hans"/>
        </w:rPr>
        <w:t>，与预期目标一致，</w:t>
      </w:r>
      <w:r>
        <w:rPr>
          <w:rFonts w:hint="eastAsia" w:ascii="仿宋_GB2312" w:hAnsi="仿宋_GB2312" w:eastAsia="仿宋_GB2312" w:cs="仿宋_GB2312"/>
          <w:sz w:val="32"/>
          <w:szCs w:val="32"/>
        </w:rPr>
        <w:t>根据评分标准，该指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14:paraId="2D452486">
      <w:pPr>
        <w:pageBreakBefore w:val="0"/>
        <w:kinsoku/>
        <w:wordWrap/>
        <w:topLinePunct w:val="0"/>
        <w:autoSpaceDE/>
        <w:autoSpaceDN/>
        <w:bidi w:val="0"/>
        <w:spacing w:line="560" w:lineRule="exact"/>
        <w:ind w:firstLine="643" w:firstLineChars="200"/>
        <w:textAlignment w:val="auto"/>
        <w:rPr>
          <w:rFonts w:hint="default" w:ascii="仿宋_GB2312" w:hAnsi="Times New Roman" w:eastAsia="仿宋_GB2312" w:cs="仿宋_GB2312"/>
          <w:b/>
          <w:bCs/>
          <w:sz w:val="32"/>
          <w:szCs w:val="32"/>
          <w:lang w:val="en-US" w:eastAsia="zh-CN"/>
        </w:rPr>
      </w:pPr>
      <w:r>
        <w:rPr>
          <w:rFonts w:hint="eastAsia" w:ascii="仿宋_GB2312" w:hAnsi="Times New Roman" w:eastAsia="仿宋_GB2312" w:cs="仿宋_GB2312"/>
          <w:b/>
          <w:bCs/>
          <w:sz w:val="32"/>
          <w:szCs w:val="32"/>
        </w:rPr>
        <w:t>4.产出成本</w:t>
      </w:r>
    </w:p>
    <w:p w14:paraId="4CCBC758">
      <w:pPr>
        <w:pageBreakBefore w:val="0"/>
        <w:kinsoku/>
        <w:wordWrap/>
        <w:topLinePunct w:val="0"/>
        <w:autoSpaceDE/>
        <w:autoSpaceDN/>
        <w:bidi w:val="0"/>
        <w:spacing w:line="560" w:lineRule="exact"/>
        <w:ind w:firstLine="640" w:firstLineChars="200"/>
        <w:textAlignment w:val="auto"/>
        <w:rPr>
          <w:rFonts w:ascii="仿宋_GB2312" w:hAnsi="Times New Roman" w:eastAsia="仿宋_GB2312" w:cs="仿宋_GB2312"/>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预算成本控制率</w:t>
      </w:r>
      <w:r>
        <w:rPr>
          <w:rFonts w:hint="eastAsia" w:ascii="Times New Roman" w:hAnsi="Times New Roman" w:eastAsia="仿宋_GB2312" w:cs="Times New Roman"/>
          <w:sz w:val="32"/>
          <w:szCs w:val="32"/>
        </w:rPr>
        <w:t>”指标，预期指标值为</w:t>
      </w:r>
      <w:r>
        <w:rPr>
          <w:rFonts w:hint="eastAsia" w:ascii="宋体" w:hAnsi="宋体" w:eastAsia="宋体" w:cs="宋体"/>
          <w:sz w:val="32"/>
          <w:szCs w:val="32"/>
        </w:rPr>
        <w:t>≦</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lang w:eastAsia="zh-CN"/>
        </w:rPr>
        <w:t>凭证</w:t>
      </w:r>
      <w:r>
        <w:rPr>
          <w:rFonts w:ascii="Times New Roman" w:hAnsi="Times New Roman" w:eastAsia="仿宋_GB2312" w:cs="Times New Roman"/>
          <w:sz w:val="32"/>
          <w:szCs w:val="32"/>
        </w:rPr>
        <w:t>可知，实际完成</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，与预期目标一致</w:t>
      </w:r>
      <w:r>
        <w:rPr>
          <w:rFonts w:hint="eastAsia" w:ascii="仿宋_GB2312" w:hAnsi="Times New Roman" w:eastAsia="仿宋_GB2312" w:cs="仿宋_GB2312"/>
          <w:sz w:val="32"/>
          <w:szCs w:val="32"/>
        </w:rPr>
        <w:t>，根据评分标准，该指标</w:t>
      </w:r>
      <w:r>
        <w:rPr>
          <w:rFonts w:hint="eastAsia" w:ascii="仿宋_GB2312" w:hAnsi="Times New Roman" w:eastAsia="仿宋_GB2312" w:cs="仿宋_GB2312"/>
          <w:sz w:val="32"/>
          <w:szCs w:val="32"/>
          <w:lang w:val="en-US" w:eastAsia="zh-CN"/>
        </w:rPr>
        <w:t>5</w:t>
      </w:r>
      <w:r>
        <w:rPr>
          <w:rFonts w:hint="eastAsia" w:ascii="仿宋_GB2312" w:hAnsi="Times New Roman" w:eastAsia="仿宋_GB2312" w:cs="仿宋_GB2312"/>
          <w:sz w:val="32"/>
          <w:szCs w:val="32"/>
        </w:rPr>
        <w:t>分，得</w:t>
      </w:r>
      <w:r>
        <w:rPr>
          <w:rFonts w:hint="eastAsia" w:ascii="仿宋_GB2312" w:hAnsi="Times New Roman" w:eastAsia="仿宋_GB2312" w:cs="仿宋_GB2312"/>
          <w:sz w:val="32"/>
          <w:szCs w:val="32"/>
          <w:lang w:val="en-US" w:eastAsia="zh-CN"/>
        </w:rPr>
        <w:t>5</w:t>
      </w:r>
      <w:r>
        <w:rPr>
          <w:rFonts w:hint="eastAsia" w:ascii="仿宋_GB2312" w:hAnsi="Times New Roman" w:eastAsia="仿宋_GB2312" w:cs="仿宋_GB2312"/>
          <w:sz w:val="32"/>
          <w:szCs w:val="32"/>
        </w:rPr>
        <w:t>分。</w:t>
      </w:r>
    </w:p>
    <w:p w14:paraId="0A4DD0F9">
      <w:pPr>
        <w:keepNext/>
        <w:keepLines/>
        <w:pageBreakBefore w:val="0"/>
        <w:kinsoku/>
        <w:wordWrap/>
        <w:topLinePunct w:val="0"/>
        <w:autoSpaceDE/>
        <w:autoSpaceDN/>
        <w:bidi w:val="0"/>
        <w:spacing w:line="560" w:lineRule="exact"/>
        <w:ind w:left="420" w:leftChars="200"/>
        <w:textAlignment w:val="auto"/>
        <w:outlineLvl w:val="1"/>
        <w:rPr>
          <w:rFonts w:ascii="楷体_GB2312" w:hAnsi="Arial" w:eastAsia="楷体_GB2312" w:cs="Times New Roman"/>
          <w:b/>
          <w:sz w:val="32"/>
          <w:szCs w:val="32"/>
        </w:rPr>
      </w:pPr>
      <w:r>
        <w:rPr>
          <w:rFonts w:hint="eastAsia" w:ascii="楷体_GB2312" w:hAnsi="Arial" w:eastAsia="楷体_GB2312" w:cs="Times New Roman"/>
          <w:b/>
          <w:sz w:val="32"/>
          <w:szCs w:val="32"/>
        </w:rPr>
        <w:t>（</w:t>
      </w:r>
      <w:r>
        <w:rPr>
          <w:rFonts w:hint="eastAsia" w:ascii="楷体_GB2312" w:hAnsi="Arial" w:eastAsia="楷体_GB2312" w:cs="Times New Roman"/>
          <w:b/>
          <w:sz w:val="32"/>
          <w:szCs w:val="32"/>
          <w:lang w:eastAsia="zh-CN"/>
        </w:rPr>
        <w:t>二</w:t>
      </w:r>
      <w:r>
        <w:rPr>
          <w:rFonts w:hint="eastAsia" w:ascii="楷体_GB2312" w:hAnsi="Arial" w:eastAsia="楷体_GB2312" w:cs="Times New Roman"/>
          <w:b/>
          <w:sz w:val="32"/>
          <w:szCs w:val="32"/>
        </w:rPr>
        <w:t>）项目效益情况</w:t>
      </w:r>
    </w:p>
    <w:p w14:paraId="75834389">
      <w:pPr>
        <w:pageBreakBefore w:val="0"/>
        <w:kinsoku/>
        <w:wordWrap/>
        <w:overflowPunct w:val="0"/>
        <w:topLinePunct w:val="0"/>
        <w:autoSpaceDE/>
        <w:autoSpaceDN/>
        <w:bidi w:val="0"/>
        <w:spacing w:line="560" w:lineRule="exact"/>
        <w:ind w:firstLine="640" w:firstLineChars="200"/>
        <w:textAlignment w:val="auto"/>
        <w:rPr>
          <w:rFonts w:ascii="仿宋_GB2312" w:hAnsi="Times New Roman" w:eastAsia="仿宋_GB2312" w:cs="Times New Roman"/>
          <w:sz w:val="32"/>
          <w:szCs w:val="32"/>
          <w:lang w:val="zh-TW" w:eastAsia="zh-Hans"/>
        </w:rPr>
      </w:pPr>
      <w:r>
        <w:rPr>
          <w:rFonts w:hint="eastAsia" w:ascii="仿宋_GB2312" w:hAnsi="Times New Roman" w:eastAsia="仿宋_GB2312" w:cs="Times New Roman"/>
          <w:sz w:val="32"/>
          <w:szCs w:val="32"/>
          <w:lang w:val="zh-TW" w:eastAsia="zh-TW"/>
        </w:rPr>
        <w:t>项目效益类指标由</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TW" w:eastAsia="zh-TW"/>
        </w:rPr>
        <w:t>个二级指标和</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TW" w:eastAsia="zh-TW"/>
        </w:rPr>
        <w:t>个三级指标构成，权重分为30分，</w:t>
      </w:r>
      <w:r>
        <w:rPr>
          <w:rFonts w:hint="eastAsia" w:ascii="仿宋_GB2312" w:hAnsi="Times New Roman" w:eastAsia="仿宋_GB2312" w:cs="Times New Roman"/>
          <w:sz w:val="32"/>
          <w:szCs w:val="32"/>
          <w:lang w:val="zh-TW" w:eastAsia="zh-Hans"/>
        </w:rPr>
        <w:t>本项目</w:t>
      </w:r>
      <w:r>
        <w:rPr>
          <w:rFonts w:hint="eastAsia" w:ascii="仿宋_GB2312" w:hAnsi="Times New Roman" w:eastAsia="仿宋_GB2312" w:cs="Times New Roman"/>
          <w:sz w:val="32"/>
          <w:szCs w:val="32"/>
          <w:lang w:val="zh-TW" w:eastAsia="zh-TW"/>
        </w:rPr>
        <w:t>实际得分</w:t>
      </w:r>
      <w:r>
        <w:rPr>
          <w:rFonts w:hint="eastAsia" w:ascii="仿宋_GB2312" w:hAnsi="Times New Roman" w:eastAsia="仿宋_GB2312" w:cs="Times New Roman"/>
          <w:sz w:val="32"/>
          <w:szCs w:val="32"/>
        </w:rPr>
        <w:t>30</w:t>
      </w:r>
      <w:r>
        <w:rPr>
          <w:rFonts w:hint="eastAsia" w:ascii="仿宋_GB2312" w:hAnsi="Times New Roman" w:eastAsia="仿宋_GB2312" w:cs="Times New Roman"/>
          <w:sz w:val="32"/>
          <w:szCs w:val="32"/>
          <w:lang w:val="zh-TW" w:eastAsia="zh-TW"/>
        </w:rPr>
        <w:t>分，得分率为</w:t>
      </w:r>
      <w:r>
        <w:rPr>
          <w:rFonts w:hint="eastAsia" w:ascii="仿宋_GB2312" w:hAnsi="Times New Roman" w:eastAsia="仿宋_GB2312" w:cs="Times New Roman"/>
          <w:sz w:val="32"/>
          <w:szCs w:val="32"/>
        </w:rPr>
        <w:t>100.0</w:t>
      </w:r>
      <w:r>
        <w:rPr>
          <w:rFonts w:hint="eastAsia" w:ascii="仿宋_GB2312" w:hAnsi="Times New Roman" w:eastAsia="仿宋_GB2312" w:cs="Times New Roman"/>
          <w:sz w:val="32"/>
          <w:szCs w:val="32"/>
          <w:lang w:val="zh-TW" w:eastAsia="zh-TW"/>
        </w:rPr>
        <w:t>%。</w:t>
      </w:r>
      <w:r>
        <w:rPr>
          <w:rFonts w:hint="eastAsia" w:ascii="仿宋_GB2312" w:hAnsi="Times New Roman" w:eastAsia="仿宋_GB2312" w:cs="Times New Roman"/>
          <w:sz w:val="32"/>
          <w:szCs w:val="32"/>
          <w:lang w:val="zh-TW" w:eastAsia="zh-Hans"/>
        </w:rPr>
        <w:t>具体各项指标得分如下：</w:t>
      </w:r>
    </w:p>
    <w:p w14:paraId="68CA3A19">
      <w:pPr>
        <w:pageBreakBefore w:val="0"/>
        <w:kinsoku/>
        <w:wordWrap/>
        <w:overflowPunct w:val="0"/>
        <w:topLinePunct w:val="0"/>
        <w:autoSpaceDE/>
        <w:autoSpaceDN/>
        <w:bidi w:val="0"/>
        <w:spacing w:line="560" w:lineRule="exact"/>
        <w:textAlignment w:val="auto"/>
        <w:rPr>
          <w:rFonts w:hint="eastAsia" w:ascii="仿宋_GB2312" w:hAnsi="Times New Roman" w:eastAsia="仿宋_GB2312" w:cs="Times New Roman"/>
          <w:b/>
          <w:bCs/>
          <w:sz w:val="32"/>
          <w:szCs w:val="32"/>
          <w:lang w:eastAsia="zh-CN"/>
        </w:rPr>
      </w:pPr>
      <w:r>
        <w:rPr>
          <w:rFonts w:hint="eastAsia" w:ascii="仿宋_GB2312" w:hAnsi="Times New Roman" w:eastAsia="仿宋_GB2312" w:cs="Times New Roman"/>
          <w:b/>
          <w:bCs/>
          <w:sz w:val="32"/>
          <w:szCs w:val="32"/>
        </w:rPr>
        <w:t>实施效益指标</w:t>
      </w:r>
      <w:r>
        <w:rPr>
          <w:rFonts w:hint="eastAsia" w:ascii="仿宋_GB2312" w:hAnsi="Times New Roman" w:eastAsia="仿宋_GB2312" w:cs="Times New Roman"/>
          <w:b/>
          <w:bCs/>
          <w:sz w:val="32"/>
          <w:szCs w:val="32"/>
          <w:lang w:eastAsia="zh-CN"/>
        </w:rPr>
        <w:t>：</w:t>
      </w:r>
    </w:p>
    <w:p w14:paraId="79D63D48">
      <w:pPr>
        <w:pageBreakBefore w:val="0"/>
        <w:kinsoku/>
        <w:wordWrap/>
        <w:topLinePunct w:val="0"/>
        <w:autoSpaceDE/>
        <w:autoSpaceDN/>
        <w:bidi w:val="0"/>
        <w:spacing w:line="560" w:lineRule="exact"/>
        <w:ind w:firstLine="643" w:firstLineChars="200"/>
        <w:textAlignment w:val="auto"/>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（1）</w:t>
      </w:r>
      <w:r>
        <w:rPr>
          <w:rFonts w:hint="eastAsia" w:ascii="仿宋_GB2312" w:hAnsi="Times New Roman" w:eastAsia="仿宋_GB2312" w:cs="Times New Roman"/>
          <w:b/>
          <w:bCs/>
          <w:sz w:val="32"/>
          <w:szCs w:val="32"/>
        </w:rPr>
        <w:t>社会效益指标</w:t>
      </w:r>
    </w:p>
    <w:p w14:paraId="54C0D64C">
      <w:pPr>
        <w:pageBreakBefore w:val="0"/>
        <w:kinsoku/>
        <w:wordWrap/>
        <w:topLinePunct w:val="0"/>
        <w:autoSpaceDE/>
        <w:autoSpaceDN/>
        <w:bidi w:val="0"/>
        <w:spacing w:line="560" w:lineRule="exact"/>
        <w:ind w:firstLine="640" w:firstLineChars="20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eastAsia="zh-Hans"/>
        </w:rPr>
        <w:t>“</w:t>
      </w:r>
      <w:r>
        <w:rPr>
          <w:rFonts w:hint="eastAsia" w:ascii="仿宋_GB2312" w:hAnsi="Times New Roman" w:eastAsia="仿宋_GB2312" w:cs="Times New Roman"/>
          <w:sz w:val="32"/>
          <w:szCs w:val="32"/>
          <w:highlight w:val="none"/>
        </w:rPr>
        <w:t>社会</w:t>
      </w:r>
      <w:r>
        <w:rPr>
          <w:rFonts w:hint="eastAsia" w:ascii="仿宋_GB2312" w:hAnsi="Times New Roman" w:eastAsia="仿宋_GB2312" w:cs="Times New Roman"/>
          <w:sz w:val="32"/>
          <w:szCs w:val="32"/>
          <w:highlight w:val="none"/>
          <w:lang w:eastAsia="zh-CN"/>
        </w:rPr>
        <w:t>环境监管能力</w:t>
      </w:r>
      <w:r>
        <w:rPr>
          <w:rFonts w:hint="eastAsia" w:ascii="仿宋_GB2312" w:hAnsi="Times New Roman" w:eastAsia="仿宋_GB2312" w:cs="Times New Roman"/>
          <w:sz w:val="32"/>
          <w:szCs w:val="32"/>
          <w:highlight w:val="none"/>
          <w:lang w:eastAsia="zh-Hans"/>
        </w:rPr>
        <w:t>”</w:t>
      </w:r>
      <w:r>
        <w:rPr>
          <w:rFonts w:hint="eastAsia" w:ascii="仿宋_GB2312" w:hAnsi="仿宋_GB2312" w:eastAsia="仿宋_GB2312" w:cs="仿宋_GB2312"/>
          <w:sz w:val="32"/>
          <w:szCs w:val="32"/>
          <w:highlight w:val="none"/>
          <w:lang w:eastAsia="zh-Hans"/>
        </w:rPr>
        <w:t>指标，预期指标值为</w:t>
      </w:r>
      <w:r>
        <w:rPr>
          <w:rFonts w:hint="eastAsia" w:ascii="仿宋_GB2312" w:hAnsi="Times New Roman" w:eastAsia="仿宋_GB2312" w:cs="Times New Roman"/>
          <w:sz w:val="32"/>
          <w:szCs w:val="32"/>
          <w:highlight w:val="none"/>
          <w:lang w:eastAsia="zh-Hans"/>
        </w:rPr>
        <w:t>“</w:t>
      </w:r>
      <w:r>
        <w:rPr>
          <w:rFonts w:hint="eastAsia" w:ascii="仿宋_GB2312" w:hAnsi="Times New Roman" w:eastAsia="仿宋_GB2312" w:cs="Times New Roman"/>
          <w:sz w:val="32"/>
          <w:szCs w:val="32"/>
          <w:highlight w:val="none"/>
          <w:lang w:eastAsia="zh-CN"/>
        </w:rPr>
        <w:t>提升</w:t>
      </w:r>
      <w:r>
        <w:rPr>
          <w:rFonts w:hint="eastAsia" w:ascii="仿宋_GB2312" w:hAnsi="Times New Roman" w:eastAsia="仿宋_GB2312" w:cs="Times New Roman"/>
          <w:sz w:val="32"/>
          <w:szCs w:val="32"/>
          <w:highlight w:val="none"/>
          <w:lang w:eastAsia="zh-Hans"/>
        </w:rPr>
        <w:t>”，</w:t>
      </w:r>
      <w:r>
        <w:rPr>
          <w:rFonts w:hint="eastAsia" w:ascii="Times New Roman" w:hAnsi="Times New Roman" w:eastAsia="仿宋_GB2312" w:cs="Times New Roman"/>
          <w:sz w:val="32"/>
          <w:szCs w:val="32"/>
          <w:highlight w:val="none"/>
        </w:rPr>
        <w:t>根据</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昌吉州生态环境保护综合行政执法支队2022年重点工作开展情况及特色亮点工作的报告</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可知，实际完成值为</w:t>
      </w:r>
      <w:r>
        <w:rPr>
          <w:rFonts w:hint="eastAsia" w:ascii="仿宋_GB2312" w:hAnsi="Times New Roman" w:eastAsia="仿宋_GB2312" w:cs="Times New Roman"/>
          <w:sz w:val="32"/>
          <w:szCs w:val="32"/>
          <w:highlight w:val="none"/>
          <w:lang w:eastAsia="zh-Hans"/>
        </w:rPr>
        <w:t>“</w:t>
      </w:r>
      <w:r>
        <w:rPr>
          <w:rFonts w:hint="eastAsia" w:ascii="仿宋_GB2312" w:hAnsi="Times New Roman" w:eastAsia="仿宋_GB2312" w:cs="Times New Roman"/>
          <w:sz w:val="32"/>
          <w:szCs w:val="32"/>
          <w:highlight w:val="none"/>
          <w:lang w:eastAsia="zh-CN"/>
        </w:rPr>
        <w:t>提升</w:t>
      </w:r>
      <w:r>
        <w:rPr>
          <w:rFonts w:hint="eastAsia" w:ascii="仿宋_GB2312" w:hAnsi="Times New Roman" w:eastAsia="仿宋_GB2312" w:cs="Times New Roman"/>
          <w:sz w:val="32"/>
          <w:szCs w:val="32"/>
          <w:highlight w:val="none"/>
          <w:lang w:eastAsia="zh-Hans"/>
        </w:rPr>
        <w:t>”</w:t>
      </w:r>
      <w:r>
        <w:rPr>
          <w:rFonts w:hint="eastAsia" w:ascii="仿宋_GB2312" w:hAnsi="Times New Roman" w:eastAsia="仿宋_GB2312" w:cs="Times New Roman"/>
          <w:sz w:val="32"/>
          <w:szCs w:val="32"/>
          <w:highlight w:val="none"/>
        </w:rPr>
        <w:t>，根据评分标准，该指标</w:t>
      </w:r>
      <w:r>
        <w:rPr>
          <w:rFonts w:hint="eastAsia" w:ascii="仿宋_GB2312" w:hAnsi="Times New Roman" w:eastAsia="仿宋_GB2312" w:cs="Times New Roman"/>
          <w:sz w:val="32"/>
          <w:szCs w:val="32"/>
          <w:highlight w:val="none"/>
          <w:lang w:val="en-US" w:eastAsia="zh-CN"/>
        </w:rPr>
        <w:t>10</w:t>
      </w:r>
      <w:r>
        <w:rPr>
          <w:rFonts w:hint="eastAsia" w:ascii="仿宋_GB2312" w:hAnsi="Times New Roman" w:eastAsia="仿宋_GB2312" w:cs="Times New Roman"/>
          <w:sz w:val="32"/>
          <w:szCs w:val="32"/>
          <w:highlight w:val="none"/>
        </w:rPr>
        <w:t>分，得</w:t>
      </w:r>
      <w:r>
        <w:rPr>
          <w:rFonts w:hint="eastAsia" w:ascii="仿宋_GB2312" w:hAnsi="Times New Roman" w:eastAsia="仿宋_GB2312" w:cs="Times New Roman"/>
          <w:sz w:val="32"/>
          <w:szCs w:val="32"/>
          <w:highlight w:val="none"/>
          <w:lang w:val="en-US" w:eastAsia="zh-CN"/>
        </w:rPr>
        <w:t>10</w:t>
      </w:r>
      <w:r>
        <w:rPr>
          <w:rFonts w:hint="eastAsia" w:ascii="仿宋_GB2312" w:hAnsi="Times New Roman" w:eastAsia="仿宋_GB2312" w:cs="Times New Roman"/>
          <w:sz w:val="32"/>
          <w:szCs w:val="32"/>
          <w:highlight w:val="none"/>
        </w:rPr>
        <w:t>分。</w:t>
      </w:r>
    </w:p>
    <w:p w14:paraId="62F4474A">
      <w:pPr>
        <w:pageBreakBefore w:val="0"/>
        <w:kinsoku/>
        <w:wordWrap/>
        <w:overflowPunct w:val="0"/>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lang w:eastAsia="zh-Hans"/>
        </w:rPr>
      </w:pPr>
      <w:r>
        <w:rPr>
          <w:rFonts w:hint="eastAsia" w:ascii="仿宋_GB2312" w:hAnsi="仿宋_GB2312" w:eastAsia="仿宋_GB2312" w:cs="仿宋_GB2312"/>
          <w:sz w:val="32"/>
          <w:szCs w:val="32"/>
          <w:highlight w:val="none"/>
          <w:lang w:eastAsia="zh-Hans"/>
        </w:rPr>
        <w:t>综上所述，社会效益指标</w:t>
      </w:r>
      <w:r>
        <w:rPr>
          <w:rFonts w:hint="eastAsia" w:ascii="仿宋_GB2312" w:hAnsi="仿宋_GB2312" w:eastAsia="仿宋_GB2312" w:cs="仿宋_GB2312"/>
          <w:sz w:val="32"/>
          <w:szCs w:val="32"/>
          <w:highlight w:val="none"/>
        </w:rPr>
        <w:t>合计得</w:t>
      </w:r>
      <w:r>
        <w:rPr>
          <w:rFonts w:hint="eastAsia" w:ascii="仿宋_GB2312" w:hAnsi="Times New Roman" w:eastAsia="仿宋_GB2312" w:cs="Times New Roman"/>
          <w:sz w:val="32"/>
          <w:szCs w:val="32"/>
          <w:highlight w:val="none"/>
          <w:lang w:val="en-US" w:eastAsia="zh-CN"/>
        </w:rPr>
        <w:t>10</w:t>
      </w:r>
      <w:r>
        <w:rPr>
          <w:rFonts w:hint="eastAsia" w:ascii="仿宋_GB2312" w:hAnsi="仿宋_GB2312" w:eastAsia="仿宋_GB2312" w:cs="仿宋_GB2312"/>
          <w:sz w:val="32"/>
          <w:szCs w:val="32"/>
          <w:highlight w:val="none"/>
        </w:rPr>
        <w:t>分。</w:t>
      </w:r>
    </w:p>
    <w:p w14:paraId="6D4BEEB9">
      <w:pPr>
        <w:pageBreakBefore w:val="0"/>
        <w:kinsoku/>
        <w:wordWrap/>
        <w:topLinePunct w:val="0"/>
        <w:autoSpaceDE/>
        <w:autoSpaceDN/>
        <w:bidi w:val="0"/>
        <w:spacing w:line="560" w:lineRule="exact"/>
        <w:ind w:firstLine="643" w:firstLineChars="200"/>
        <w:textAlignment w:val="auto"/>
        <w:rPr>
          <w:rFonts w:hint="eastAsia" w:ascii="仿宋_GB2312" w:hAnsi="Times New Roman" w:eastAsia="仿宋_GB2312" w:cs="Times New Roman"/>
          <w:b/>
          <w:bCs/>
          <w:sz w:val="32"/>
          <w:szCs w:val="32"/>
        </w:rPr>
      </w:pPr>
      <w:r>
        <w:rPr>
          <w:rFonts w:hint="eastAsia" w:ascii="仿宋_GB2312" w:hAnsi="仿宋_GB2312" w:eastAsia="仿宋_GB2312" w:cs="仿宋_GB2312"/>
          <w:b/>
          <w:bCs/>
          <w:sz w:val="32"/>
          <w:szCs w:val="24"/>
        </w:rPr>
        <w:t>（2）</w:t>
      </w:r>
      <w:r>
        <w:rPr>
          <w:rFonts w:hint="eastAsia" w:ascii="仿宋_GB2312" w:hAnsi="Times New Roman" w:eastAsia="仿宋_GB2312" w:cs="Times New Roman"/>
          <w:b/>
          <w:bCs/>
          <w:sz w:val="32"/>
          <w:szCs w:val="32"/>
        </w:rPr>
        <w:t>可持续影响指标</w:t>
      </w:r>
    </w:p>
    <w:p w14:paraId="020D234F">
      <w:pPr>
        <w:pageBreakBefore w:val="0"/>
        <w:kinsoku/>
        <w:wordWrap/>
        <w:topLinePunct w:val="0"/>
        <w:autoSpaceDE/>
        <w:autoSpaceDN/>
        <w:bidi w:val="0"/>
        <w:spacing w:line="560" w:lineRule="exact"/>
        <w:ind w:firstLine="640" w:firstLineChars="200"/>
        <w:textAlignment w:val="auto"/>
        <w:rPr>
          <w:rFonts w:hint="eastAsia" w:ascii="仿宋_GB2312" w:hAnsi="Times New Roman" w:eastAsia="仿宋_GB2312" w:cs="Times New Roman"/>
          <w:b/>
          <w:bCs/>
          <w:sz w:val="32"/>
          <w:szCs w:val="32"/>
          <w:highlight w:val="none"/>
        </w:rPr>
      </w:pPr>
      <w:r>
        <w:rPr>
          <w:rFonts w:hint="eastAsia" w:ascii="仿宋_GB2312" w:hAnsi="Times New Roman" w:eastAsia="仿宋_GB2312" w:cs="Times New Roman"/>
          <w:sz w:val="32"/>
          <w:szCs w:val="32"/>
          <w:highlight w:val="none"/>
        </w:rPr>
        <w:t>本项目无</w:t>
      </w:r>
      <w:r>
        <w:rPr>
          <w:rFonts w:hint="eastAsia" w:ascii="仿宋_GB2312" w:hAnsi="Times New Roman" w:eastAsia="仿宋_GB2312" w:cs="Times New Roman"/>
          <w:sz w:val="32"/>
          <w:szCs w:val="32"/>
          <w:highlight w:val="none"/>
          <w:lang w:eastAsia="zh-Hans"/>
        </w:rPr>
        <w:t>该项</w:t>
      </w:r>
      <w:r>
        <w:rPr>
          <w:rFonts w:hint="eastAsia" w:ascii="仿宋_GB2312" w:hAnsi="Times New Roman" w:eastAsia="仿宋_GB2312" w:cs="Times New Roman"/>
          <w:sz w:val="32"/>
          <w:szCs w:val="32"/>
          <w:highlight w:val="none"/>
        </w:rPr>
        <w:t>指标。</w:t>
      </w:r>
    </w:p>
    <w:p w14:paraId="73DB58D8">
      <w:pPr>
        <w:pageBreakBefore w:val="0"/>
        <w:kinsoku/>
        <w:wordWrap/>
        <w:topLinePunct w:val="0"/>
        <w:autoSpaceDE/>
        <w:autoSpaceDN/>
        <w:bidi w:val="0"/>
        <w:spacing w:line="560" w:lineRule="exact"/>
        <w:ind w:firstLine="643" w:firstLineChars="200"/>
        <w:textAlignment w:val="auto"/>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（3）</w:t>
      </w:r>
      <w:r>
        <w:rPr>
          <w:rFonts w:hint="eastAsia" w:ascii="仿宋_GB2312" w:hAnsi="Times New Roman" w:eastAsia="仿宋_GB2312" w:cs="Times New Roman"/>
          <w:b/>
          <w:bCs/>
          <w:sz w:val="32"/>
          <w:szCs w:val="32"/>
        </w:rPr>
        <w:t>经济效益指标</w:t>
      </w:r>
    </w:p>
    <w:p w14:paraId="52881629">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b/>
          <w:bCs/>
          <w:sz w:val="32"/>
          <w:szCs w:val="24"/>
          <w:highlight w:val="none"/>
        </w:rPr>
      </w:pPr>
      <w:r>
        <w:rPr>
          <w:rFonts w:hint="eastAsia" w:ascii="仿宋_GB2312" w:hAnsi="Times New Roman" w:eastAsia="仿宋_GB2312" w:cs="Times New Roman"/>
          <w:sz w:val="32"/>
          <w:szCs w:val="32"/>
          <w:highlight w:val="none"/>
        </w:rPr>
        <w:t>本项目无</w:t>
      </w:r>
      <w:r>
        <w:rPr>
          <w:rFonts w:hint="eastAsia" w:ascii="仿宋_GB2312" w:hAnsi="Times New Roman" w:eastAsia="仿宋_GB2312" w:cs="Times New Roman"/>
          <w:sz w:val="32"/>
          <w:szCs w:val="32"/>
          <w:highlight w:val="none"/>
          <w:lang w:eastAsia="zh-Hans"/>
        </w:rPr>
        <w:t>该项</w:t>
      </w:r>
      <w:r>
        <w:rPr>
          <w:rFonts w:hint="eastAsia" w:ascii="仿宋_GB2312" w:hAnsi="Times New Roman" w:eastAsia="仿宋_GB2312" w:cs="Times New Roman"/>
          <w:sz w:val="32"/>
          <w:szCs w:val="32"/>
          <w:highlight w:val="none"/>
        </w:rPr>
        <w:t>指标。</w:t>
      </w:r>
    </w:p>
    <w:p w14:paraId="085A41EC">
      <w:pPr>
        <w:pageBreakBefore w:val="0"/>
        <w:kinsoku/>
        <w:wordWrap/>
        <w:topLinePunct w:val="0"/>
        <w:autoSpaceDE/>
        <w:autoSpaceDN/>
        <w:bidi w:val="0"/>
        <w:spacing w:line="560" w:lineRule="exact"/>
        <w:ind w:firstLine="643" w:firstLineChars="200"/>
        <w:textAlignment w:val="auto"/>
        <w:rPr>
          <w:rFonts w:ascii="仿宋_GB2312" w:hAnsi="Times New Roman" w:eastAsia="仿宋_GB2312" w:cs="Times New Roman"/>
          <w:b/>
          <w:bCs/>
          <w:sz w:val="32"/>
          <w:szCs w:val="32"/>
        </w:rPr>
      </w:pPr>
      <w:r>
        <w:rPr>
          <w:rFonts w:hint="eastAsia" w:ascii="仿宋_GB2312" w:hAnsi="仿宋_GB2312" w:eastAsia="仿宋_GB2312" w:cs="仿宋_GB2312"/>
          <w:b/>
          <w:bCs/>
          <w:sz w:val="32"/>
          <w:szCs w:val="24"/>
        </w:rPr>
        <w:t>（4）</w:t>
      </w:r>
      <w:r>
        <w:rPr>
          <w:rFonts w:hint="eastAsia" w:ascii="仿宋_GB2312" w:hAnsi="Times New Roman" w:eastAsia="仿宋_GB2312" w:cs="Times New Roman"/>
          <w:b/>
          <w:bCs/>
          <w:sz w:val="32"/>
          <w:szCs w:val="32"/>
        </w:rPr>
        <w:t>生态效益指标</w:t>
      </w:r>
    </w:p>
    <w:p w14:paraId="30EC3E47">
      <w:pPr>
        <w:pageBreakBefore w:val="0"/>
        <w:kinsoku/>
        <w:wordWrap/>
        <w:topLinePunct w:val="0"/>
        <w:autoSpaceDE/>
        <w:autoSpaceDN/>
        <w:bidi w:val="0"/>
        <w:spacing w:line="560" w:lineRule="exact"/>
        <w:ind w:firstLine="640" w:firstLineChars="20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eastAsia="zh-Hans"/>
        </w:rPr>
        <w:t>“</w:t>
      </w:r>
      <w:r>
        <w:rPr>
          <w:rFonts w:hint="eastAsia" w:ascii="仿宋_GB2312" w:hAnsi="Times New Roman" w:eastAsia="仿宋_GB2312" w:cs="Times New Roman"/>
          <w:sz w:val="32"/>
          <w:szCs w:val="32"/>
          <w:highlight w:val="none"/>
          <w:lang w:eastAsia="zh-CN"/>
        </w:rPr>
        <w:t>提升生态环境执法装备标准化</w:t>
      </w:r>
      <w:r>
        <w:rPr>
          <w:rFonts w:hint="eastAsia" w:ascii="仿宋_GB2312" w:hAnsi="Times New Roman" w:eastAsia="仿宋_GB2312" w:cs="Times New Roman"/>
          <w:sz w:val="32"/>
          <w:szCs w:val="32"/>
          <w:highlight w:val="none"/>
          <w:lang w:eastAsia="zh-Hans"/>
        </w:rPr>
        <w:t>”</w:t>
      </w:r>
      <w:r>
        <w:rPr>
          <w:rFonts w:hint="eastAsia" w:ascii="仿宋_GB2312" w:hAnsi="仿宋_GB2312" w:eastAsia="仿宋_GB2312" w:cs="仿宋_GB2312"/>
          <w:sz w:val="32"/>
          <w:szCs w:val="32"/>
          <w:highlight w:val="none"/>
          <w:lang w:eastAsia="zh-Hans"/>
        </w:rPr>
        <w:t>指标，预期指标值为</w:t>
      </w:r>
      <w:r>
        <w:rPr>
          <w:rFonts w:hint="eastAsia" w:ascii="仿宋_GB2312" w:hAnsi="Times New Roman" w:eastAsia="仿宋_GB2312" w:cs="Times New Roman"/>
          <w:sz w:val="32"/>
          <w:szCs w:val="32"/>
          <w:highlight w:val="none"/>
          <w:lang w:eastAsia="zh-Hans"/>
        </w:rPr>
        <w:t>“提升”，</w:t>
      </w:r>
      <w:r>
        <w:rPr>
          <w:rFonts w:hint="eastAsia" w:ascii="仿宋_GB2312" w:hAnsi="Times New Roman" w:eastAsia="仿宋_GB2312" w:cs="Times New Roman"/>
          <w:sz w:val="32"/>
          <w:szCs w:val="32"/>
          <w:highlight w:val="none"/>
          <w:lang w:eastAsia="zh-CN"/>
        </w:rPr>
        <w:t>对照标准化建设标准文件</w:t>
      </w:r>
      <w:r>
        <w:rPr>
          <w:rFonts w:hint="eastAsia" w:ascii="Times New Roman" w:hAnsi="Times New Roman" w:eastAsia="仿宋_GB2312" w:cs="Times New Roman"/>
          <w:sz w:val="32"/>
          <w:szCs w:val="32"/>
          <w:highlight w:val="none"/>
        </w:rPr>
        <w:t>，实际完成值为</w:t>
      </w:r>
      <w:r>
        <w:rPr>
          <w:rFonts w:hint="eastAsia" w:ascii="仿宋_GB2312" w:hAnsi="Times New Roman" w:eastAsia="仿宋_GB2312" w:cs="Times New Roman"/>
          <w:sz w:val="32"/>
          <w:szCs w:val="32"/>
          <w:highlight w:val="none"/>
          <w:lang w:eastAsia="zh-Hans"/>
        </w:rPr>
        <w:t>“提升”</w:t>
      </w:r>
      <w:r>
        <w:rPr>
          <w:rFonts w:hint="eastAsia" w:ascii="仿宋_GB2312" w:hAnsi="Times New Roman" w:eastAsia="仿宋_GB2312" w:cs="Times New Roman"/>
          <w:sz w:val="32"/>
          <w:szCs w:val="32"/>
          <w:highlight w:val="none"/>
        </w:rPr>
        <w:t>，根据评分标准，该指标</w:t>
      </w:r>
      <w:r>
        <w:rPr>
          <w:rFonts w:hint="eastAsia" w:ascii="仿宋_GB2312" w:hAnsi="Times New Roman" w:eastAsia="仿宋_GB2312" w:cs="Times New Roman"/>
          <w:sz w:val="32"/>
          <w:szCs w:val="32"/>
          <w:highlight w:val="none"/>
          <w:lang w:val="en-US" w:eastAsia="zh-CN"/>
        </w:rPr>
        <w:t>10</w:t>
      </w:r>
      <w:r>
        <w:rPr>
          <w:rFonts w:hint="eastAsia" w:ascii="仿宋_GB2312" w:hAnsi="Times New Roman" w:eastAsia="仿宋_GB2312" w:cs="Times New Roman"/>
          <w:sz w:val="32"/>
          <w:szCs w:val="32"/>
          <w:highlight w:val="none"/>
        </w:rPr>
        <w:t>分，得</w:t>
      </w:r>
      <w:r>
        <w:rPr>
          <w:rFonts w:hint="eastAsia" w:ascii="仿宋_GB2312" w:hAnsi="Times New Roman" w:eastAsia="仿宋_GB2312" w:cs="Times New Roman"/>
          <w:sz w:val="32"/>
          <w:szCs w:val="32"/>
          <w:highlight w:val="none"/>
          <w:lang w:val="en-US" w:eastAsia="zh-CN"/>
        </w:rPr>
        <w:t>10</w:t>
      </w:r>
      <w:r>
        <w:rPr>
          <w:rFonts w:hint="eastAsia" w:ascii="仿宋_GB2312" w:hAnsi="Times New Roman" w:eastAsia="仿宋_GB2312" w:cs="Times New Roman"/>
          <w:sz w:val="32"/>
          <w:szCs w:val="32"/>
          <w:highlight w:val="none"/>
        </w:rPr>
        <w:t>分。</w:t>
      </w:r>
    </w:p>
    <w:p w14:paraId="13FB580F">
      <w:pPr>
        <w:keepNext/>
        <w:keepLines/>
        <w:pageBreakBefore w:val="0"/>
        <w:kinsoku/>
        <w:wordWrap/>
        <w:topLinePunct w:val="0"/>
        <w:autoSpaceDE/>
        <w:autoSpaceDN/>
        <w:bidi w:val="0"/>
        <w:spacing w:line="560" w:lineRule="exact"/>
        <w:ind w:left="420" w:leftChars="200"/>
        <w:textAlignment w:val="auto"/>
        <w:outlineLvl w:val="1"/>
        <w:rPr>
          <w:rFonts w:ascii="仿宋_GB2312" w:hAnsi="Times New Roman" w:eastAsia="仿宋_GB2312" w:cs="Times New Roman"/>
          <w:b/>
          <w:bCs/>
          <w:sz w:val="32"/>
          <w:szCs w:val="32"/>
        </w:rPr>
      </w:pPr>
      <w:r>
        <w:rPr>
          <w:rFonts w:hint="eastAsia" w:ascii="楷体_GB2312" w:hAnsi="Arial" w:eastAsia="楷体_GB2312" w:cs="Times New Roman"/>
          <w:b/>
          <w:sz w:val="32"/>
          <w:szCs w:val="32"/>
        </w:rPr>
        <w:t>（</w:t>
      </w:r>
      <w:r>
        <w:rPr>
          <w:rFonts w:hint="eastAsia" w:ascii="楷体_GB2312" w:hAnsi="Arial" w:eastAsia="楷体_GB2312" w:cs="Times New Roman"/>
          <w:b/>
          <w:sz w:val="32"/>
          <w:szCs w:val="32"/>
          <w:lang w:eastAsia="zh-CN"/>
        </w:rPr>
        <w:t>二</w:t>
      </w:r>
      <w:r>
        <w:rPr>
          <w:rFonts w:hint="eastAsia" w:ascii="楷体_GB2312" w:hAnsi="Arial" w:eastAsia="楷体_GB2312" w:cs="Times New Roman"/>
          <w:b/>
          <w:sz w:val="32"/>
          <w:szCs w:val="32"/>
        </w:rPr>
        <w:t>）项目</w:t>
      </w:r>
      <w:r>
        <w:rPr>
          <w:rFonts w:hint="eastAsia" w:ascii="仿宋_GB2312" w:hAnsi="Times New Roman" w:eastAsia="仿宋_GB2312" w:cs="Times New Roman"/>
          <w:b/>
          <w:bCs/>
          <w:sz w:val="32"/>
          <w:szCs w:val="32"/>
        </w:rPr>
        <w:t>满意度</w:t>
      </w:r>
      <w:r>
        <w:rPr>
          <w:rFonts w:hint="eastAsia" w:ascii="楷体_GB2312" w:hAnsi="Arial" w:eastAsia="楷体_GB2312" w:cs="Times New Roman"/>
          <w:b/>
          <w:sz w:val="32"/>
          <w:szCs w:val="32"/>
        </w:rPr>
        <w:t>情况</w:t>
      </w:r>
    </w:p>
    <w:p w14:paraId="7E10B005">
      <w:pPr>
        <w:pageBreakBefore w:val="0"/>
        <w:kinsoku/>
        <w:wordWrap/>
        <w:topLinePunct w:val="0"/>
        <w:autoSpaceDE/>
        <w:autoSpaceDN/>
        <w:bidi w:val="0"/>
        <w:spacing w:line="560" w:lineRule="exact"/>
        <w:ind w:firstLine="640" w:firstLineChars="200"/>
        <w:textAlignment w:val="auto"/>
        <w:outlineLvl w:val="0"/>
        <w:rPr>
          <w:rFonts w:ascii="仿宋_GB2312" w:hAnsi="仿宋_GB2312" w:eastAsia="仿宋_GB2312" w:cs="仿宋_GB2312"/>
          <w:sz w:val="32"/>
          <w:szCs w:val="32"/>
        </w:rPr>
      </w:pPr>
      <w:bookmarkStart w:id="15" w:name="_Toc1921"/>
      <w:bookmarkStart w:id="16" w:name="_Toc28290"/>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eastAsia="zh-CN"/>
        </w:rPr>
        <w:t>使用人</w:t>
      </w:r>
      <w:r>
        <w:rPr>
          <w:rFonts w:hint="eastAsia" w:ascii="仿宋_GB2312" w:hAnsi="仿宋_GB2312" w:eastAsia="仿宋_GB2312" w:cs="仿宋_GB2312"/>
          <w:sz w:val="32"/>
          <w:szCs w:val="32"/>
        </w:rPr>
        <w:t>满意度</w:t>
      </w:r>
      <w:r>
        <w:rPr>
          <w:rFonts w:hint="eastAsia" w:ascii="仿宋_GB2312" w:hAnsi="仿宋_GB2312" w:eastAsia="仿宋_GB2312" w:cs="仿宋_GB2312"/>
          <w:sz w:val="32"/>
          <w:szCs w:val="32"/>
          <w:lang w:eastAsia="zh-Hans"/>
        </w:rPr>
        <w:t>”指标，预期指标值为“</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eastAsia="zh-Hans"/>
        </w:rPr>
        <w:t>%”，收益对象满意度满意度达</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eastAsia="zh-Hans"/>
        </w:rPr>
        <w:t>%，根据评分标准，该指标10分,得10分。</w:t>
      </w:r>
    </w:p>
    <w:p w14:paraId="33E11F79">
      <w:pPr>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五、预算执行进度与绩效指标偏差情况</w:t>
      </w:r>
    </w:p>
    <w:p w14:paraId="76E98C88">
      <w:pPr>
        <w:pageBreakBefore w:val="0"/>
        <w:numPr>
          <w:ilvl w:val="0"/>
          <w:numId w:val="7"/>
        </w:numPr>
        <w:kinsoku/>
        <w:wordWrap/>
        <w:topLinePunct w:val="0"/>
        <w:autoSpaceDE/>
        <w:autoSpaceDN/>
        <w:bidi w:val="0"/>
        <w:spacing w:line="560" w:lineRule="exact"/>
        <w:ind w:left="-13" w:leftChars="0" w:firstLine="643" w:firstLineChars="0"/>
        <w:textAlignment w:val="auto"/>
        <w:outlineLvl w:val="1"/>
        <w:rPr>
          <w:rFonts w:ascii="楷体_GB2312" w:hAnsi="Arial" w:eastAsia="楷体_GB2312" w:cs="Times New Roman"/>
          <w:b/>
          <w:sz w:val="32"/>
          <w:szCs w:val="32"/>
          <w:lang w:eastAsia="zh-Hans"/>
        </w:rPr>
      </w:pPr>
      <w:r>
        <w:rPr>
          <w:rFonts w:hint="eastAsia" w:ascii="楷体_GB2312" w:hAnsi="Arial" w:eastAsia="楷体_GB2312" w:cs="Times New Roman"/>
          <w:b/>
          <w:sz w:val="32"/>
          <w:szCs w:val="32"/>
          <w:lang w:eastAsia="zh-Hans"/>
        </w:rPr>
        <w:t>预算执行进度</w:t>
      </w:r>
    </w:p>
    <w:p w14:paraId="5556336D">
      <w:pPr>
        <w:pageBreakBefore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lang w:eastAsia="zh-Hans"/>
        </w:rPr>
      </w:pPr>
      <w:r>
        <w:rPr>
          <w:rFonts w:hint="eastAsia" w:ascii="仿宋_GB2312" w:hAnsi="仿宋_GB2312" w:eastAsia="仿宋_GB2312" w:cs="仿宋_GB2312"/>
          <w:sz w:val="32"/>
          <w:szCs w:val="32"/>
          <w:highlight w:val="none"/>
          <w:lang w:eastAsia="zh-Hans"/>
        </w:rPr>
        <w:t>昌吉州生态环境保护综合行政执法装备采购</w:t>
      </w:r>
      <w:r>
        <w:rPr>
          <w:rFonts w:hint="eastAsia" w:ascii="仿宋_GB2312" w:hAnsi="仿宋_GB2312" w:eastAsia="仿宋_GB2312" w:cs="仿宋_GB2312"/>
          <w:sz w:val="32"/>
          <w:szCs w:val="32"/>
          <w:highlight w:val="none"/>
        </w:rPr>
        <w:t>项目</w:t>
      </w:r>
      <w:r>
        <w:rPr>
          <w:rFonts w:hint="eastAsia" w:ascii="仿宋_GB2312" w:hAnsi="Calibri" w:eastAsia="仿宋_GB2312" w:cs="Times New Roman"/>
          <w:sz w:val="32"/>
          <w:szCs w:val="32"/>
          <w:lang w:eastAsia="zh-Hans"/>
        </w:rPr>
        <w:t>预算金额</w:t>
      </w:r>
      <w:r>
        <w:rPr>
          <w:rFonts w:hint="eastAsia" w:ascii="仿宋_GB2312" w:hAnsi="Calibri" w:eastAsia="仿宋_GB2312" w:cs="Times New Roman"/>
          <w:sz w:val="32"/>
          <w:szCs w:val="32"/>
          <w:lang w:val="en-US" w:eastAsia="zh-CN"/>
        </w:rPr>
        <w:t>52</w:t>
      </w:r>
      <w:r>
        <w:rPr>
          <w:rFonts w:hint="eastAsia" w:ascii="仿宋_GB2312" w:hAnsi="Calibri" w:eastAsia="仿宋_GB2312" w:cs="Times New Roman"/>
          <w:sz w:val="32"/>
          <w:szCs w:val="32"/>
          <w:lang w:eastAsia="zh-Hans"/>
        </w:rPr>
        <w:t>万元，实际到位</w:t>
      </w:r>
      <w:r>
        <w:rPr>
          <w:rFonts w:hint="eastAsia" w:ascii="仿宋_GB2312" w:hAnsi="Calibri" w:eastAsia="仿宋_GB2312" w:cs="Times New Roman"/>
          <w:sz w:val="32"/>
          <w:szCs w:val="32"/>
          <w:lang w:val="en-US" w:eastAsia="zh-CN"/>
        </w:rPr>
        <w:t>52</w:t>
      </w:r>
      <w:r>
        <w:rPr>
          <w:rFonts w:hint="eastAsia" w:ascii="仿宋_GB2312" w:hAnsi="Calibri" w:eastAsia="仿宋_GB2312" w:cs="Times New Roman"/>
          <w:sz w:val="32"/>
          <w:szCs w:val="32"/>
          <w:lang w:eastAsia="zh-Hans"/>
        </w:rPr>
        <w:t>万元，实际支出</w:t>
      </w:r>
      <w:r>
        <w:rPr>
          <w:rFonts w:hint="eastAsia" w:ascii="仿宋_GB2312" w:hAnsi="Calibri" w:eastAsia="仿宋_GB2312" w:cs="Times New Roman"/>
          <w:sz w:val="32"/>
          <w:szCs w:val="32"/>
          <w:lang w:val="en-US" w:eastAsia="zh-CN"/>
        </w:rPr>
        <w:t>47.83</w:t>
      </w:r>
      <w:r>
        <w:rPr>
          <w:rFonts w:hint="eastAsia" w:ascii="仿宋_GB2312" w:hAnsi="Calibri" w:eastAsia="仿宋_GB2312" w:cs="Times New Roman"/>
          <w:sz w:val="32"/>
          <w:szCs w:val="32"/>
          <w:lang w:eastAsia="zh-Hans"/>
        </w:rPr>
        <w:t>万元，预算执行率为</w:t>
      </w:r>
      <w:r>
        <w:rPr>
          <w:rFonts w:hint="eastAsia" w:ascii="仿宋_GB2312" w:hAnsi="Calibri" w:eastAsia="仿宋_GB2312" w:cs="Times New Roman"/>
          <w:sz w:val="32"/>
          <w:szCs w:val="32"/>
          <w:lang w:val="en-US" w:eastAsia="zh-CN"/>
        </w:rPr>
        <w:t>91.98</w:t>
      </w:r>
      <w:r>
        <w:rPr>
          <w:rFonts w:hint="eastAsia" w:ascii="仿宋_GB2312" w:hAnsi="Calibri" w:eastAsia="仿宋_GB2312" w:cs="Times New Roman"/>
          <w:sz w:val="32"/>
          <w:szCs w:val="32"/>
          <w:lang w:eastAsia="zh-Hans"/>
        </w:rPr>
        <w:t>%。</w:t>
      </w:r>
    </w:p>
    <w:p w14:paraId="0E0F7174">
      <w:pPr>
        <w:pageBreakBefore w:val="0"/>
        <w:numPr>
          <w:ilvl w:val="0"/>
          <w:numId w:val="7"/>
        </w:numPr>
        <w:kinsoku/>
        <w:wordWrap/>
        <w:topLinePunct w:val="0"/>
        <w:autoSpaceDE/>
        <w:autoSpaceDN/>
        <w:bidi w:val="0"/>
        <w:spacing w:line="560" w:lineRule="exact"/>
        <w:ind w:left="-13" w:leftChars="0" w:firstLine="643" w:firstLineChars="0"/>
        <w:textAlignment w:val="auto"/>
        <w:outlineLvl w:val="1"/>
        <w:rPr>
          <w:rFonts w:ascii="楷体_GB2312" w:hAnsi="Arial" w:eastAsia="楷体_GB2312" w:cs="Times New Roman"/>
          <w:b/>
          <w:sz w:val="32"/>
          <w:szCs w:val="32"/>
          <w:lang w:eastAsia="zh-Hans"/>
        </w:rPr>
      </w:pPr>
      <w:r>
        <w:rPr>
          <w:rFonts w:hint="eastAsia" w:ascii="楷体_GB2312" w:hAnsi="Arial" w:eastAsia="楷体_GB2312" w:cs="Times New Roman"/>
          <w:b/>
          <w:sz w:val="32"/>
          <w:szCs w:val="32"/>
          <w:lang w:eastAsia="zh-Hans"/>
        </w:rPr>
        <w:t>绩效指标偏差情况</w:t>
      </w:r>
    </w:p>
    <w:bookmarkEnd w:id="15"/>
    <w:bookmarkEnd w:id="16"/>
    <w:p w14:paraId="3D7EDC35">
      <w:pPr>
        <w:pageBreakBefore w:val="0"/>
        <w:kinsoku/>
        <w:wordWrap/>
        <w:topLinePunct w:val="0"/>
        <w:autoSpaceDE/>
        <w:autoSpaceDN/>
        <w:bidi w:val="0"/>
        <w:spacing w:line="560" w:lineRule="exact"/>
        <w:ind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无此情况。</w:t>
      </w:r>
    </w:p>
    <w:p w14:paraId="7C54A5B4">
      <w:pPr>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rPr>
      </w:pPr>
      <w:r>
        <w:rPr>
          <w:rFonts w:hint="eastAsia" w:ascii="Times New Roman" w:hAnsi="Times New Roman" w:eastAsia="黑体" w:cs="Times New Roman"/>
          <w:kern w:val="44"/>
          <w:sz w:val="32"/>
          <w:szCs w:val="32"/>
        </w:rPr>
        <w:t>六、主要经验及做法、存在的问题及原因分析</w:t>
      </w:r>
    </w:p>
    <w:p w14:paraId="46BD044C">
      <w:pPr>
        <w:pageBreakBefore w:val="0"/>
        <w:kinsoku/>
        <w:wordWrap/>
        <w:topLinePunct w:val="0"/>
        <w:autoSpaceDE/>
        <w:autoSpaceDN/>
        <w:bidi w:val="0"/>
        <w:spacing w:before="120" w:after="60" w:line="560" w:lineRule="exact"/>
        <w:ind w:left="560"/>
        <w:textAlignment w:val="auto"/>
        <w:outlineLvl w:val="1"/>
        <w:rPr>
          <w:rFonts w:ascii="仿宋_GB2312" w:hAnsi="仿宋_GB2312" w:eastAsia="楷体" w:cs="仿宋_GB2312"/>
          <w:b/>
          <w:sz w:val="32"/>
          <w:szCs w:val="24"/>
        </w:rPr>
      </w:pPr>
      <w:r>
        <w:rPr>
          <w:rFonts w:hint="eastAsia" w:ascii="仿宋_GB2312" w:hAnsi="仿宋_GB2312" w:eastAsia="楷体" w:cs="仿宋_GB2312"/>
          <w:b/>
          <w:sz w:val="32"/>
          <w:szCs w:val="24"/>
        </w:rPr>
        <w:t>（一）主要经验及做法</w:t>
      </w:r>
    </w:p>
    <w:p w14:paraId="26285912">
      <w:pPr>
        <w:pageBreakBefore w:val="0"/>
        <w:kinsoku/>
        <w:wordWrap/>
        <w:topLinePunct w:val="0"/>
        <w:autoSpaceDE/>
        <w:autoSpaceDN/>
        <w:bidi w:val="0"/>
        <w:spacing w:line="560" w:lineRule="exact"/>
        <w:ind w:firstLine="643" w:firstLineChars="200"/>
        <w:textAlignment w:val="auto"/>
        <w:rPr>
          <w:rFonts w:ascii="仿宋_GB2312" w:hAnsi="Times New Roman" w:eastAsia="仿宋_GB2312" w:cs="Times New Roman"/>
          <w:b/>
          <w:bCs/>
          <w:sz w:val="32"/>
          <w:szCs w:val="32"/>
          <w:highlight w:val="none"/>
        </w:rPr>
      </w:pPr>
      <w:r>
        <w:rPr>
          <w:rFonts w:hint="eastAsia" w:ascii="仿宋_GB2312" w:hAnsi="Calibri" w:eastAsia="仿宋_GB2312" w:cs="Times New Roman"/>
          <w:b/>
          <w:bCs/>
          <w:sz w:val="32"/>
          <w:szCs w:val="32"/>
          <w:highlight w:val="none"/>
        </w:rPr>
        <w:t>1.聚焦重点任务，推动项目工作落地落实</w:t>
      </w:r>
    </w:p>
    <w:p w14:paraId="44A9B9AB">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p>
    <w:p w14:paraId="1F7DBD5F">
      <w:pPr>
        <w:pageBreakBefore w:val="0"/>
        <w:kinsoku/>
        <w:wordWrap/>
        <w:topLinePunct w:val="0"/>
        <w:autoSpaceDE/>
        <w:autoSpaceDN/>
        <w:bidi w:val="0"/>
        <w:spacing w:line="560" w:lineRule="exact"/>
        <w:ind w:firstLine="643" w:firstLineChars="200"/>
        <w:textAlignment w:val="auto"/>
        <w:rPr>
          <w:rFonts w:ascii="仿宋_GB2312" w:hAnsi="Times New Roman" w:eastAsia="仿宋_GB2312" w:cs="Times New Roman"/>
          <w:b/>
          <w:bCs/>
          <w:kern w:val="0"/>
          <w:sz w:val="32"/>
          <w:szCs w:val="32"/>
          <w:highlight w:val="none"/>
        </w:rPr>
      </w:pPr>
      <w:r>
        <w:rPr>
          <w:rFonts w:hint="eastAsia" w:ascii="仿宋_GB2312" w:hAnsi="Calibri" w:eastAsia="仿宋_GB2312" w:cs="Times New Roman"/>
          <w:b/>
          <w:bCs/>
          <w:sz w:val="32"/>
          <w:szCs w:val="32"/>
          <w:highlight w:val="none"/>
        </w:rPr>
        <w:t>2.坚持问题导向，加强执行监控，提高资金效益</w:t>
      </w:r>
    </w:p>
    <w:p w14:paraId="5A6D8AEE">
      <w:pPr>
        <w:pageBreakBefore w:val="0"/>
        <w:widowControl/>
        <w:kinsoku/>
        <w:wordWrap/>
        <w:topLinePunct w:val="0"/>
        <w:autoSpaceDE/>
        <w:autoSpaceDN/>
        <w:bidi w:val="0"/>
        <w:spacing w:before="100" w:beforeAutospacing="1" w:after="100" w:afterAutospacing="1" w:line="560" w:lineRule="exact"/>
        <w:ind w:firstLine="640" w:firstLineChars="200"/>
        <w:textAlignment w:val="auto"/>
        <w:rPr>
          <w:rFonts w:ascii="仿宋_GB2312" w:hAnsi="仿宋_GB2312" w:eastAsia="仿宋_GB2312" w:cs="仿宋_GB2312"/>
          <w:kern w:val="0"/>
          <w:sz w:val="32"/>
          <w:szCs w:val="32"/>
          <w:highlight w:val="none"/>
        </w:rPr>
      </w:pPr>
      <w:bookmarkStart w:id="17" w:name="_Toc68364674"/>
      <w:r>
        <w:rPr>
          <w:rFonts w:hint="eastAsia" w:ascii="仿宋_GB2312" w:hAnsi="仿宋_GB2312" w:eastAsia="仿宋_GB2312" w:cs="仿宋_GB2312"/>
          <w:sz w:val="32"/>
          <w:szCs w:val="32"/>
          <w:highlight w:val="none"/>
        </w:rPr>
        <w:t>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p>
    <w:p w14:paraId="7A3118F0">
      <w:pPr>
        <w:keepNext/>
        <w:keepLines/>
        <w:pageBreakBefore w:val="0"/>
        <w:kinsoku/>
        <w:wordWrap/>
        <w:topLinePunct w:val="0"/>
        <w:autoSpaceDE/>
        <w:autoSpaceDN/>
        <w:bidi w:val="0"/>
        <w:spacing w:before="120" w:after="60" w:line="560" w:lineRule="exact"/>
        <w:ind w:left="560"/>
        <w:textAlignment w:val="auto"/>
        <w:outlineLvl w:val="1"/>
        <w:rPr>
          <w:rFonts w:ascii="仿宋_GB2312" w:hAnsi="仿宋_GB2312" w:eastAsia="楷体" w:cs="仿宋_GB2312"/>
          <w:b/>
          <w:sz w:val="32"/>
          <w:szCs w:val="24"/>
          <w:highlight w:val="none"/>
        </w:rPr>
      </w:pPr>
      <w:r>
        <w:rPr>
          <w:rFonts w:hint="eastAsia" w:ascii="仿宋_GB2312" w:hAnsi="仿宋_GB2312" w:eastAsia="楷体" w:cs="仿宋_GB2312"/>
          <w:b/>
          <w:sz w:val="32"/>
          <w:szCs w:val="24"/>
          <w:highlight w:val="none"/>
        </w:rPr>
        <w:t>（二）存在问题及原因分析</w:t>
      </w:r>
      <w:bookmarkEnd w:id="17"/>
    </w:p>
    <w:p w14:paraId="737EBBF8">
      <w:pPr>
        <w:pageBreakBefore w:val="0"/>
        <w:kinsoku/>
        <w:wordWrap/>
        <w:topLinePunct w:val="0"/>
        <w:autoSpaceDE/>
        <w:autoSpaceDN/>
        <w:bidi w:val="0"/>
        <w:spacing w:line="56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1.绩效预算认识不够充分，绩效理念有待进一步强化</w:t>
      </w:r>
    </w:p>
    <w:p w14:paraId="01964C27">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14:paraId="318D4262">
      <w:pPr>
        <w:pageBreakBefore w:val="0"/>
        <w:kinsoku/>
        <w:wordWrap/>
        <w:topLinePunct w:val="0"/>
        <w:autoSpaceDE/>
        <w:autoSpaceDN/>
        <w:bidi w:val="0"/>
        <w:spacing w:line="56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2.绩效档案归档工作有待提高</w:t>
      </w:r>
    </w:p>
    <w:p w14:paraId="6A053A33">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24"/>
          <w:highlight w:val="none"/>
        </w:rPr>
      </w:pPr>
      <w:r>
        <w:rPr>
          <w:rFonts w:hint="eastAsia" w:ascii="仿宋_GB2312" w:hAnsi="仿宋_GB2312" w:eastAsia="仿宋_GB2312" w:cs="仿宋_GB2312"/>
          <w:kern w:val="0"/>
          <w:sz w:val="32"/>
          <w:szCs w:val="32"/>
          <w:highlight w:val="none"/>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w:t>
      </w:r>
      <w:r>
        <w:rPr>
          <w:rFonts w:hint="eastAsia" w:ascii="仿宋_GB2312" w:hAnsi="仿宋_GB2312" w:eastAsia="仿宋_GB2312" w:cs="仿宋_GB2312"/>
          <w:sz w:val="32"/>
          <w:szCs w:val="24"/>
          <w:highlight w:val="none"/>
        </w:rPr>
        <w:t>理与实际业务存在一定偏差，未发挥其综合价值。</w:t>
      </w:r>
    </w:p>
    <w:p w14:paraId="11477418">
      <w:pPr>
        <w:pageBreakBefore w:val="0"/>
        <w:kinsoku/>
        <w:wordWrap/>
        <w:topLinePunct w:val="0"/>
        <w:autoSpaceDE/>
        <w:autoSpaceDN/>
        <w:bidi w:val="0"/>
        <w:spacing w:line="560" w:lineRule="exact"/>
        <w:ind w:firstLine="643" w:firstLineChars="200"/>
        <w:textAlignment w:val="auto"/>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3.项目支出绩效评价存在局限，客观性有待加强</w:t>
      </w:r>
    </w:p>
    <w:p w14:paraId="00266EAD">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4E64AA12">
      <w:pPr>
        <w:keepNext/>
        <w:keepLines/>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highlight w:val="none"/>
        </w:rPr>
      </w:pPr>
      <w:r>
        <w:rPr>
          <w:rFonts w:hint="eastAsia" w:ascii="Times New Roman" w:hAnsi="Times New Roman" w:eastAsia="黑体" w:cs="Times New Roman"/>
          <w:kern w:val="44"/>
          <w:sz w:val="32"/>
          <w:szCs w:val="32"/>
          <w:highlight w:val="none"/>
        </w:rPr>
        <w:t>七、</w:t>
      </w:r>
      <w:r>
        <w:rPr>
          <w:rFonts w:hint="eastAsia" w:ascii="Times New Roman" w:hAnsi="Times New Roman" w:eastAsia="黑体" w:cs="Times New Roman"/>
          <w:kern w:val="44"/>
          <w:sz w:val="32"/>
          <w:szCs w:val="32"/>
          <w:highlight w:val="none"/>
          <w:lang w:eastAsia="zh-Hans"/>
        </w:rPr>
        <w:t>有关建议</w:t>
      </w:r>
    </w:p>
    <w:p w14:paraId="051C8740">
      <w:pPr>
        <w:pageBreakBefore w:val="0"/>
        <w:kinsoku/>
        <w:wordWrap/>
        <w:topLinePunct w:val="0"/>
        <w:autoSpaceDE/>
        <w:autoSpaceDN/>
        <w:bidi w:val="0"/>
        <w:spacing w:line="560" w:lineRule="exact"/>
        <w:ind w:firstLine="640" w:firstLineChars="200"/>
        <w:textAlignment w:val="auto"/>
        <w:rPr>
          <w:rFonts w:ascii="仿宋_GB2312" w:hAnsi="Calibri" w:eastAsia="仿宋_GB2312" w:cs="Times New Roman"/>
          <w:b/>
          <w:bCs/>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Calibri" w:eastAsia="仿宋_GB2312" w:cs="Times New Roman"/>
          <w:b/>
          <w:bCs/>
          <w:sz w:val="32"/>
          <w:szCs w:val="32"/>
          <w:highlight w:val="none"/>
        </w:rPr>
        <w:t>1.加强培训，提高相关人员工作水平</w:t>
      </w:r>
    </w:p>
    <w:p w14:paraId="3B6D2786">
      <w:pPr>
        <w:pageBreakBefore w:val="0"/>
        <w:kinsoku/>
        <w:wordWrap/>
        <w:topLinePunct w:val="0"/>
        <w:autoSpaceDE/>
        <w:autoSpaceDN/>
        <w:bidi w:val="0"/>
        <w:spacing w:line="560" w:lineRule="exact"/>
        <w:ind w:firstLine="640" w:firstLineChars="200"/>
        <w:textAlignment w:val="auto"/>
        <w:rPr>
          <w:rFonts w:ascii="Times New Roman" w:hAnsi="Calibri" w:eastAsia="仿宋_GB2312" w:cs="Times New Roman"/>
          <w:sz w:val="32"/>
          <w:szCs w:val="32"/>
          <w:highlight w:val="none"/>
        </w:rPr>
      </w:pPr>
      <w:r>
        <w:rPr>
          <w:rFonts w:hint="eastAsia" w:ascii="仿宋_GB2312" w:hAnsi="Calibri" w:eastAsia="仿宋_GB2312" w:cs="Times New Roman"/>
          <w:sz w:val="32"/>
          <w:szCs w:val="32"/>
          <w:highlight w:val="none"/>
        </w:rPr>
        <w:t>采取多种培训形式对单位财务人员、业务科室人员进行集中培训，进一步树牢绩效观念，提高本单位工作人员的绩效管理能力和工作水平，为预算绩效管理相关工作的顺利开展提供保障。</w:t>
      </w:r>
    </w:p>
    <w:p w14:paraId="773542EC">
      <w:pPr>
        <w:pageBreakBefore w:val="0"/>
        <w:kinsoku/>
        <w:wordWrap/>
        <w:topLinePunct w:val="0"/>
        <w:autoSpaceDE/>
        <w:autoSpaceDN/>
        <w:bidi w:val="0"/>
        <w:spacing w:line="560" w:lineRule="exact"/>
        <w:ind w:firstLine="643" w:firstLineChars="200"/>
        <w:textAlignment w:val="auto"/>
        <w:rPr>
          <w:rFonts w:ascii="仿宋_GB2312" w:hAnsi="Calibri" w:eastAsia="仿宋_GB2312" w:cs="Times New Roman"/>
          <w:b/>
          <w:bCs/>
          <w:sz w:val="32"/>
          <w:szCs w:val="32"/>
          <w:highlight w:val="none"/>
        </w:rPr>
      </w:pPr>
      <w:r>
        <w:rPr>
          <w:rFonts w:hint="eastAsia" w:ascii="仿宋_GB2312" w:hAnsi="Calibri" w:eastAsia="仿宋_GB2312" w:cs="Times New Roman"/>
          <w:b/>
          <w:bCs/>
          <w:sz w:val="32"/>
          <w:szCs w:val="32"/>
          <w:highlight w:val="none"/>
        </w:rPr>
        <w:t>2.扎实推进档案规范化建设，提升档案管理水平</w:t>
      </w:r>
    </w:p>
    <w:p w14:paraId="5322BC64">
      <w:pPr>
        <w:pageBreakBefore w:val="0"/>
        <w:kinsoku/>
        <w:wordWrap/>
        <w:topLinePunct w:val="0"/>
        <w:autoSpaceDE/>
        <w:autoSpaceDN/>
        <w:bidi w:val="0"/>
        <w:spacing w:line="56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14:paraId="2A364458">
      <w:pPr>
        <w:keepNext/>
        <w:keepLines/>
        <w:pageBreakBefore w:val="0"/>
        <w:kinsoku/>
        <w:wordWrap/>
        <w:topLinePunct w:val="0"/>
        <w:autoSpaceDE/>
        <w:autoSpaceDN/>
        <w:bidi w:val="0"/>
        <w:spacing w:line="560" w:lineRule="exact"/>
        <w:ind w:firstLine="640" w:firstLineChars="200"/>
        <w:textAlignment w:val="auto"/>
        <w:outlineLvl w:val="0"/>
        <w:rPr>
          <w:rFonts w:ascii="Times New Roman" w:hAnsi="Times New Roman" w:eastAsia="黑体" w:cs="Times New Roman"/>
          <w:kern w:val="44"/>
          <w:sz w:val="32"/>
          <w:szCs w:val="32"/>
          <w:highlight w:val="none"/>
        </w:rPr>
      </w:pPr>
      <w:r>
        <w:rPr>
          <w:rFonts w:hint="eastAsia" w:ascii="Times New Roman" w:hAnsi="Times New Roman" w:eastAsia="黑体" w:cs="Times New Roman"/>
          <w:kern w:val="44"/>
          <w:sz w:val="32"/>
          <w:szCs w:val="32"/>
          <w:highlight w:val="none"/>
        </w:rPr>
        <w:t>八、其他需要说明的问题</w:t>
      </w:r>
    </w:p>
    <w:p w14:paraId="496ED7CA">
      <w:pPr>
        <w:pageBreakBefore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本单位对上述项目支出绩效评价报告内反映内容的真实性、完整性负责，并接受上级部门及社会公众监督。</w:t>
      </w:r>
    </w:p>
    <w:p w14:paraId="125AA0DD">
      <w:pPr>
        <w:pageBreakBefore w:val="0"/>
        <w:kinsoku/>
        <w:wordWrap/>
        <w:topLinePunct w:val="0"/>
        <w:autoSpaceDE/>
        <w:autoSpaceDN/>
        <w:bidi w:val="0"/>
        <w:spacing w:line="560" w:lineRule="exact"/>
        <w:textAlignment w:val="auto"/>
        <w:rPr>
          <w:highlight w:val="none"/>
        </w:rPr>
      </w:pPr>
    </w:p>
    <w:p w14:paraId="56186BB2">
      <w:pPr>
        <w:pStyle w:val="2"/>
      </w:pPr>
    </w:p>
    <w:p w14:paraId="5E4B7B49"/>
    <w:p w14:paraId="7BDF1E9B">
      <w:pPr>
        <w:pStyle w:val="2"/>
      </w:pPr>
    </w:p>
    <w:p w14:paraId="31F06031">
      <w:pPr>
        <w:rPr>
          <w:rFonts w:hint="eastAsia"/>
          <w:lang w:val="en-US" w:eastAsia="zh-CN"/>
        </w:rPr>
      </w:pPr>
    </w:p>
    <w:p w14:paraId="6BBFC2CA">
      <w:pPr>
        <w:pStyle w:val="2"/>
        <w:rPr>
          <w:rFonts w:hint="default" w:eastAsia="宋体"/>
          <w:lang w:val="en-US" w:eastAsia="zh-CN"/>
        </w:rPr>
      </w:pPr>
      <w:r>
        <w:rPr>
          <w:rFonts w:hint="eastAsia"/>
          <w:lang w:eastAsia="zh-CN"/>
        </w:rPr>
        <w:t>附件</w:t>
      </w:r>
      <w:r>
        <w:rPr>
          <w:rFonts w:hint="eastAsia"/>
          <w:lang w:val="en-US" w:eastAsia="zh-CN"/>
        </w:rPr>
        <w:t>1</w:t>
      </w:r>
    </w:p>
    <w:tbl>
      <w:tblPr>
        <w:tblStyle w:val="5"/>
        <w:tblpPr w:leftFromText="180" w:rightFromText="180" w:vertAnchor="text" w:horzAnchor="page" w:tblpX="477" w:tblpY="-12533"/>
        <w:tblOverlap w:val="never"/>
        <w:tblW w:w="10820" w:type="dxa"/>
        <w:tblInd w:w="0" w:type="dxa"/>
        <w:shd w:val="clear" w:color="auto" w:fill="auto"/>
        <w:tblLayout w:type="autofit"/>
        <w:tblCellMar>
          <w:top w:w="0" w:type="dxa"/>
          <w:left w:w="108" w:type="dxa"/>
          <w:bottom w:w="0" w:type="dxa"/>
          <w:right w:w="108" w:type="dxa"/>
        </w:tblCellMar>
      </w:tblPr>
      <w:tblGrid>
        <w:gridCol w:w="888"/>
        <w:gridCol w:w="863"/>
        <w:gridCol w:w="1116"/>
        <w:gridCol w:w="925"/>
        <w:gridCol w:w="992"/>
        <w:gridCol w:w="548"/>
        <w:gridCol w:w="906"/>
        <w:gridCol w:w="1318"/>
        <w:gridCol w:w="474"/>
        <w:gridCol w:w="474"/>
        <w:gridCol w:w="474"/>
        <w:gridCol w:w="474"/>
        <w:gridCol w:w="533"/>
        <w:gridCol w:w="835"/>
      </w:tblGrid>
      <w:tr w14:paraId="0DB0F245">
        <w:tblPrEx>
          <w:shd w:val="clear" w:color="auto" w:fill="auto"/>
          <w:tblCellMar>
            <w:top w:w="0" w:type="dxa"/>
            <w:left w:w="108" w:type="dxa"/>
            <w:bottom w:w="0" w:type="dxa"/>
            <w:right w:w="108" w:type="dxa"/>
          </w:tblCellMar>
        </w:tblPrEx>
        <w:trPr>
          <w:trHeight w:val="796" w:hRule="atLeast"/>
        </w:trPr>
        <w:tc>
          <w:tcPr>
            <w:tcW w:w="10820" w:type="dxa"/>
            <w:gridSpan w:val="14"/>
            <w:tcBorders>
              <w:top w:val="nil"/>
              <w:left w:val="nil"/>
              <w:bottom w:val="nil"/>
              <w:right w:val="nil"/>
            </w:tcBorders>
            <w:shd w:val="clear" w:color="auto" w:fill="auto"/>
            <w:vAlign w:val="center"/>
          </w:tcPr>
          <w:p w14:paraId="185F011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60E7DD2E">
        <w:tblPrEx>
          <w:tblCellMar>
            <w:top w:w="0" w:type="dxa"/>
            <w:left w:w="108" w:type="dxa"/>
            <w:bottom w:w="0" w:type="dxa"/>
            <w:right w:w="108" w:type="dxa"/>
          </w:tblCellMar>
        </w:tblPrEx>
        <w:trPr>
          <w:trHeight w:val="398" w:hRule="atLeast"/>
        </w:trPr>
        <w:tc>
          <w:tcPr>
            <w:tcW w:w="10820" w:type="dxa"/>
            <w:gridSpan w:val="14"/>
            <w:tcBorders>
              <w:top w:val="nil"/>
              <w:left w:val="nil"/>
              <w:bottom w:val="nil"/>
              <w:right w:val="nil"/>
            </w:tcBorders>
            <w:shd w:val="clear" w:color="auto" w:fill="auto"/>
            <w:vAlign w:val="center"/>
          </w:tcPr>
          <w:p w14:paraId="380CE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(2022年度)</w:t>
            </w:r>
          </w:p>
        </w:tc>
      </w:tr>
      <w:tr w14:paraId="268C6BF3">
        <w:tblPrEx>
          <w:tblCellMar>
            <w:top w:w="0" w:type="dxa"/>
            <w:left w:w="108" w:type="dxa"/>
            <w:bottom w:w="0" w:type="dxa"/>
            <w:right w:w="108" w:type="dxa"/>
          </w:tblCellMar>
        </w:tblPrEx>
        <w:trPr>
          <w:trHeight w:val="408" w:hRule="atLeast"/>
        </w:trPr>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DC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906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69BE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环境执法设备采购</w:t>
            </w:r>
          </w:p>
        </w:tc>
      </w:tr>
      <w:tr w14:paraId="5C6E6A76">
        <w:tblPrEx>
          <w:tblCellMar>
            <w:top w:w="0" w:type="dxa"/>
            <w:left w:w="108" w:type="dxa"/>
            <w:bottom w:w="0" w:type="dxa"/>
            <w:right w:w="108" w:type="dxa"/>
          </w:tblCellMar>
        </w:tblPrEx>
        <w:trPr>
          <w:trHeight w:val="408" w:hRule="atLeast"/>
        </w:trPr>
        <w:tc>
          <w:tcPr>
            <w:tcW w:w="17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A3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44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E9F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昌吉州节能减排监督管理局</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BB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790"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0147A486">
            <w:pPr>
              <w:keepNext w:val="0"/>
              <w:keepLines w:val="0"/>
              <w:widowControl/>
              <w:suppressLineNumbers w:val="0"/>
              <w:jc w:val="left"/>
              <w:textAlignment w:val="bottom"/>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0"/>
                <w:szCs w:val="20"/>
                <w:u w:val="none"/>
                <w:lang w:val="en-US" w:eastAsia="zh-CN" w:bidi="ar"/>
              </w:rPr>
              <w:t>新疆昌吉州生态环境保护综合行政执法支队</w:t>
            </w:r>
          </w:p>
        </w:tc>
      </w:tr>
      <w:tr w14:paraId="51DEFA26">
        <w:tblPrEx>
          <w:tblCellMar>
            <w:top w:w="0" w:type="dxa"/>
            <w:left w:w="108" w:type="dxa"/>
            <w:bottom w:w="0" w:type="dxa"/>
            <w:right w:w="108" w:type="dxa"/>
          </w:tblCellMar>
        </w:tblPrEx>
        <w:trPr>
          <w:trHeight w:val="806" w:hRule="atLeast"/>
        </w:trPr>
        <w:tc>
          <w:tcPr>
            <w:tcW w:w="17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88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7BC50">
            <w:pPr>
              <w:jc w:val="center"/>
              <w:rPr>
                <w:rFonts w:hint="eastAsia" w:ascii="宋体" w:hAnsi="宋体" w:eastAsia="宋体" w:cs="宋体"/>
                <w:i w:val="0"/>
                <w:iCs w:val="0"/>
                <w:color w:val="000000"/>
                <w:sz w:val="20"/>
                <w:szCs w:val="20"/>
                <w:u w:val="none"/>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6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C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4A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A1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67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A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63398984">
        <w:tblPrEx>
          <w:tblCellMar>
            <w:top w:w="0" w:type="dxa"/>
            <w:left w:w="108" w:type="dxa"/>
            <w:bottom w:w="0" w:type="dxa"/>
            <w:right w:w="108" w:type="dxa"/>
          </w:tblCellMar>
        </w:tblPrEx>
        <w:trPr>
          <w:trHeight w:val="408" w:hRule="atLeast"/>
        </w:trPr>
        <w:tc>
          <w:tcPr>
            <w:tcW w:w="1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20860">
            <w:pPr>
              <w:jc w:val="center"/>
              <w:rPr>
                <w:rFonts w:hint="eastAsia" w:ascii="宋体" w:hAnsi="宋体" w:eastAsia="宋体" w:cs="宋体"/>
                <w:i w:val="0"/>
                <w:iCs w:val="0"/>
                <w:color w:val="000000"/>
                <w:sz w:val="20"/>
                <w:szCs w:val="20"/>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E8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7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3C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5B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47.83</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5F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B1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91.98%</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26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9.20分</w:t>
            </w:r>
          </w:p>
        </w:tc>
      </w:tr>
      <w:tr w14:paraId="431F646E">
        <w:tblPrEx>
          <w:tblCellMar>
            <w:top w:w="0" w:type="dxa"/>
            <w:left w:w="108" w:type="dxa"/>
            <w:bottom w:w="0" w:type="dxa"/>
            <w:right w:w="108" w:type="dxa"/>
          </w:tblCellMar>
        </w:tblPrEx>
        <w:trPr>
          <w:trHeight w:val="408" w:hRule="atLeast"/>
        </w:trPr>
        <w:tc>
          <w:tcPr>
            <w:tcW w:w="1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73AE9">
            <w:pPr>
              <w:jc w:val="center"/>
              <w:rPr>
                <w:rFonts w:hint="eastAsia" w:ascii="宋体" w:hAnsi="宋体" w:eastAsia="宋体" w:cs="宋体"/>
                <w:i w:val="0"/>
                <w:iCs w:val="0"/>
                <w:color w:val="000000"/>
                <w:sz w:val="20"/>
                <w:szCs w:val="20"/>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E6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8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66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22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47.83</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EA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D5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3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F343D18">
        <w:tblPrEx>
          <w:tblCellMar>
            <w:top w:w="0" w:type="dxa"/>
            <w:left w:w="108" w:type="dxa"/>
            <w:bottom w:w="0" w:type="dxa"/>
            <w:right w:w="108" w:type="dxa"/>
          </w:tblCellMar>
        </w:tblPrEx>
        <w:trPr>
          <w:trHeight w:val="408" w:hRule="atLeast"/>
        </w:trPr>
        <w:tc>
          <w:tcPr>
            <w:tcW w:w="1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E5DBE">
            <w:pPr>
              <w:jc w:val="center"/>
              <w:rPr>
                <w:rFonts w:hint="eastAsia" w:ascii="宋体" w:hAnsi="宋体" w:eastAsia="宋体" w:cs="宋体"/>
                <w:i w:val="0"/>
                <w:iCs w:val="0"/>
                <w:color w:val="000000"/>
                <w:sz w:val="20"/>
                <w:szCs w:val="20"/>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29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上年结转资金</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D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67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0FF9C">
            <w:pPr>
              <w:jc w:val="center"/>
              <w:rPr>
                <w:rFonts w:hint="eastAsia" w:ascii="宋体" w:hAnsi="宋体" w:eastAsia="宋体" w:cs="宋体"/>
                <w:i w:val="0"/>
                <w:iCs w:val="0"/>
                <w:color w:val="000000"/>
                <w:sz w:val="20"/>
                <w:szCs w:val="20"/>
                <w:u w:val="none"/>
              </w:rPr>
            </w:pP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2F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B2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C5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A7C0668">
        <w:tblPrEx>
          <w:tblCellMar>
            <w:top w:w="0" w:type="dxa"/>
            <w:left w:w="108" w:type="dxa"/>
            <w:bottom w:w="0" w:type="dxa"/>
            <w:right w:w="108" w:type="dxa"/>
          </w:tblCellMar>
        </w:tblPrEx>
        <w:trPr>
          <w:trHeight w:val="408" w:hRule="atLeast"/>
        </w:trPr>
        <w:tc>
          <w:tcPr>
            <w:tcW w:w="17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F2183">
            <w:pPr>
              <w:jc w:val="center"/>
              <w:rPr>
                <w:rFonts w:hint="eastAsia" w:ascii="宋体" w:hAnsi="宋体" w:eastAsia="宋体" w:cs="宋体"/>
                <w:i w:val="0"/>
                <w:iCs w:val="0"/>
                <w:color w:val="000000"/>
                <w:sz w:val="20"/>
                <w:szCs w:val="20"/>
                <w:u w:val="none"/>
              </w:rPr>
            </w:pP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D3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D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B4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17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6F81A">
            <w:pPr>
              <w:jc w:val="center"/>
              <w:rPr>
                <w:rFonts w:hint="eastAsia" w:ascii="宋体" w:hAnsi="宋体" w:eastAsia="宋体" w:cs="宋体"/>
                <w:i w:val="0"/>
                <w:iCs w:val="0"/>
                <w:color w:val="000000"/>
                <w:sz w:val="20"/>
                <w:szCs w:val="20"/>
                <w:u w:val="none"/>
              </w:rPr>
            </w:pP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3A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0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B2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E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F32F80D">
        <w:tblPrEx>
          <w:tblCellMar>
            <w:top w:w="0" w:type="dxa"/>
            <w:left w:w="108" w:type="dxa"/>
            <w:bottom w:w="0" w:type="dxa"/>
            <w:right w:w="108" w:type="dxa"/>
          </w:tblCellMar>
        </w:tblPrEx>
        <w:trPr>
          <w:trHeight w:val="408" w:hRule="atLeast"/>
        </w:trPr>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E6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5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349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458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1B6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19F944FE">
        <w:tblPrEx>
          <w:tblCellMar>
            <w:top w:w="0" w:type="dxa"/>
            <w:left w:w="108" w:type="dxa"/>
            <w:bottom w:w="0" w:type="dxa"/>
            <w:right w:w="108" w:type="dxa"/>
          </w:tblCellMar>
        </w:tblPrEx>
        <w:trPr>
          <w:trHeight w:val="2396"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569C8">
            <w:pPr>
              <w:jc w:val="center"/>
              <w:rPr>
                <w:rFonts w:hint="eastAsia" w:ascii="宋体" w:hAnsi="宋体" w:eastAsia="宋体" w:cs="宋体"/>
                <w:i w:val="0"/>
                <w:iCs w:val="0"/>
                <w:color w:val="000000"/>
                <w:sz w:val="20"/>
                <w:szCs w:val="20"/>
                <w:u w:val="none"/>
              </w:rPr>
            </w:pPr>
          </w:p>
        </w:tc>
        <w:tc>
          <w:tcPr>
            <w:tcW w:w="5350" w:type="dxa"/>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375B40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自治区生态环境厅《关于印发&lt;自治区生态环境保护综合行政执法装备标准化建设工作方案&gt;和&lt;自治区生态环境保护综合行政执法装备标准化建设配备标准（2020版）&gt;的通知》（新环执法发〔2021〕57号）文件精神，采购标配执法设备数量47台，选配执法设备数量8台，设备验收合格率达100%，从而提升生态环境执法装备标准化，提高环境执法能力。</w:t>
            </w:r>
          </w:p>
        </w:tc>
        <w:tc>
          <w:tcPr>
            <w:tcW w:w="458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1EF0A7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购买执法监测及防护设备47台，选配执法设备数量8台，设备验收合格率达100%，并完成设备全员培训工作，提升生态环境执法装备标准化，提高环境执法能力。</w:t>
            </w:r>
          </w:p>
        </w:tc>
      </w:tr>
      <w:tr w14:paraId="3CAAE34C">
        <w:tblPrEx>
          <w:tblCellMar>
            <w:top w:w="0" w:type="dxa"/>
            <w:left w:w="108" w:type="dxa"/>
            <w:bottom w:w="0" w:type="dxa"/>
            <w:right w:w="108" w:type="dxa"/>
          </w:tblCellMar>
        </w:tblPrEx>
        <w:trPr>
          <w:trHeight w:val="314" w:hRule="atLeast"/>
        </w:trPr>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9A301">
            <w:pPr>
              <w:jc w:val="center"/>
              <w:rPr>
                <w:rFonts w:hint="eastAsia" w:ascii="宋体" w:hAnsi="宋体" w:eastAsia="宋体" w:cs="宋体"/>
                <w:i w:val="0"/>
                <w:iCs w:val="0"/>
                <w:color w:val="000000"/>
                <w:sz w:val="20"/>
                <w:szCs w:val="20"/>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62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9F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46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36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9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AF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76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9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B9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A4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6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42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22FB8539">
        <w:tblPrEx>
          <w:tblCellMar>
            <w:top w:w="0" w:type="dxa"/>
            <w:left w:w="108" w:type="dxa"/>
            <w:bottom w:w="0" w:type="dxa"/>
            <w:right w:w="108" w:type="dxa"/>
          </w:tblCellMar>
        </w:tblPrEx>
        <w:trPr>
          <w:trHeight w:val="889"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7AB33">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63E2">
            <w:pPr>
              <w:jc w:val="center"/>
              <w:rPr>
                <w:rFonts w:hint="eastAsia" w:ascii="宋体" w:hAnsi="宋体" w:eastAsia="宋体" w:cs="宋体"/>
                <w:i w:val="0"/>
                <w:iCs w:val="0"/>
                <w:color w:val="000000"/>
                <w:sz w:val="20"/>
                <w:szCs w:val="20"/>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3911A">
            <w:pPr>
              <w:jc w:val="center"/>
              <w:rPr>
                <w:rFonts w:hint="eastAsia" w:ascii="宋体" w:hAnsi="宋体" w:eastAsia="宋体" w:cs="宋体"/>
                <w:i w:val="0"/>
                <w:iCs w:val="0"/>
                <w:color w:val="000000"/>
                <w:sz w:val="20"/>
                <w:szCs w:val="20"/>
                <w:u w:val="none"/>
              </w:rPr>
            </w:pPr>
          </w:p>
        </w:tc>
        <w:tc>
          <w:tcPr>
            <w:tcW w:w="246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ED91B">
            <w:pPr>
              <w:jc w:val="center"/>
              <w:rPr>
                <w:rFonts w:hint="eastAsia" w:ascii="宋体" w:hAnsi="宋体" w:eastAsia="宋体" w:cs="宋体"/>
                <w:i w:val="0"/>
                <w:iCs w:val="0"/>
                <w:color w:val="000000"/>
                <w:sz w:val="20"/>
                <w:szCs w:val="20"/>
                <w:u w:val="none"/>
              </w:rPr>
            </w:pPr>
          </w:p>
        </w:tc>
        <w:tc>
          <w:tcPr>
            <w:tcW w:w="9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00620">
            <w:pPr>
              <w:jc w:val="center"/>
              <w:rPr>
                <w:rFonts w:hint="eastAsia" w:ascii="宋体" w:hAnsi="宋体" w:eastAsia="宋体" w:cs="宋体"/>
                <w:i w:val="0"/>
                <w:iCs w:val="0"/>
                <w:color w:val="000000"/>
                <w:sz w:val="20"/>
                <w:szCs w:val="20"/>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80E16">
            <w:pPr>
              <w:jc w:val="center"/>
              <w:rPr>
                <w:rFonts w:hint="eastAsia" w:ascii="宋体" w:hAnsi="宋体" w:eastAsia="宋体" w:cs="宋体"/>
                <w:i w:val="0"/>
                <w:iCs w:val="0"/>
                <w:color w:val="000000"/>
                <w:sz w:val="20"/>
                <w:szCs w:val="20"/>
                <w:u w:val="none"/>
              </w:rPr>
            </w:pPr>
          </w:p>
        </w:tc>
        <w:tc>
          <w:tcPr>
            <w:tcW w:w="9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0CED9">
            <w:pPr>
              <w:jc w:val="center"/>
              <w:rPr>
                <w:rFonts w:hint="eastAsia" w:ascii="宋体" w:hAnsi="宋体" w:eastAsia="宋体" w:cs="宋体"/>
                <w:i w:val="0"/>
                <w:iCs w:val="0"/>
                <w:color w:val="000000"/>
                <w:sz w:val="20"/>
                <w:szCs w:val="20"/>
                <w:u w:val="none"/>
              </w:rPr>
            </w:pPr>
          </w:p>
        </w:tc>
        <w:tc>
          <w:tcPr>
            <w:tcW w:w="9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263CA">
            <w:pPr>
              <w:jc w:val="center"/>
              <w:rPr>
                <w:rFonts w:hint="eastAsia" w:ascii="宋体" w:hAnsi="宋体" w:eastAsia="宋体" w:cs="宋体"/>
                <w:i w:val="0"/>
                <w:iCs w:val="0"/>
                <w:color w:val="000000"/>
                <w:sz w:val="20"/>
                <w:szCs w:val="20"/>
                <w:u w:val="none"/>
              </w:rPr>
            </w:pPr>
          </w:p>
        </w:tc>
        <w:tc>
          <w:tcPr>
            <w:tcW w:w="136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4E487">
            <w:pPr>
              <w:jc w:val="center"/>
              <w:rPr>
                <w:rFonts w:hint="eastAsia" w:ascii="宋体" w:hAnsi="宋体" w:eastAsia="宋体" w:cs="宋体"/>
                <w:i w:val="0"/>
                <w:iCs w:val="0"/>
                <w:color w:val="000000"/>
                <w:sz w:val="20"/>
                <w:szCs w:val="20"/>
                <w:u w:val="none"/>
              </w:rPr>
            </w:pPr>
          </w:p>
        </w:tc>
      </w:tr>
      <w:tr w14:paraId="3A2210F5">
        <w:tblPrEx>
          <w:tblCellMar>
            <w:top w:w="0" w:type="dxa"/>
            <w:left w:w="108" w:type="dxa"/>
            <w:bottom w:w="0" w:type="dxa"/>
            <w:right w:w="108" w:type="dxa"/>
          </w:tblCellMar>
        </w:tblPrEx>
        <w:trPr>
          <w:trHeight w:val="408" w:hRule="atLeast"/>
        </w:trPr>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04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99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0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C9E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标配执法设备数量</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9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&gt;=47台</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9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47台</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C8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9D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42634">
            <w:pPr>
              <w:jc w:val="center"/>
              <w:rPr>
                <w:rFonts w:hint="eastAsia" w:ascii="宋体" w:hAnsi="宋体" w:eastAsia="宋体" w:cs="宋体"/>
                <w:i w:val="0"/>
                <w:iCs w:val="0"/>
                <w:color w:val="000000"/>
                <w:sz w:val="20"/>
                <w:szCs w:val="20"/>
                <w:u w:val="none"/>
              </w:rPr>
            </w:pPr>
          </w:p>
        </w:tc>
      </w:tr>
      <w:tr w14:paraId="0E6ADE6A">
        <w:tblPrEx>
          <w:tblCellMar>
            <w:top w:w="0" w:type="dxa"/>
            <w:left w:w="108" w:type="dxa"/>
            <w:bottom w:w="0" w:type="dxa"/>
            <w:right w:w="108" w:type="dxa"/>
          </w:tblCellMar>
        </w:tblPrEx>
        <w:trPr>
          <w:trHeight w:val="408"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0A01F">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5EC4">
            <w:pPr>
              <w:jc w:val="center"/>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4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91FD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选配执法设备数量</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5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&gt;=8台</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4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8台</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47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51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0C8BF">
            <w:pPr>
              <w:jc w:val="center"/>
              <w:rPr>
                <w:rFonts w:hint="eastAsia" w:ascii="宋体" w:hAnsi="宋体" w:eastAsia="宋体" w:cs="宋体"/>
                <w:i w:val="0"/>
                <w:iCs w:val="0"/>
                <w:color w:val="000000"/>
                <w:sz w:val="20"/>
                <w:szCs w:val="20"/>
                <w:u w:val="none"/>
              </w:rPr>
            </w:pPr>
          </w:p>
        </w:tc>
      </w:tr>
      <w:tr w14:paraId="13002211">
        <w:tblPrEx>
          <w:tblCellMar>
            <w:top w:w="0" w:type="dxa"/>
            <w:left w:w="108" w:type="dxa"/>
            <w:bottom w:w="0" w:type="dxa"/>
            <w:right w:w="108" w:type="dxa"/>
          </w:tblCellMar>
        </w:tblPrEx>
        <w:trPr>
          <w:trHeight w:val="408"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AAC0">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8CCD0">
            <w:pPr>
              <w:jc w:val="center"/>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B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293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项设备验收合格率</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E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3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7A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68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5A8AA">
            <w:pPr>
              <w:jc w:val="center"/>
              <w:rPr>
                <w:rFonts w:hint="eastAsia" w:ascii="宋体" w:hAnsi="宋体" w:eastAsia="宋体" w:cs="宋体"/>
                <w:i w:val="0"/>
                <w:iCs w:val="0"/>
                <w:color w:val="000000"/>
                <w:sz w:val="20"/>
                <w:szCs w:val="20"/>
                <w:u w:val="none"/>
              </w:rPr>
            </w:pPr>
          </w:p>
        </w:tc>
      </w:tr>
      <w:tr w14:paraId="6D4EC688">
        <w:tblPrEx>
          <w:tblCellMar>
            <w:top w:w="0" w:type="dxa"/>
            <w:left w:w="108" w:type="dxa"/>
            <w:bottom w:w="0" w:type="dxa"/>
            <w:right w:w="108" w:type="dxa"/>
          </w:tblCellMar>
        </w:tblPrEx>
        <w:trPr>
          <w:trHeight w:val="408"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9CDEE">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D57D3">
            <w:pPr>
              <w:jc w:val="center"/>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A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33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执法设备使用率</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7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F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10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C8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50EF9">
            <w:pPr>
              <w:jc w:val="center"/>
              <w:rPr>
                <w:rFonts w:hint="eastAsia" w:ascii="宋体" w:hAnsi="宋体" w:eastAsia="宋体" w:cs="宋体"/>
                <w:i w:val="0"/>
                <w:iCs w:val="0"/>
                <w:color w:val="000000"/>
                <w:sz w:val="20"/>
                <w:szCs w:val="20"/>
                <w:u w:val="none"/>
              </w:rPr>
            </w:pPr>
          </w:p>
        </w:tc>
      </w:tr>
      <w:tr w14:paraId="1D4E9BB0">
        <w:tblPrEx>
          <w:tblCellMar>
            <w:top w:w="0" w:type="dxa"/>
            <w:left w:w="108" w:type="dxa"/>
            <w:bottom w:w="0" w:type="dxa"/>
            <w:right w:w="108" w:type="dxa"/>
          </w:tblCellMar>
        </w:tblPrEx>
        <w:trPr>
          <w:trHeight w:val="408"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BFDD">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0A2FB">
            <w:pPr>
              <w:jc w:val="center"/>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F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4471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资金支付及时率</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5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2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66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4D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E49A7">
            <w:pPr>
              <w:jc w:val="center"/>
              <w:rPr>
                <w:rFonts w:hint="eastAsia" w:ascii="宋体" w:hAnsi="宋体" w:eastAsia="宋体" w:cs="宋体"/>
                <w:i w:val="0"/>
                <w:iCs w:val="0"/>
                <w:color w:val="000000"/>
                <w:sz w:val="20"/>
                <w:szCs w:val="20"/>
                <w:u w:val="none"/>
              </w:rPr>
            </w:pPr>
          </w:p>
        </w:tc>
      </w:tr>
      <w:tr w14:paraId="007ACA98">
        <w:tblPrEx>
          <w:tblCellMar>
            <w:top w:w="0" w:type="dxa"/>
            <w:left w:w="108" w:type="dxa"/>
            <w:bottom w:w="0" w:type="dxa"/>
            <w:right w:w="108" w:type="dxa"/>
          </w:tblCellMar>
        </w:tblPrEx>
        <w:trPr>
          <w:trHeight w:val="408"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A11CC">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3BBA8">
            <w:pPr>
              <w:jc w:val="center"/>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1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812D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预算成本控制率</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A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&lt;=100%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5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03B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60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DE558">
            <w:pPr>
              <w:jc w:val="center"/>
              <w:rPr>
                <w:rFonts w:hint="eastAsia" w:ascii="宋体" w:hAnsi="宋体" w:eastAsia="宋体" w:cs="宋体"/>
                <w:i w:val="0"/>
                <w:iCs w:val="0"/>
                <w:color w:val="000000"/>
                <w:sz w:val="20"/>
                <w:szCs w:val="20"/>
                <w:u w:val="none"/>
              </w:rPr>
            </w:pPr>
          </w:p>
        </w:tc>
      </w:tr>
      <w:tr w14:paraId="6DAC4E59">
        <w:tblPrEx>
          <w:tblCellMar>
            <w:top w:w="0" w:type="dxa"/>
            <w:left w:w="108" w:type="dxa"/>
            <w:bottom w:w="0" w:type="dxa"/>
            <w:right w:w="108" w:type="dxa"/>
          </w:tblCellMar>
        </w:tblPrEx>
        <w:trPr>
          <w:trHeight w:val="806"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5959B">
            <w:pPr>
              <w:jc w:val="center"/>
              <w:rPr>
                <w:rFonts w:hint="eastAsia" w:ascii="宋体" w:hAnsi="宋体" w:eastAsia="宋体" w:cs="宋体"/>
                <w:i w:val="0"/>
                <w:iCs w:val="0"/>
                <w:color w:val="000000"/>
                <w:sz w:val="20"/>
                <w:szCs w:val="20"/>
                <w:u w:val="none"/>
              </w:rPr>
            </w:pP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0B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3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09A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社会环境监管能力</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E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B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92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F7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25F14">
            <w:pPr>
              <w:jc w:val="center"/>
              <w:rPr>
                <w:rFonts w:hint="eastAsia" w:ascii="宋体" w:hAnsi="宋体" w:eastAsia="宋体" w:cs="宋体"/>
                <w:i w:val="0"/>
                <w:iCs w:val="0"/>
                <w:color w:val="000000"/>
                <w:sz w:val="20"/>
                <w:szCs w:val="20"/>
                <w:u w:val="none"/>
              </w:rPr>
            </w:pPr>
          </w:p>
        </w:tc>
      </w:tr>
      <w:tr w14:paraId="2FB3E64B">
        <w:tblPrEx>
          <w:tblCellMar>
            <w:top w:w="0" w:type="dxa"/>
            <w:left w:w="108" w:type="dxa"/>
            <w:bottom w:w="0" w:type="dxa"/>
            <w:right w:w="108" w:type="dxa"/>
          </w:tblCellMar>
        </w:tblPrEx>
        <w:trPr>
          <w:trHeight w:val="806"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167BF">
            <w:pPr>
              <w:jc w:val="center"/>
              <w:rPr>
                <w:rFonts w:hint="eastAsia" w:ascii="宋体" w:hAnsi="宋体" w:eastAsia="宋体" w:cs="宋体"/>
                <w:i w:val="0"/>
                <w:iCs w:val="0"/>
                <w:color w:val="000000"/>
                <w:sz w:val="20"/>
                <w:szCs w:val="20"/>
                <w:u w:val="none"/>
              </w:rPr>
            </w:pP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A2492">
            <w:pPr>
              <w:jc w:val="center"/>
              <w:rPr>
                <w:rFonts w:hint="eastAsia" w:ascii="宋体" w:hAnsi="宋体" w:eastAsia="宋体" w:cs="宋体"/>
                <w:i w:val="0"/>
                <w:iCs w:val="0"/>
                <w:color w:val="000000"/>
                <w:sz w:val="20"/>
                <w:szCs w:val="20"/>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C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B37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提升生态环境执法装备标准化</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4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A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45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94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04321">
            <w:pPr>
              <w:jc w:val="center"/>
              <w:rPr>
                <w:rFonts w:hint="eastAsia" w:ascii="宋体" w:hAnsi="宋体" w:eastAsia="宋体" w:cs="宋体"/>
                <w:i w:val="0"/>
                <w:iCs w:val="0"/>
                <w:color w:val="000000"/>
                <w:sz w:val="20"/>
                <w:szCs w:val="20"/>
                <w:u w:val="none"/>
              </w:rPr>
            </w:pPr>
          </w:p>
        </w:tc>
      </w:tr>
      <w:tr w14:paraId="033647E7">
        <w:tblPrEx>
          <w:tblCellMar>
            <w:top w:w="0" w:type="dxa"/>
            <w:left w:w="108" w:type="dxa"/>
            <w:bottom w:w="0" w:type="dxa"/>
            <w:right w:w="108" w:type="dxa"/>
          </w:tblCellMar>
        </w:tblPrEx>
        <w:trPr>
          <w:trHeight w:val="893" w:hRule="atLeast"/>
        </w:trPr>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08033">
            <w:pPr>
              <w:jc w:val="center"/>
              <w:rPr>
                <w:rFonts w:hint="eastAsia" w:ascii="宋体" w:hAnsi="宋体" w:eastAsia="宋体" w:cs="宋体"/>
                <w:i w:val="0"/>
                <w:iCs w:val="0"/>
                <w:color w:val="000000"/>
                <w:sz w:val="20"/>
                <w:szCs w:val="20"/>
                <w:u w:val="none"/>
              </w:rPr>
            </w:pP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A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1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735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使用人满意率(%)</w:t>
            </w:r>
          </w:p>
        </w:tc>
        <w:tc>
          <w:tcPr>
            <w:tcW w:w="9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2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4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B8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196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8AD245">
            <w:pPr>
              <w:jc w:val="center"/>
              <w:rPr>
                <w:rFonts w:hint="eastAsia" w:ascii="宋体" w:hAnsi="宋体" w:eastAsia="宋体" w:cs="宋体"/>
                <w:i w:val="0"/>
                <w:iCs w:val="0"/>
                <w:color w:val="000000"/>
                <w:sz w:val="20"/>
                <w:szCs w:val="20"/>
                <w:u w:val="none"/>
              </w:rPr>
            </w:pPr>
          </w:p>
        </w:tc>
      </w:tr>
      <w:tr w14:paraId="1256951D">
        <w:tblPrEx>
          <w:tblCellMar>
            <w:top w:w="0" w:type="dxa"/>
            <w:left w:w="108" w:type="dxa"/>
            <w:bottom w:w="0" w:type="dxa"/>
            <w:right w:w="108" w:type="dxa"/>
          </w:tblCellMar>
        </w:tblPrEx>
        <w:trPr>
          <w:trHeight w:val="418" w:hRule="atLeast"/>
        </w:trPr>
        <w:tc>
          <w:tcPr>
            <w:tcW w:w="755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DE0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446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18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99.20分</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FF79B">
            <w:pPr>
              <w:jc w:val="center"/>
              <w:rPr>
                <w:rFonts w:hint="eastAsia" w:ascii="宋体" w:hAnsi="宋体" w:eastAsia="宋体" w:cs="宋体"/>
                <w:i w:val="0"/>
                <w:iCs w:val="0"/>
                <w:color w:val="000000"/>
                <w:sz w:val="20"/>
                <w:szCs w:val="20"/>
                <w:u w:val="none"/>
              </w:rPr>
            </w:pPr>
          </w:p>
        </w:tc>
      </w:tr>
    </w:tbl>
    <w:p w14:paraId="69B8671A">
      <w:pPr>
        <w:pStyle w:val="4"/>
        <w:sectPr>
          <w:pgSz w:w="11906" w:h="16838"/>
          <w:pgMar w:top="1928" w:right="1531" w:bottom="1701" w:left="1531" w:header="737" w:footer="851" w:gutter="0"/>
          <w:cols w:space="720" w:num="1"/>
          <w:docGrid w:type="lines" w:linePitch="408" w:charSpace="0"/>
        </w:sectPr>
      </w:pPr>
    </w:p>
    <w:p w14:paraId="55D91BDA">
      <w:pPr>
        <w:pStyle w:val="2"/>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MS Sans Serif">
    <w:altName w:val="Arial"/>
    <w:panose1 w:val="00000000000000000000"/>
    <w:charset w:val="00"/>
    <w:family w:val="swiss"/>
    <w:pitch w:val="default"/>
    <w:sig w:usb0="00000000" w:usb1="00000000" w:usb2="00000000" w:usb3="00000000" w:csb0="00000001"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92B9"/>
    <w:multiLevelType w:val="singleLevel"/>
    <w:tmpl w:val="826C92B9"/>
    <w:lvl w:ilvl="0" w:tentative="0">
      <w:start w:val="2"/>
      <w:numFmt w:val="chineseCounting"/>
      <w:suff w:val="nothing"/>
      <w:lvlText w:val="（%1）"/>
      <w:lvlJc w:val="left"/>
      <w:pPr>
        <w:ind w:left="-13" w:firstLine="0"/>
      </w:pPr>
    </w:lvl>
  </w:abstractNum>
  <w:abstractNum w:abstractNumId="1">
    <w:nsid w:val="A02AEF92"/>
    <w:multiLevelType w:val="singleLevel"/>
    <w:tmpl w:val="A02AEF92"/>
    <w:lvl w:ilvl="0" w:tentative="0">
      <w:start w:val="1"/>
      <w:numFmt w:val="decimal"/>
      <w:suff w:val="nothing"/>
      <w:lvlText w:val="（%1）"/>
      <w:lvlJc w:val="left"/>
      <w:pPr>
        <w:ind w:left="0" w:firstLine="0"/>
      </w:pPr>
    </w:lvl>
  </w:abstractNum>
  <w:abstractNum w:abstractNumId="2">
    <w:nsid w:val="CA40EAE6"/>
    <w:multiLevelType w:val="singleLevel"/>
    <w:tmpl w:val="CA40EAE6"/>
    <w:lvl w:ilvl="0" w:tentative="0">
      <w:start w:val="1"/>
      <w:numFmt w:val="decimal"/>
      <w:lvlText w:val="%1."/>
      <w:lvlJc w:val="left"/>
      <w:pPr>
        <w:tabs>
          <w:tab w:val="left" w:pos="312"/>
        </w:tabs>
        <w:ind w:left="0" w:firstLine="0"/>
      </w:pPr>
    </w:lvl>
  </w:abstractNum>
  <w:abstractNum w:abstractNumId="3">
    <w:nsid w:val="F8E64B2D"/>
    <w:multiLevelType w:val="singleLevel"/>
    <w:tmpl w:val="F8E64B2D"/>
    <w:lvl w:ilvl="0" w:tentative="0">
      <w:start w:val="3"/>
      <w:numFmt w:val="chineseCounting"/>
      <w:suff w:val="nothing"/>
      <w:lvlText w:val="%1、"/>
      <w:lvlJc w:val="left"/>
      <w:pPr>
        <w:ind w:left="0" w:firstLine="0"/>
      </w:pPr>
    </w:lvl>
  </w:abstractNum>
  <w:abstractNum w:abstractNumId="4">
    <w:nsid w:val="1FFA6D59"/>
    <w:multiLevelType w:val="singleLevel"/>
    <w:tmpl w:val="1FFA6D59"/>
    <w:lvl w:ilvl="0" w:tentative="0">
      <w:start w:val="1"/>
      <w:numFmt w:val="chineseCounting"/>
      <w:suff w:val="nothing"/>
      <w:lvlText w:val="（%1）"/>
      <w:lvlJc w:val="left"/>
      <w:pPr>
        <w:ind w:left="-13" w:firstLine="420"/>
      </w:pPr>
    </w:lvl>
  </w:abstractNum>
  <w:abstractNum w:abstractNumId="5">
    <w:nsid w:val="35995C1C"/>
    <w:multiLevelType w:val="multilevel"/>
    <w:tmpl w:val="35995C1C"/>
    <w:lvl w:ilvl="0" w:tentative="0">
      <w:start w:val="1"/>
      <w:numFmt w:val="decimalEnclosedCircle"/>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166511E"/>
    <w:multiLevelType w:val="singleLevel"/>
    <w:tmpl w:val="4166511E"/>
    <w:lvl w:ilvl="0" w:tentative="0">
      <w:start w:val="1"/>
      <w:numFmt w:val="chineseCounting"/>
      <w:suff w:val="nothing"/>
      <w:lvlText w:val="（%1）"/>
      <w:lvlJc w:val="left"/>
      <w:pPr>
        <w:ind w:left="-13" w:firstLine="0"/>
      </w:pPr>
    </w:lvl>
  </w:abstractNum>
  <w:num w:numId="1">
    <w:abstractNumId w:val="0"/>
    <w:lvlOverride w:ilvl="0">
      <w:startOverride w:val="2"/>
    </w:lvlOverride>
  </w:num>
  <w:num w:numId="2">
    <w:abstractNumId w:val="1"/>
    <w:lvlOverride w:ilvl="0">
      <w:startOverride w:val="1"/>
    </w:lvlOverride>
  </w:num>
  <w:num w:numId="3">
    <w:abstractNumId w:val="5"/>
  </w:num>
  <w:num w:numId="4">
    <w:abstractNumId w:val="4"/>
    <w:lvlOverride w:ilvl="0">
      <w:startOverride w:val="1"/>
    </w:lvlOverride>
  </w:num>
  <w:num w:numId="5">
    <w:abstractNumId w:val="3"/>
    <w:lvlOverride w:ilvl="0">
      <w:startOverride w:val="3"/>
    </w:lvlOverride>
  </w:num>
  <w:num w:numId="6">
    <w:abstractNumId w:val="2"/>
    <w:lvlOverride w:ilvl="0">
      <w:startOverride w:val="1"/>
    </w:lvlOverride>
  </w:num>
  <w:num w:numId="7">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EzN2Y0OTZlYzZjOGI4NDlmMDE0NmI0ZmY3MTdmNzgifQ=="/>
  </w:docVars>
  <w:rsids>
    <w:rsidRoot w:val="00B568F9"/>
    <w:rsid w:val="00195824"/>
    <w:rsid w:val="00235C0A"/>
    <w:rsid w:val="00390B73"/>
    <w:rsid w:val="00555140"/>
    <w:rsid w:val="00623175"/>
    <w:rsid w:val="00675274"/>
    <w:rsid w:val="00893379"/>
    <w:rsid w:val="00B568F9"/>
    <w:rsid w:val="00BA6BEF"/>
    <w:rsid w:val="00BC64E8"/>
    <w:rsid w:val="00BF70C8"/>
    <w:rsid w:val="00C614B3"/>
    <w:rsid w:val="00C93B12"/>
    <w:rsid w:val="00E061E0"/>
    <w:rsid w:val="0A351C2F"/>
    <w:rsid w:val="0C986676"/>
    <w:rsid w:val="1CE04025"/>
    <w:rsid w:val="24FF40CB"/>
    <w:rsid w:val="25AA7A5E"/>
    <w:rsid w:val="2D9A5398"/>
    <w:rsid w:val="2F442B70"/>
    <w:rsid w:val="398668B7"/>
    <w:rsid w:val="3BD05538"/>
    <w:rsid w:val="40586B89"/>
    <w:rsid w:val="56967A63"/>
    <w:rsid w:val="57336DCD"/>
    <w:rsid w:val="584B515E"/>
    <w:rsid w:val="59EB7A1C"/>
    <w:rsid w:val="5D394C9E"/>
    <w:rsid w:val="5E56464A"/>
    <w:rsid w:val="74806F69"/>
    <w:rsid w:val="7D842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Title"/>
    <w:basedOn w:val="1"/>
    <w:next w:val="1"/>
    <w:qFormat/>
    <w:uiPriority w:val="0"/>
    <w:pPr>
      <w:jc w:val="left"/>
      <w:outlineLvl w:val="0"/>
    </w:pPr>
    <w:rPr>
      <w:rFonts w:ascii="MS Sans Serif" w:hAnsi="MS Sans Serif" w:cs="MS Sans Serif"/>
      <w:b/>
      <w:bCs/>
      <w:sz w:val="24"/>
      <w:szCs w:val="32"/>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7211</Words>
  <Characters>7549</Characters>
  <Lines>58</Lines>
  <Paragraphs>16</Paragraphs>
  <TotalTime>0</TotalTime>
  <ScaleCrop>false</ScaleCrop>
  <LinksUpToDate>false</LinksUpToDate>
  <CharactersWithSpaces>7570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2023-02-11T05:37:00Z</dcterms:created>
  <dc:creator>贾 鲁新</dc:creator>
  <cp:lastModifiedBy>巴霍巴利</cp:lastModifiedBy>
  <dcterms:modified xsi:type="dcterms:W3CDTF">2025-03-04T11:34:39Z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F70E8D497B2C4DF68C0D222906B7DD29</vt:lpwstr>
  </property>
  <property fmtid="{D5CDD505-2E9C-101B-9397-08002B2CF9AE}" pid="4" name="KSOTemplateDocerSaveRecord">
    <vt:lpwstr>eyJoZGlkIjoiYTQ3NWNiNTM4ZTUyMzQ4MTVlMTdlODlhY2IxMWNmYzEiLCJ1c2VySWQiOiI0MzI3ODY3NDQifQ==</vt:lpwstr>
  </property>
</Properties>
</file>