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/>
    <w:p/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昌吉回族自治州环境污染监控中心2019年部门预算公开</w:t>
      </w:r>
      <w:bookmarkStart w:id="0" w:name="_GoBack"/>
      <w:bookmarkEnd w:id="0"/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目录</w:t>
      </w:r>
    </w:p>
    <w:p>
      <w:pPr>
        <w:widowControl/>
        <w:spacing w:line="50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昌吉州环境污染监控中心单位概况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宋体" w:hAnsi="宋体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宋体" w:hAnsi="宋体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一、关于昌吉州环境污染监控中心年收支预算情况的总体说明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二、关于昌吉州环境污染监控中心年收入预算情况说明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三、关于昌吉州环境污染监控中心年支出预算情况说明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四、关于昌吉州环境污染监控中心年财政拨款收支预算情况的总体说明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五、关于昌吉州环境污染监控中心年一般公共预算当年拨款情况说明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六、关于昌吉州环境污染监控中心年一般公共预算基本支出情况说明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七、关于昌吉州环境污染监控中心年项目支出情况说明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八、关于昌吉州环境污染监控中心年一般公共预算“三公”经费预算情况说明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九、关于昌吉州环境污染监控中心年政府性基金预算拨款情况说明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昌吉州环境污染监控中心单位概况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480" w:firstLineChars="150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协助昌吉州环境保护主管部门对重点污染源自动监控体系监管，昌吉州环境应急指挥中心建设和日常管理，负责机动车污染防治、固体废物和辐射安全监督、环境信息化建设等方面工作，为昌吉州环境保护管理工作提供技术支持和咨询服务。 　  </w:t>
      </w: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>情况二：</w:t>
      </w:r>
      <w:r>
        <w:rPr>
          <w:rFonts w:hint="eastAsia" w:ascii="仿宋_GB2312" w:hAnsi="黑体" w:eastAsia="仿宋_GB2312" w:cs="宋体"/>
          <w:b/>
          <w:bCs/>
          <w:kern w:val="0"/>
          <w:sz w:val="32"/>
          <w:szCs w:val="32"/>
        </w:rPr>
        <w:t>无下属预算单位按以下内容说明：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昌吉州环境污染监控中心无下属预算单位，下设6个处室，应急监控科、机动车排污监督管理科、辐射安全监督管理科、网络管理科、信息宣传科、办公室 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昌吉州环境污染监控中心编制数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人，其中：在职5人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无增减变化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 退休0人；离休0人。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120" w:beforeLines="50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2019年部门预算公开表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编制部门：昌吉州环境污染监控中心        单位：万元</w:t>
      </w:r>
    </w:p>
    <w:tbl>
      <w:tblPr>
        <w:tblStyle w:val="5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346.25</w:t>
            </w:r>
          </w:p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346.25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346.25</w:t>
            </w:r>
          </w:p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346.25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346.25</w:t>
            </w:r>
          </w:p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right="540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346.25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right="360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346.25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  昌吉州环境污染监控中心                           单位：万元</w:t>
      </w:r>
    </w:p>
    <w:tbl>
      <w:tblPr>
        <w:tblStyle w:val="5"/>
        <w:tblW w:w="96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567"/>
        <w:gridCol w:w="567"/>
        <w:gridCol w:w="1680"/>
        <w:gridCol w:w="1155"/>
        <w:gridCol w:w="851"/>
        <w:gridCol w:w="567"/>
        <w:gridCol w:w="567"/>
        <w:gridCol w:w="567"/>
        <w:gridCol w:w="513"/>
        <w:gridCol w:w="680"/>
        <w:gridCol w:w="680"/>
        <w:gridCol w:w="6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7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11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51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1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环境监测与信息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346.25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346.25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346.25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346.25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编制部门：昌吉州环境污染监控中心               单位：万元</w:t>
      </w:r>
    </w:p>
    <w:tbl>
      <w:tblPr>
        <w:tblStyle w:val="5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426"/>
        <w:gridCol w:w="425"/>
        <w:gridCol w:w="2372"/>
        <w:gridCol w:w="1855"/>
        <w:gridCol w:w="1856"/>
        <w:gridCol w:w="171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37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37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环境监测与信息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346.25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346.25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346.25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346.25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>昌吉州环境污染监控中心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单位：万元</w:t>
      </w:r>
    </w:p>
    <w:tbl>
      <w:tblPr>
        <w:tblStyle w:val="5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346.25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346.25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346.25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346.25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20" w:firstLineChars="100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346.25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346.25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346.25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346.25</w:t>
            </w:r>
          </w:p>
          <w:p>
            <w:pPr>
              <w:widowControl/>
              <w:ind w:right="220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346.25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346.25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5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567"/>
        <w:gridCol w:w="567"/>
        <w:gridCol w:w="2002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昌吉州环境污染监控中心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right="48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00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00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环境监测与信息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346.25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346.25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346.25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346.25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5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851"/>
        <w:gridCol w:w="3260"/>
        <w:gridCol w:w="286"/>
        <w:gridCol w:w="1273"/>
        <w:gridCol w:w="409"/>
        <w:gridCol w:w="1009"/>
        <w:gridCol w:w="141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6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昌吉州环境污染监控中心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6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39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2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2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23.92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23.92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1.46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1.46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伙食补助费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6.3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6.3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绩效工资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13.71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13.71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机关事业单位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eastAsia="zh-CN"/>
              </w:rPr>
              <w:t>基本养老保险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缴费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7.82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7.82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职工基本医疗保险缴费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3.52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3.52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公务员医疗补助缴费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2.74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2.74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其他社会保险缴费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0.31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0.31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4.69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4.69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其他工资福利支出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270.73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270.73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5.99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5.99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维修（护））费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公务招待费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0.48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0.48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0.48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0.48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职工住宅取暖费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right="4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8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346.25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335.70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10.55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5"/>
        <w:tblW w:w="94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昌吉州环境污染监控中心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备注：无内容应公开空表并说明情况：我单位2019年预算中无项目支出情况。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编制单位：昌吉州环境污染监控中心          单位：万元</w:t>
      </w:r>
    </w:p>
    <w:tbl>
      <w:tblPr>
        <w:tblStyle w:val="5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0.1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0.1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编制单位：昌吉州环境污染监控中心                 单位：万元</w:t>
      </w:r>
    </w:p>
    <w:tbl>
      <w:tblPr>
        <w:tblStyle w:val="5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备注：无内容应公开空表并说明情况：我单位2019年预算无政府性基金预算部分。</w:t>
      </w:r>
    </w:p>
    <w:p>
      <w:pPr>
        <w:widowControl/>
        <w:jc w:val="left"/>
        <w:outlineLvl w:val="1"/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2019年部门预算情况说明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关于昌吉州环境污染监控中心2019年收支预算情况的总体说明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</w:t>
      </w:r>
      <w:r>
        <w:rPr>
          <w:rFonts w:hint="eastAsia" w:ascii="黑体" w:hAnsi="宋体" w:eastAsia="黑体" w:cs="宋体"/>
          <w:kern w:val="0"/>
          <w:sz w:val="32"/>
          <w:szCs w:val="32"/>
        </w:rPr>
        <w:t>昌吉州环境污染监控中心2019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年所有收入和支出均纳入部门预算管理。收支总预算346.25万元。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收入预算包括：一般公共预算346.25万元。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支出预算包括：节能环保支出346.25万元。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二、关于昌吉州环境污染监控中心2019年收入预算情况说明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昌吉州环境污染监控中心收入预算346.25万元，其中：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346.25万元，占100%，比上年增加5.72万元，主要原因是人员经费较上年增加1.89万元，其中影响较大的的是基本工资因标准上调导致费用增加，社保基数上调导致社保费用增加；公用经费整体较上年增长3.83万元，主要原因是办公费增长5万元，维修（护）费增长1万元，培训费增加0.16万元，差旅费减少2.3元。   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政府性基金预算未安排。0万元， 占 0%，比上年增加（减少）0万元，主要原因是无；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三、关于昌吉州环境污染监控中心单位2019年支出预算情况说明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昌吉州环境污染监控中心单位2019年支出预算    346.25万元，其中：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基本支出346.25万元，占100%，比上年增加5.72   万元，主要原因是人员经费较上年增加1.89万元，其中影响较大的的是基本工资因标准上调导致费用增加，社保基数上调导致社保费用增加；公用经费整体较上年增长3.83万元，主要原因是办公费增长5万元，维修（护）费增长1万元，培训费增加0.16万元，差旅费减少2.3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 0万元，占0%，比上年增加（减少）0万元，主要原因是无 。</w:t>
      </w:r>
    </w:p>
    <w:p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四、关于昌吉州环境污染监控中心2019年财政拨款收支预算情况的总体说明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2019年财政拨款收支总预算346.25万元。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>收入全部为一般公共预算拨款，无政府性基金预算拨款。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  <w:highlight w:val="yellow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节能环保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346.25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万元，主要用于人员经费支出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335.70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五、关于昌吉州环境污染监控中心2019年一般公共预算当年拨款情况说明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昌吉州环境污染监控中心2019年一般公共预算拨款基本支出346.25万元，比上年执行数增加5.72万元，增长1.68%。主要原因是：人员经费较上年增加1.89万元，其中影响较大的的是基本工资因标准上调导致费用增加，社保基数上调导致社保费用增加；公用经费整体较上年增长3.83万元，主要原因是办公费增长5万元，维修（护）费增长1万元，培训费增加0.16万元，差旅费减少2.3万元。    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（二）一般公共预算当年拨款结构情况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环境监测与信息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类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346.25万元，占100 %。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（三）一般公共预算当年拨款具体使用情况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1、节能环保支出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211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污染减排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11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环境监测与信息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2019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346.25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比上年执行数增加5.72万元，增长1.68%，主要原因是：人员经费较上年增加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调整了工资艰边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；公用经费整体较上年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也有所增长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六、关于昌吉州环境污染监控中心2019年一般公共预算基本支出情况说明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昌吉州环境污染监控中心2019年一般公共预算基本支出346.25万元， 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335.70万元，主要包括：基本工资23.92万元、奖金1.46万元、伙食补助费6.3万元、绩效工资13.71万元、机关事业单位基本养老保险缴费7.82万元、职工基本医疗保险缴费3.52万元、公务员医疗补助缴费2.74万元、其他社会保障缴费0.31万元、住房公积金4.69万元、其他工资福利支出270.73万元、职工住宅取暖费0.5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公用经费10.55万元，主要包括：办公费5.99万元、邮电费0.5万元、差旅费0.5万元、维修（护）费1万元、培训费0.5万元、公务接待费0.1万元、工会经费0.48万元、福利费1万元、其他商品和服务支出0.48万元。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关于昌吉州环境污染监控中心2019年项目支出情况说明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昌吉州环境污染监控中心2019年未安排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八、关于昌吉州环境污染监控中心2019年一般公共预算“三公”经费预算情况说明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昌吉州环境污染监控中心2019年“三公”经费财政拨款预算数为0.1万元，其中：因公出国（境）费 0 万元，公务用车购置 0 万元，公务用车运行费0万元，公务接待费 0.1万元。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“三公”经费财政拨款预算与上年比持平，其中：因公出国（境）费增加（减少）0万元，主要原因是严格按照中央八项规定控制三公经费；公务用车购置费为0，未安排预算。[或公务用车购置费增加（减少）0万元，主要原因是严格按照中央八项规定控制三公经费；公务用车运行费增加（减少）0万元，主要原因是无；公务接待费无变化与上年持平。</w:t>
      </w:r>
    </w:p>
    <w:p>
      <w:pPr>
        <w:widowControl/>
        <w:spacing w:line="580" w:lineRule="exact"/>
        <w:ind w:firstLine="642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九、关于昌吉州环境污染监控中心2019年政府性基金预算拨款情况说明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昌吉州环境污染监控中心2019年没有使用政府性基金预算拨款安排的支出，政府性基金预算支出情况表为空表。</w:t>
      </w:r>
    </w:p>
    <w:p>
      <w:pPr>
        <w:widowControl/>
        <w:numPr>
          <w:ilvl w:val="0"/>
          <w:numId w:val="1"/>
        </w:numPr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其他重要事项的情况说明</w:t>
      </w:r>
    </w:p>
    <w:p>
      <w:pPr>
        <w:widowControl/>
        <w:numPr>
          <w:ilvl w:val="0"/>
          <w:numId w:val="0"/>
        </w:numPr>
        <w:spacing w:line="580" w:lineRule="exact"/>
        <w:ind w:firstLine="643" w:firstLineChars="20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2019年，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昌吉州环境污染监控中心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及下属 0 家行政单位、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家参公管理事业单位和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 家事业单位的机关运行经费财政拨款预算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10.55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 xml:space="preserve">万元，比上年预算增加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3.83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万元，增长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  <w:lang w:val="en-US" w:eastAsia="zh-CN"/>
        </w:rPr>
        <w:t>56.99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highlight w:val="none"/>
        </w:rPr>
        <w:t xml:space="preserve"> %。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主要原因是主要原因是办公费增长5万元，维修（护）费增长1万元，培训费增加0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.16万元，差旅费减少2.3万元。     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2019年，昌吉州环境污染监控中心政府采购预算4251.40万元，其中：政府采购货物预算1210.90万元，政府采购工程预算2559万元，政府采购服务预算481.5万元。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2019年度本部门面向中小企业预留政府采购项目预算金额 4251.4万元，其中：面向小微企业预留政府采购项目预算金额0万元。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年底，昌吉州环境污染监控中心单位占用使用国有资产总体情况为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 0平方米，价值0万元。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 2 辆，价值41.04万元；其中：一般公务用车0 辆，价值 0万元；执法执勤用车0辆，价值0万元；其他车辆2辆，价值41.04万元。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3.办公家具价值361.83万元。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4.其他资产价值0万元。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单位价值50万元以上大型设备2台（套），单位价值100万元以上大型设备0台（套）。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2019年部门预算未安排购置车辆经费（或安排购置车辆经费0万元），安排购置50万元以上大型设备0台（套），单位价值100万元以上大型设备0台（套）。</w:t>
      </w:r>
    </w:p>
    <w:p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2019年度，本年度实行绩效管理的项目 0个，涉及预算金额  0 万元。具体情况见下表（按项目分别填报）：我单位无实行绩效管理的项目。</w:t>
      </w: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600" w:lineRule="exact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widowControl/>
        <w:spacing w:line="560" w:lineRule="exact"/>
        <w:ind w:firstLine="411" w:firstLineChars="196"/>
        <w:jc w:val="left"/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我单位无其他需要说明的事项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部门支出预算的组成部分，是本级部门为完成其特定的行政任务或事业发展目标，在基本支出预算之外编制的年度项目支出计划。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五、“三公”经费：</w:t>
      </w:r>
      <w:r>
        <w:rPr>
          <w:rFonts w:hint="eastAsia" w:ascii="仿宋_GB2312" w:eastAsia="仿宋_GB2312"/>
          <w:sz w:val="32"/>
          <w:szCs w:val="32"/>
        </w:rPr>
        <w:t>指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spacing w:line="550" w:lineRule="exact"/>
        <w:ind w:firstLine="640"/>
        <w:rPr>
          <w:rFonts w:ascii="仿宋_GB2312" w:eastAsia="仿宋_GB2312"/>
          <w:b/>
          <w:szCs w:val="20"/>
        </w:rPr>
      </w:pPr>
      <w:r>
        <w:rPr>
          <w:rFonts w:hint="eastAsia" w:ascii="仿宋_GB2312" w:eastAsia="仿宋_GB2312"/>
          <w:b/>
          <w:sz w:val="32"/>
          <w:szCs w:val="32"/>
        </w:rPr>
        <w:t>（各部门单位应根据部门预算公开表中对应的经费情况进行名词解释，对未涉及的名词应删除）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昌吉州环境污染监控中心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2019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31 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12 -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885B2"/>
    <w:multiLevelType w:val="singleLevel"/>
    <w:tmpl w:val="059885B2"/>
    <w:lvl w:ilvl="0" w:tentative="0">
      <w:start w:val="10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72A7D"/>
    <w:rsid w:val="00041FAB"/>
    <w:rsid w:val="00083C41"/>
    <w:rsid w:val="000A5296"/>
    <w:rsid w:val="001440AE"/>
    <w:rsid w:val="001701E3"/>
    <w:rsid w:val="00204FAF"/>
    <w:rsid w:val="00271126"/>
    <w:rsid w:val="00366AD5"/>
    <w:rsid w:val="003A1E48"/>
    <w:rsid w:val="004D7B51"/>
    <w:rsid w:val="004F4E74"/>
    <w:rsid w:val="0050717B"/>
    <w:rsid w:val="005232F5"/>
    <w:rsid w:val="00527B2B"/>
    <w:rsid w:val="00537787"/>
    <w:rsid w:val="00565244"/>
    <w:rsid w:val="0056685E"/>
    <w:rsid w:val="005944A4"/>
    <w:rsid w:val="00641B85"/>
    <w:rsid w:val="006E3D3E"/>
    <w:rsid w:val="00733521"/>
    <w:rsid w:val="00737EB7"/>
    <w:rsid w:val="00790251"/>
    <w:rsid w:val="00864B06"/>
    <w:rsid w:val="008C5600"/>
    <w:rsid w:val="008E1720"/>
    <w:rsid w:val="008E6DD6"/>
    <w:rsid w:val="009206E8"/>
    <w:rsid w:val="009A2E7A"/>
    <w:rsid w:val="00A02E66"/>
    <w:rsid w:val="00AC347F"/>
    <w:rsid w:val="00AD5DE1"/>
    <w:rsid w:val="00AE1EC1"/>
    <w:rsid w:val="00B006EA"/>
    <w:rsid w:val="00B11FC9"/>
    <w:rsid w:val="00B24032"/>
    <w:rsid w:val="00B425AE"/>
    <w:rsid w:val="00BD2B85"/>
    <w:rsid w:val="00C46F28"/>
    <w:rsid w:val="00CE12E7"/>
    <w:rsid w:val="00D552E4"/>
    <w:rsid w:val="00E14DBE"/>
    <w:rsid w:val="00E268CB"/>
    <w:rsid w:val="00E31AAF"/>
    <w:rsid w:val="00E904D3"/>
    <w:rsid w:val="00ED6DA1"/>
    <w:rsid w:val="00F55F94"/>
    <w:rsid w:val="00F707DC"/>
    <w:rsid w:val="00F72A7D"/>
    <w:rsid w:val="00FA2282"/>
    <w:rsid w:val="00FC0B39"/>
    <w:rsid w:val="00FD408F"/>
    <w:rsid w:val="03530A23"/>
    <w:rsid w:val="0F496241"/>
    <w:rsid w:val="26C312DE"/>
    <w:rsid w:val="57481918"/>
    <w:rsid w:val="708C787A"/>
    <w:rsid w:val="7C95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0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uiPriority w:val="0"/>
    <w:rPr>
      <w:rFonts w:cs="Times New Roman"/>
      <w:b/>
      <w:bCs/>
    </w:rPr>
  </w:style>
  <w:style w:type="character" w:customStyle="1" w:styleId="8">
    <w:name w:val="批注框文本 字符"/>
    <w:basedOn w:val="6"/>
    <w:link w:val="2"/>
    <w:semiHidden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semiHidden/>
    <w:uiPriority w:val="0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character" w:customStyle="1" w:styleId="10">
    <w:name w:val="页眉 字符"/>
    <w:basedOn w:val="6"/>
    <w:link w:val="4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正文文本缩进 3 Char"/>
    <w:basedOn w:val="6"/>
    <w:link w:val="12"/>
    <w:semiHidden/>
    <w:uiPriority w:val="0"/>
    <w:rPr>
      <w:rFonts w:ascii="Times New Roman" w:hAnsi="Times New Roman" w:eastAsia="仿宋_GB2312" w:cs="Times New Roman"/>
      <w:sz w:val="32"/>
      <w:szCs w:val="24"/>
    </w:rPr>
  </w:style>
  <w:style w:type="paragraph" w:customStyle="1" w:styleId="12">
    <w:name w:val="正文文本缩进 31"/>
    <w:basedOn w:val="1"/>
    <w:link w:val="11"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14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5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6">
    <w:name w:val="普通(网站)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7">
    <w:name w:val="普通(网站)21"/>
    <w:basedOn w:val="1"/>
    <w:qFormat/>
    <w:uiPriority w:val="0"/>
    <w:rPr>
      <w:rFonts w:ascii="Calibri" w:hAnsi="Calibri" w:cs="黑体"/>
      <w:sz w:val="24"/>
    </w:rPr>
  </w:style>
  <w:style w:type="paragraph" w:customStyle="1" w:styleId="18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19">
    <w:name w:val="页码1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C1309D-580A-405A-A566-54319659B2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22</Pages>
  <Words>1498</Words>
  <Characters>8540</Characters>
  <Lines>71</Lines>
  <Paragraphs>20</Paragraphs>
  <TotalTime>1</TotalTime>
  <ScaleCrop>false</ScaleCrop>
  <LinksUpToDate>false</LinksUpToDate>
  <CharactersWithSpaces>10018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2019-07-15T10:15:00Z</dcterms:created>
  <dc:creator>王怡</dc:creator>
  <cp:lastModifiedBy>1</cp:lastModifiedBy>
  <dcterms:modified xsi:type="dcterms:W3CDTF">2025-02-10T10:52:35Z</dcterms:modified>
  <dc:title>王怡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